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6CD00" w14:textId="555AC865" w:rsidR="00DA4173" w:rsidRPr="006C58FB" w:rsidRDefault="00DA4173" w:rsidP="00DA4173">
      <w:pPr>
        <w:pStyle w:val="Cos"/>
        <w:spacing w:line="360" w:lineRule="auto"/>
        <w:jc w:val="center"/>
        <w:rPr>
          <w:rFonts w:ascii="Times New Roman" w:hAnsi="Times New Roman"/>
          <w:b/>
          <w:bCs/>
          <w:u w:val="single"/>
          <w:lang w:val="en-US"/>
        </w:rPr>
      </w:pPr>
      <w:r w:rsidRPr="006C58FB">
        <w:rPr>
          <w:rFonts w:ascii="Times New Roman" w:hAnsi="Times New Roman"/>
          <w:b/>
          <w:bCs/>
          <w:u w:val="single"/>
          <w:lang w:val="en-US"/>
        </w:rPr>
        <w:t>SUPPLEMENTARY APPENDIX 2</w:t>
      </w:r>
    </w:p>
    <w:p w14:paraId="7F5CD40D" w14:textId="2BBFD2E3" w:rsidR="00DA4173" w:rsidRPr="006C58FB" w:rsidRDefault="00DA4173">
      <w:pPr>
        <w:rPr>
          <w:lang w:val="en-US"/>
        </w:rPr>
      </w:pPr>
    </w:p>
    <w:p w14:paraId="790A0921" w14:textId="74CC748A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The 11-point checklist concentrates on both clinical and neuroimaging methodology of each study and mainly assesses the quality from 3 aspects: subjects, methods for image acquisition and analysis, and results and conclusions. Each item will be matched with the study and then assigned a score of 1 (fully satisfied), 0.5 (partially satisfied), or 0 (otherwise).</w:t>
      </w:r>
    </w:p>
    <w:p w14:paraId="755DD4F6" w14:textId="77777777" w:rsidR="006C58FB" w:rsidRPr="006C58FB" w:rsidRDefault="006C58FB">
      <w:pPr>
        <w:rPr>
          <w:lang w:val="en-US"/>
        </w:rPr>
      </w:pPr>
    </w:p>
    <w:p w14:paraId="75F44283" w14:textId="0F9D64B6" w:rsidR="00DA4173" w:rsidRPr="006C58FB" w:rsidRDefault="006C58FB">
      <w:pPr>
        <w:rPr>
          <w:sz w:val="20"/>
          <w:szCs w:val="20"/>
          <w:u w:val="single"/>
          <w:lang w:val="en-US"/>
        </w:rPr>
      </w:pPr>
      <w:r w:rsidRPr="006C58FB">
        <w:rPr>
          <w:sz w:val="20"/>
          <w:szCs w:val="20"/>
          <w:u w:val="single"/>
          <w:lang w:val="en-US"/>
        </w:rPr>
        <w:t>Category 1: Subjects</w:t>
      </w:r>
    </w:p>
    <w:p w14:paraId="242D5EFA" w14:textId="77777777" w:rsidR="006C58FB" w:rsidRPr="006C58FB" w:rsidRDefault="006C58FB">
      <w:pPr>
        <w:rPr>
          <w:sz w:val="20"/>
          <w:szCs w:val="20"/>
          <w:lang w:val="en-US"/>
        </w:rPr>
      </w:pPr>
    </w:p>
    <w:p w14:paraId="2B36E969" w14:textId="24218E1F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1. Patients were evaluated prospectively, specific diagnostic criteria were applied, and demographic data were reported</w:t>
      </w:r>
      <w:r w:rsidR="00107CF6">
        <w:rPr>
          <w:sz w:val="20"/>
          <w:szCs w:val="20"/>
          <w:lang w:val="en-US"/>
        </w:rPr>
        <w:t>.</w:t>
      </w:r>
    </w:p>
    <w:p w14:paraId="74A5343D" w14:textId="36560285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2. Healthy comparison subjects were evaluated prospectively; psychiatric and medical illnesses were excluded</w:t>
      </w:r>
      <w:r w:rsidR="00107CF6">
        <w:rPr>
          <w:sz w:val="20"/>
          <w:szCs w:val="20"/>
          <w:lang w:val="en-US"/>
        </w:rPr>
        <w:t>.</w:t>
      </w:r>
    </w:p>
    <w:p w14:paraId="7DA0FD47" w14:textId="1CAB7831" w:rsidR="00107CF6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3. Important variables (e.g., age, sex, illness duration, onset time, medication status, comorbidity, severity of illness) were checked, either by stratification or statistically</w:t>
      </w:r>
      <w:r w:rsidR="00107CF6">
        <w:rPr>
          <w:sz w:val="20"/>
          <w:szCs w:val="20"/>
          <w:lang w:val="en-US"/>
        </w:rPr>
        <w:t>.</w:t>
      </w:r>
    </w:p>
    <w:p w14:paraId="00D1F2DD" w14:textId="10D842D3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4. Sample size per group &gt;</w:t>
      </w:r>
      <w:r w:rsidR="00107CF6">
        <w:rPr>
          <w:sz w:val="20"/>
          <w:szCs w:val="20"/>
          <w:lang w:val="en-US"/>
        </w:rPr>
        <w:t xml:space="preserve"> </w:t>
      </w:r>
      <w:r w:rsidRPr="006C58FB">
        <w:rPr>
          <w:sz w:val="20"/>
          <w:szCs w:val="20"/>
          <w:lang w:val="en-US"/>
        </w:rPr>
        <w:t>10</w:t>
      </w:r>
      <w:r w:rsidR="00107CF6">
        <w:rPr>
          <w:sz w:val="20"/>
          <w:szCs w:val="20"/>
          <w:lang w:val="en-US"/>
        </w:rPr>
        <w:t>.</w:t>
      </w:r>
    </w:p>
    <w:p w14:paraId="55B914F2" w14:textId="77777777" w:rsidR="006C58FB" w:rsidRPr="006C58FB" w:rsidRDefault="006C58FB" w:rsidP="006C58FB">
      <w:pPr>
        <w:jc w:val="both"/>
        <w:rPr>
          <w:sz w:val="20"/>
          <w:szCs w:val="20"/>
          <w:lang w:val="en-US"/>
        </w:rPr>
      </w:pPr>
    </w:p>
    <w:p w14:paraId="115EAE94" w14:textId="23401E7E" w:rsidR="006C58FB" w:rsidRPr="006C58FB" w:rsidRDefault="006C58FB" w:rsidP="006C58FB">
      <w:pPr>
        <w:jc w:val="both"/>
        <w:rPr>
          <w:sz w:val="20"/>
          <w:szCs w:val="20"/>
          <w:u w:val="single"/>
          <w:lang w:val="en-US"/>
        </w:rPr>
      </w:pPr>
      <w:r w:rsidRPr="006C58FB">
        <w:rPr>
          <w:sz w:val="20"/>
          <w:szCs w:val="20"/>
          <w:u w:val="single"/>
          <w:lang w:val="en-US"/>
        </w:rPr>
        <w:t>Category 2: Methods for image acquisition and analysis</w:t>
      </w:r>
    </w:p>
    <w:p w14:paraId="6DDE98EB" w14:textId="77777777" w:rsidR="006C58FB" w:rsidRPr="006C58FB" w:rsidRDefault="006C58FB" w:rsidP="006C58FB">
      <w:pPr>
        <w:jc w:val="both"/>
        <w:rPr>
          <w:sz w:val="20"/>
          <w:szCs w:val="20"/>
          <w:lang w:val="en-US"/>
        </w:rPr>
      </w:pPr>
    </w:p>
    <w:p w14:paraId="785C1045" w14:textId="5DC8117A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5. Magnet strength ≥</w:t>
      </w:r>
      <w:r w:rsidRPr="006C58FB">
        <w:rPr>
          <w:sz w:val="20"/>
          <w:szCs w:val="20"/>
          <w:lang w:val="en-US"/>
        </w:rPr>
        <w:t xml:space="preserve"> </w:t>
      </w:r>
      <w:r w:rsidRPr="006C58FB">
        <w:rPr>
          <w:sz w:val="20"/>
          <w:szCs w:val="20"/>
          <w:lang w:val="en-US"/>
        </w:rPr>
        <w:t>1.5</w:t>
      </w:r>
      <w:r>
        <w:rPr>
          <w:sz w:val="20"/>
          <w:szCs w:val="20"/>
          <w:lang w:val="en-US"/>
        </w:rPr>
        <w:t xml:space="preserve"> </w:t>
      </w:r>
      <w:r w:rsidRPr="006C58FB">
        <w:rPr>
          <w:sz w:val="20"/>
          <w:szCs w:val="20"/>
          <w:lang w:val="en-US"/>
        </w:rPr>
        <w:t>T</w:t>
      </w:r>
      <w:r>
        <w:rPr>
          <w:sz w:val="20"/>
          <w:szCs w:val="20"/>
          <w:lang w:val="en-US"/>
        </w:rPr>
        <w:t>esla</w:t>
      </w:r>
      <w:r w:rsidR="00107CF6">
        <w:rPr>
          <w:sz w:val="20"/>
          <w:szCs w:val="20"/>
          <w:lang w:val="en-US"/>
        </w:rPr>
        <w:t>.</w:t>
      </w:r>
    </w:p>
    <w:p w14:paraId="7EE92EB8" w14:textId="5F53699C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 xml:space="preserve">6. For resting-state functional </w:t>
      </w:r>
      <w:r>
        <w:rPr>
          <w:sz w:val="20"/>
          <w:szCs w:val="20"/>
          <w:lang w:val="en-US"/>
        </w:rPr>
        <w:t>magnetic resonance imaging</w:t>
      </w:r>
      <w:r w:rsidRPr="006C58FB">
        <w:rPr>
          <w:sz w:val="20"/>
          <w:szCs w:val="20"/>
          <w:lang w:val="en-US"/>
        </w:rPr>
        <w:t xml:space="preserve"> studies, whole brain analysis was automated with no a priori regional selection</w:t>
      </w:r>
      <w:r w:rsidR="00107CF6">
        <w:rPr>
          <w:sz w:val="20"/>
          <w:szCs w:val="20"/>
          <w:lang w:val="en-US"/>
        </w:rPr>
        <w:t>.</w:t>
      </w:r>
    </w:p>
    <w:p w14:paraId="52B256FB" w14:textId="1E075BEB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7. Coordinates reported in a standard space</w:t>
      </w:r>
      <w:r w:rsidR="00107CF6">
        <w:rPr>
          <w:sz w:val="20"/>
          <w:szCs w:val="20"/>
          <w:lang w:val="en-US"/>
        </w:rPr>
        <w:t>.</w:t>
      </w:r>
    </w:p>
    <w:p w14:paraId="1EBFCB0E" w14:textId="1B5DFC79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8. Processing of the imaging technique was described clearly enough to be reproduced</w:t>
      </w:r>
      <w:r w:rsidR="00107CF6">
        <w:rPr>
          <w:sz w:val="20"/>
          <w:szCs w:val="20"/>
          <w:lang w:val="en-US"/>
        </w:rPr>
        <w:t>.</w:t>
      </w:r>
    </w:p>
    <w:p w14:paraId="3EDD92D5" w14:textId="7FAB66F9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9. Measurements were described clearly enough to be reproduced</w:t>
      </w:r>
      <w:r w:rsidR="00107CF6">
        <w:rPr>
          <w:sz w:val="20"/>
          <w:szCs w:val="20"/>
          <w:lang w:val="en-US"/>
        </w:rPr>
        <w:t>.</w:t>
      </w:r>
    </w:p>
    <w:p w14:paraId="26C55F5F" w14:textId="77777777" w:rsidR="006C58FB" w:rsidRPr="006C58FB" w:rsidRDefault="006C58FB" w:rsidP="006C58FB">
      <w:pPr>
        <w:jc w:val="both"/>
        <w:rPr>
          <w:sz w:val="20"/>
          <w:szCs w:val="20"/>
          <w:lang w:val="en-US"/>
        </w:rPr>
      </w:pPr>
    </w:p>
    <w:p w14:paraId="5556B870" w14:textId="7CE87B3A" w:rsidR="006C58FB" w:rsidRPr="006C58FB" w:rsidRDefault="006C58FB" w:rsidP="006C58FB">
      <w:pPr>
        <w:jc w:val="both"/>
        <w:rPr>
          <w:sz w:val="20"/>
          <w:szCs w:val="20"/>
          <w:u w:val="single"/>
          <w:lang w:val="en-US"/>
        </w:rPr>
      </w:pPr>
      <w:r w:rsidRPr="006C58FB">
        <w:rPr>
          <w:sz w:val="20"/>
          <w:szCs w:val="20"/>
          <w:u w:val="single"/>
          <w:lang w:val="en-US"/>
        </w:rPr>
        <w:t>Category 3: Results and conclusions</w:t>
      </w:r>
    </w:p>
    <w:p w14:paraId="7DCC575A" w14:textId="77777777" w:rsidR="006C58FB" w:rsidRPr="006C58FB" w:rsidRDefault="006C58FB" w:rsidP="006C58FB">
      <w:pPr>
        <w:jc w:val="both"/>
        <w:rPr>
          <w:sz w:val="20"/>
          <w:szCs w:val="20"/>
          <w:lang w:val="en-US"/>
        </w:rPr>
      </w:pPr>
    </w:p>
    <w:p w14:paraId="7AEE9054" w14:textId="577E9BEF" w:rsidR="006C58FB" w:rsidRPr="006C58FB" w:rsidRDefault="006C58FB" w:rsidP="006C58FB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10. Statistical parameters were provided for significant and important non-significant differences</w:t>
      </w:r>
      <w:r w:rsidR="00107CF6">
        <w:rPr>
          <w:sz w:val="20"/>
          <w:szCs w:val="20"/>
          <w:lang w:val="en-US"/>
        </w:rPr>
        <w:t>.</w:t>
      </w:r>
    </w:p>
    <w:p w14:paraId="008E56C9" w14:textId="0753A480" w:rsidR="006C58FB" w:rsidRPr="006C58FB" w:rsidRDefault="006C58FB" w:rsidP="00107CF6">
      <w:pPr>
        <w:jc w:val="both"/>
        <w:rPr>
          <w:sz w:val="20"/>
          <w:szCs w:val="20"/>
          <w:lang w:val="en-US"/>
        </w:rPr>
      </w:pPr>
      <w:r w:rsidRPr="006C58FB">
        <w:rPr>
          <w:sz w:val="20"/>
          <w:szCs w:val="20"/>
          <w:lang w:val="en-US"/>
        </w:rPr>
        <w:t>11. Conclusions were consistent with the results obtained, and the limitations were discussed</w:t>
      </w:r>
      <w:r w:rsidR="00107CF6">
        <w:rPr>
          <w:sz w:val="20"/>
          <w:szCs w:val="20"/>
          <w:lang w:val="en-US"/>
        </w:rPr>
        <w:t>.</w:t>
      </w:r>
    </w:p>
    <w:sectPr w:rsidR="006C58FB" w:rsidRPr="006C58FB" w:rsidSect="00CE2D3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73"/>
    <w:rsid w:val="000A4FB0"/>
    <w:rsid w:val="00107CF6"/>
    <w:rsid w:val="00120704"/>
    <w:rsid w:val="001505F6"/>
    <w:rsid w:val="00195E1D"/>
    <w:rsid w:val="002134AE"/>
    <w:rsid w:val="00233A75"/>
    <w:rsid w:val="0024017A"/>
    <w:rsid w:val="002825AC"/>
    <w:rsid w:val="00295620"/>
    <w:rsid w:val="002B4CB9"/>
    <w:rsid w:val="00326A2E"/>
    <w:rsid w:val="00370128"/>
    <w:rsid w:val="003846A8"/>
    <w:rsid w:val="00387A44"/>
    <w:rsid w:val="00391717"/>
    <w:rsid w:val="003A5CC9"/>
    <w:rsid w:val="0041019F"/>
    <w:rsid w:val="004303A3"/>
    <w:rsid w:val="004373F3"/>
    <w:rsid w:val="00475103"/>
    <w:rsid w:val="00491106"/>
    <w:rsid w:val="0049581F"/>
    <w:rsid w:val="004A60BB"/>
    <w:rsid w:val="004D656F"/>
    <w:rsid w:val="004F4A2A"/>
    <w:rsid w:val="00501E22"/>
    <w:rsid w:val="005130F0"/>
    <w:rsid w:val="00574E22"/>
    <w:rsid w:val="005A5D01"/>
    <w:rsid w:val="005B6C19"/>
    <w:rsid w:val="005E69D2"/>
    <w:rsid w:val="00601930"/>
    <w:rsid w:val="006317BD"/>
    <w:rsid w:val="0065201E"/>
    <w:rsid w:val="0066313D"/>
    <w:rsid w:val="0069224F"/>
    <w:rsid w:val="006C58FB"/>
    <w:rsid w:val="006D2843"/>
    <w:rsid w:val="00751EAC"/>
    <w:rsid w:val="007550BF"/>
    <w:rsid w:val="007563A4"/>
    <w:rsid w:val="00762462"/>
    <w:rsid w:val="00793DFB"/>
    <w:rsid w:val="00797F88"/>
    <w:rsid w:val="008650A7"/>
    <w:rsid w:val="008833EE"/>
    <w:rsid w:val="008B0D25"/>
    <w:rsid w:val="008D6581"/>
    <w:rsid w:val="008F3D59"/>
    <w:rsid w:val="00935353"/>
    <w:rsid w:val="00963B0D"/>
    <w:rsid w:val="0097478C"/>
    <w:rsid w:val="009952E3"/>
    <w:rsid w:val="009A508E"/>
    <w:rsid w:val="009C2A54"/>
    <w:rsid w:val="009E42B9"/>
    <w:rsid w:val="00A31150"/>
    <w:rsid w:val="00A424C7"/>
    <w:rsid w:val="00A602E1"/>
    <w:rsid w:val="00AF436E"/>
    <w:rsid w:val="00B100F6"/>
    <w:rsid w:val="00B27567"/>
    <w:rsid w:val="00B47143"/>
    <w:rsid w:val="00B80FCE"/>
    <w:rsid w:val="00B870E4"/>
    <w:rsid w:val="00B91DC2"/>
    <w:rsid w:val="00BC2F9B"/>
    <w:rsid w:val="00C0110F"/>
    <w:rsid w:val="00C43A6A"/>
    <w:rsid w:val="00C56261"/>
    <w:rsid w:val="00C6032B"/>
    <w:rsid w:val="00CA3DD2"/>
    <w:rsid w:val="00CA6512"/>
    <w:rsid w:val="00CC1889"/>
    <w:rsid w:val="00CC2F31"/>
    <w:rsid w:val="00CE2D3F"/>
    <w:rsid w:val="00D7316E"/>
    <w:rsid w:val="00DA134C"/>
    <w:rsid w:val="00DA4173"/>
    <w:rsid w:val="00DE1F8F"/>
    <w:rsid w:val="00E25ECD"/>
    <w:rsid w:val="00E33F96"/>
    <w:rsid w:val="00F90F27"/>
    <w:rsid w:val="00FD52A6"/>
    <w:rsid w:val="00FE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BF69504"/>
  <w15:chartTrackingRefBased/>
  <w15:docId w15:val="{063F1242-F9A0-8A49-B9CB-F2C6FFCDA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173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 1"/>
    <w:basedOn w:val="Normal"/>
    <w:qFormat/>
    <w:rsid w:val="008650A7"/>
    <w:pPr>
      <w:spacing w:line="360" w:lineRule="auto"/>
    </w:pPr>
    <w:rPr>
      <w:rFonts w:eastAsiaTheme="minorHAnsi"/>
      <w:b/>
      <w:sz w:val="28"/>
      <w:szCs w:val="28"/>
      <w:lang w:eastAsia="en-US"/>
    </w:rPr>
  </w:style>
  <w:style w:type="paragraph" w:customStyle="1" w:styleId="Cos">
    <w:name w:val="Cos"/>
    <w:rsid w:val="00DA41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  <w:lang w:val="es-ES_tradnl" w:eastAsia="es-ES_tradn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232</Words>
  <Characters>1279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2021-08-02T15:26:00Z</dcterms:created>
  <dcterms:modified xsi:type="dcterms:W3CDTF">2021-08-24T19:20:00Z</dcterms:modified>
</cp:coreProperties>
</file>