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1FA6F" w14:textId="77777777" w:rsidR="00F11D10" w:rsidRDefault="00F11D10" w:rsidP="00F11D10">
      <w:r w:rsidRPr="00914FDA">
        <w:rPr>
          <w:noProof/>
        </w:rPr>
        <w:drawing>
          <wp:inline distT="0" distB="0" distL="0" distR="0" wp14:anchorId="6E36A837" wp14:editId="41E02FDB">
            <wp:extent cx="5943600" cy="4359910"/>
            <wp:effectExtent l="0" t="0" r="0" b="2540"/>
            <wp:docPr id="2068223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23331" name=""/>
                    <pic:cNvPicPr/>
                  </pic:nvPicPr>
                  <pic:blipFill rotWithShape="1">
                    <a:blip r:embed="rId5"/>
                    <a:srcRect t="8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156DA" w14:textId="77777777" w:rsidR="00F11D10" w:rsidRPr="0012424D" w:rsidRDefault="00F11D10" w:rsidP="00F11D10">
      <w:pPr>
        <w:spacing w:line="301" w:lineRule="auto"/>
        <w:jc w:val="both"/>
        <w:rPr>
          <w:rFonts w:ascii="Arial" w:hAnsi="Arial" w:cs="Arial"/>
          <w:sz w:val="18"/>
          <w:szCs w:val="18"/>
        </w:rPr>
      </w:pPr>
      <w:r w:rsidRPr="0012424D">
        <w:rPr>
          <w:rFonts w:ascii="Arial" w:hAnsi="Arial" w:cs="Arial"/>
          <w:b/>
          <w:bCs/>
          <w:sz w:val="18"/>
          <w:szCs w:val="18"/>
        </w:rPr>
        <w:t>Supplementary Figure 1: Gating strategy to define lymphocyte populations from a representative sample. (A)</w:t>
      </w:r>
      <w:r w:rsidRPr="0012424D">
        <w:rPr>
          <w:rFonts w:ascii="Arial" w:hAnsi="Arial" w:cs="Arial"/>
          <w:sz w:val="18"/>
          <w:szCs w:val="18"/>
        </w:rPr>
        <w:t xml:space="preserve"> Single cells were gated by forward scatter area and height. </w:t>
      </w:r>
      <w:r w:rsidRPr="0012424D">
        <w:rPr>
          <w:rFonts w:ascii="Arial" w:hAnsi="Arial" w:cs="Arial"/>
          <w:b/>
          <w:bCs/>
          <w:sz w:val="18"/>
          <w:szCs w:val="18"/>
        </w:rPr>
        <w:t>(B)</w:t>
      </w:r>
      <w:r w:rsidRPr="0012424D">
        <w:rPr>
          <w:rFonts w:ascii="Arial" w:hAnsi="Arial" w:cs="Arial"/>
          <w:sz w:val="18"/>
          <w:szCs w:val="18"/>
        </w:rPr>
        <w:t xml:space="preserve"> Viable cells were gated as Ghost Red dye 710 negative. </w:t>
      </w:r>
      <w:r w:rsidRPr="0012424D">
        <w:rPr>
          <w:rFonts w:ascii="Arial" w:hAnsi="Arial" w:cs="Arial"/>
          <w:b/>
          <w:bCs/>
          <w:sz w:val="18"/>
          <w:szCs w:val="18"/>
        </w:rPr>
        <w:t>(C)</w:t>
      </w:r>
      <w:r w:rsidRPr="0012424D">
        <w:rPr>
          <w:rFonts w:ascii="Arial" w:hAnsi="Arial" w:cs="Arial"/>
          <w:sz w:val="18"/>
          <w:szCs w:val="18"/>
        </w:rPr>
        <w:t xml:space="preserve"> Lymphocytes were selected as CD45</w:t>
      </w:r>
      <w:r w:rsidRPr="0012424D">
        <w:rPr>
          <w:rFonts w:ascii="Arial" w:hAnsi="Arial" w:cs="Arial"/>
          <w:sz w:val="18"/>
          <w:szCs w:val="18"/>
          <w:vertAlign w:val="superscript"/>
        </w:rPr>
        <w:t>+</w:t>
      </w:r>
      <w:r w:rsidRPr="0012424D">
        <w:rPr>
          <w:rFonts w:ascii="Arial" w:hAnsi="Arial" w:cs="Arial"/>
          <w:sz w:val="18"/>
          <w:szCs w:val="18"/>
        </w:rPr>
        <w:t xml:space="preserve"> side scatter low. Subsequent analysis of lymphocyte sub-populations was done in Python version 3.9 to facilitate mathematical analysis of the subsets. </w:t>
      </w:r>
      <w:r w:rsidRPr="0012424D">
        <w:rPr>
          <w:rFonts w:ascii="Arial" w:hAnsi="Arial" w:cs="Arial"/>
          <w:b/>
          <w:bCs/>
          <w:sz w:val="18"/>
          <w:szCs w:val="18"/>
        </w:rPr>
        <w:t>(D)</w:t>
      </w:r>
      <w:r w:rsidRPr="0012424D">
        <w:rPr>
          <w:rFonts w:ascii="Arial" w:hAnsi="Arial" w:cs="Arial"/>
          <w:sz w:val="18"/>
          <w:szCs w:val="18"/>
        </w:rPr>
        <w:t xml:space="preserve"> T cells were identified as CD3</w:t>
      </w:r>
      <w:r w:rsidRPr="0012424D">
        <w:rPr>
          <w:rFonts w:ascii="Arial" w:hAnsi="Arial" w:cs="Arial"/>
          <w:sz w:val="18"/>
          <w:szCs w:val="18"/>
          <w:vertAlign w:val="superscript"/>
        </w:rPr>
        <w:t>+</w:t>
      </w:r>
      <w:r w:rsidRPr="0012424D">
        <w:rPr>
          <w:rFonts w:ascii="Arial" w:hAnsi="Arial" w:cs="Arial"/>
          <w:sz w:val="18"/>
          <w:szCs w:val="18"/>
        </w:rPr>
        <w:t xml:space="preserve"> and NK cells as CD3</w:t>
      </w:r>
      <w:r w:rsidRPr="0012424D">
        <w:rPr>
          <w:rFonts w:ascii="Arial" w:hAnsi="Arial" w:cs="Arial"/>
          <w:sz w:val="18"/>
          <w:szCs w:val="18"/>
          <w:vertAlign w:val="superscript"/>
        </w:rPr>
        <w:t>-</w:t>
      </w:r>
      <w:r w:rsidRPr="0012424D">
        <w:rPr>
          <w:rFonts w:ascii="Arial" w:hAnsi="Arial" w:cs="Arial"/>
          <w:sz w:val="18"/>
          <w:szCs w:val="18"/>
        </w:rPr>
        <w:t xml:space="preserve"> CD56</w:t>
      </w:r>
      <w:r w:rsidRPr="0012424D">
        <w:rPr>
          <w:rFonts w:ascii="Arial" w:hAnsi="Arial" w:cs="Arial"/>
          <w:sz w:val="18"/>
          <w:szCs w:val="18"/>
          <w:vertAlign w:val="superscript"/>
        </w:rPr>
        <w:t>+</w:t>
      </w:r>
      <w:r w:rsidRPr="0012424D">
        <w:rPr>
          <w:rFonts w:ascii="Arial" w:hAnsi="Arial" w:cs="Arial"/>
          <w:sz w:val="18"/>
          <w:szCs w:val="18"/>
        </w:rPr>
        <w:t xml:space="preserve">. </w:t>
      </w:r>
      <w:r w:rsidRPr="0012424D">
        <w:rPr>
          <w:rFonts w:ascii="Arial" w:hAnsi="Arial" w:cs="Arial"/>
          <w:b/>
          <w:bCs/>
          <w:sz w:val="18"/>
          <w:szCs w:val="18"/>
        </w:rPr>
        <w:t>(E)</w:t>
      </w:r>
      <w:r w:rsidRPr="0012424D">
        <w:rPr>
          <w:rFonts w:ascii="Arial" w:hAnsi="Arial" w:cs="Arial"/>
          <w:sz w:val="18"/>
          <w:szCs w:val="18"/>
        </w:rPr>
        <w:t xml:space="preserve"> CD4</w:t>
      </w:r>
      <w:r w:rsidRPr="0012424D">
        <w:rPr>
          <w:rFonts w:ascii="Arial" w:hAnsi="Arial" w:cs="Arial"/>
          <w:sz w:val="18"/>
          <w:szCs w:val="18"/>
          <w:vertAlign w:val="superscript"/>
        </w:rPr>
        <w:t>+</w:t>
      </w:r>
      <w:r w:rsidRPr="0012424D">
        <w:rPr>
          <w:rFonts w:ascii="Arial" w:hAnsi="Arial" w:cs="Arial"/>
          <w:sz w:val="18"/>
          <w:szCs w:val="18"/>
        </w:rPr>
        <w:t xml:space="preserve"> and CD8</w:t>
      </w:r>
      <w:r w:rsidRPr="0012424D">
        <w:rPr>
          <w:rFonts w:ascii="Arial" w:hAnsi="Arial" w:cs="Arial"/>
          <w:sz w:val="18"/>
          <w:szCs w:val="18"/>
          <w:vertAlign w:val="superscript"/>
        </w:rPr>
        <w:t>+</w:t>
      </w:r>
      <w:r w:rsidRPr="0012424D">
        <w:rPr>
          <w:rFonts w:ascii="Arial" w:hAnsi="Arial" w:cs="Arial"/>
          <w:sz w:val="18"/>
          <w:szCs w:val="18"/>
        </w:rPr>
        <w:t xml:space="preserve"> T cells were selected with double positives included in the CD8</w:t>
      </w:r>
      <w:r w:rsidRPr="0012424D">
        <w:rPr>
          <w:rFonts w:ascii="Arial" w:hAnsi="Arial" w:cs="Arial"/>
          <w:sz w:val="18"/>
          <w:szCs w:val="18"/>
          <w:vertAlign w:val="superscript"/>
        </w:rPr>
        <w:t>+</w:t>
      </w:r>
      <w:r w:rsidRPr="0012424D">
        <w:rPr>
          <w:rFonts w:ascii="Arial" w:hAnsi="Arial" w:cs="Arial"/>
          <w:sz w:val="18"/>
          <w:szCs w:val="18"/>
        </w:rPr>
        <w:t xml:space="preserve"> population. </w:t>
      </w:r>
      <w:r w:rsidRPr="0012424D">
        <w:rPr>
          <w:rFonts w:ascii="Arial" w:hAnsi="Arial" w:cs="Arial"/>
          <w:b/>
          <w:bCs/>
          <w:sz w:val="18"/>
          <w:szCs w:val="18"/>
        </w:rPr>
        <w:t>(F)</w:t>
      </w:r>
      <w:r w:rsidRPr="0012424D">
        <w:rPr>
          <w:rFonts w:ascii="Arial" w:hAnsi="Arial" w:cs="Arial"/>
          <w:sz w:val="18"/>
          <w:szCs w:val="18"/>
        </w:rPr>
        <w:t xml:space="preserve"> CD56</w:t>
      </w:r>
      <w:r w:rsidRPr="0012424D">
        <w:rPr>
          <w:rFonts w:ascii="Arial" w:hAnsi="Arial" w:cs="Arial"/>
          <w:sz w:val="18"/>
          <w:szCs w:val="18"/>
          <w:vertAlign w:val="superscript"/>
        </w:rPr>
        <w:t>dim</w:t>
      </w:r>
      <w:r w:rsidRPr="0012424D">
        <w:rPr>
          <w:rFonts w:ascii="Arial" w:hAnsi="Arial" w:cs="Arial"/>
          <w:sz w:val="18"/>
          <w:szCs w:val="18"/>
        </w:rPr>
        <w:t xml:space="preserve"> and CD56</w:t>
      </w:r>
      <w:r w:rsidRPr="0012424D">
        <w:rPr>
          <w:rFonts w:ascii="Arial" w:hAnsi="Arial" w:cs="Arial"/>
          <w:sz w:val="18"/>
          <w:szCs w:val="18"/>
          <w:vertAlign w:val="superscript"/>
        </w:rPr>
        <w:t>bright</w:t>
      </w:r>
      <w:r w:rsidRPr="0012424D">
        <w:rPr>
          <w:rFonts w:ascii="Arial" w:hAnsi="Arial" w:cs="Arial"/>
          <w:sz w:val="18"/>
          <w:szCs w:val="18"/>
        </w:rPr>
        <w:t xml:space="preserve"> subsets of NK cells were selected with reference to CD62L, which is highly expressed on the CD56</w:t>
      </w:r>
      <w:r w:rsidRPr="0012424D">
        <w:rPr>
          <w:rFonts w:ascii="Arial" w:hAnsi="Arial" w:cs="Arial"/>
          <w:sz w:val="18"/>
          <w:szCs w:val="18"/>
          <w:vertAlign w:val="superscript"/>
        </w:rPr>
        <w:t xml:space="preserve">bright </w:t>
      </w:r>
      <w:r w:rsidRPr="0012424D">
        <w:rPr>
          <w:rFonts w:ascii="Arial" w:hAnsi="Arial" w:cs="Arial"/>
          <w:sz w:val="18"/>
          <w:szCs w:val="18"/>
        </w:rPr>
        <w:t>subset.</w:t>
      </w:r>
    </w:p>
    <w:p w14:paraId="67EDE3ED" w14:textId="77777777" w:rsidR="00F11D10" w:rsidRDefault="00F11D10" w:rsidP="00F11D10"/>
    <w:p w14:paraId="2C4DE92B" w14:textId="77777777" w:rsidR="00F11D10" w:rsidRDefault="00F11D10" w:rsidP="00F11D10"/>
    <w:p w14:paraId="43F6E9F1" w14:textId="77777777" w:rsidR="00F11D10" w:rsidRDefault="00F11D10" w:rsidP="00F11D10">
      <w:pPr>
        <w:rPr>
          <w:b/>
          <w:bCs/>
          <w:noProof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098B15C" wp14:editId="0CD8F73C">
            <wp:simplePos x="0" y="0"/>
            <wp:positionH relativeFrom="column">
              <wp:posOffset>3847851</wp:posOffset>
            </wp:positionH>
            <wp:positionV relativeFrom="paragraph">
              <wp:posOffset>2969977</wp:posOffset>
            </wp:positionV>
            <wp:extent cx="1995308" cy="664558"/>
            <wp:effectExtent l="0" t="0" r="5080" b="2540"/>
            <wp:wrapNone/>
            <wp:docPr id="6546747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74777" name="Picture 65467477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07" t="82363" r="658" b="5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08" cy="664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inline distT="0" distB="0" distL="0" distR="0" wp14:anchorId="7A915FFB" wp14:editId="361C2050">
            <wp:extent cx="5943600" cy="3974023"/>
            <wp:effectExtent l="0" t="0" r="0" b="7620"/>
            <wp:docPr id="13188703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70327" name="Picture 131887032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5212">
        <w:rPr>
          <w:b/>
          <w:bCs/>
          <w:noProof/>
        </w:rPr>
        <w:t xml:space="preserve"> </w:t>
      </w:r>
    </w:p>
    <w:p w14:paraId="72799BCA" w14:textId="77777777" w:rsidR="00F11D10" w:rsidRPr="0012424D" w:rsidRDefault="00F11D10" w:rsidP="00F11D10">
      <w:pPr>
        <w:rPr>
          <w:rFonts w:ascii="Arial" w:hAnsi="Arial" w:cs="Arial"/>
          <w:b/>
          <w:bCs/>
          <w:sz w:val="18"/>
          <w:szCs w:val="18"/>
        </w:rPr>
      </w:pPr>
      <w:r w:rsidRPr="0012424D">
        <w:rPr>
          <w:rFonts w:ascii="Arial" w:hAnsi="Arial" w:cs="Arial"/>
          <w:b/>
          <w:bCs/>
          <w:sz w:val="18"/>
          <w:szCs w:val="18"/>
        </w:rPr>
        <w:t>Supplementary Figure 2: Swimmer’s plot with each lane representing a patient on active surveillance in RETAIN-2 trial</w:t>
      </w:r>
    </w:p>
    <w:p w14:paraId="3E5A7B09" w14:textId="77777777" w:rsidR="00F11D10" w:rsidRDefault="00F11D10" w:rsidP="00F11D10">
      <w:pPr>
        <w:rPr>
          <w:b/>
          <w:bCs/>
        </w:rPr>
      </w:pPr>
    </w:p>
    <w:p w14:paraId="302EDC6A" w14:textId="77777777" w:rsidR="00F11D10" w:rsidRDefault="00F11D10" w:rsidP="00F11D10">
      <w:pPr>
        <w:rPr>
          <w:b/>
          <w:bCs/>
        </w:rPr>
      </w:pPr>
    </w:p>
    <w:p w14:paraId="10CAA7AD" w14:textId="77777777" w:rsidR="00F11D10" w:rsidRDefault="00F11D10" w:rsidP="00F11D10">
      <w:pPr>
        <w:rPr>
          <w:rFonts w:ascii="Arial" w:hAnsi="Arial" w:cs="Arial"/>
          <w:b/>
          <w:bCs/>
          <w:sz w:val="18"/>
          <w:szCs w:val="18"/>
        </w:rPr>
      </w:pPr>
      <w:r>
        <w:rPr>
          <w:b/>
          <w:bCs/>
          <w:noProof/>
        </w:rPr>
        <w:lastRenderedPageBreak/>
        <w:drawing>
          <wp:inline distT="0" distB="0" distL="0" distR="0" wp14:anchorId="701067EA" wp14:editId="406F6775">
            <wp:extent cx="5818505" cy="7500194"/>
            <wp:effectExtent l="0" t="0" r="0" b="0"/>
            <wp:docPr id="542730647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30647" name="Graphic 542730647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b="8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7500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F512B" w14:textId="77777777" w:rsidR="00F11D10" w:rsidRPr="0012424D" w:rsidRDefault="00F11D10" w:rsidP="00F11D10">
      <w:pPr>
        <w:rPr>
          <w:rFonts w:ascii="Arial" w:hAnsi="Arial" w:cs="Arial"/>
          <w:b/>
          <w:bCs/>
          <w:sz w:val="18"/>
          <w:szCs w:val="18"/>
        </w:rPr>
      </w:pPr>
      <w:r w:rsidRPr="0012424D">
        <w:rPr>
          <w:rFonts w:ascii="Arial" w:hAnsi="Arial" w:cs="Arial"/>
          <w:b/>
          <w:bCs/>
          <w:sz w:val="18"/>
          <w:szCs w:val="18"/>
        </w:rPr>
        <w:t xml:space="preserve">Supplementary Figure 3: Swimmer’s plot with each lane representing a patient in the </w:t>
      </w:r>
      <w:r>
        <w:rPr>
          <w:rFonts w:ascii="Arial" w:hAnsi="Arial" w:cs="Arial"/>
          <w:b/>
          <w:bCs/>
          <w:sz w:val="18"/>
          <w:szCs w:val="18"/>
        </w:rPr>
        <w:t xml:space="preserve">integrated </w:t>
      </w:r>
      <w:r w:rsidRPr="0012424D">
        <w:rPr>
          <w:rFonts w:ascii="Arial" w:hAnsi="Arial" w:cs="Arial"/>
          <w:b/>
          <w:bCs/>
          <w:sz w:val="18"/>
          <w:szCs w:val="18"/>
        </w:rPr>
        <w:t>ctDNA analysis cohort</w:t>
      </w:r>
      <w:r>
        <w:rPr>
          <w:rFonts w:ascii="Arial" w:hAnsi="Arial" w:cs="Arial"/>
          <w:b/>
          <w:bCs/>
          <w:sz w:val="18"/>
          <w:szCs w:val="18"/>
        </w:rPr>
        <w:t xml:space="preserve"> (RETAIN-1 and RETAIN-2)</w:t>
      </w:r>
    </w:p>
    <w:p w14:paraId="1A29B6BD" w14:textId="77777777" w:rsidR="00F11D10" w:rsidRPr="004260E7" w:rsidRDefault="00F11D10" w:rsidP="00F11D10">
      <w:pPr>
        <w:rPr>
          <w:b/>
          <w:bCs/>
        </w:rPr>
      </w:pPr>
    </w:p>
    <w:p w14:paraId="4D543B83" w14:textId="77777777" w:rsidR="00F11D10" w:rsidRDefault="00F11D10" w:rsidP="00F11D10">
      <w:r>
        <w:rPr>
          <w:noProof/>
        </w:rPr>
        <w:lastRenderedPageBreak/>
        <w:drawing>
          <wp:inline distT="0" distB="0" distL="0" distR="0" wp14:anchorId="0CE0B944" wp14:editId="24301D4D">
            <wp:extent cx="3213100" cy="3998311"/>
            <wp:effectExtent l="0" t="0" r="6350" b="2540"/>
            <wp:docPr id="901947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47294" name="Picture 90194729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98" cy="4002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BFC0A" w14:textId="77777777" w:rsidR="00F11D10" w:rsidRPr="0012424D" w:rsidRDefault="00F11D10" w:rsidP="00F11D10">
      <w:pPr>
        <w:spacing w:line="301" w:lineRule="auto"/>
        <w:jc w:val="both"/>
        <w:rPr>
          <w:rFonts w:ascii="Arial" w:hAnsi="Arial" w:cs="Arial"/>
          <w:sz w:val="18"/>
          <w:szCs w:val="18"/>
        </w:rPr>
      </w:pPr>
      <w:r w:rsidRPr="0012424D">
        <w:rPr>
          <w:rFonts w:ascii="Arial" w:hAnsi="Arial" w:cs="Arial"/>
          <w:b/>
          <w:bCs/>
          <w:sz w:val="18"/>
          <w:szCs w:val="18"/>
        </w:rPr>
        <w:t>Supplementary Figure 4: Changes in peripheral blood cell counts and T cell PD-1 expression from pre-treatment to cycle 2.</w:t>
      </w:r>
      <w:r w:rsidRPr="0012424D">
        <w:rPr>
          <w:rFonts w:ascii="Arial" w:hAnsi="Arial" w:cs="Arial"/>
          <w:sz w:val="18"/>
          <w:szCs w:val="18"/>
        </w:rPr>
        <w:t xml:space="preserve"> Pre-treatment (C1D1) and cycle 2 day 1 (C2D1) values for individual patients are shown as open circles connected by lines, with horizontal red bars indicating median values. P values were calculated using a Wilcoxon matched-pairs signed-rank test throughout. Absolute cell counts in panels</w:t>
      </w:r>
      <w:r w:rsidRPr="0012424D">
        <w:rPr>
          <w:rFonts w:ascii="Arial" w:hAnsi="Arial" w:cs="Arial"/>
          <w:b/>
          <w:bCs/>
          <w:sz w:val="18"/>
          <w:szCs w:val="18"/>
        </w:rPr>
        <w:t xml:space="preserve"> A–C </w:t>
      </w:r>
      <w:r w:rsidRPr="0012424D">
        <w:rPr>
          <w:rFonts w:ascii="Arial" w:hAnsi="Arial" w:cs="Arial"/>
          <w:sz w:val="18"/>
          <w:szCs w:val="18"/>
        </w:rPr>
        <w:t xml:space="preserve">were derived from complete blood count (CBC) measurements. </w:t>
      </w:r>
      <w:r w:rsidRPr="0012424D">
        <w:rPr>
          <w:rFonts w:ascii="Arial" w:hAnsi="Arial" w:cs="Arial"/>
          <w:b/>
          <w:bCs/>
          <w:sz w:val="18"/>
          <w:szCs w:val="18"/>
        </w:rPr>
        <w:t>(A)</w:t>
      </w:r>
      <w:r w:rsidRPr="0012424D">
        <w:rPr>
          <w:rFonts w:ascii="Arial" w:hAnsi="Arial" w:cs="Arial"/>
          <w:sz w:val="18"/>
          <w:szCs w:val="18"/>
        </w:rPr>
        <w:t xml:space="preserve"> Absolute monocyte counts at C1D1 and C2D1. One patient with an off-scale value at C1D1 (2,805 cells/µL) and C2D1 (4,586 cells/µL) is noted in the panel. </w:t>
      </w:r>
      <w:r w:rsidRPr="0012424D">
        <w:rPr>
          <w:rFonts w:ascii="Arial" w:hAnsi="Arial" w:cs="Arial"/>
          <w:b/>
          <w:bCs/>
          <w:sz w:val="18"/>
          <w:szCs w:val="18"/>
        </w:rPr>
        <w:t>(B)</w:t>
      </w:r>
      <w:r w:rsidRPr="0012424D">
        <w:rPr>
          <w:rFonts w:ascii="Arial" w:hAnsi="Arial" w:cs="Arial"/>
          <w:sz w:val="18"/>
          <w:szCs w:val="18"/>
        </w:rPr>
        <w:t xml:space="preserve"> Absolute neutrophil counts at C1D1 and C2D1. </w:t>
      </w:r>
      <w:r w:rsidRPr="0012424D">
        <w:rPr>
          <w:rFonts w:ascii="Arial" w:hAnsi="Arial" w:cs="Arial"/>
          <w:b/>
          <w:bCs/>
          <w:sz w:val="18"/>
          <w:szCs w:val="18"/>
        </w:rPr>
        <w:t>(C)</w:t>
      </w:r>
      <w:r w:rsidRPr="0012424D">
        <w:rPr>
          <w:rFonts w:ascii="Arial" w:hAnsi="Arial" w:cs="Arial"/>
          <w:sz w:val="18"/>
          <w:szCs w:val="18"/>
        </w:rPr>
        <w:t xml:space="preserve"> Absolute lymphocyte counts at C1D1 and C2D1. </w:t>
      </w:r>
      <w:r w:rsidRPr="0012424D">
        <w:rPr>
          <w:rFonts w:ascii="Arial" w:hAnsi="Arial" w:cs="Arial"/>
          <w:b/>
          <w:bCs/>
          <w:sz w:val="18"/>
          <w:szCs w:val="18"/>
        </w:rPr>
        <w:t>(D)</w:t>
      </w:r>
      <w:r w:rsidRPr="0012424D">
        <w:rPr>
          <w:rFonts w:ascii="Arial" w:hAnsi="Arial" w:cs="Arial"/>
          <w:sz w:val="18"/>
          <w:szCs w:val="18"/>
        </w:rPr>
        <w:t xml:space="preserve"> %PD-1+ on CD3+ T cells gated as described above, at C1D1 and C2D1. Percent PD-1+ was calculated relative to a fluorescence-minus-one control tube containing all gating antibodies but no anti-PD-1 antibody.</w:t>
      </w:r>
    </w:p>
    <w:p w14:paraId="3680D13E" w14:textId="77777777" w:rsidR="00F11D10" w:rsidRDefault="00F11D10" w:rsidP="00F11D10"/>
    <w:p w14:paraId="06E8078D" w14:textId="77777777" w:rsidR="00F11D10" w:rsidRDefault="00F11D10" w:rsidP="00F11D10"/>
    <w:p w14:paraId="27033C76" w14:textId="77777777" w:rsidR="009F40EF" w:rsidRDefault="009F40EF">
      <w:pPr>
        <w:rPr>
          <w:rFonts w:ascii="Arial" w:hAnsi="Arial" w:cs="Arial"/>
          <w:b/>
          <w:bCs/>
          <w:sz w:val="18"/>
          <w:szCs w:val="18"/>
        </w:rPr>
      </w:pPr>
    </w:p>
    <w:p w14:paraId="545BA45F" w14:textId="77777777" w:rsidR="00861C18" w:rsidRDefault="00861C18">
      <w:pPr>
        <w:rPr>
          <w:rFonts w:ascii="Arial" w:hAnsi="Arial" w:cs="Arial"/>
          <w:b/>
          <w:bCs/>
          <w:sz w:val="18"/>
          <w:szCs w:val="18"/>
        </w:rPr>
      </w:pPr>
    </w:p>
    <w:p w14:paraId="37F55F1C" w14:textId="77777777" w:rsidR="00861C18" w:rsidRDefault="00861C18">
      <w:pPr>
        <w:rPr>
          <w:rFonts w:ascii="Arial" w:hAnsi="Arial" w:cs="Arial"/>
          <w:b/>
          <w:bCs/>
          <w:sz w:val="18"/>
          <w:szCs w:val="18"/>
        </w:rPr>
      </w:pPr>
    </w:p>
    <w:p w14:paraId="712A283D" w14:textId="77777777" w:rsidR="00861C18" w:rsidRDefault="00861C18">
      <w:pPr>
        <w:rPr>
          <w:rFonts w:ascii="Arial" w:hAnsi="Arial" w:cs="Arial"/>
          <w:b/>
          <w:bCs/>
          <w:sz w:val="18"/>
          <w:szCs w:val="18"/>
        </w:rPr>
      </w:pPr>
    </w:p>
    <w:p w14:paraId="0DAEF712" w14:textId="77777777" w:rsidR="00861C18" w:rsidRDefault="00861C18">
      <w:pPr>
        <w:rPr>
          <w:rFonts w:ascii="Arial" w:hAnsi="Arial" w:cs="Arial"/>
          <w:b/>
          <w:bCs/>
          <w:sz w:val="18"/>
          <w:szCs w:val="18"/>
        </w:rPr>
      </w:pPr>
    </w:p>
    <w:p w14:paraId="6B5F3550" w14:textId="77777777" w:rsidR="00861C18" w:rsidRDefault="00861C18">
      <w:pPr>
        <w:rPr>
          <w:rFonts w:ascii="Arial" w:hAnsi="Arial" w:cs="Arial"/>
          <w:b/>
          <w:bCs/>
          <w:sz w:val="18"/>
          <w:szCs w:val="18"/>
        </w:rPr>
      </w:pPr>
    </w:p>
    <w:p w14:paraId="4B4A0C12" w14:textId="77777777" w:rsidR="00861C18" w:rsidRDefault="00861C18">
      <w:pPr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leGrid"/>
        <w:tblW w:w="8815" w:type="dxa"/>
        <w:tblInd w:w="535" w:type="dxa"/>
        <w:tblLook w:val="04A0" w:firstRow="1" w:lastRow="0" w:firstColumn="1" w:lastColumn="0" w:noHBand="0" w:noVBand="1"/>
      </w:tblPr>
      <w:tblGrid>
        <w:gridCol w:w="653"/>
        <w:gridCol w:w="1566"/>
        <w:gridCol w:w="1588"/>
        <w:gridCol w:w="1615"/>
        <w:gridCol w:w="1414"/>
        <w:gridCol w:w="1979"/>
      </w:tblGrid>
      <w:tr w:rsidR="00861C18" w:rsidRPr="00004C97" w14:paraId="48C5742B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64229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b/>
                <w:bCs/>
                <w:sz w:val="18"/>
                <w:szCs w:val="18"/>
              </w:rPr>
            </w:pPr>
            <w:r w:rsidRPr="00004C97">
              <w:rPr>
                <w:rFonts w:cs="Arial"/>
                <w:b/>
                <w:bCs/>
                <w:sz w:val="18"/>
                <w:szCs w:val="18"/>
              </w:rPr>
              <w:lastRenderedPageBreak/>
              <w:t>Web-link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4EFE5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b/>
                <w:bCs/>
                <w:sz w:val="18"/>
                <w:szCs w:val="18"/>
              </w:rPr>
            </w:pPr>
            <w:r w:rsidRPr="00004C97">
              <w:rPr>
                <w:rFonts w:cs="Arial"/>
                <w:b/>
                <w:bCs/>
                <w:sz w:val="18"/>
                <w:szCs w:val="18"/>
              </w:rPr>
              <w:t>Target Biomarker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3E53A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b/>
                <w:bCs/>
                <w:sz w:val="18"/>
                <w:szCs w:val="18"/>
              </w:rPr>
            </w:pPr>
            <w:r w:rsidRPr="00004C97">
              <w:rPr>
                <w:rFonts w:cs="Arial"/>
                <w:b/>
                <w:bCs/>
                <w:sz w:val="18"/>
                <w:szCs w:val="18"/>
              </w:rPr>
              <w:t>Fluorophore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DD562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b/>
                <w:bCs/>
                <w:sz w:val="18"/>
                <w:szCs w:val="18"/>
              </w:rPr>
            </w:pPr>
            <w:r w:rsidRPr="00004C97">
              <w:rPr>
                <w:rFonts w:cs="Arial"/>
                <w:b/>
                <w:bCs/>
                <w:sz w:val="18"/>
                <w:szCs w:val="18"/>
              </w:rPr>
              <w:t>Clone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FFF58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b/>
                <w:bCs/>
                <w:sz w:val="18"/>
                <w:szCs w:val="18"/>
              </w:rPr>
            </w:pPr>
            <w:r w:rsidRPr="00004C97">
              <w:rPr>
                <w:rFonts w:cs="Arial"/>
                <w:b/>
                <w:bCs/>
                <w:sz w:val="18"/>
                <w:szCs w:val="18"/>
              </w:rPr>
              <w:t>Catalog number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3BEA5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b/>
                <w:bCs/>
                <w:sz w:val="18"/>
                <w:szCs w:val="18"/>
              </w:rPr>
            </w:pPr>
            <w:r w:rsidRPr="00004C97">
              <w:rPr>
                <w:rFonts w:cs="Arial"/>
                <w:b/>
                <w:bCs/>
                <w:sz w:val="18"/>
                <w:szCs w:val="18"/>
              </w:rPr>
              <w:t>Manufacturer</w:t>
            </w:r>
          </w:p>
        </w:tc>
      </w:tr>
      <w:tr w:rsidR="00861C18" w:rsidRPr="00004C97" w14:paraId="07DD6B6B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66040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A74DCB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CD19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6036B8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BV605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1FFFBE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HIB19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A30021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302244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48BF3D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proofErr w:type="spellStart"/>
            <w:r w:rsidRPr="00004C97">
              <w:rPr>
                <w:rFonts w:cs="Arial"/>
                <w:sz w:val="18"/>
                <w:szCs w:val="18"/>
              </w:rPr>
              <w:t>BioLegend</w:t>
            </w:r>
            <w:proofErr w:type="spellEnd"/>
          </w:p>
        </w:tc>
      </w:tr>
      <w:tr w:rsidR="00861C18" w:rsidRPr="00004C97" w14:paraId="118B06B8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E9CB2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7E34AD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 xml:space="preserve">CD3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B7ACC9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PE/Cy7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6C6FFD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SK7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1115FF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344816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85D6B8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proofErr w:type="spellStart"/>
            <w:r w:rsidRPr="00004C97">
              <w:rPr>
                <w:rFonts w:cs="Arial"/>
                <w:sz w:val="18"/>
                <w:szCs w:val="18"/>
              </w:rPr>
              <w:t>BioLegend</w:t>
            </w:r>
            <w:proofErr w:type="spellEnd"/>
          </w:p>
        </w:tc>
      </w:tr>
      <w:tr w:rsidR="00861C18" w:rsidRPr="00004C97" w14:paraId="5DA273AC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D8B53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26B7C2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CD38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6467B1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AF488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EABF74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HIT2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BF89EE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303512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1B1932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proofErr w:type="spellStart"/>
            <w:r w:rsidRPr="00004C97">
              <w:rPr>
                <w:rFonts w:cs="Arial"/>
                <w:sz w:val="18"/>
                <w:szCs w:val="18"/>
              </w:rPr>
              <w:t>BioLegend</w:t>
            </w:r>
            <w:proofErr w:type="spellEnd"/>
          </w:p>
        </w:tc>
      </w:tr>
      <w:tr w:rsidR="00861C18" w:rsidRPr="00004C97" w14:paraId="0193AFC5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C70FD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C77C23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CD4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F24FF1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Alexa Fluor 700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F18287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OKT4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2954CD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317426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A72719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proofErr w:type="spellStart"/>
            <w:r w:rsidRPr="00004C97">
              <w:rPr>
                <w:rFonts w:cs="Arial"/>
                <w:sz w:val="18"/>
                <w:szCs w:val="18"/>
              </w:rPr>
              <w:t>BioLegend</w:t>
            </w:r>
            <w:proofErr w:type="spellEnd"/>
          </w:p>
        </w:tc>
      </w:tr>
      <w:tr w:rsidR="00861C18" w:rsidRPr="00004C97" w14:paraId="39600D77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AC933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955896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CD4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74342A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proofErr w:type="spellStart"/>
            <w:r w:rsidRPr="00004C97">
              <w:rPr>
                <w:rFonts w:cs="Arial"/>
                <w:sz w:val="18"/>
                <w:szCs w:val="18"/>
              </w:rPr>
              <w:t>PerCP</w:t>
            </w:r>
            <w:proofErr w:type="spellEnd"/>
            <w:r w:rsidRPr="00004C97">
              <w:rPr>
                <w:rFonts w:cs="Arial"/>
                <w:sz w:val="18"/>
                <w:szCs w:val="18"/>
              </w:rPr>
              <w:t>/Cy5.5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022441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OKT4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35D6D5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317428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7FA816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proofErr w:type="spellStart"/>
            <w:r w:rsidRPr="00004C97">
              <w:rPr>
                <w:rFonts w:cs="Arial"/>
                <w:sz w:val="18"/>
                <w:szCs w:val="18"/>
              </w:rPr>
              <w:t>BioLegend</w:t>
            </w:r>
            <w:proofErr w:type="spellEnd"/>
          </w:p>
        </w:tc>
      </w:tr>
      <w:tr w:rsidR="00861C18" w:rsidRPr="00004C97" w14:paraId="1A04DC1A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14DEC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471959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CD8a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A4312A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Pacific Blue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FEFD30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HIT8a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43E79D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300928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194F52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proofErr w:type="spellStart"/>
            <w:r w:rsidRPr="00004C97">
              <w:rPr>
                <w:rFonts w:cs="Arial"/>
                <w:sz w:val="18"/>
                <w:szCs w:val="18"/>
              </w:rPr>
              <w:t>BioLegend</w:t>
            </w:r>
            <w:proofErr w:type="spellEnd"/>
          </w:p>
        </w:tc>
      </w:tr>
      <w:tr w:rsidR="00861C18" w:rsidRPr="00004C97" w14:paraId="7B8CA6DE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C86B8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49204E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CD45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69138D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PE/Cy7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1FB913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2D1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0BF839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560178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3E9952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BD Pharmingen</w:t>
            </w:r>
          </w:p>
        </w:tc>
      </w:tr>
      <w:tr w:rsidR="00861C18" w:rsidRPr="00004C97" w14:paraId="4DD82DD1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A88CF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8F5847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CD56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3A3E8F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FITC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7ED893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B159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477D6E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562794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A3D2BB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BD Biosciences</w:t>
            </w:r>
          </w:p>
        </w:tc>
      </w:tr>
      <w:tr w:rsidR="00861C18" w:rsidRPr="00004C97" w14:paraId="667F05DD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29B9D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F8DD6E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 xml:space="preserve">CD56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53A77E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BUV563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4D6125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NCAM16.2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949027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612928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6AD520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BD Horizon</w:t>
            </w:r>
          </w:p>
        </w:tc>
      </w:tr>
      <w:tr w:rsidR="00861C18" w:rsidRPr="00004C97" w14:paraId="675D06C8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0D5F0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EC2C2F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CD62L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67D24D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FITC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FBBBE5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DREG-56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643DEB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304838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A858A2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proofErr w:type="spellStart"/>
            <w:r w:rsidRPr="00004C97">
              <w:rPr>
                <w:rFonts w:cs="Arial"/>
                <w:sz w:val="18"/>
                <w:szCs w:val="18"/>
              </w:rPr>
              <w:t>BioLegend</w:t>
            </w:r>
            <w:proofErr w:type="spellEnd"/>
          </w:p>
        </w:tc>
      </w:tr>
      <w:tr w:rsidR="00861C18" w:rsidRPr="00004C97" w14:paraId="3A51110B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A0EE1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79C0FB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CD62L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ED1EBF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PE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C15CC1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DREG-56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102A02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304806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287D05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proofErr w:type="spellStart"/>
            <w:r w:rsidRPr="00004C97">
              <w:rPr>
                <w:rFonts w:cs="Arial"/>
                <w:sz w:val="18"/>
                <w:szCs w:val="18"/>
              </w:rPr>
              <w:t>BioLegend</w:t>
            </w:r>
            <w:proofErr w:type="spellEnd"/>
          </w:p>
        </w:tc>
      </w:tr>
      <w:tr w:rsidR="00861C18" w:rsidRPr="00004C97" w14:paraId="2A28EE6D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79FDF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8D15C9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CD62L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89AFD0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BUV737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2A98B4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SK11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30F893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749210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BCE84F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 xml:space="preserve">BD </w:t>
            </w:r>
            <w:proofErr w:type="spellStart"/>
            <w:r w:rsidRPr="00004C97">
              <w:rPr>
                <w:rFonts w:cs="Arial"/>
                <w:sz w:val="18"/>
                <w:szCs w:val="18"/>
              </w:rPr>
              <w:t>OptiBuild</w:t>
            </w:r>
            <w:proofErr w:type="spellEnd"/>
          </w:p>
        </w:tc>
      </w:tr>
      <w:tr w:rsidR="00861C18" w:rsidRPr="00004C97" w14:paraId="4AFCA4D8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F8943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13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51BBFD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CX3CR1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A59B12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APC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3AEA4A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2A9-1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3AF02D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341608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1CB947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proofErr w:type="spellStart"/>
            <w:r w:rsidRPr="00004C97">
              <w:rPr>
                <w:rFonts w:cs="Arial"/>
                <w:sz w:val="18"/>
                <w:szCs w:val="18"/>
              </w:rPr>
              <w:t>BioLegend</w:t>
            </w:r>
            <w:proofErr w:type="spellEnd"/>
          </w:p>
        </w:tc>
      </w:tr>
      <w:tr w:rsidR="00861C18" w:rsidRPr="00004C97" w14:paraId="4B8688D8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CDA51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14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604C2F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CD69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57A375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APC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268710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FN50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183632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310910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E3FDA5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proofErr w:type="spellStart"/>
            <w:r w:rsidRPr="00004C97">
              <w:rPr>
                <w:rFonts w:cs="Arial"/>
                <w:sz w:val="18"/>
                <w:szCs w:val="18"/>
              </w:rPr>
              <w:t>BioLegend</w:t>
            </w:r>
            <w:proofErr w:type="spellEnd"/>
          </w:p>
        </w:tc>
      </w:tr>
      <w:tr w:rsidR="00861C18" w:rsidRPr="00004C97" w14:paraId="21DA10AF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CA183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15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0CC64D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TIM3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205C28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proofErr w:type="spellStart"/>
            <w:r w:rsidRPr="00004C97">
              <w:rPr>
                <w:rFonts w:cs="Arial"/>
                <w:sz w:val="18"/>
                <w:szCs w:val="18"/>
              </w:rPr>
              <w:t>PerCP</w:t>
            </w:r>
            <w:proofErr w:type="spellEnd"/>
            <w:r w:rsidRPr="00004C97">
              <w:rPr>
                <w:rFonts w:cs="Arial"/>
                <w:sz w:val="18"/>
                <w:szCs w:val="18"/>
              </w:rPr>
              <w:t>/Cy5.5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7C2F64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F38-2E2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32E665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345016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BD8D14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proofErr w:type="spellStart"/>
            <w:r w:rsidRPr="00004C97">
              <w:rPr>
                <w:rFonts w:cs="Arial"/>
                <w:sz w:val="18"/>
                <w:szCs w:val="18"/>
              </w:rPr>
              <w:t>BioLegend</w:t>
            </w:r>
            <w:proofErr w:type="spellEnd"/>
          </w:p>
        </w:tc>
      </w:tr>
      <w:tr w:rsidR="00861C18" w:rsidRPr="00004C97" w14:paraId="3AC02915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EC9F0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16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55D727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Viability Dye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2BBA46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Ghost Red 710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5F7BA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4D94C8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13-0871-T100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5179F2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proofErr w:type="spellStart"/>
            <w:r w:rsidRPr="00004C97">
              <w:rPr>
                <w:rFonts w:cs="Arial"/>
                <w:sz w:val="18"/>
                <w:szCs w:val="18"/>
              </w:rPr>
              <w:t>Tonbo</w:t>
            </w:r>
            <w:proofErr w:type="spellEnd"/>
            <w:r w:rsidRPr="00004C97">
              <w:rPr>
                <w:rFonts w:cs="Arial"/>
                <w:sz w:val="18"/>
                <w:szCs w:val="18"/>
              </w:rPr>
              <w:t xml:space="preserve"> Biosciences</w:t>
            </w:r>
          </w:p>
        </w:tc>
      </w:tr>
      <w:tr w:rsidR="00861C18" w:rsidRPr="00004C97" w14:paraId="164F517B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4E151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17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74E6B2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proofErr w:type="gramStart"/>
            <w:r w:rsidRPr="00004C97">
              <w:rPr>
                <w:rFonts w:cs="Arial"/>
                <w:sz w:val="18"/>
                <w:szCs w:val="18"/>
              </w:rPr>
              <w:t>PD</w:t>
            </w:r>
            <w:proofErr w:type="gramEnd"/>
            <w:r w:rsidRPr="00004C97">
              <w:rPr>
                <w:rFonts w:cs="Arial"/>
                <w:sz w:val="18"/>
                <w:szCs w:val="18"/>
              </w:rPr>
              <w:t>-1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C327AF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unlabeled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D6496D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Pembrolizumab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CBC72B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A49E08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Merck</w:t>
            </w:r>
          </w:p>
        </w:tc>
      </w:tr>
      <w:tr w:rsidR="00861C18" w:rsidRPr="00004C97" w14:paraId="00D15576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5947A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18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4E0063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Ki-67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719761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BUV395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C92DAA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B56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E9D343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564071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5A7899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BD Horizon</w:t>
            </w:r>
          </w:p>
        </w:tc>
      </w:tr>
      <w:tr w:rsidR="00861C18" w:rsidRPr="00004C97" w14:paraId="072C0D52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8351A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19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AA3138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TOX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2ED947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APC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5271E0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REA473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E78C98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130-118-335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09847B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proofErr w:type="spellStart"/>
            <w:r w:rsidRPr="00004C97">
              <w:rPr>
                <w:rFonts w:cs="Arial"/>
                <w:sz w:val="18"/>
                <w:szCs w:val="18"/>
              </w:rPr>
              <w:t>Miltenyi</w:t>
            </w:r>
            <w:proofErr w:type="spellEnd"/>
          </w:p>
        </w:tc>
      </w:tr>
      <w:tr w:rsidR="00861C18" w:rsidRPr="00004C97" w14:paraId="17AAF0EC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7C3D4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20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F068F9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TCF1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F7BA7A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Alexa Fluor 488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B99FA1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C6309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2DBE00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6444S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DEF007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Cell Signaling</w:t>
            </w:r>
          </w:p>
        </w:tc>
      </w:tr>
      <w:tr w:rsidR="00861C18" w:rsidRPr="00004C97" w14:paraId="5F4383E4" w14:textId="77777777" w:rsidTr="00D238B1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93FF0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21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46A87C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 xml:space="preserve">Anti-human IgG4 (2° for PD-1)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BA9622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PE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1E5E36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HP6025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10F883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r w:rsidRPr="00004C97">
              <w:rPr>
                <w:rFonts w:cs="Arial"/>
                <w:sz w:val="18"/>
                <w:szCs w:val="18"/>
              </w:rPr>
              <w:t>9200-09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1A8A96" w14:textId="77777777" w:rsidR="00861C18" w:rsidRPr="00004C97" w:rsidRDefault="00861C18" w:rsidP="00D238B1">
            <w:pPr>
              <w:spacing w:after="160" w:line="278" w:lineRule="auto"/>
              <w:rPr>
                <w:rFonts w:cs="Arial"/>
                <w:sz w:val="18"/>
                <w:szCs w:val="18"/>
              </w:rPr>
            </w:pPr>
            <w:proofErr w:type="spellStart"/>
            <w:r w:rsidRPr="00004C97">
              <w:rPr>
                <w:rFonts w:cs="Arial"/>
                <w:sz w:val="18"/>
                <w:szCs w:val="18"/>
              </w:rPr>
              <w:t>SouthernBiotech</w:t>
            </w:r>
            <w:proofErr w:type="spellEnd"/>
          </w:p>
        </w:tc>
      </w:tr>
    </w:tbl>
    <w:p w14:paraId="3C27B525" w14:textId="77777777" w:rsidR="00861C18" w:rsidRPr="00004C97" w:rsidRDefault="00861C18" w:rsidP="00861C18">
      <w:pPr>
        <w:rPr>
          <w:rFonts w:ascii="Arial" w:hAnsi="Arial" w:cs="Arial"/>
          <w:sz w:val="18"/>
          <w:szCs w:val="18"/>
        </w:rPr>
      </w:pPr>
    </w:p>
    <w:p w14:paraId="5A5D14D2" w14:textId="77777777" w:rsidR="00861C18" w:rsidRPr="00004C97" w:rsidRDefault="00861C18" w:rsidP="00861C18">
      <w:pPr>
        <w:rPr>
          <w:rFonts w:ascii="Arial" w:hAnsi="Arial" w:cs="Arial"/>
          <w:b/>
          <w:bCs/>
          <w:sz w:val="18"/>
          <w:szCs w:val="18"/>
        </w:rPr>
      </w:pPr>
      <w:r w:rsidRPr="00004C97">
        <w:rPr>
          <w:rFonts w:ascii="Arial" w:hAnsi="Arial" w:cs="Arial"/>
          <w:b/>
          <w:bCs/>
          <w:sz w:val="18"/>
          <w:szCs w:val="18"/>
        </w:rPr>
        <w:t>Supplementary Table S1 – Staining reagents for flow cytometry correlative studies</w:t>
      </w:r>
    </w:p>
    <w:p w14:paraId="3FF4A7F6" w14:textId="77777777" w:rsidR="00861C18" w:rsidRPr="00004C97" w:rsidRDefault="00861C18" w:rsidP="00861C18">
      <w:pPr>
        <w:rPr>
          <w:rFonts w:ascii="Arial" w:hAnsi="Arial" w:cs="Arial"/>
          <w:b/>
          <w:bCs/>
          <w:sz w:val="18"/>
          <w:szCs w:val="18"/>
        </w:rPr>
      </w:pPr>
    </w:p>
    <w:p w14:paraId="27DC62E2" w14:textId="77777777" w:rsidR="00861C18" w:rsidRPr="00004C97" w:rsidRDefault="00861C18" w:rsidP="00861C18">
      <w:pPr>
        <w:rPr>
          <w:rFonts w:ascii="Arial" w:hAnsi="Arial" w:cs="Arial"/>
          <w:b/>
          <w:bCs/>
          <w:sz w:val="18"/>
          <w:szCs w:val="18"/>
        </w:rPr>
      </w:pPr>
      <w:r w:rsidRPr="00004C97">
        <w:rPr>
          <w:rFonts w:ascii="Arial" w:hAnsi="Arial" w:cs="Arial"/>
          <w:b/>
          <w:bCs/>
          <w:sz w:val="18"/>
          <w:szCs w:val="18"/>
        </w:rPr>
        <w:t>Manufacturer’s weblinks for validation of flow cytometry antibodies used in this study</w:t>
      </w:r>
    </w:p>
    <w:p w14:paraId="4CCA3BC3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11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https://www.biolegend.com/en-us/products/brilliant-violet-605-anti-human-cd19-antibody-8483</w:t>
        </w:r>
      </w:hyperlink>
    </w:p>
    <w:p w14:paraId="05638282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12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https://www.biolegend.com/en-us/products/pe-cyanine7-anti-human-cd3-antibody-6934</w:t>
        </w:r>
      </w:hyperlink>
    </w:p>
    <w:p w14:paraId="55926076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13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https://www.biolegend.com/en-us/products/alexa-fluor-488-anti-human-cd38-antibody-3263</w:t>
        </w:r>
      </w:hyperlink>
    </w:p>
    <w:p w14:paraId="6B8B6149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14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https://www.biolegend.com/en-us/products/alexa-fluor-700-anti-human-cd4-antibody-3661</w:t>
        </w:r>
      </w:hyperlink>
    </w:p>
    <w:p w14:paraId="5D20263A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15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https://www.biolegend.com/en-us/products/percp-cyanine5-5-anti-human-cd4-antibody-5011</w:t>
        </w:r>
      </w:hyperlink>
    </w:p>
    <w:p w14:paraId="356770E3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16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https://www.biolegend.com/en-us/products/pacific-blue-anti-human-cd8a-antibody-6659</w:t>
        </w:r>
      </w:hyperlink>
    </w:p>
    <w:p w14:paraId="5C628AEE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17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https://www.bdbiosciences.com/en-us/products/reagents/flow-cytometry-reagents/research-reagents/single-color-antibodies-ruo/apc-h7-mouse-anti-human-cd45.560178?tab=product_details</w:t>
        </w:r>
      </w:hyperlink>
    </w:p>
    <w:p w14:paraId="4B78BDD4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18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https://www.bdbiosciences.com/en-us/products/reagents/flow-cytometry-reagents/research-reagents/single-color-antibodies-ruo/fitc-mouse-anti-human-cd56-ncam-1.562794?tab=product_details</w:t>
        </w:r>
      </w:hyperlink>
    </w:p>
    <w:p w14:paraId="72174109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19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https://www.bdbiosciences.com/en-us/products/reagents/flow-cytometry-reagents/research-reagents/single-color-antibodies-ruo/buv563-mouse-anti-human-cd56.612928?tab=product_details</w:t>
        </w:r>
      </w:hyperlink>
    </w:p>
    <w:p w14:paraId="0126DA01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20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https://www.biolegend.com/en-us/products/fitc-anti-human-cd62l-antibody-651</w:t>
        </w:r>
      </w:hyperlink>
    </w:p>
    <w:p w14:paraId="4A8602D9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21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https://www.biolegend.com/en-us/products/pe-anti-human-cd62l-antibody-653</w:t>
        </w:r>
      </w:hyperlink>
    </w:p>
    <w:p w14:paraId="1228184D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22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https://www.bdbiosciences.com/en-us/products/reagents/flow-cytometry-reagents/research-reagents/single-color-antibodies-ruo/buv737-mouse-anti-human-cd62l.749210?tab=product_details</w:t>
        </w:r>
      </w:hyperlink>
    </w:p>
    <w:p w14:paraId="2738FC45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23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https://www.biolegend.com/en-us/products/alexa-fluor-647-anti-human-cx3cr1-antibody-5941</w:t>
        </w:r>
      </w:hyperlink>
    </w:p>
    <w:p w14:paraId="5032A2AE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24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https://www.biolegend.com/en-us/products/apc-anti-human-cd69-antibody-1674</w:t>
        </w:r>
      </w:hyperlink>
    </w:p>
    <w:p w14:paraId="4197CF38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25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https://www.biolegend.com/en-us/products/percp-cyanine5-5-anti-human-cd366-tim-3-antibody-8438</w:t>
        </w:r>
      </w:hyperlink>
    </w:p>
    <w:p w14:paraId="77F5614B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26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https://cytekbio.com/products/ghost-dye-red-710?variant=40581221318692</w:t>
        </w:r>
      </w:hyperlink>
    </w:p>
    <w:p w14:paraId="1BA2852A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004C97">
        <w:rPr>
          <w:rFonts w:ascii="Arial" w:hAnsi="Arial" w:cs="Arial"/>
          <w:sz w:val="18"/>
          <w:szCs w:val="18"/>
        </w:rPr>
        <w:t>PD-1.  Unlabeled.  Pembrolizumab.    Merck</w:t>
      </w:r>
    </w:p>
    <w:p w14:paraId="44DB6D1B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27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https://www.bdbiosciences.com/en-us/products/reagents/flow-cytometry-reagents/research-reagents/single-color-antibodies-ruo/buv395-mouse-anti-ki-67.564071?tab=product_details</w:t>
        </w:r>
      </w:hyperlink>
    </w:p>
    <w:p w14:paraId="30F57E46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28" w:anchor="conjugate=apc:size=100-tests-in-200-ul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https://www.miltenyibiotec.com/US-en/products/tox-antibody-anti-human-mouse-reafinity-rea473.html#conjugate=apc:size=100-tests-in-200-ul</w:t>
        </w:r>
      </w:hyperlink>
    </w:p>
    <w:p w14:paraId="54FA189F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29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https://www.cellsignal.com/products/antibody-conjugates/tcf1-tcf7-c63d9-rabbit-monoclonal-antibody-alexa-fluor-488-conjugate/6444</w:t>
        </w:r>
      </w:hyperlink>
    </w:p>
    <w:p w14:paraId="198F79C2" w14:textId="77777777" w:rsidR="00861C18" w:rsidRPr="00004C97" w:rsidRDefault="00861C18" w:rsidP="00861C18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hyperlink r:id="rId30" w:history="1">
        <w:r w:rsidRPr="00004C97">
          <w:rPr>
            <w:rStyle w:val="Hyperlink"/>
            <w:rFonts w:ascii="Arial" w:hAnsi="Arial" w:cs="Arial"/>
            <w:sz w:val="18"/>
            <w:szCs w:val="18"/>
          </w:rPr>
          <w:t>https://www.southernbiotech.com/mouse-anti-human-igg4-fc-pe-hp6025-9200-09</w:t>
        </w:r>
      </w:hyperlink>
    </w:p>
    <w:p w14:paraId="303ED3D4" w14:textId="77777777" w:rsidR="00861C18" w:rsidRPr="0012424D" w:rsidRDefault="00861C18" w:rsidP="00861C18">
      <w:pPr>
        <w:rPr>
          <w:rFonts w:ascii="Arial" w:hAnsi="Arial" w:cs="Arial"/>
          <w:b/>
          <w:bCs/>
          <w:sz w:val="18"/>
          <w:szCs w:val="18"/>
        </w:rPr>
      </w:pPr>
    </w:p>
    <w:tbl>
      <w:tblPr>
        <w:tblW w:w="10240" w:type="dxa"/>
        <w:tblLook w:val="04A0" w:firstRow="1" w:lastRow="0" w:firstColumn="1" w:lastColumn="0" w:noHBand="0" w:noVBand="1"/>
      </w:tblPr>
      <w:tblGrid>
        <w:gridCol w:w="5625"/>
        <w:gridCol w:w="1719"/>
        <w:gridCol w:w="1448"/>
        <w:gridCol w:w="1448"/>
      </w:tblGrid>
      <w:tr w:rsidR="00861C18" w:rsidRPr="006E010A" w14:paraId="148593CA" w14:textId="77777777" w:rsidTr="00D238B1">
        <w:trPr>
          <w:trHeight w:val="500"/>
        </w:trPr>
        <w:tc>
          <w:tcPr>
            <w:tcW w:w="102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14960" w14:textId="77777777" w:rsidR="00861C18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3864"/>
                <w:kern w:val="0"/>
                <w:sz w:val="26"/>
                <w:szCs w:val="26"/>
                <w14:ligatures w14:val="none"/>
              </w:rPr>
            </w:pPr>
          </w:p>
          <w:p w14:paraId="4A78CE27" w14:textId="77777777" w:rsidR="00861C18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3864"/>
                <w:kern w:val="0"/>
                <w:sz w:val="26"/>
                <w:szCs w:val="26"/>
                <w14:ligatures w14:val="none"/>
              </w:rPr>
            </w:pPr>
          </w:p>
          <w:p w14:paraId="178985C3" w14:textId="77777777" w:rsidR="00861C18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3864"/>
                <w:kern w:val="0"/>
                <w:sz w:val="26"/>
                <w:szCs w:val="26"/>
                <w14:ligatures w14:val="none"/>
              </w:rPr>
            </w:pPr>
          </w:p>
          <w:p w14:paraId="11DD4A48" w14:textId="77777777" w:rsidR="00861C18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3864"/>
                <w:kern w:val="0"/>
                <w:sz w:val="26"/>
                <w:szCs w:val="26"/>
                <w14:ligatures w14:val="none"/>
              </w:rPr>
            </w:pPr>
          </w:p>
          <w:p w14:paraId="717767B9" w14:textId="77777777" w:rsidR="00861C18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3864"/>
                <w:kern w:val="0"/>
                <w:sz w:val="26"/>
                <w:szCs w:val="26"/>
                <w14:ligatures w14:val="none"/>
              </w:rPr>
            </w:pPr>
          </w:p>
          <w:p w14:paraId="0CD30D8F" w14:textId="77777777" w:rsidR="00861C18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3864"/>
                <w:kern w:val="0"/>
                <w:sz w:val="26"/>
                <w:szCs w:val="26"/>
                <w14:ligatures w14:val="none"/>
              </w:rPr>
            </w:pPr>
          </w:p>
          <w:p w14:paraId="17BBE96A" w14:textId="77777777" w:rsidR="00861C18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3864"/>
                <w:kern w:val="0"/>
                <w:sz w:val="26"/>
                <w:szCs w:val="26"/>
                <w14:ligatures w14:val="none"/>
              </w:rPr>
            </w:pPr>
          </w:p>
          <w:p w14:paraId="1EF63F68" w14:textId="77777777" w:rsidR="00861C18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3864"/>
                <w:kern w:val="0"/>
                <w:sz w:val="26"/>
                <w:szCs w:val="26"/>
                <w14:ligatures w14:val="none"/>
              </w:rPr>
            </w:pPr>
          </w:p>
          <w:p w14:paraId="67EB3F96" w14:textId="77777777" w:rsidR="00861C18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3864"/>
                <w:kern w:val="0"/>
                <w:sz w:val="26"/>
                <w:szCs w:val="26"/>
                <w14:ligatures w14:val="none"/>
              </w:rPr>
            </w:pPr>
          </w:p>
          <w:p w14:paraId="46F35048" w14:textId="77777777" w:rsidR="00861C18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3864"/>
                <w:kern w:val="0"/>
                <w:sz w:val="26"/>
                <w:szCs w:val="26"/>
                <w14:ligatures w14:val="none"/>
              </w:rPr>
            </w:pPr>
          </w:p>
          <w:p w14:paraId="7F5BBE7B" w14:textId="77777777" w:rsidR="00861C18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3864"/>
                <w:kern w:val="0"/>
                <w:sz w:val="26"/>
                <w:szCs w:val="26"/>
                <w14:ligatures w14:val="none"/>
              </w:rPr>
            </w:pPr>
          </w:p>
          <w:p w14:paraId="7DA77D33" w14:textId="77777777" w:rsidR="00861C18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3864"/>
                <w:kern w:val="0"/>
                <w:sz w:val="26"/>
                <w:szCs w:val="26"/>
                <w14:ligatures w14:val="none"/>
              </w:rPr>
            </w:pPr>
          </w:p>
          <w:p w14:paraId="1D7B0BEF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3864"/>
                <w:kern w:val="0"/>
                <w:sz w:val="26"/>
                <w:szCs w:val="26"/>
                <w14:ligatures w14:val="none"/>
              </w:rPr>
            </w:pPr>
          </w:p>
        </w:tc>
      </w:tr>
      <w:tr w:rsidR="00861C18" w:rsidRPr="006E010A" w14:paraId="6C9A8EB4" w14:textId="77777777" w:rsidTr="00D238B1">
        <w:trPr>
          <w:trHeight w:val="400"/>
        </w:trPr>
        <w:tc>
          <w:tcPr>
            <w:tcW w:w="5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1F3864" w:fill="1F3864"/>
            <w:noWrap/>
            <w:vAlign w:val="center"/>
            <w:hideMark/>
          </w:tcPr>
          <w:p w14:paraId="63835631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lastRenderedPageBreak/>
              <w:t>Toxicity Type</w:t>
            </w:r>
          </w:p>
        </w:tc>
        <w:tc>
          <w:tcPr>
            <w:tcW w:w="1719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  <w:shd w:val="clear" w:color="1F3864" w:fill="1F3864"/>
            <w:noWrap/>
            <w:vAlign w:val="center"/>
            <w:hideMark/>
          </w:tcPr>
          <w:p w14:paraId="408E7D47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Grade 3</w:t>
            </w:r>
          </w:p>
        </w:tc>
        <w:tc>
          <w:tcPr>
            <w:tcW w:w="1448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  <w:shd w:val="clear" w:color="1F3864" w:fill="1F3864"/>
            <w:noWrap/>
            <w:vAlign w:val="center"/>
            <w:hideMark/>
          </w:tcPr>
          <w:p w14:paraId="3568E0B7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Grade 4</w:t>
            </w:r>
          </w:p>
        </w:tc>
        <w:tc>
          <w:tcPr>
            <w:tcW w:w="1448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  <w:shd w:val="clear" w:color="1F3864" w:fill="1F3864"/>
            <w:noWrap/>
            <w:vAlign w:val="center"/>
            <w:hideMark/>
          </w:tcPr>
          <w:p w14:paraId="138190BE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Grade 5</w:t>
            </w:r>
          </w:p>
        </w:tc>
      </w:tr>
      <w:tr w:rsidR="00861C18" w:rsidRPr="006E010A" w14:paraId="3954F125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FFFFFF" w:fill="FFFFFF"/>
            <w:vAlign w:val="center"/>
            <w:hideMark/>
          </w:tcPr>
          <w:p w14:paraId="00618CC0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Thrombocytopenia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396150E1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6 (7.5%)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6568AB3E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5 (6.2%)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7B7E5A23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231A0A06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0AB3D8CF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Mucositis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309131CD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8 (10.0%)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4D304C94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50F6B211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4702D031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FFFFFF" w:fill="FFFFFF"/>
            <w:vAlign w:val="center"/>
            <w:hideMark/>
          </w:tcPr>
          <w:p w14:paraId="38FF4579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Leukopenia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3418FCC3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6 (7.5%)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3DA59B75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2 (2.5%)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1549B072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1DDEB7EF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51F9CC47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Anemia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771EAFE2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7 (8.8%)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6F4E671C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2DD6A0AC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387DB053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FFFFFF" w:fill="FFFFFF"/>
            <w:vAlign w:val="center"/>
            <w:hideMark/>
          </w:tcPr>
          <w:p w14:paraId="04431050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Acute kidney injury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1BD5814A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6</w:t>
            </w: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 (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7</w:t>
            </w: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6</w:t>
            </w: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68CDBE82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38127E22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6D600530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</w:tcPr>
          <w:p w14:paraId="48E22F0D" w14:textId="77777777" w:rsidR="00861C18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Hyponatremia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</w:tcPr>
          <w:p w14:paraId="2833E9D4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3 (3.8%)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</w:tcPr>
          <w:p w14:paraId="6A9E3744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</w:tcPr>
          <w:p w14:paraId="52BB0FF5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2E189809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vAlign w:val="center"/>
          </w:tcPr>
          <w:p w14:paraId="17B404D1" w14:textId="77777777" w:rsidR="00861C18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Febrile neutropenia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noWrap/>
            <w:vAlign w:val="center"/>
          </w:tcPr>
          <w:p w14:paraId="70297B7F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3 (3.8%)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noWrap/>
            <w:vAlign w:val="center"/>
          </w:tcPr>
          <w:p w14:paraId="0273B279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noWrap/>
            <w:vAlign w:val="center"/>
          </w:tcPr>
          <w:p w14:paraId="2B927ED6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394ABB58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</w:tcPr>
          <w:p w14:paraId="008D55E8" w14:textId="77777777" w:rsidR="00861C18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Pyelonephritis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</w:tcPr>
          <w:p w14:paraId="49256771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3</w:t>
            </w: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 (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3.8</w:t>
            </w: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</w:tcPr>
          <w:p w14:paraId="3AFE42CD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</w:tcPr>
          <w:p w14:paraId="4755953A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04D9669C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030200AE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Pancytopenia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7EE0C14A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2 (2.5%)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0F6428ED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1082CC04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</w:tr>
      <w:tr w:rsidR="00861C18" w:rsidRPr="006E010A" w14:paraId="7F12C73D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FFFFFF" w:fill="FFFFFF"/>
            <w:vAlign w:val="center"/>
          </w:tcPr>
          <w:p w14:paraId="23422825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Aspartate aminotransferase increased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</w:tcPr>
          <w:p w14:paraId="3C0AD322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2 (2.5%)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</w:tcPr>
          <w:p w14:paraId="065281F7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</w:tcPr>
          <w:p w14:paraId="2650A691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6F1A17AB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0E7262B4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Dehydration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55414A76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2 (2.5%)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44D27E1D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5A3CF1EE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39C90C8A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FFFFFF" w:fill="FFFFFF"/>
            <w:vAlign w:val="center"/>
            <w:hideMark/>
          </w:tcPr>
          <w:p w14:paraId="570ADDA7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Fatigue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56E6241C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2 (2.5%)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56043B35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7B6055D0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766EC184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70F2ED43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Blood bilirubin increased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32850918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34BAAAF9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783DD058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420A09A0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FFFFFF" w:fill="FFFFFF"/>
            <w:vAlign w:val="center"/>
            <w:hideMark/>
          </w:tcPr>
          <w:p w14:paraId="1202E768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Hypoxia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14743D67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4A6449DF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0472C55C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1C71B537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1620299A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Neutrophil count decreased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6AE8B0B1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7BCF5588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2 (2.5%)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5C113D83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319081E2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FFFFFF" w:fill="FFFFFF"/>
            <w:vAlign w:val="center"/>
            <w:hideMark/>
          </w:tcPr>
          <w:p w14:paraId="5141C4AA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Urinary tract infection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632284BF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2 (2.5%)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3E4B8F2B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73C04128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03D3B612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0FD399BD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Syncope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43BDAAF2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2 (2.5%)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5E53E419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53627949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3231AEAB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FFFFFF" w:fill="FFFFFF"/>
            <w:vAlign w:val="center"/>
            <w:hideMark/>
          </w:tcPr>
          <w:p w14:paraId="6BFC8E21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Diarrhea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52E56DAA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2 (2.5%)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46ACFF54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75CC1AEB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2492831A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3706B55B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Fall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176838BB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2 (2.5%)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14551B27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1FFF6A02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68BFD218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23BC5503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Generalized muscle weakness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0B162265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2 (2.5%)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6B32290C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7E5D9F93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0EA43463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21EBE120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Dysphagia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71284C82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320C06CC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126D856C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68A5D6A7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FFFFFF" w:fill="FFFFFF"/>
            <w:vAlign w:val="center"/>
            <w:hideMark/>
          </w:tcPr>
          <w:p w14:paraId="4C7A7DA0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Dizziness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12323DCB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2C793FFB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4298529B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69F0638A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3D28B669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Alanine aminotransferase increased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5DEAA9A4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0E7AEE12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1D0BD4D3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7B0D95AE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FFFFFF" w:fill="FFFFFF"/>
            <w:vAlign w:val="center"/>
            <w:hideMark/>
          </w:tcPr>
          <w:p w14:paraId="46278A83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Enterocolitis 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75F99436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02B7C68B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5F487DC3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036E33E9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53341E02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Hypocalcemia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11701EDA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155C48CC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1061650C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16110A4A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FFFFFF" w:fill="FFFFFF"/>
            <w:vAlign w:val="center"/>
            <w:hideMark/>
          </w:tcPr>
          <w:p w14:paraId="35CA2E1D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Hyperglycemia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2857D86B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4D163818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6872C589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1D79B5DD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26C4737B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Fever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598EEACE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5AD2D8B8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65D0FCA8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73E2BEC2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FFFFFF" w:fill="FFFFFF"/>
            <w:vAlign w:val="center"/>
            <w:hideMark/>
          </w:tcPr>
          <w:p w14:paraId="6142AA49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Insomnia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558BABE7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6A4EA0A5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6575D113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79FD932B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5CBD1827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Hypokalemia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5D547DC9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0D6A7E43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497A7594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15642A55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FFFFFF" w:fill="FFFFFF"/>
            <w:vAlign w:val="center"/>
            <w:hideMark/>
          </w:tcPr>
          <w:p w14:paraId="1003C1C0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Hypomagnesemia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7B2C903A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77A60B16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38043B4F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6588224A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3EB8B02F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Hypothyroidism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4E4BC27B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4B70C67E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407BB97F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19764953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FFFFFF" w:fill="FFFFFF"/>
            <w:vAlign w:val="center"/>
            <w:hideMark/>
          </w:tcPr>
          <w:p w14:paraId="329852F7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Hyperkalemia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18B39EA8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3DDA4D1A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7ACCAF84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2FA13C8B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69E7BE0E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Hyperlipidemia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7A73152B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2C001D04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1B65E8D0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0BA9736B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FFFFFF" w:fill="FFFFFF"/>
            <w:vAlign w:val="center"/>
            <w:hideMark/>
          </w:tcPr>
          <w:p w14:paraId="579C7730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lastRenderedPageBreak/>
              <w:t>Hypoalbuminemia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28954C59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029EB8FE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1E2BA6C4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73BAAEC3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7EBD7B8D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Multi-organ failure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4639CC74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32655E46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75DE7EFD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</w:tr>
      <w:tr w:rsidR="00861C18" w:rsidRPr="006E010A" w14:paraId="1DF8BF1C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5BCF5C9C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Nausea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3D20AA8F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293BFA48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7CFD56D2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3A04006A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FFFFFF" w:fill="FFFFFF"/>
            <w:vAlign w:val="center"/>
            <w:hideMark/>
          </w:tcPr>
          <w:p w14:paraId="6AC862B8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Lung infection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24802CF9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644A174F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096D1D26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2397AD19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4690B288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Portal vein thrombosis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381DE4F2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6DE4F413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037466C8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2D1EC4C3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FFFFFF" w:fill="FFFFFF"/>
            <w:vAlign w:val="center"/>
            <w:hideMark/>
          </w:tcPr>
          <w:p w14:paraId="0CD85288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Sepsis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61E2D298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55B5EAFB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3F049040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28D669B7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FFFFFF" w:fill="FFFFFF"/>
            <w:vAlign w:val="center"/>
            <w:hideMark/>
          </w:tcPr>
          <w:p w14:paraId="106F3AB2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Urinary retention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162B6794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1A3152FD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FFFFFF" w:fill="FFFFFF"/>
            <w:noWrap/>
            <w:vAlign w:val="center"/>
            <w:hideMark/>
          </w:tcPr>
          <w:p w14:paraId="71496C8E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861C18" w:rsidRPr="006E010A" w14:paraId="2DA632F1" w14:textId="77777777" w:rsidTr="00D238B1">
        <w:trPr>
          <w:trHeight w:val="360"/>
        </w:trPr>
        <w:tc>
          <w:tcPr>
            <w:tcW w:w="5625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EEF2F7" w:fill="EEF2F7"/>
            <w:vAlign w:val="center"/>
            <w:hideMark/>
          </w:tcPr>
          <w:p w14:paraId="44A25B23" w14:textId="77777777" w:rsidR="00861C18" w:rsidRPr="006E010A" w:rsidRDefault="00861C18" w:rsidP="00D238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Thromboembolic event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238F1666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 (1.2%)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435B01E0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EEF2F7" w:fill="EEF2F7"/>
            <w:noWrap/>
            <w:vAlign w:val="center"/>
            <w:hideMark/>
          </w:tcPr>
          <w:p w14:paraId="1563B868" w14:textId="77777777" w:rsidR="00861C18" w:rsidRPr="006E010A" w:rsidRDefault="00861C18" w:rsidP="00D238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E010A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</w:tbl>
    <w:p w14:paraId="5BFD1420" w14:textId="77777777" w:rsidR="00861C18" w:rsidRPr="00AD0BD4" w:rsidRDefault="00861C18" w:rsidP="00861C18">
      <w:pPr>
        <w:spacing w:line="360" w:lineRule="auto"/>
      </w:pPr>
      <w:r w:rsidRPr="00AD0BD4">
        <w:rPr>
          <w:vertAlign w:val="superscript"/>
        </w:rPr>
        <w:t>*</w:t>
      </w:r>
      <w:r w:rsidRPr="00AD0BD4">
        <w:t xml:space="preserve"> All patients treated with at least one dose of AMVAC</w:t>
      </w:r>
      <w:r>
        <w:t xml:space="preserve"> and nivolumab</w:t>
      </w:r>
    </w:p>
    <w:p w14:paraId="16FA01E5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  <w:r w:rsidRPr="0012424D">
        <w:rPr>
          <w:rFonts w:ascii="Arial" w:hAnsi="Arial" w:cs="Arial"/>
          <w:b/>
          <w:bCs/>
          <w:sz w:val="18"/>
          <w:szCs w:val="18"/>
        </w:rPr>
        <w:t xml:space="preserve">Supplementary Table 2: RETAIN-2 grade 3 to 5 Treatment-related Adverse Events of all treated patients </w:t>
      </w:r>
      <w:r w:rsidRPr="0012424D">
        <w:rPr>
          <w:rFonts w:ascii="Arial" w:hAnsi="Arial" w:cs="Arial"/>
          <w:sz w:val="18"/>
          <w:szCs w:val="18"/>
        </w:rPr>
        <w:t xml:space="preserve">(including those unevaluable for the primary </w:t>
      </w:r>
      <w:proofErr w:type="gramStart"/>
      <w:r w:rsidRPr="0012424D">
        <w:rPr>
          <w:rFonts w:ascii="Arial" w:hAnsi="Arial" w:cs="Arial"/>
          <w:sz w:val="18"/>
          <w:szCs w:val="18"/>
        </w:rPr>
        <w:t>endpoint)</w:t>
      </w:r>
      <w:r w:rsidRPr="0012424D">
        <w:rPr>
          <w:rFonts w:ascii="Arial" w:hAnsi="Arial" w:cs="Arial"/>
          <w:sz w:val="18"/>
          <w:szCs w:val="18"/>
          <w:vertAlign w:val="superscript"/>
        </w:rPr>
        <w:t>*</w:t>
      </w:r>
      <w:proofErr w:type="gramEnd"/>
    </w:p>
    <w:p w14:paraId="102761BF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51DD8EAA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3BB6E507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727D0C24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4247AFAC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532B3738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3BF2421A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57DEA25B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13075EC5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1CCB59A6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403B03FB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33148362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35012037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073DC11D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672634EC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3FC93533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250ABBD9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27D530E7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38C1C2D1" w14:textId="77777777" w:rsidR="00861C18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7C5BAEE7" w14:textId="77777777" w:rsidR="00861C18" w:rsidRPr="0012424D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</w:rPr>
      </w:pPr>
    </w:p>
    <w:sdt>
      <w:sdtPr>
        <w:rPr>
          <w:rFonts w:asciiTheme="minorHAnsi" w:eastAsiaTheme="minorHAnsi" w:hAnsiTheme="minorHAnsi" w:cstheme="minorBidi"/>
          <w:kern w:val="2"/>
          <w:lang w:val="en-US"/>
          <w14:ligatures w14:val="standardContextual"/>
        </w:rPr>
        <w:tag w:val="goog_rdk_168"/>
        <w:id w:val="1464991628"/>
        <w:lock w:val="contentLocked"/>
      </w:sdtPr>
      <w:sdtContent>
        <w:tbl>
          <w:tblPr>
            <w:tblStyle w:val="1"/>
            <w:tblW w:w="936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872"/>
            <w:gridCol w:w="1872"/>
            <w:gridCol w:w="1872"/>
            <w:gridCol w:w="1872"/>
            <w:gridCol w:w="1872"/>
          </w:tblGrid>
          <w:tr w:rsidR="00861C18" w14:paraId="31F5DE6D" w14:textId="77777777" w:rsidTr="00D238B1">
            <w:trPr>
              <w:trHeight w:val="360"/>
            </w:trPr>
            <w:tc>
              <w:tcPr>
                <w:tcW w:w="9360" w:type="dxa"/>
                <w:gridSpan w:val="5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6451D218" w14:textId="77777777" w:rsidR="00861C18" w:rsidRDefault="00861C18" w:rsidP="00D238B1">
                <w:pPr>
                  <w:widowControl w:val="0"/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MFS</w:t>
                </w:r>
              </w:p>
            </w:tc>
          </w:tr>
          <w:tr w:rsidR="00861C18" w14:paraId="70F4E806" w14:textId="77777777" w:rsidTr="00D238B1"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4062D12B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Covariate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29FF22BC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HR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3BE43E0B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HR lower 95% CI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3E2D0B3B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HR upper 95% CI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6114AB1A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p</w:t>
                </w:r>
              </w:p>
            </w:tc>
          </w:tr>
          <w:tr w:rsidR="00861C18" w14:paraId="541AF1A8" w14:textId="77777777" w:rsidTr="00D238B1"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7E761760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Post-NAT ctDNA status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136BBEFB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4.02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278A5576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1.66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00FD6524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9.63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141DBE51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0.00257</w:t>
                </w:r>
              </w:p>
            </w:tc>
          </w:tr>
          <w:tr w:rsidR="00861C18" w14:paraId="2806BF7D" w14:textId="77777777" w:rsidTr="00D238B1"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28B5A345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Baseline ctDNA status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5B455925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8.54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0E79BA6F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2.83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6EF1ED91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33.75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5233CB30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0.0000635</w:t>
                </w:r>
              </w:p>
            </w:tc>
          </w:tr>
          <w:tr w:rsidR="00861C18" w14:paraId="080D62F1" w14:textId="77777777" w:rsidTr="00D238B1"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25ECEA17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Post-NAT non-cCR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0CDD395E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2.02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1DEE89CA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0.87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6328DE87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4.89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31EDBA35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0.0997</w:t>
                </w:r>
              </w:p>
            </w:tc>
          </w:tr>
          <w:tr w:rsidR="00861C18" w14:paraId="0C69A031" w14:textId="77777777" w:rsidTr="00D238B1">
            <w:trPr>
              <w:trHeight w:val="340"/>
            </w:trPr>
            <w:tc>
              <w:tcPr>
                <w:tcW w:w="9360" w:type="dxa"/>
                <w:gridSpan w:val="5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0499694F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861C18" w14:paraId="07B39614" w14:textId="77777777" w:rsidTr="00D238B1">
            <w:trPr>
              <w:trHeight w:val="340"/>
            </w:trPr>
            <w:tc>
              <w:tcPr>
                <w:tcW w:w="9360" w:type="dxa"/>
                <w:gridSpan w:val="5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4B333CE2" w14:textId="77777777" w:rsidR="00861C18" w:rsidRDefault="00861C18" w:rsidP="00D238B1">
                <w:pPr>
                  <w:widowControl w:val="0"/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OS</w:t>
                </w:r>
              </w:p>
            </w:tc>
          </w:tr>
          <w:tr w:rsidR="00861C18" w14:paraId="39616029" w14:textId="77777777" w:rsidTr="00D238B1"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0F9126EE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Covariate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4E8F2BA3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HR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6589E860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HR lower 95% CI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76A494BF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HR upper 95% CI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22EB567B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p</w:t>
                </w:r>
              </w:p>
            </w:tc>
          </w:tr>
          <w:tr w:rsidR="00861C18" w14:paraId="05C3BC41" w14:textId="77777777" w:rsidTr="00D238B1"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67B2D690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Post-NAT ctDNA status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52DE5210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2.01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35FF2467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0.74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18244F2C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5.44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43FE16F6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0.169</w:t>
                </w:r>
              </w:p>
            </w:tc>
          </w:tr>
          <w:tr w:rsidR="00861C18" w14:paraId="515258F1" w14:textId="77777777" w:rsidTr="00D238B1"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4119B7C5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Baseline ctDNA status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12ABD636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8.92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6545A0B2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2.43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3B32A6A7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32.77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21303447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0.000981</w:t>
                </w:r>
              </w:p>
            </w:tc>
          </w:tr>
          <w:tr w:rsidR="00861C18" w14:paraId="17F51F27" w14:textId="77777777" w:rsidTr="00D238B1"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5F2AE486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Post-NAT non-cCR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0B8DD3C1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4.08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5B015C3E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1.42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5E3C9B27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11.67</w:t>
                </w:r>
              </w:p>
            </w:tc>
            <w:tc>
              <w:tcPr>
                <w:tcW w:w="1872" w:type="dxa"/>
                <w:tcMar>
                  <w:top w:w="20" w:type="dxa"/>
                  <w:left w:w="20" w:type="dxa"/>
                  <w:bottom w:w="100" w:type="dxa"/>
                  <w:right w:w="20" w:type="dxa"/>
                </w:tcMar>
                <w:vAlign w:val="bottom"/>
              </w:tcPr>
              <w:p w14:paraId="5618FED5" w14:textId="77777777" w:rsidR="00861C18" w:rsidRDefault="00861C18" w:rsidP="00D238B1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0.00884</w:t>
                </w:r>
              </w:p>
            </w:tc>
          </w:tr>
        </w:tbl>
      </w:sdtContent>
    </w:sdt>
    <w:p w14:paraId="31B8D29E" w14:textId="77777777" w:rsidR="00861C18" w:rsidRDefault="00861C18" w:rsidP="00861C18"/>
    <w:p w14:paraId="1A74BAC3" w14:textId="77777777" w:rsidR="00861C18" w:rsidRPr="0012424D" w:rsidRDefault="00861C18" w:rsidP="00861C18">
      <w:pPr>
        <w:spacing w:line="301" w:lineRule="auto"/>
        <w:jc w:val="both"/>
        <w:rPr>
          <w:rFonts w:ascii="Arial" w:hAnsi="Arial" w:cs="Arial"/>
          <w:sz w:val="18"/>
          <w:szCs w:val="18"/>
        </w:rPr>
      </w:pPr>
      <w:r w:rsidRPr="0012424D">
        <w:rPr>
          <w:rFonts w:ascii="Arial" w:hAnsi="Arial" w:cs="Arial"/>
          <w:b/>
          <w:bCs/>
          <w:sz w:val="18"/>
          <w:szCs w:val="18"/>
        </w:rPr>
        <w:t>Supplementary Table 3:</w:t>
      </w:r>
      <w:r w:rsidRPr="0012424D">
        <w:rPr>
          <w:rFonts w:ascii="Arial" w:eastAsia="Arial" w:hAnsi="Arial" w:cs="Arial"/>
          <w:sz w:val="18"/>
          <w:szCs w:val="18"/>
        </w:rPr>
        <w:t xml:space="preserve"> </w:t>
      </w:r>
      <w:r w:rsidRPr="0012424D">
        <w:rPr>
          <w:rFonts w:ascii="Arial" w:hAnsi="Arial" w:cs="Arial"/>
          <w:sz w:val="18"/>
          <w:szCs w:val="18"/>
        </w:rPr>
        <w:t>Multi</w:t>
      </w:r>
      <w:r>
        <w:rPr>
          <w:rFonts w:ascii="Arial" w:hAnsi="Arial" w:cs="Arial"/>
          <w:sz w:val="18"/>
          <w:szCs w:val="18"/>
        </w:rPr>
        <w:t>v</w:t>
      </w:r>
      <w:r w:rsidRPr="0012424D">
        <w:rPr>
          <w:rFonts w:ascii="Arial" w:hAnsi="Arial" w:cs="Arial"/>
          <w:sz w:val="18"/>
          <w:szCs w:val="18"/>
        </w:rPr>
        <w:t>ariable analysis of pre- and post-NAT ctDNA status and clinical CR status in overall cohort</w:t>
      </w:r>
    </w:p>
    <w:p w14:paraId="7B8E3723" w14:textId="77777777" w:rsidR="00861C18" w:rsidRDefault="00861C18"/>
    <w:sectPr w:rsidR="00861C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C23EBA"/>
    <w:multiLevelType w:val="hybridMultilevel"/>
    <w:tmpl w:val="4364D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525213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D10"/>
    <w:rsid w:val="00034CA5"/>
    <w:rsid w:val="003155E4"/>
    <w:rsid w:val="006C0117"/>
    <w:rsid w:val="00861C18"/>
    <w:rsid w:val="009F40EF"/>
    <w:rsid w:val="00CD0BC4"/>
    <w:rsid w:val="00F1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B794F"/>
  <w15:chartTrackingRefBased/>
  <w15:docId w15:val="{1E627637-BAC8-4DA3-A21C-6D0B02211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D10"/>
  </w:style>
  <w:style w:type="paragraph" w:styleId="Heading1">
    <w:name w:val="heading 1"/>
    <w:basedOn w:val="Normal"/>
    <w:next w:val="Normal"/>
    <w:link w:val="Heading1Char"/>
    <w:uiPriority w:val="9"/>
    <w:qFormat/>
    <w:rsid w:val="00F11D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1D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1D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1D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1D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1D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1D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1D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1D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1D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1D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1D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1D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1D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1D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1D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1D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1D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1D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1D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1D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1D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1D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1D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1D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1D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1D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1D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1D1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11D10"/>
    <w:rPr>
      <w:color w:val="467886" w:themeColor="hyperlink"/>
      <w:u w:val="single"/>
    </w:rPr>
  </w:style>
  <w:style w:type="table" w:customStyle="1" w:styleId="1">
    <w:name w:val="1"/>
    <w:basedOn w:val="TableNormal"/>
    <w:rsid w:val="00F11D10"/>
    <w:rPr>
      <w:rFonts w:ascii="Aptos" w:eastAsia="Aptos" w:hAnsi="Aptos" w:cs="Aptos"/>
      <w:kern w:val="0"/>
      <w:lang w:val="en"/>
      <w14:ligatures w14:val="none"/>
    </w:rPr>
    <w:tblPr>
      <w:tblStyleRowBandSize w:val="1"/>
      <w:tblStyleColBandSize w:val="1"/>
    </w:tblPr>
  </w:style>
  <w:style w:type="table" w:styleId="TableGrid">
    <w:name w:val="Table Grid"/>
    <w:basedOn w:val="TableNormal"/>
    <w:uiPriority w:val="59"/>
    <w:rsid w:val="00F11D10"/>
    <w:pPr>
      <w:spacing w:after="0" w:line="240" w:lineRule="auto"/>
    </w:pPr>
    <w:rPr>
      <w:rFonts w:ascii="Arial" w:hAnsi="Arial" w:cs="Times New Roman (Body CS)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biolegend.com/en-us/products/alexa-fluor-488-anti-human-cd38-antibody-3263" TargetMode="External"/><Relationship Id="rId18" Type="http://schemas.openxmlformats.org/officeDocument/2006/relationships/hyperlink" Target="https://www.bdbiosciences.com/en-us/products/reagents/flow-cytometry-reagents/research-reagents/single-color-antibodies-ruo/fitc-mouse-anti-human-cd56-ncam-1.562794?tab=product_details" TargetMode="External"/><Relationship Id="rId26" Type="http://schemas.openxmlformats.org/officeDocument/2006/relationships/hyperlink" Target="https://cytekbio.com/products/ghost-dye-red-710?variant=4058122131869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iolegend.com/en-us/products/pe-anti-human-cd62l-antibody-653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biolegend.com/en-us/products/pe-cyanine7-anti-human-cd3-antibody-6934" TargetMode="External"/><Relationship Id="rId17" Type="http://schemas.openxmlformats.org/officeDocument/2006/relationships/hyperlink" Target="https://www.bdbiosciences.com/en-us/products/reagents/flow-cytometry-reagents/research-reagents/single-color-antibodies-ruo/apc-h7-mouse-anti-human-cd45.560178?tab=product_details" TargetMode="External"/><Relationship Id="rId25" Type="http://schemas.openxmlformats.org/officeDocument/2006/relationships/hyperlink" Target="https://www.biolegend.com/en-us/products/percp-cyanine5-5-anti-human-cd366-tim-3-antibody-8438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iolegend.com/en-us/products/pacific-blue-anti-human-cd8a-antibody-6659" TargetMode="External"/><Relationship Id="rId20" Type="http://schemas.openxmlformats.org/officeDocument/2006/relationships/hyperlink" Target="https://www.biolegend.com/en-us/products/fitc-anti-human-cd62l-antibody-651" TargetMode="External"/><Relationship Id="rId29" Type="http://schemas.openxmlformats.org/officeDocument/2006/relationships/hyperlink" Target="https://www.cellsignal.com/products/antibody-conjugates/tcf1-tcf7-c63d9-rabbit-monoclonal-antibody-alexa-fluor-488-conjugate/6444?srsltid=AfmBOoqqOphH8WTFVmqCfYLEYgSJPvQ_KHPCqRrwZZq7Yib2laC7wUx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biolegend.com/en-us/products/brilliant-violet-605-anti-human-cd19-antibody-8483" TargetMode="External"/><Relationship Id="rId24" Type="http://schemas.openxmlformats.org/officeDocument/2006/relationships/hyperlink" Target="https://www.biolegend.com/en-us/products/apc-anti-human-cd69-antibody-1674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biolegend.com/en-us/products/percp-cyanine5-5-anti-human-cd4-antibody-5011" TargetMode="External"/><Relationship Id="rId23" Type="http://schemas.openxmlformats.org/officeDocument/2006/relationships/hyperlink" Target="https://www.biolegend.com/en-us/products/alexa-fluor-647-anti-human-cx3cr1-antibody-5941" TargetMode="External"/><Relationship Id="rId28" Type="http://schemas.openxmlformats.org/officeDocument/2006/relationships/hyperlink" Target="https://www.miltenyibiotec.com/US-en/products/tox-antibody-anti-human-mouse-reafinity-rea473.html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bdbiosciences.com/en-us/products/reagents/flow-cytometry-reagents/research-reagents/single-color-antibodies-ruo/buv563-mouse-anti-human-cd56.612928?tab=product_details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hyperlink" Target="https://www.biolegend.com/en-us/products/alexa-fluor-700-anti-human-cd4-antibody-3661" TargetMode="External"/><Relationship Id="rId22" Type="http://schemas.openxmlformats.org/officeDocument/2006/relationships/hyperlink" Target="https://www.bdbiosciences.com/en-us/products/reagents/flow-cytometry-reagents/research-reagents/single-color-antibodies-ruo/buv737-mouse-anti-human-cd62l.749210?tab=product_details" TargetMode="External"/><Relationship Id="rId27" Type="http://schemas.openxmlformats.org/officeDocument/2006/relationships/hyperlink" Target="https://www.bdbiosciences.com/en-us/products/reagents/flow-cytometry-reagents/research-reagents/single-color-antibodies-ruo/buv395-mouse-anti-ki-67.564071?tab=product_details" TargetMode="External"/><Relationship Id="rId30" Type="http://schemas.openxmlformats.org/officeDocument/2006/relationships/hyperlink" Target="https://www.southernbiotech.com/mouse-anti-human-igg4-fc-pe-hp6025-9200-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1191</Words>
  <Characters>8842</Characters>
  <Application>Microsoft Office Word</Application>
  <DocSecurity>0</DocSecurity>
  <Lines>631</Lines>
  <Paragraphs>557</Paragraphs>
  <ScaleCrop>false</ScaleCrop>
  <Company/>
  <LinksUpToDate>false</LinksUpToDate>
  <CharactersWithSpaces>9476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Ghatalia, Pooja</dc:creator>
  <cp:keywords/>
  <dc:description/>
  <cp:lastModifiedBy>Ghatalia, Pooja</cp:lastModifiedBy>
  <cp:revision>3</cp:revision>
  <dcterms:created xsi:type="dcterms:W3CDTF">2026-03-20T16:33:00Z</dcterms:created>
  <dcterms:modified xsi:type="dcterms:W3CDTF">2026-03-20T16:35:00Z</dcterms:modified>
</cp:coreProperties>
</file>