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28AF" w14:textId="77777777" w:rsidR="00F85C71" w:rsidRPr="00190900" w:rsidRDefault="00F85C71" w:rsidP="00F85C71">
      <w:pPr>
        <w:spacing w:line="276" w:lineRule="auto"/>
        <w:rPr>
          <w:rFonts w:asciiTheme="majorHAnsi" w:eastAsiaTheme="minorEastAsia" w:hAnsiTheme="majorHAnsi" w:cstheme="majorHAnsi"/>
        </w:rPr>
      </w:pPr>
      <w:r w:rsidRPr="00190900">
        <w:rPr>
          <w:rFonts w:asciiTheme="majorHAnsi" w:eastAsiaTheme="minorEastAsia" w:hAnsiTheme="majorHAnsi" w:cstheme="majorHAnsi"/>
          <w:b/>
        </w:rPr>
        <w:t>Baseline clinical features outperform structural MRI in predicting rapid cognitive and motor decline in Parkinson's Disease</w:t>
      </w:r>
    </w:p>
    <w:p w14:paraId="105D8DB5" w14:textId="77777777" w:rsidR="00F85C71" w:rsidRPr="00190900" w:rsidRDefault="00F85C71" w:rsidP="00F85C71">
      <w:pPr>
        <w:spacing w:line="276" w:lineRule="auto"/>
        <w:rPr>
          <w:rFonts w:asciiTheme="majorHAnsi" w:eastAsiaTheme="minorEastAsia" w:hAnsiTheme="majorHAnsi" w:cstheme="majorHAnsi"/>
        </w:rPr>
      </w:pPr>
      <w:r w:rsidRPr="00190900">
        <w:rPr>
          <w:rFonts w:asciiTheme="majorHAnsi" w:hAnsiTheme="majorHAnsi" w:cstheme="majorHAnsi"/>
        </w:rPr>
        <w:t>Yusen Wu</w:t>
      </w:r>
      <w:r w:rsidRPr="00190900">
        <w:rPr>
          <w:rFonts w:asciiTheme="majorHAnsi" w:hAnsiTheme="majorHAnsi" w:cstheme="majorHAnsi"/>
          <w:vertAlign w:val="superscript"/>
        </w:rPr>
        <w:t>1,2</w:t>
      </w:r>
      <w:r w:rsidRPr="00190900">
        <w:rPr>
          <w:rFonts w:asciiTheme="majorHAnsi" w:hAnsiTheme="majorHAnsi" w:cstheme="majorHAnsi"/>
        </w:rPr>
        <w:t xml:space="preserve"> PhD, </w:t>
      </w:r>
      <w:r w:rsidRPr="00190900">
        <w:rPr>
          <w:rFonts w:asciiTheme="majorHAnsi" w:eastAsiaTheme="minorEastAsia" w:hAnsiTheme="majorHAnsi" w:cstheme="majorHAnsi"/>
        </w:rPr>
        <w:t>Jose A. Santiago</w:t>
      </w:r>
      <w:r w:rsidRPr="00190900">
        <w:rPr>
          <w:rFonts w:asciiTheme="majorHAnsi" w:hAnsiTheme="majorHAnsi" w:cstheme="majorHAnsi"/>
          <w:vertAlign w:val="superscript"/>
        </w:rPr>
        <w:t>1,2</w:t>
      </w:r>
      <w:r w:rsidRPr="00190900">
        <w:rPr>
          <w:rFonts w:asciiTheme="majorHAnsi" w:eastAsiaTheme="minorEastAsia" w:hAnsiTheme="majorHAnsi" w:cstheme="majorHAnsi"/>
        </w:rPr>
        <w:t xml:space="preserve"> MD, </w:t>
      </w:r>
      <w:r w:rsidRPr="00190900">
        <w:rPr>
          <w:rFonts w:asciiTheme="majorHAnsi" w:hAnsiTheme="majorHAnsi" w:cstheme="majorHAnsi"/>
        </w:rPr>
        <w:t xml:space="preserve">Tatjana </w:t>
      </w:r>
      <w:proofErr w:type="spellStart"/>
      <w:r w:rsidRPr="00190900">
        <w:rPr>
          <w:rFonts w:asciiTheme="majorHAnsi" w:hAnsiTheme="majorHAnsi" w:cstheme="majorHAnsi"/>
        </w:rPr>
        <w:t>Rundek</w:t>
      </w:r>
      <w:proofErr w:type="spellEnd"/>
      <w:r w:rsidRPr="00190900">
        <w:rPr>
          <w:rFonts w:asciiTheme="majorHAnsi" w:hAnsiTheme="majorHAnsi" w:cstheme="majorHAnsi"/>
          <w:vertAlign w:val="superscript"/>
        </w:rPr>
        <w:t xml:space="preserve"> 1,2</w:t>
      </w:r>
      <w:r w:rsidRPr="00190900">
        <w:rPr>
          <w:rFonts w:asciiTheme="majorHAnsi" w:hAnsiTheme="majorHAnsi" w:cstheme="majorHAnsi"/>
        </w:rPr>
        <w:t xml:space="preserve"> MD PhD, Phuong Nguyen</w:t>
      </w:r>
      <w:r w:rsidRPr="00190900">
        <w:rPr>
          <w:rFonts w:asciiTheme="majorHAnsi" w:eastAsiaTheme="minorEastAsia" w:hAnsiTheme="majorHAnsi" w:cstheme="majorHAnsi"/>
          <w:vertAlign w:val="superscript"/>
        </w:rPr>
        <w:t xml:space="preserve">3 </w:t>
      </w:r>
      <w:r w:rsidRPr="00190900">
        <w:rPr>
          <w:rFonts w:asciiTheme="majorHAnsi" w:hAnsiTheme="majorHAnsi" w:cstheme="majorHAnsi"/>
        </w:rPr>
        <w:t>PhD, Yelena Yesha</w:t>
      </w:r>
      <w:r w:rsidRPr="00190900">
        <w:rPr>
          <w:rFonts w:asciiTheme="majorHAnsi" w:eastAsiaTheme="minorEastAsia" w:hAnsiTheme="majorHAnsi" w:cstheme="majorHAnsi"/>
          <w:vertAlign w:val="superscript"/>
        </w:rPr>
        <w:t>3,4</w:t>
      </w:r>
      <w:r w:rsidRPr="00190900">
        <w:rPr>
          <w:rFonts w:asciiTheme="majorHAnsi" w:hAnsiTheme="majorHAnsi" w:cstheme="majorHAnsi"/>
          <w:vertAlign w:val="superscript"/>
        </w:rPr>
        <w:t xml:space="preserve"> </w:t>
      </w:r>
      <w:r w:rsidRPr="00190900">
        <w:rPr>
          <w:rFonts w:asciiTheme="majorHAnsi" w:hAnsiTheme="majorHAnsi" w:cstheme="majorHAnsi"/>
        </w:rPr>
        <w:t>PhD, Matthew Feldman</w:t>
      </w:r>
      <w:r w:rsidRPr="00190900">
        <w:rPr>
          <w:rFonts w:asciiTheme="majorHAnsi" w:hAnsiTheme="majorHAnsi" w:cstheme="majorHAnsi"/>
          <w:vertAlign w:val="superscript"/>
        </w:rPr>
        <w:t>1</w:t>
      </w:r>
      <w:r w:rsidRPr="00190900">
        <w:rPr>
          <w:rFonts w:asciiTheme="majorHAnsi" w:hAnsiTheme="majorHAnsi" w:cstheme="majorHAnsi"/>
        </w:rPr>
        <w:t xml:space="preserve"> MD, </w:t>
      </w:r>
      <w:r w:rsidRPr="00190900">
        <w:rPr>
          <w:rFonts w:asciiTheme="majorHAnsi" w:eastAsiaTheme="minorEastAsia" w:hAnsiTheme="majorHAnsi" w:cstheme="majorHAnsi"/>
        </w:rPr>
        <w:t>Marina Lucia Sarno</w:t>
      </w:r>
      <w:r w:rsidRPr="00190900">
        <w:rPr>
          <w:rFonts w:asciiTheme="majorHAnsi" w:hAnsiTheme="majorHAnsi" w:cstheme="majorHAnsi"/>
          <w:vertAlign w:val="superscript"/>
        </w:rPr>
        <w:t>1</w:t>
      </w:r>
      <w:r w:rsidRPr="00190900">
        <w:rPr>
          <w:rFonts w:asciiTheme="majorHAnsi" w:eastAsiaTheme="minorEastAsia" w:hAnsiTheme="majorHAnsi" w:cstheme="majorHAnsi"/>
        </w:rPr>
        <w:t xml:space="preserve"> Psy.D., </w:t>
      </w:r>
      <w:r w:rsidRPr="00190900">
        <w:rPr>
          <w:rFonts w:asciiTheme="majorHAnsi" w:hAnsiTheme="majorHAnsi" w:cstheme="majorHAnsi"/>
        </w:rPr>
        <w:t>Priyanka Atit</w:t>
      </w:r>
      <w:r w:rsidRPr="00190900">
        <w:rPr>
          <w:rFonts w:asciiTheme="majorHAnsi" w:hAnsiTheme="majorHAnsi" w:cstheme="majorHAnsi"/>
          <w:vertAlign w:val="superscript"/>
        </w:rPr>
        <w:t>1</w:t>
      </w:r>
      <w:r w:rsidRPr="00190900">
        <w:rPr>
          <w:rFonts w:asciiTheme="majorHAnsi" w:hAnsiTheme="majorHAnsi" w:cstheme="majorHAnsi"/>
        </w:rPr>
        <w:t xml:space="preserve"> MD, Jacob Miller</w:t>
      </w:r>
      <w:r w:rsidRPr="00190900">
        <w:rPr>
          <w:rFonts w:asciiTheme="majorHAnsi" w:hAnsiTheme="majorHAnsi" w:cstheme="majorHAnsi"/>
          <w:vertAlign w:val="superscript"/>
        </w:rPr>
        <w:t>2,</w:t>
      </w:r>
      <w:r w:rsidRPr="00190900">
        <w:rPr>
          <w:rFonts w:asciiTheme="majorHAnsi" w:eastAsiaTheme="minorEastAsia" w:hAnsiTheme="majorHAnsi" w:cstheme="majorHAnsi"/>
          <w:vertAlign w:val="superscript"/>
        </w:rPr>
        <w:t xml:space="preserve">5 </w:t>
      </w:r>
      <w:r w:rsidRPr="00190900">
        <w:rPr>
          <w:rFonts w:asciiTheme="majorHAnsi" w:eastAsiaTheme="minorEastAsia" w:hAnsiTheme="majorHAnsi" w:cstheme="majorHAnsi"/>
        </w:rPr>
        <w:t xml:space="preserve">PhD, </w:t>
      </w:r>
      <w:r w:rsidRPr="00190900">
        <w:rPr>
          <w:rFonts w:asciiTheme="majorHAnsi" w:hAnsiTheme="majorHAnsi" w:cstheme="majorHAnsi"/>
        </w:rPr>
        <w:t>Tara Najafi</w:t>
      </w:r>
      <w:r w:rsidRPr="00190900">
        <w:rPr>
          <w:rFonts w:asciiTheme="majorHAnsi" w:hAnsiTheme="majorHAnsi" w:cstheme="majorHAnsi"/>
          <w:vertAlign w:val="superscript"/>
        </w:rPr>
        <w:t>1</w:t>
      </w:r>
      <w:r w:rsidRPr="00190900">
        <w:rPr>
          <w:rFonts w:asciiTheme="majorHAnsi" w:hAnsiTheme="majorHAnsi" w:cstheme="majorHAnsi"/>
        </w:rPr>
        <w:t>,</w:t>
      </w:r>
      <w:r w:rsidRPr="00190900">
        <w:rPr>
          <w:rFonts w:asciiTheme="majorHAnsi" w:eastAsiaTheme="minorEastAsia" w:hAnsiTheme="majorHAnsi" w:cstheme="majorHAnsi"/>
        </w:rPr>
        <w:t xml:space="preserve"> Ayham Alkhachroum</w:t>
      </w:r>
      <w:r w:rsidRPr="00190900">
        <w:rPr>
          <w:rFonts w:asciiTheme="majorHAnsi" w:hAnsiTheme="majorHAnsi" w:cstheme="majorHAnsi"/>
          <w:vertAlign w:val="superscript"/>
        </w:rPr>
        <w:t>1</w:t>
      </w:r>
      <w:r w:rsidRPr="00190900">
        <w:rPr>
          <w:rFonts w:asciiTheme="majorHAnsi" w:eastAsiaTheme="minorEastAsia" w:hAnsiTheme="majorHAnsi" w:cstheme="majorHAnsi"/>
        </w:rPr>
        <w:t xml:space="preserve"> MD,</w:t>
      </w:r>
      <w:r w:rsidRPr="00190900">
        <w:rPr>
          <w:rFonts w:asciiTheme="majorHAnsi" w:hAnsiTheme="majorHAnsi" w:cstheme="majorHAnsi"/>
        </w:rPr>
        <w:t xml:space="preserve"> Ihtsham Haq</w:t>
      </w:r>
      <w:r w:rsidRPr="00190900">
        <w:rPr>
          <w:rFonts w:asciiTheme="majorHAnsi" w:hAnsiTheme="majorHAnsi" w:cstheme="majorHAnsi"/>
          <w:vertAlign w:val="superscript"/>
        </w:rPr>
        <w:t>1,2</w:t>
      </w:r>
      <w:r w:rsidRPr="00190900">
        <w:rPr>
          <w:rFonts w:asciiTheme="majorHAnsi" w:hAnsiTheme="majorHAnsi" w:cstheme="majorHAnsi"/>
        </w:rPr>
        <w:t xml:space="preserve"> MD</w:t>
      </w:r>
    </w:p>
    <w:p w14:paraId="701211D9" w14:textId="77777777" w:rsidR="00F85C71" w:rsidRPr="00190900" w:rsidRDefault="00F85C71" w:rsidP="00F85C71">
      <w:pPr>
        <w:spacing w:line="276" w:lineRule="auto"/>
        <w:rPr>
          <w:rFonts w:asciiTheme="majorHAnsi" w:eastAsiaTheme="minorEastAsia" w:hAnsiTheme="majorHAnsi" w:cstheme="majorHAnsi"/>
        </w:rPr>
      </w:pPr>
    </w:p>
    <w:p w14:paraId="00439B69" w14:textId="77777777" w:rsidR="00F85C71" w:rsidRPr="00190900" w:rsidRDefault="00F85C71" w:rsidP="00F85C71">
      <w:pPr>
        <w:spacing w:line="276" w:lineRule="auto"/>
        <w:rPr>
          <w:rFonts w:asciiTheme="majorHAnsi" w:eastAsiaTheme="minorEastAsia" w:hAnsiTheme="majorHAnsi" w:cstheme="majorHAnsi"/>
        </w:rPr>
      </w:pPr>
    </w:p>
    <w:p w14:paraId="3CADBC13" w14:textId="77777777" w:rsidR="00F85C71" w:rsidRPr="00190900" w:rsidRDefault="00F85C71" w:rsidP="00F85C71">
      <w:pPr>
        <w:spacing w:line="276" w:lineRule="auto"/>
        <w:rPr>
          <w:rFonts w:asciiTheme="majorHAnsi" w:eastAsiaTheme="minorEastAsia" w:hAnsiTheme="majorHAnsi" w:cstheme="majorHAnsi"/>
        </w:rPr>
      </w:pPr>
    </w:p>
    <w:p w14:paraId="7014EFD4" w14:textId="77777777" w:rsidR="00F85C71" w:rsidRPr="00190900" w:rsidRDefault="00F85C71" w:rsidP="00F85C71">
      <w:pPr>
        <w:spacing w:line="276" w:lineRule="auto"/>
        <w:rPr>
          <w:rFonts w:asciiTheme="majorHAnsi" w:hAnsiTheme="majorHAnsi" w:cstheme="majorHAnsi"/>
        </w:rPr>
      </w:pPr>
      <w:r w:rsidRPr="00190900">
        <w:rPr>
          <w:rFonts w:asciiTheme="majorHAnsi" w:hAnsiTheme="majorHAnsi" w:cstheme="majorHAnsi"/>
          <w:vertAlign w:val="superscript"/>
        </w:rPr>
        <w:t xml:space="preserve">1 </w:t>
      </w:r>
      <w:r w:rsidRPr="00190900">
        <w:rPr>
          <w:rFonts w:asciiTheme="majorHAnsi" w:hAnsiTheme="majorHAnsi" w:cstheme="majorHAnsi"/>
        </w:rPr>
        <w:t>Department of Neurology, Miller School of Medicine, University of Miami, Miami, FL, USA</w:t>
      </w:r>
    </w:p>
    <w:p w14:paraId="6E4198D1" w14:textId="77777777" w:rsidR="00F85C71" w:rsidRPr="00190900" w:rsidRDefault="00F85C71" w:rsidP="00F85C71">
      <w:pPr>
        <w:spacing w:line="276" w:lineRule="auto"/>
        <w:rPr>
          <w:rFonts w:asciiTheme="majorHAnsi" w:eastAsiaTheme="minorEastAsia" w:hAnsiTheme="majorHAnsi" w:cstheme="majorHAnsi"/>
        </w:rPr>
      </w:pPr>
      <w:r w:rsidRPr="00190900">
        <w:rPr>
          <w:rFonts w:asciiTheme="majorHAnsi" w:eastAsiaTheme="minorEastAsia" w:hAnsiTheme="majorHAnsi" w:cstheme="majorHAnsi"/>
          <w:vertAlign w:val="superscript"/>
        </w:rPr>
        <w:t>2</w:t>
      </w:r>
      <w:r w:rsidRPr="00190900">
        <w:rPr>
          <w:rFonts w:asciiTheme="majorHAnsi" w:eastAsiaTheme="minorEastAsia" w:hAnsiTheme="majorHAnsi" w:cstheme="majorHAnsi"/>
        </w:rPr>
        <w:t xml:space="preserve"> Evelyn F. McKnight Brain Institute, University of Miami, Miami, FL, USA</w:t>
      </w:r>
    </w:p>
    <w:p w14:paraId="65906D0E" w14:textId="77777777" w:rsidR="00F85C71" w:rsidRPr="00190900" w:rsidRDefault="00F85C71" w:rsidP="00F85C71">
      <w:pPr>
        <w:spacing w:line="276" w:lineRule="auto"/>
        <w:rPr>
          <w:rFonts w:asciiTheme="majorHAnsi" w:eastAsiaTheme="minorEastAsia" w:hAnsiTheme="majorHAnsi" w:cstheme="majorHAnsi"/>
        </w:rPr>
      </w:pPr>
      <w:r w:rsidRPr="00190900">
        <w:rPr>
          <w:rFonts w:asciiTheme="majorHAnsi" w:eastAsiaTheme="minorEastAsia" w:hAnsiTheme="majorHAnsi" w:cstheme="majorHAnsi"/>
          <w:vertAlign w:val="superscript"/>
        </w:rPr>
        <w:t>3</w:t>
      </w:r>
      <w:r w:rsidRPr="00190900">
        <w:rPr>
          <w:rFonts w:asciiTheme="majorHAnsi" w:hAnsiTheme="majorHAnsi" w:cstheme="majorHAnsi"/>
          <w:vertAlign w:val="superscript"/>
        </w:rPr>
        <w:t xml:space="preserve"> </w:t>
      </w:r>
      <w:r w:rsidRPr="00190900">
        <w:rPr>
          <w:rFonts w:asciiTheme="majorHAnsi" w:hAnsiTheme="majorHAnsi" w:cstheme="majorHAnsi"/>
        </w:rPr>
        <w:t>Department of Computer Science, University of Miami, Miami, FL, USA</w:t>
      </w:r>
      <w:r w:rsidRPr="00190900">
        <w:rPr>
          <w:rFonts w:asciiTheme="majorHAnsi" w:eastAsiaTheme="minorEastAsia" w:hAnsiTheme="majorHAnsi" w:cstheme="majorHAnsi"/>
        </w:rPr>
        <w:t xml:space="preserve"> </w:t>
      </w:r>
    </w:p>
    <w:p w14:paraId="70B497E9" w14:textId="77777777" w:rsidR="00F85C71" w:rsidRPr="00190900" w:rsidRDefault="00F85C71" w:rsidP="00F85C71">
      <w:pPr>
        <w:spacing w:line="276" w:lineRule="auto"/>
        <w:rPr>
          <w:rFonts w:asciiTheme="majorHAnsi" w:eastAsiaTheme="minorEastAsia" w:hAnsiTheme="majorHAnsi" w:cstheme="majorHAnsi"/>
        </w:rPr>
      </w:pPr>
      <w:r w:rsidRPr="00190900">
        <w:rPr>
          <w:rFonts w:asciiTheme="majorHAnsi" w:eastAsiaTheme="minorEastAsia" w:hAnsiTheme="majorHAnsi" w:cstheme="majorHAnsi"/>
          <w:vertAlign w:val="superscript"/>
        </w:rPr>
        <w:t xml:space="preserve">4 </w:t>
      </w:r>
      <w:r w:rsidRPr="00190900">
        <w:rPr>
          <w:rFonts w:asciiTheme="majorHAnsi" w:eastAsiaTheme="minorEastAsia" w:hAnsiTheme="majorHAnsi" w:cstheme="majorHAnsi"/>
        </w:rPr>
        <w:t>Department of Radiology, University of Miami, Miami, FL, USA</w:t>
      </w:r>
    </w:p>
    <w:p w14:paraId="5B34C013" w14:textId="77777777" w:rsidR="00F85C71" w:rsidRPr="00190900" w:rsidRDefault="00F85C71" w:rsidP="00F85C71">
      <w:pPr>
        <w:spacing w:line="276" w:lineRule="auto"/>
        <w:rPr>
          <w:rFonts w:asciiTheme="majorHAnsi" w:eastAsiaTheme="minorEastAsia" w:hAnsiTheme="majorHAnsi" w:cstheme="majorHAnsi"/>
        </w:rPr>
      </w:pPr>
      <w:r w:rsidRPr="00190900">
        <w:rPr>
          <w:rFonts w:asciiTheme="majorHAnsi" w:eastAsiaTheme="minorEastAsia" w:hAnsiTheme="majorHAnsi" w:cstheme="majorHAnsi"/>
          <w:vertAlign w:val="superscript"/>
        </w:rPr>
        <w:t>5</w:t>
      </w:r>
      <w:r w:rsidRPr="00190900">
        <w:rPr>
          <w:rFonts w:asciiTheme="majorHAnsi" w:eastAsiaTheme="minorEastAsia" w:hAnsiTheme="majorHAnsi" w:cstheme="majorHAnsi"/>
        </w:rPr>
        <w:t xml:space="preserve"> Department of Psychology, University of Miami, Miami, FL, USA</w:t>
      </w:r>
    </w:p>
    <w:p w14:paraId="11B9919D" w14:textId="77777777" w:rsidR="00F85C71" w:rsidRPr="00190900" w:rsidRDefault="00F85C71" w:rsidP="00F85C71">
      <w:pPr>
        <w:spacing w:line="276" w:lineRule="auto"/>
        <w:rPr>
          <w:rFonts w:asciiTheme="majorHAnsi" w:eastAsiaTheme="minorEastAsia" w:hAnsiTheme="majorHAnsi" w:cstheme="majorHAnsi"/>
        </w:rPr>
      </w:pPr>
    </w:p>
    <w:p w14:paraId="1713FF6A" w14:textId="77777777" w:rsidR="00F85C71" w:rsidRPr="00190900" w:rsidRDefault="00F85C71" w:rsidP="00F85C71">
      <w:pPr>
        <w:spacing w:line="276" w:lineRule="auto"/>
        <w:rPr>
          <w:rFonts w:asciiTheme="majorHAnsi" w:eastAsiaTheme="minorEastAsia" w:hAnsiTheme="majorHAnsi" w:cstheme="majorHAnsi"/>
        </w:rPr>
      </w:pPr>
      <w:r w:rsidRPr="00190900">
        <w:rPr>
          <w:rFonts w:asciiTheme="majorHAnsi" w:hAnsiTheme="majorHAnsi" w:cstheme="majorHAnsi"/>
        </w:rPr>
        <w:t xml:space="preserve">Corresponding author: </w:t>
      </w:r>
      <w:r w:rsidRPr="00190900">
        <w:rPr>
          <w:rFonts w:asciiTheme="majorHAnsi" w:eastAsiaTheme="minorEastAsia" w:hAnsiTheme="majorHAnsi" w:cstheme="majorHAnsi"/>
        </w:rPr>
        <w:t>Ihtsham</w:t>
      </w:r>
      <w:r w:rsidRPr="00190900">
        <w:rPr>
          <w:rFonts w:asciiTheme="majorHAnsi" w:hAnsiTheme="majorHAnsi" w:cstheme="majorHAnsi"/>
        </w:rPr>
        <w:t xml:space="preserve"> ul Haq MD</w:t>
      </w:r>
    </w:p>
    <w:p w14:paraId="753A5501" w14:textId="77777777" w:rsidR="00F85C71" w:rsidRPr="00190900" w:rsidRDefault="00F85C71" w:rsidP="00F85C71">
      <w:pPr>
        <w:spacing w:line="276" w:lineRule="auto"/>
        <w:rPr>
          <w:rFonts w:asciiTheme="majorHAnsi" w:eastAsiaTheme="minorEastAsia" w:hAnsiTheme="majorHAnsi" w:cstheme="majorHAnsi"/>
        </w:rPr>
      </w:pPr>
      <w:r w:rsidRPr="00190900">
        <w:rPr>
          <w:rFonts w:asciiTheme="majorHAnsi" w:eastAsia="SimSun" w:hAnsiTheme="majorHAnsi" w:cstheme="majorHAnsi"/>
        </w:rPr>
        <w:t xml:space="preserve">Contact email: </w:t>
      </w:r>
      <w:hyperlink r:id="rId6" w:history="1">
        <w:r w:rsidRPr="00190900">
          <w:rPr>
            <w:rStyle w:val="Hyperlink"/>
            <w:rFonts w:asciiTheme="majorHAnsi" w:eastAsia="SimSun" w:hAnsiTheme="majorHAnsi" w:cstheme="majorHAnsi"/>
            <w:color w:val="auto"/>
          </w:rPr>
          <w:t>ihaq@med.miami.edu</w:t>
        </w:r>
      </w:hyperlink>
    </w:p>
    <w:p w14:paraId="1177B910" w14:textId="77777777" w:rsidR="00F85C71" w:rsidRDefault="00F85C71" w:rsidP="002367EB">
      <w:pPr>
        <w:widowControl w:val="0"/>
        <w:spacing w:line="276" w:lineRule="auto"/>
        <w:rPr>
          <w:rFonts w:asciiTheme="majorHAnsi" w:eastAsiaTheme="minorEastAsia" w:hAnsiTheme="majorHAnsi" w:cstheme="majorHAnsi"/>
          <w:b/>
          <w:bCs/>
        </w:rPr>
      </w:pPr>
    </w:p>
    <w:p w14:paraId="4EA00166" w14:textId="77777777" w:rsidR="00F85C71" w:rsidRDefault="00F85C71" w:rsidP="002367EB">
      <w:pPr>
        <w:widowControl w:val="0"/>
        <w:spacing w:line="276" w:lineRule="auto"/>
        <w:rPr>
          <w:rFonts w:asciiTheme="majorHAnsi" w:eastAsiaTheme="minorEastAsia" w:hAnsiTheme="majorHAnsi" w:cstheme="majorHAnsi"/>
          <w:b/>
          <w:bCs/>
        </w:rPr>
      </w:pPr>
    </w:p>
    <w:p w14:paraId="3ED6AE96" w14:textId="77777777" w:rsidR="00F85C71" w:rsidRDefault="00F85C71" w:rsidP="002367EB">
      <w:pPr>
        <w:widowControl w:val="0"/>
        <w:spacing w:line="276" w:lineRule="auto"/>
        <w:rPr>
          <w:rFonts w:asciiTheme="majorHAnsi" w:eastAsiaTheme="minorEastAsia" w:hAnsiTheme="majorHAnsi" w:cstheme="majorHAnsi"/>
          <w:b/>
          <w:bCs/>
        </w:rPr>
      </w:pPr>
    </w:p>
    <w:p w14:paraId="5A71C750" w14:textId="77777777" w:rsidR="00F85C71" w:rsidRDefault="00F85C71" w:rsidP="002367EB">
      <w:pPr>
        <w:widowControl w:val="0"/>
        <w:spacing w:line="276" w:lineRule="auto"/>
        <w:rPr>
          <w:rFonts w:asciiTheme="majorHAnsi" w:eastAsiaTheme="minorEastAsia" w:hAnsiTheme="majorHAnsi" w:cstheme="majorHAnsi"/>
          <w:b/>
          <w:bCs/>
        </w:rPr>
      </w:pPr>
    </w:p>
    <w:p w14:paraId="1E9E3393" w14:textId="77777777" w:rsidR="00F85C71" w:rsidRDefault="00F85C71" w:rsidP="002367EB">
      <w:pPr>
        <w:widowControl w:val="0"/>
        <w:spacing w:line="276" w:lineRule="auto"/>
        <w:rPr>
          <w:rFonts w:asciiTheme="majorHAnsi" w:eastAsiaTheme="minorEastAsia" w:hAnsiTheme="majorHAnsi" w:cstheme="majorHAnsi"/>
          <w:b/>
          <w:bCs/>
        </w:rPr>
      </w:pPr>
    </w:p>
    <w:p w14:paraId="05CE722B" w14:textId="77777777" w:rsidR="00F85C71" w:rsidRDefault="00F85C71" w:rsidP="002367EB">
      <w:pPr>
        <w:widowControl w:val="0"/>
        <w:spacing w:line="276" w:lineRule="auto"/>
        <w:rPr>
          <w:rFonts w:asciiTheme="majorHAnsi" w:eastAsiaTheme="minorEastAsia" w:hAnsiTheme="majorHAnsi" w:cstheme="majorHAnsi"/>
          <w:b/>
          <w:bCs/>
        </w:rPr>
      </w:pPr>
    </w:p>
    <w:p w14:paraId="4D68DEE9" w14:textId="77777777" w:rsidR="00F85C71" w:rsidRDefault="00F85C71" w:rsidP="002367EB">
      <w:pPr>
        <w:widowControl w:val="0"/>
        <w:spacing w:line="276" w:lineRule="auto"/>
        <w:rPr>
          <w:rFonts w:asciiTheme="majorHAnsi" w:eastAsiaTheme="minorEastAsia" w:hAnsiTheme="majorHAnsi" w:cstheme="majorHAnsi"/>
          <w:b/>
          <w:bCs/>
        </w:rPr>
      </w:pPr>
    </w:p>
    <w:p w14:paraId="6AF2C481" w14:textId="77777777" w:rsidR="00F85C71" w:rsidRDefault="00F85C71" w:rsidP="002367EB">
      <w:pPr>
        <w:widowControl w:val="0"/>
        <w:spacing w:line="276" w:lineRule="auto"/>
        <w:rPr>
          <w:rFonts w:asciiTheme="majorHAnsi" w:eastAsiaTheme="minorEastAsia" w:hAnsiTheme="majorHAnsi" w:cstheme="majorHAnsi"/>
          <w:b/>
          <w:bCs/>
        </w:rPr>
      </w:pPr>
    </w:p>
    <w:p w14:paraId="3137E8DF" w14:textId="77777777" w:rsidR="00F85C71" w:rsidRDefault="00F85C71" w:rsidP="002367EB">
      <w:pPr>
        <w:widowControl w:val="0"/>
        <w:spacing w:line="276" w:lineRule="auto"/>
        <w:rPr>
          <w:rFonts w:asciiTheme="majorHAnsi" w:eastAsiaTheme="minorEastAsia" w:hAnsiTheme="majorHAnsi" w:cstheme="majorHAnsi"/>
          <w:b/>
          <w:bCs/>
        </w:rPr>
      </w:pPr>
    </w:p>
    <w:p w14:paraId="5CE8115D" w14:textId="77777777" w:rsidR="00F85C71" w:rsidRDefault="00F85C71" w:rsidP="002367EB">
      <w:pPr>
        <w:widowControl w:val="0"/>
        <w:spacing w:line="276" w:lineRule="auto"/>
        <w:rPr>
          <w:rFonts w:asciiTheme="majorHAnsi" w:eastAsiaTheme="minorEastAsia" w:hAnsiTheme="majorHAnsi" w:cstheme="majorHAnsi"/>
          <w:b/>
          <w:bCs/>
        </w:rPr>
      </w:pPr>
    </w:p>
    <w:p w14:paraId="67D3779E" w14:textId="77777777" w:rsidR="00F85C71" w:rsidRDefault="00F85C71" w:rsidP="002367EB">
      <w:pPr>
        <w:widowControl w:val="0"/>
        <w:spacing w:line="276" w:lineRule="auto"/>
        <w:rPr>
          <w:rFonts w:asciiTheme="majorHAnsi" w:eastAsiaTheme="minorEastAsia" w:hAnsiTheme="majorHAnsi" w:cstheme="majorHAnsi"/>
          <w:b/>
          <w:bCs/>
        </w:rPr>
      </w:pPr>
    </w:p>
    <w:p w14:paraId="520E9B66" w14:textId="77777777" w:rsidR="00F85C71" w:rsidRDefault="00F85C71" w:rsidP="002367EB">
      <w:pPr>
        <w:widowControl w:val="0"/>
        <w:spacing w:line="276" w:lineRule="auto"/>
        <w:rPr>
          <w:rFonts w:asciiTheme="majorHAnsi" w:eastAsiaTheme="minorEastAsia" w:hAnsiTheme="majorHAnsi" w:cstheme="majorHAnsi"/>
          <w:b/>
          <w:bCs/>
        </w:rPr>
      </w:pPr>
    </w:p>
    <w:p w14:paraId="7C712ED3" w14:textId="77777777" w:rsidR="00F85C71" w:rsidRDefault="00F85C71" w:rsidP="002367EB">
      <w:pPr>
        <w:widowControl w:val="0"/>
        <w:spacing w:line="276" w:lineRule="auto"/>
        <w:rPr>
          <w:rFonts w:asciiTheme="majorHAnsi" w:eastAsiaTheme="minorEastAsia" w:hAnsiTheme="majorHAnsi" w:cstheme="majorHAnsi"/>
          <w:b/>
          <w:bCs/>
        </w:rPr>
      </w:pPr>
    </w:p>
    <w:p w14:paraId="3067DEC5" w14:textId="77777777" w:rsidR="00F85C71" w:rsidRDefault="00F85C71" w:rsidP="002367EB">
      <w:pPr>
        <w:widowControl w:val="0"/>
        <w:spacing w:line="276" w:lineRule="auto"/>
        <w:rPr>
          <w:rFonts w:asciiTheme="majorHAnsi" w:eastAsiaTheme="minorEastAsia" w:hAnsiTheme="majorHAnsi" w:cstheme="majorHAnsi"/>
          <w:b/>
          <w:bCs/>
        </w:rPr>
      </w:pPr>
    </w:p>
    <w:p w14:paraId="16841327" w14:textId="77777777" w:rsidR="00F85C71" w:rsidRDefault="00F85C71" w:rsidP="002367EB">
      <w:pPr>
        <w:widowControl w:val="0"/>
        <w:spacing w:line="276" w:lineRule="auto"/>
        <w:rPr>
          <w:rFonts w:asciiTheme="majorHAnsi" w:eastAsiaTheme="minorEastAsia" w:hAnsiTheme="majorHAnsi" w:cstheme="majorHAnsi"/>
          <w:b/>
          <w:bCs/>
        </w:rPr>
      </w:pPr>
    </w:p>
    <w:p w14:paraId="11996EF3" w14:textId="77777777" w:rsidR="00F85C71" w:rsidRDefault="00F85C71" w:rsidP="002367EB">
      <w:pPr>
        <w:widowControl w:val="0"/>
        <w:spacing w:line="276" w:lineRule="auto"/>
        <w:rPr>
          <w:rFonts w:asciiTheme="majorHAnsi" w:eastAsiaTheme="minorEastAsia" w:hAnsiTheme="majorHAnsi" w:cstheme="majorHAnsi"/>
          <w:b/>
          <w:bCs/>
        </w:rPr>
      </w:pPr>
    </w:p>
    <w:p w14:paraId="6F3C0D73" w14:textId="77777777" w:rsidR="00F85C71" w:rsidRDefault="00F85C71" w:rsidP="002367EB">
      <w:pPr>
        <w:widowControl w:val="0"/>
        <w:spacing w:line="276" w:lineRule="auto"/>
        <w:rPr>
          <w:rFonts w:asciiTheme="majorHAnsi" w:eastAsiaTheme="minorEastAsia" w:hAnsiTheme="majorHAnsi" w:cstheme="majorHAnsi"/>
          <w:b/>
          <w:bCs/>
        </w:rPr>
      </w:pPr>
    </w:p>
    <w:p w14:paraId="4C0068EF" w14:textId="77777777" w:rsidR="00F85C71" w:rsidRDefault="00F85C71" w:rsidP="002367EB">
      <w:pPr>
        <w:widowControl w:val="0"/>
        <w:spacing w:line="276" w:lineRule="auto"/>
        <w:rPr>
          <w:rFonts w:asciiTheme="majorHAnsi" w:eastAsiaTheme="minorEastAsia" w:hAnsiTheme="majorHAnsi" w:cstheme="majorHAnsi"/>
          <w:b/>
          <w:bCs/>
        </w:rPr>
      </w:pPr>
    </w:p>
    <w:p w14:paraId="47042B9A" w14:textId="77777777" w:rsidR="00F85C71" w:rsidRDefault="00F85C71" w:rsidP="002367EB">
      <w:pPr>
        <w:widowControl w:val="0"/>
        <w:spacing w:line="276" w:lineRule="auto"/>
        <w:rPr>
          <w:rFonts w:asciiTheme="majorHAnsi" w:eastAsiaTheme="minorEastAsia" w:hAnsiTheme="majorHAnsi" w:cstheme="majorHAnsi"/>
          <w:b/>
          <w:bCs/>
        </w:rPr>
      </w:pPr>
    </w:p>
    <w:p w14:paraId="36681855" w14:textId="77777777" w:rsidR="00F85C71" w:rsidRDefault="00F85C71" w:rsidP="002367EB">
      <w:pPr>
        <w:widowControl w:val="0"/>
        <w:spacing w:line="276" w:lineRule="auto"/>
        <w:rPr>
          <w:rFonts w:asciiTheme="majorHAnsi" w:eastAsiaTheme="minorEastAsia" w:hAnsiTheme="majorHAnsi" w:cstheme="majorHAnsi"/>
          <w:b/>
          <w:bCs/>
        </w:rPr>
      </w:pPr>
    </w:p>
    <w:p w14:paraId="3730D147" w14:textId="77777777" w:rsidR="00F85C71" w:rsidRDefault="00F85C71" w:rsidP="002367EB">
      <w:pPr>
        <w:widowControl w:val="0"/>
        <w:spacing w:line="276" w:lineRule="auto"/>
        <w:rPr>
          <w:rFonts w:asciiTheme="majorHAnsi" w:eastAsiaTheme="minorEastAsia" w:hAnsiTheme="majorHAnsi" w:cstheme="majorHAnsi"/>
          <w:b/>
          <w:bCs/>
        </w:rPr>
      </w:pPr>
    </w:p>
    <w:p w14:paraId="3D416182" w14:textId="77777777" w:rsidR="00F85C71" w:rsidRDefault="00F85C71" w:rsidP="002367EB">
      <w:pPr>
        <w:widowControl w:val="0"/>
        <w:spacing w:line="276" w:lineRule="auto"/>
        <w:rPr>
          <w:rFonts w:asciiTheme="majorHAnsi" w:eastAsiaTheme="minorEastAsia" w:hAnsiTheme="majorHAnsi" w:cstheme="majorHAnsi"/>
          <w:b/>
          <w:bCs/>
        </w:rPr>
      </w:pPr>
    </w:p>
    <w:p w14:paraId="7ECB14C0" w14:textId="66D96695" w:rsidR="002367EB" w:rsidRPr="00190900" w:rsidRDefault="002367EB" w:rsidP="002367EB">
      <w:pPr>
        <w:widowControl w:val="0"/>
        <w:spacing w:line="276" w:lineRule="auto"/>
        <w:rPr>
          <w:rFonts w:asciiTheme="majorHAnsi" w:eastAsiaTheme="minorEastAsia" w:hAnsiTheme="majorHAnsi" w:cstheme="majorHAnsi"/>
        </w:rPr>
      </w:pPr>
      <w:r w:rsidRPr="00190900">
        <w:rPr>
          <w:rFonts w:asciiTheme="majorHAnsi" w:eastAsiaTheme="minorEastAsia" w:hAnsiTheme="majorHAnsi" w:cstheme="majorHAnsi"/>
          <w:b/>
          <w:bCs/>
        </w:rPr>
        <w:lastRenderedPageBreak/>
        <w:t xml:space="preserve">Figure S1. Machine learning-based cognitive decline risk stratification in the UM internal pre-DBS cohort. </w:t>
      </w:r>
    </w:p>
    <w:p w14:paraId="4FE8150B" w14:textId="77777777" w:rsidR="002367EB" w:rsidRPr="00190900" w:rsidRDefault="002367EB" w:rsidP="002367EB">
      <w:pPr>
        <w:widowControl w:val="0"/>
        <w:spacing w:line="276" w:lineRule="auto"/>
        <w:rPr>
          <w:rFonts w:asciiTheme="majorHAnsi" w:eastAsiaTheme="minorEastAsia" w:hAnsiTheme="majorHAnsi" w:cstheme="majorHAnsi"/>
          <w:b/>
          <w:bCs/>
        </w:rPr>
      </w:pPr>
      <w:r w:rsidRPr="00190900">
        <w:rPr>
          <w:rFonts w:asciiTheme="majorHAnsi" w:eastAsiaTheme="minorEastAsia" w:hAnsiTheme="majorHAnsi" w:cstheme="majorHAnsi"/>
          <w:noProof/>
        </w:rPr>
        <w:drawing>
          <wp:inline distT="0" distB="0" distL="0" distR="0" wp14:anchorId="59F76DE1" wp14:editId="043F2CFB">
            <wp:extent cx="5270500" cy="6032500"/>
            <wp:effectExtent l="0" t="0" r="6350" b="6350"/>
            <wp:docPr id="252309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6032500"/>
                    </a:xfrm>
                    <a:prstGeom prst="rect">
                      <a:avLst/>
                    </a:prstGeom>
                    <a:noFill/>
                    <a:ln>
                      <a:noFill/>
                    </a:ln>
                  </pic:spPr>
                </pic:pic>
              </a:graphicData>
            </a:graphic>
          </wp:inline>
        </w:drawing>
      </w:r>
    </w:p>
    <w:p w14:paraId="157C1440" w14:textId="77777777" w:rsidR="002367EB" w:rsidRPr="00190900" w:rsidRDefault="002367EB" w:rsidP="002367EB">
      <w:pPr>
        <w:widowControl w:val="0"/>
        <w:spacing w:line="276" w:lineRule="auto"/>
        <w:rPr>
          <w:rFonts w:asciiTheme="majorHAnsi" w:eastAsiaTheme="minorEastAsia" w:hAnsiTheme="majorHAnsi" w:cstheme="majorHAnsi"/>
          <w:b/>
          <w:bCs/>
        </w:rPr>
      </w:pPr>
    </w:p>
    <w:p w14:paraId="54219924" w14:textId="77777777" w:rsidR="002367EB" w:rsidRPr="00190900" w:rsidRDefault="002367EB" w:rsidP="002367EB">
      <w:pPr>
        <w:widowControl w:val="0"/>
        <w:spacing w:line="276" w:lineRule="auto"/>
        <w:rPr>
          <w:rFonts w:asciiTheme="majorHAnsi" w:eastAsiaTheme="minorEastAsia" w:hAnsiTheme="majorHAnsi" w:cstheme="majorHAnsi"/>
          <w:b/>
          <w:bCs/>
        </w:rPr>
      </w:pPr>
      <w:r w:rsidRPr="00190900">
        <w:rPr>
          <w:rFonts w:asciiTheme="majorHAnsi" w:eastAsiaTheme="minorEastAsia" w:hAnsiTheme="majorHAnsi" w:cstheme="majorHAnsi"/>
          <w:b/>
          <w:bCs/>
        </w:rPr>
        <w:t>Discussion: Cognitive Risk Stratification in the UM Pre-DBS Cohort</w:t>
      </w:r>
    </w:p>
    <w:p w14:paraId="27FCD545" w14:textId="77777777" w:rsidR="002367EB" w:rsidRPr="00190900" w:rsidRDefault="002367EB" w:rsidP="002367EB">
      <w:pPr>
        <w:widowControl w:val="0"/>
        <w:spacing w:line="276" w:lineRule="auto"/>
        <w:rPr>
          <w:rFonts w:asciiTheme="majorHAnsi" w:eastAsiaTheme="minorEastAsia" w:hAnsiTheme="majorHAnsi" w:cstheme="majorHAnsi"/>
        </w:rPr>
      </w:pPr>
      <w:r w:rsidRPr="00190900">
        <w:rPr>
          <w:rFonts w:asciiTheme="majorHAnsi" w:eastAsiaTheme="minorEastAsia" w:hAnsiTheme="majorHAnsi" w:cstheme="majorHAnsi"/>
        </w:rPr>
        <w:t>Of the 157 patients in the UM pre-DBS cohort, 34 had complete data across all model-required features and were included in the risk stratification analysis. The Voting (All 5) ensemble model, trained on PPMI clinical features, was applied directly without retraining, providing an independent out-of-sample test.</w:t>
      </w:r>
    </w:p>
    <w:p w14:paraId="298E6DB7" w14:textId="77777777" w:rsidR="002367EB" w:rsidRPr="00190900" w:rsidRDefault="002367EB" w:rsidP="002367EB">
      <w:pPr>
        <w:widowControl w:val="0"/>
        <w:spacing w:line="276" w:lineRule="auto"/>
        <w:rPr>
          <w:rFonts w:asciiTheme="majorHAnsi" w:eastAsiaTheme="minorEastAsia" w:hAnsiTheme="majorHAnsi" w:cstheme="majorHAnsi"/>
        </w:rPr>
      </w:pPr>
    </w:p>
    <w:p w14:paraId="5813E16B" w14:textId="77777777" w:rsidR="002367EB" w:rsidRPr="00190900" w:rsidRDefault="002367EB" w:rsidP="002367EB">
      <w:pPr>
        <w:widowControl w:val="0"/>
        <w:spacing w:line="276" w:lineRule="auto"/>
        <w:rPr>
          <w:rFonts w:asciiTheme="majorHAnsi" w:eastAsiaTheme="minorEastAsia" w:hAnsiTheme="majorHAnsi" w:cstheme="majorHAnsi"/>
        </w:rPr>
      </w:pPr>
      <w:r w:rsidRPr="00190900">
        <w:rPr>
          <w:rFonts w:asciiTheme="majorHAnsi" w:eastAsiaTheme="minorEastAsia" w:hAnsiTheme="majorHAnsi" w:cstheme="majorHAnsi"/>
        </w:rPr>
        <w:t xml:space="preserve">Patients fell into three tiers: 8 high-risk (≥0.4), 5 moderate-risk (0.2–0.4), and 21 low-risk (&lt;0.2). </w:t>
      </w:r>
      <w:r w:rsidRPr="00190900">
        <w:rPr>
          <w:rFonts w:asciiTheme="majorHAnsi" w:eastAsiaTheme="minorEastAsia" w:hAnsiTheme="majorHAnsi" w:cstheme="majorHAnsi"/>
        </w:rPr>
        <w:lastRenderedPageBreak/>
        <w:t>The low-risk group showed a decline rate of 9.5% (2 of 21), broadly consistent with the high NPV reported in the PDBP validation and supporting the model’s utility as a screening tool for ruling out rapid progression. The moderate-risk group showed a higher observed decline rate (60%) than the high-risk group (25%), a pattern that likely reflects the post-DBS nature of the outcome assessment: cognitive trajectories in this cohort were measured after surgery, and patients at the highest predicted risk (the lowest baseline cognition) were most likely to have undergone DBS, which may itself have partially modified their subsequent cognitive course.</w:t>
      </w:r>
    </w:p>
    <w:p w14:paraId="0DBB9AD8" w14:textId="77777777" w:rsidR="002367EB" w:rsidRPr="00190900" w:rsidRDefault="002367EB" w:rsidP="002367EB">
      <w:pPr>
        <w:widowControl w:val="0"/>
        <w:spacing w:line="276" w:lineRule="auto"/>
        <w:rPr>
          <w:rFonts w:asciiTheme="majorHAnsi" w:eastAsiaTheme="minorEastAsia" w:hAnsiTheme="majorHAnsi" w:cstheme="majorHAnsi"/>
        </w:rPr>
      </w:pPr>
    </w:p>
    <w:p w14:paraId="71300331" w14:textId="77777777" w:rsidR="002367EB" w:rsidRPr="00190900" w:rsidRDefault="002367EB" w:rsidP="002367EB">
      <w:pPr>
        <w:widowControl w:val="0"/>
        <w:spacing w:line="276" w:lineRule="auto"/>
        <w:rPr>
          <w:rFonts w:asciiTheme="majorHAnsi" w:eastAsiaTheme="minorEastAsia" w:hAnsiTheme="majorHAnsi" w:cstheme="majorHAnsi"/>
        </w:rPr>
      </w:pPr>
      <w:r w:rsidRPr="00190900">
        <w:rPr>
          <w:rFonts w:asciiTheme="majorHAnsi" w:eastAsiaTheme="minorEastAsia" w:hAnsiTheme="majorHAnsi" w:cstheme="majorHAnsi"/>
        </w:rPr>
        <w:t xml:space="preserve">These observations raise </w:t>
      </w:r>
      <w:r w:rsidRPr="00190900">
        <w:rPr>
          <w:rFonts w:asciiTheme="majorHAnsi" w:eastAsiaTheme="minorEastAsia" w:hAnsiTheme="majorHAnsi" w:cstheme="majorHAnsi"/>
          <w:b/>
          <w:bCs/>
        </w:rPr>
        <w:t>two questions</w:t>
      </w:r>
      <w:r w:rsidRPr="00190900">
        <w:rPr>
          <w:rFonts w:asciiTheme="majorHAnsi" w:eastAsiaTheme="minorEastAsia" w:hAnsiTheme="majorHAnsi" w:cstheme="majorHAnsi"/>
        </w:rPr>
        <w:t xml:space="preserve"> that will guide </w:t>
      </w:r>
      <w:r w:rsidRPr="00190900">
        <w:rPr>
          <w:rFonts w:asciiTheme="majorHAnsi" w:eastAsiaTheme="minorEastAsia" w:hAnsiTheme="majorHAnsi" w:cstheme="majorHAnsi"/>
          <w:i/>
          <w:iCs/>
        </w:rPr>
        <w:t>future work</w:t>
      </w:r>
      <w:r w:rsidRPr="00190900">
        <w:rPr>
          <w:rFonts w:asciiTheme="majorHAnsi" w:eastAsiaTheme="minorEastAsia" w:hAnsiTheme="majorHAnsi" w:cstheme="majorHAnsi"/>
        </w:rPr>
        <w:t xml:space="preserve">. </w:t>
      </w:r>
      <w:r w:rsidRPr="00190900">
        <w:rPr>
          <w:rFonts w:asciiTheme="majorHAnsi" w:eastAsiaTheme="minorEastAsia" w:hAnsiTheme="majorHAnsi" w:cstheme="majorHAnsi"/>
          <w:b/>
          <w:bCs/>
        </w:rPr>
        <w:t>First</w:t>
      </w:r>
      <w:r w:rsidRPr="00190900">
        <w:rPr>
          <w:rFonts w:asciiTheme="majorHAnsi" w:eastAsiaTheme="minorEastAsia" w:hAnsiTheme="majorHAnsi" w:cstheme="majorHAnsi"/>
        </w:rPr>
        <w:t xml:space="preserve">, why did some high-risk patients continue to decline despite surgical intervention, whether this reflects insufficient cognitive reserve, disease subtype, or DBS target selection warrants deeper investigation. </w:t>
      </w:r>
      <w:r w:rsidRPr="00190900">
        <w:rPr>
          <w:rFonts w:asciiTheme="majorHAnsi" w:eastAsiaTheme="minorEastAsia" w:hAnsiTheme="majorHAnsi" w:cstheme="majorHAnsi"/>
          <w:b/>
          <w:bCs/>
        </w:rPr>
        <w:t>Second</w:t>
      </w:r>
      <w:r w:rsidRPr="00190900">
        <w:rPr>
          <w:rFonts w:asciiTheme="majorHAnsi" w:eastAsiaTheme="minorEastAsia" w:hAnsiTheme="majorHAnsi" w:cstheme="majorHAnsi"/>
        </w:rPr>
        <w:t>, what distinguishes the two low-risk patients who nonetheless declined; identifying their clinical and biological profiles may reveal vulnerability factors not captured by the current feature set. Our preliminary review of these cases suggests that comorbidities (e.g., two strokes) may play a role in driving unexpected decline, though this remains speculative and warrants systematic investigation in future work. Given the small sample and the highly selected surgical context, these results are best read as preliminary, but they point toward a richer characterization of individual-level trajectories that larger prospective cohorts could address.</w:t>
      </w:r>
    </w:p>
    <w:p w14:paraId="07BE103E" w14:textId="77777777" w:rsidR="00E86596" w:rsidRDefault="00E86596"/>
    <w:sectPr w:rsidR="00E865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7613" w14:textId="77777777" w:rsidR="007E338A" w:rsidRDefault="007E338A" w:rsidP="00FC4A9A">
      <w:r>
        <w:separator/>
      </w:r>
    </w:p>
  </w:endnote>
  <w:endnote w:type="continuationSeparator" w:id="0">
    <w:p w14:paraId="16A0CA76" w14:textId="77777777" w:rsidR="007E338A" w:rsidRDefault="007E338A" w:rsidP="00FC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95EC" w14:textId="77777777" w:rsidR="007E338A" w:rsidRDefault="007E338A" w:rsidP="00FC4A9A">
      <w:r>
        <w:separator/>
      </w:r>
    </w:p>
  </w:footnote>
  <w:footnote w:type="continuationSeparator" w:id="0">
    <w:p w14:paraId="155B00F8" w14:textId="77777777" w:rsidR="007E338A" w:rsidRDefault="007E338A" w:rsidP="00FC4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B6"/>
    <w:rsid w:val="002367EB"/>
    <w:rsid w:val="002955CA"/>
    <w:rsid w:val="002A06D5"/>
    <w:rsid w:val="007E338A"/>
    <w:rsid w:val="00810DB6"/>
    <w:rsid w:val="00CB1F2B"/>
    <w:rsid w:val="00E86596"/>
    <w:rsid w:val="00F12190"/>
    <w:rsid w:val="00F85C71"/>
    <w:rsid w:val="00FC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302A"/>
  <w15:chartTrackingRefBased/>
  <w15:docId w15:val="{C91EB7E8-A6FB-44E0-B709-B62F28A3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7E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10D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0D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0D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0DB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0DB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0D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0D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0D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0D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DB6"/>
    <w:rPr>
      <w:rFonts w:eastAsiaTheme="majorEastAsia" w:cstheme="majorBidi"/>
      <w:color w:val="272727" w:themeColor="text1" w:themeTint="D8"/>
    </w:rPr>
  </w:style>
  <w:style w:type="paragraph" w:styleId="Title">
    <w:name w:val="Title"/>
    <w:basedOn w:val="Normal"/>
    <w:next w:val="Normal"/>
    <w:link w:val="TitleChar"/>
    <w:uiPriority w:val="10"/>
    <w:qFormat/>
    <w:rsid w:val="00810D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0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D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0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DB6"/>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10DB6"/>
    <w:rPr>
      <w:i/>
      <w:iCs/>
      <w:color w:val="404040" w:themeColor="text1" w:themeTint="BF"/>
    </w:rPr>
  </w:style>
  <w:style w:type="paragraph" w:styleId="ListParagraph">
    <w:name w:val="List Paragraph"/>
    <w:basedOn w:val="Normal"/>
    <w:uiPriority w:val="34"/>
    <w:qFormat/>
    <w:rsid w:val="00810DB6"/>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810DB6"/>
    <w:rPr>
      <w:i/>
      <w:iCs/>
      <w:color w:val="0F4761" w:themeColor="accent1" w:themeShade="BF"/>
    </w:rPr>
  </w:style>
  <w:style w:type="paragraph" w:styleId="IntenseQuote">
    <w:name w:val="Intense Quote"/>
    <w:basedOn w:val="Normal"/>
    <w:next w:val="Normal"/>
    <w:link w:val="IntenseQuoteChar"/>
    <w:uiPriority w:val="30"/>
    <w:qFormat/>
    <w:rsid w:val="00810D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10DB6"/>
    <w:rPr>
      <w:i/>
      <w:iCs/>
      <w:color w:val="0F4761" w:themeColor="accent1" w:themeShade="BF"/>
    </w:rPr>
  </w:style>
  <w:style w:type="character" w:styleId="IntenseReference">
    <w:name w:val="Intense Reference"/>
    <w:basedOn w:val="DefaultParagraphFont"/>
    <w:uiPriority w:val="32"/>
    <w:qFormat/>
    <w:rsid w:val="00810DB6"/>
    <w:rPr>
      <w:b/>
      <w:bCs/>
      <w:smallCaps/>
      <w:color w:val="0F4761" w:themeColor="accent1" w:themeShade="BF"/>
      <w:spacing w:val="5"/>
    </w:rPr>
  </w:style>
  <w:style w:type="paragraph" w:styleId="Header">
    <w:name w:val="header"/>
    <w:basedOn w:val="Normal"/>
    <w:link w:val="HeaderChar"/>
    <w:uiPriority w:val="99"/>
    <w:unhideWhenUsed/>
    <w:rsid w:val="00FC4A9A"/>
    <w:pPr>
      <w:tabs>
        <w:tab w:val="center" w:pos="4680"/>
        <w:tab w:val="right" w:pos="9360"/>
      </w:tabs>
    </w:pPr>
  </w:style>
  <w:style w:type="character" w:customStyle="1" w:styleId="HeaderChar">
    <w:name w:val="Header Char"/>
    <w:basedOn w:val="DefaultParagraphFont"/>
    <w:link w:val="Header"/>
    <w:uiPriority w:val="99"/>
    <w:rsid w:val="00FC4A9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C4A9A"/>
    <w:pPr>
      <w:tabs>
        <w:tab w:val="center" w:pos="4680"/>
        <w:tab w:val="right" w:pos="9360"/>
      </w:tabs>
    </w:pPr>
  </w:style>
  <w:style w:type="character" w:customStyle="1" w:styleId="FooterChar">
    <w:name w:val="Footer Char"/>
    <w:basedOn w:val="DefaultParagraphFont"/>
    <w:link w:val="Footer"/>
    <w:uiPriority w:val="99"/>
    <w:rsid w:val="00FC4A9A"/>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85C7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haq@med.miami.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2640</Characters>
  <Application>Microsoft Office Word</Application>
  <DocSecurity>0</DocSecurity>
  <Lines>82</Lines>
  <Paragraphs>30</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Yusen</dc:creator>
  <cp:keywords/>
  <dc:description/>
  <cp:lastModifiedBy>Wu, Yusen</cp:lastModifiedBy>
  <cp:revision>7</cp:revision>
  <dcterms:created xsi:type="dcterms:W3CDTF">2026-03-23T12:28:00Z</dcterms:created>
  <dcterms:modified xsi:type="dcterms:W3CDTF">2026-03-23T12:33:00Z</dcterms:modified>
</cp:coreProperties>
</file>