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3984A5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kern w:val="44"/>
          <w:sz w:val="24"/>
          <w:szCs w:val="44"/>
          <w:highlight w:val="none"/>
          <w:lang w:val="en-US" w:eastAsia="zh-CN" w:bidi="ar-SA"/>
        </w:rPr>
      </w:pPr>
      <w:bookmarkStart w:id="0" w:name="OLE_LINK51"/>
      <w:bookmarkStart w:id="1" w:name="OLE_LINK99"/>
      <w:bookmarkStart w:id="2" w:name="OLE_LINK5"/>
      <w:bookmarkStart w:id="3" w:name="OLE_LINK47"/>
      <w:r>
        <w:rPr>
          <w:rFonts w:hint="default" w:ascii="Times New Roman" w:hAnsi="Times New Roman" w:eastAsia="宋体" w:cs="Times New Roman"/>
          <w:b/>
          <w:bCs/>
          <w:kern w:val="44"/>
          <w:sz w:val="28"/>
          <w:szCs w:val="28"/>
          <w:highlight w:val="none"/>
          <w:lang w:val="en-US" w:eastAsia="zh-CN" w:bidi="ar-SA"/>
        </w:rPr>
        <w:t>Bi</w:t>
      </w:r>
      <w:r>
        <w:rPr>
          <w:rFonts w:hint="default" w:ascii="Times New Roman" w:hAnsi="Times New Roman" w:eastAsia="宋体" w:cs="Times New Roman"/>
          <w:b/>
          <w:bCs/>
          <w:kern w:val="44"/>
          <w:sz w:val="28"/>
          <w:szCs w:val="28"/>
          <w:highlight w:val="none"/>
          <w:vertAlign w:val="subscript"/>
          <w:lang w:val="en-US" w:eastAsia="zh-CN" w:bidi="ar-SA"/>
        </w:rPr>
        <w:t>2</w:t>
      </w:r>
      <w:r>
        <w:rPr>
          <w:rFonts w:hint="default" w:ascii="Times New Roman" w:hAnsi="Times New Roman" w:eastAsia="宋体" w:cs="Times New Roman"/>
          <w:b/>
          <w:bCs/>
          <w:kern w:val="44"/>
          <w:sz w:val="28"/>
          <w:szCs w:val="28"/>
          <w:highlight w:val="none"/>
          <w:lang w:val="en-US" w:eastAsia="zh-CN" w:bidi="ar-SA"/>
        </w:rPr>
        <w:t>Fe</w:t>
      </w:r>
      <w:r>
        <w:rPr>
          <w:rFonts w:hint="default" w:ascii="Times New Roman" w:hAnsi="Times New Roman" w:eastAsia="宋体" w:cs="Times New Roman"/>
          <w:b/>
          <w:bCs/>
          <w:kern w:val="44"/>
          <w:sz w:val="28"/>
          <w:szCs w:val="28"/>
          <w:highlight w:val="none"/>
          <w:vertAlign w:val="subscript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/>
          <w:bCs/>
          <w:kern w:val="44"/>
          <w:sz w:val="28"/>
          <w:szCs w:val="28"/>
          <w:highlight w:val="none"/>
          <w:lang w:val="en-US" w:eastAsia="zh-CN" w:bidi="ar-SA"/>
        </w:rPr>
        <w:t>O</w:t>
      </w:r>
      <w:r>
        <w:rPr>
          <w:rFonts w:hint="default" w:ascii="Times New Roman" w:hAnsi="Times New Roman" w:eastAsia="宋体" w:cs="Times New Roman"/>
          <w:b/>
          <w:bCs/>
          <w:kern w:val="44"/>
          <w:sz w:val="28"/>
          <w:szCs w:val="28"/>
          <w:highlight w:val="none"/>
          <w:vertAlign w:val="subscript"/>
          <w:lang w:val="en-US" w:eastAsia="zh-CN" w:bidi="ar-SA"/>
        </w:rPr>
        <w:t>9</w:t>
      </w:r>
      <w:bookmarkEnd w:id="0"/>
      <w:r>
        <w:rPr>
          <w:rFonts w:hint="default" w:ascii="Times New Roman" w:hAnsi="Times New Roman" w:eastAsia="宋体" w:cs="Times New Roman"/>
          <w:b/>
          <w:bCs/>
          <w:kern w:val="44"/>
          <w:sz w:val="28"/>
          <w:szCs w:val="28"/>
          <w:highlight w:val="none"/>
          <w:lang w:val="en-US" w:eastAsia="zh-CN" w:bidi="ar-SA"/>
        </w:rPr>
        <w:t>/</w:t>
      </w:r>
      <w:r>
        <w:rPr>
          <w:rFonts w:hint="eastAsia" w:ascii="Times New Roman" w:hAnsi="Times New Roman" w:eastAsia="宋体" w:cs="Times New Roman"/>
          <w:b/>
          <w:bCs/>
          <w:kern w:val="44"/>
          <w:sz w:val="28"/>
          <w:szCs w:val="28"/>
          <w:highlight w:val="none"/>
          <w:lang w:val="en-US" w:eastAsia="zh-CN" w:bidi="ar-SA"/>
        </w:rPr>
        <w:t xml:space="preserve">reduced </w:t>
      </w:r>
      <w:r>
        <w:rPr>
          <w:rFonts w:hint="default" w:ascii="Times New Roman" w:hAnsi="Times New Roman" w:eastAsia="宋体" w:cs="Times New Roman"/>
          <w:b/>
          <w:bCs/>
          <w:kern w:val="44"/>
          <w:sz w:val="28"/>
          <w:szCs w:val="28"/>
          <w:highlight w:val="none"/>
          <w:lang w:val="en-US" w:eastAsia="zh-CN" w:bidi="ar-SA"/>
        </w:rPr>
        <w:t xml:space="preserve">graphene oxide </w:t>
      </w:r>
      <w:r>
        <w:rPr>
          <w:rFonts w:hint="eastAsia" w:ascii="Times New Roman" w:hAnsi="Times New Roman" w:eastAsia="宋体" w:cs="Times New Roman"/>
          <w:b/>
          <w:bCs/>
          <w:kern w:val="44"/>
          <w:sz w:val="28"/>
          <w:szCs w:val="28"/>
          <w:highlight w:val="none"/>
          <w:lang w:val="en-US" w:eastAsia="zh-CN" w:bidi="ar-SA"/>
        </w:rPr>
        <w:t>nano</w:t>
      </w:r>
      <w:r>
        <w:rPr>
          <w:rFonts w:hint="default" w:ascii="Times New Roman" w:hAnsi="Times New Roman" w:eastAsia="宋体" w:cs="Times New Roman"/>
          <w:b/>
          <w:bCs/>
          <w:kern w:val="44"/>
          <w:sz w:val="28"/>
          <w:szCs w:val="28"/>
          <w:highlight w:val="none"/>
          <w:lang w:val="en-US" w:eastAsia="zh-CN" w:bidi="ar-SA"/>
        </w:rPr>
        <w:t>composite</w:t>
      </w:r>
      <w:bookmarkEnd w:id="1"/>
      <w:r>
        <w:rPr>
          <w:rFonts w:hint="eastAsia" w:ascii="Times New Roman" w:hAnsi="Times New Roman" w:eastAsia="宋体" w:cs="Times New Roman"/>
          <w:b/>
          <w:bCs/>
          <w:kern w:val="44"/>
          <w:sz w:val="28"/>
          <w:szCs w:val="28"/>
          <w:highlight w:val="none"/>
          <w:lang w:val="en-US" w:eastAsia="zh-CN" w:bidi="ar-SA"/>
        </w:rPr>
        <w:t>s</w:t>
      </w:r>
      <w:r>
        <w:rPr>
          <w:rFonts w:hint="default" w:ascii="Times New Roman" w:hAnsi="Times New Roman" w:eastAsia="宋体" w:cs="Times New Roman"/>
          <w:b/>
          <w:bCs/>
          <w:kern w:val="44"/>
          <w:sz w:val="28"/>
          <w:szCs w:val="28"/>
          <w:highlight w:val="none"/>
          <w:lang w:val="en-US" w:eastAsia="zh-CN" w:bidi="ar-SA"/>
        </w:rPr>
        <w:t xml:space="preserve"> with enhanced peroxidase activity for</w:t>
      </w:r>
      <w:r>
        <w:rPr>
          <w:rFonts w:hint="eastAsia" w:ascii="Times New Roman" w:hAnsi="Times New Roman" w:eastAsia="宋体" w:cs="Times New Roman"/>
          <w:b/>
          <w:bCs/>
          <w:kern w:val="44"/>
          <w:sz w:val="28"/>
          <w:szCs w:val="28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kern w:val="44"/>
          <w:sz w:val="28"/>
          <w:szCs w:val="28"/>
          <w:highlight w:val="none"/>
          <w:lang w:val="en-US" w:eastAsia="zh-CN" w:bidi="ar-SA"/>
        </w:rPr>
        <w:t>sensitive</w:t>
      </w:r>
      <w:r>
        <w:rPr>
          <w:rFonts w:hint="eastAsia" w:ascii="Times New Roman" w:hAnsi="Times New Roman" w:eastAsia="宋体" w:cs="Times New Roman"/>
          <w:b/>
          <w:bCs/>
          <w:kern w:val="44"/>
          <w:sz w:val="28"/>
          <w:szCs w:val="28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kern w:val="44"/>
          <w:sz w:val="28"/>
          <w:szCs w:val="28"/>
          <w:highlight w:val="none"/>
          <w:lang w:val="en-IN" w:eastAsia="zh-CN" w:bidi="ar-SA"/>
        </w:rPr>
        <w:t>glutathione</w:t>
      </w:r>
      <w:r>
        <w:rPr>
          <w:rFonts w:hint="default" w:ascii="Times New Roman" w:hAnsi="Times New Roman" w:eastAsia="宋体" w:cs="Times New Roman"/>
          <w:b/>
          <w:bCs/>
          <w:kern w:val="44"/>
          <w:sz w:val="28"/>
          <w:szCs w:val="28"/>
          <w:highlight w:val="none"/>
          <w:lang w:val="en-US" w:eastAsia="zh-CN" w:bidi="ar-SA"/>
        </w:rPr>
        <w:t xml:space="preserve"> detection</w:t>
      </w:r>
      <w:r>
        <w:rPr>
          <w:rFonts w:hint="default" w:ascii="Times New Roman" w:hAnsi="Times New Roman" w:eastAsia="宋体" w:cs="Times New Roman"/>
          <w:b/>
          <w:bCs/>
          <w:kern w:val="44"/>
          <w:sz w:val="24"/>
          <w:szCs w:val="44"/>
          <w:highlight w:val="none"/>
          <w:lang w:val="en-US" w:eastAsia="zh-CN" w:bidi="ar-SA"/>
        </w:rPr>
        <w:t xml:space="preserve"> </w:t>
      </w:r>
    </w:p>
    <w:p w14:paraId="4E9FA8BA">
      <w:pPr>
        <w:widowControl w:val="0"/>
        <w:spacing w:after="0" w:line="360" w:lineRule="auto"/>
        <w:ind w:firstLine="480" w:firstLineChars="200"/>
        <w:jc w:val="both"/>
        <w:rPr>
          <w:rFonts w:hint="eastAsia" w:ascii="Times New Roman" w:hAnsi="Times New Roman" w:eastAsia="Times New Roman" w:cs="Times New Roman"/>
          <w:kern w:val="2"/>
          <w:sz w:val="24"/>
          <w:highlight w:val="none"/>
          <w:lang w:eastAsia="zh-CN"/>
        </w:rPr>
      </w:pPr>
    </w:p>
    <w:p w14:paraId="3F28F2CA">
      <w:pPr>
        <w:widowControl w:val="0"/>
        <w:spacing w:after="0" w:line="480" w:lineRule="auto"/>
        <w:ind w:firstLine="0" w:firstLineChars="0"/>
        <w:jc w:val="both"/>
        <w:rPr>
          <w:rFonts w:hint="default" w:ascii="Times New Roman" w:hAnsi="Times New Roman" w:eastAsia="宋体" w:cs="Times New Roman"/>
          <w:kern w:val="2"/>
          <w:sz w:val="24"/>
          <w:szCs w:val="21"/>
          <w:highlight w:val="none"/>
          <w:vertAlign w:val="superscript"/>
          <w:lang w:val="en-US" w:eastAsia="zh-CN"/>
        </w:rPr>
      </w:pPr>
      <w:bookmarkStart w:id="4" w:name="OLE_LINK108"/>
      <w:bookmarkStart w:id="5" w:name="OLE_LINK109"/>
      <w:bookmarkStart w:id="6" w:name="OLE_LINK82"/>
      <w:bookmarkStart w:id="7" w:name="OLE_LINK81"/>
      <w:r>
        <w:rPr>
          <w:rFonts w:hint="default" w:ascii="Times New Roman" w:hAnsi="Times New Roman" w:eastAsia="Times New Roman" w:cs="Times New Roman"/>
          <w:kern w:val="2"/>
          <w:sz w:val="24"/>
          <w:szCs w:val="21"/>
          <w:highlight w:val="none"/>
          <w:lang w:eastAsia="zh-CN"/>
        </w:rPr>
        <w:t>Jinxiu Guo</w:t>
      </w:r>
      <w:bookmarkStart w:id="8" w:name="OLE_LINK83"/>
      <w:r>
        <w:rPr>
          <w:rFonts w:ascii="Times New Roman" w:hAnsi="Times New Roman" w:eastAsia="Times New Roman" w:cs="Times New Roman"/>
          <w:color w:val="000000"/>
          <w:kern w:val="2"/>
          <w:sz w:val="24"/>
          <w:szCs w:val="24"/>
          <w:highlight w:val="none"/>
          <w:vertAlign w:val="superscript"/>
          <w:lang w:eastAsia="zh-CN"/>
        </w:rPr>
        <w:t>a</w:t>
      </w:r>
      <w:bookmarkEnd w:id="8"/>
      <w:r>
        <w:rPr>
          <w:rFonts w:ascii="Times New Roman" w:hAnsi="Times New Roman" w:eastAsia="Times New Roman" w:cs="Times New Roman"/>
          <w:color w:val="000000"/>
          <w:kern w:val="2"/>
          <w:sz w:val="24"/>
          <w:szCs w:val="24"/>
          <w:highlight w:val="none"/>
          <w:vertAlign w:val="superscript"/>
          <w:lang w:eastAsia="zh-CN"/>
        </w:rPr>
        <w:t>,</w:t>
      </w:r>
      <w:r>
        <w:rPr>
          <w:rFonts w:hint="eastAsia" w:ascii="Times New Roman" w:hAnsi="Times New Roman" w:eastAsia="宋体" w:cs="Times New Roman"/>
          <w:color w:val="000000"/>
          <w:kern w:val="2"/>
          <w:sz w:val="24"/>
          <w:szCs w:val="24"/>
          <w:highlight w:val="none"/>
          <w:vertAlign w:val="superscript"/>
          <w:lang w:val="en-US" w:eastAsia="zh-CN"/>
        </w:rPr>
        <w:t xml:space="preserve"> b, </w:t>
      </w:r>
      <w:r>
        <w:rPr>
          <w:rFonts w:hint="default" w:ascii="Times New Roman" w:hAnsi="Times New Roman" w:eastAsia="Times New Roman" w:cs="Times New Roman"/>
          <w:kern w:val="2"/>
          <w:sz w:val="24"/>
          <w:szCs w:val="21"/>
          <w:highlight w:val="none"/>
          <w:vertAlign w:val="superscript"/>
          <w:lang w:eastAsia="zh-CN"/>
        </w:rPr>
        <w:t>*</w:t>
      </w:r>
      <w:r>
        <w:rPr>
          <w:rFonts w:hint="eastAsia" w:ascii="Times New Roman" w:hAnsi="Times New Roman" w:eastAsia="宋体" w:cs="Times New Roman"/>
          <w:kern w:val="2"/>
          <w:sz w:val="24"/>
          <w:szCs w:val="21"/>
          <w:highlight w:val="none"/>
          <w:lang w:val="en-US" w:eastAsia="zh-CN"/>
        </w:rPr>
        <w:t>,</w:t>
      </w:r>
      <w:r>
        <w:rPr>
          <w:rFonts w:hint="default" w:ascii="Times New Roman" w:hAnsi="Times New Roman" w:eastAsia="Times New Roman" w:cs="Times New Roman"/>
          <w:kern w:val="2"/>
          <w:sz w:val="24"/>
          <w:szCs w:val="21"/>
          <w:highlight w:val="none"/>
          <w:lang w:eastAsia="zh-CN"/>
        </w:rPr>
        <w:t xml:space="preserve"> </w:t>
      </w:r>
      <w:r>
        <w:rPr>
          <w:rFonts w:hint="default" w:ascii="Times New Roman" w:hAnsi="Times New Roman" w:eastAsia="宋体" w:cs="Times New Roman"/>
          <w:kern w:val="2"/>
          <w:sz w:val="24"/>
          <w:szCs w:val="21"/>
          <w:highlight w:val="none"/>
          <w:lang w:val="en-US" w:eastAsia="zh-CN"/>
        </w:rPr>
        <w:t>Haozhe Jia</w:t>
      </w:r>
      <w:bookmarkStart w:id="9" w:name="OLE_LINK49"/>
      <w:r>
        <w:rPr>
          <w:rFonts w:hint="eastAsia" w:ascii="Times New Roman" w:hAnsi="Times New Roman" w:eastAsia="宋体" w:cs="Times New Roman"/>
          <w:color w:val="000000"/>
          <w:kern w:val="2"/>
          <w:sz w:val="24"/>
          <w:szCs w:val="24"/>
          <w:highlight w:val="none"/>
          <w:vertAlign w:val="superscript"/>
          <w:lang w:val="en-US" w:eastAsia="zh-CN"/>
        </w:rPr>
        <w:t>a, c</w:t>
      </w:r>
      <w:r>
        <w:rPr>
          <w:rFonts w:hint="default" w:ascii="Times New Roman" w:hAnsi="Times New Roman" w:eastAsia="宋体" w:cs="Times New Roman"/>
          <w:kern w:val="2"/>
          <w:sz w:val="24"/>
          <w:szCs w:val="21"/>
          <w:highlight w:val="none"/>
          <w:lang w:eastAsia="zh-CN"/>
        </w:rPr>
        <w:t>,</w:t>
      </w:r>
      <w:bookmarkEnd w:id="9"/>
      <w:r>
        <w:rPr>
          <w:rFonts w:hint="eastAsia" w:ascii="Times New Roman" w:hAnsi="Times New Roman" w:eastAsia="宋体" w:cs="Times New Roman"/>
          <w:kern w:val="2"/>
          <w:sz w:val="24"/>
          <w:szCs w:val="21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kern w:val="2"/>
          <w:sz w:val="24"/>
          <w:szCs w:val="24"/>
          <w:highlight w:val="none"/>
          <w:vertAlign w:val="baseline"/>
          <w:lang w:val="en-US" w:eastAsia="zh-CN"/>
        </w:rPr>
        <w:t>Runtian Ma</w:t>
      </w:r>
      <w:r>
        <w:rPr>
          <w:rFonts w:ascii="Times New Roman" w:hAnsi="Times New Roman" w:eastAsia="Times New Roman" w:cs="Times New Roman"/>
          <w:color w:val="000000"/>
          <w:kern w:val="2"/>
          <w:sz w:val="24"/>
          <w:szCs w:val="24"/>
          <w:highlight w:val="none"/>
          <w:vertAlign w:val="superscript"/>
          <w:lang w:eastAsia="zh-CN"/>
        </w:rPr>
        <w:t>a</w:t>
      </w:r>
      <w:r>
        <w:rPr>
          <w:rFonts w:hint="eastAsia" w:ascii="Times New Roman" w:hAnsi="Times New Roman" w:eastAsia="宋体" w:cs="Times New Roman"/>
          <w:color w:val="000000"/>
          <w:kern w:val="2"/>
          <w:sz w:val="24"/>
          <w:szCs w:val="24"/>
          <w:highlight w:val="none"/>
          <w:vertAlign w:val="superscript"/>
          <w:lang w:val="en-US" w:eastAsia="zh-CN"/>
        </w:rPr>
        <w:t>, b</w:t>
      </w:r>
      <w:r>
        <w:rPr>
          <w:rFonts w:hint="eastAsia" w:ascii="Times New Roman" w:hAnsi="Times New Roman" w:eastAsia="宋体" w:cs="Times New Roman"/>
          <w:kern w:val="2"/>
          <w:sz w:val="24"/>
          <w:szCs w:val="21"/>
          <w:highlight w:val="none"/>
          <w:lang w:val="en-US" w:eastAsia="zh-CN"/>
        </w:rPr>
        <w:t>, Zuoxiang Ma</w:t>
      </w:r>
      <w:r>
        <w:rPr>
          <w:rFonts w:hint="eastAsia" w:ascii="Times New Roman" w:hAnsi="Times New Roman" w:eastAsia="宋体" w:cs="Times New Roman"/>
          <w:kern w:val="2"/>
          <w:sz w:val="24"/>
          <w:szCs w:val="21"/>
          <w:highlight w:val="none"/>
          <w:vertAlign w:val="superscript"/>
          <w:lang w:val="en-US" w:eastAsia="zh-CN"/>
        </w:rPr>
        <w:t>a</w:t>
      </w:r>
      <w:r>
        <w:rPr>
          <w:rFonts w:hint="eastAsia" w:ascii="Times New Roman" w:hAnsi="Times New Roman" w:eastAsia="宋体" w:cs="Times New Roman"/>
          <w:kern w:val="2"/>
          <w:sz w:val="24"/>
          <w:szCs w:val="21"/>
          <w:highlight w:val="none"/>
          <w:lang w:val="en-US" w:eastAsia="zh-CN"/>
        </w:rPr>
        <w:t>, Yanjun Cui</w:t>
      </w:r>
      <w:r>
        <w:rPr>
          <w:rFonts w:ascii="Times New Roman" w:hAnsi="Times New Roman" w:eastAsia="Times New Roman" w:cs="Times New Roman"/>
          <w:color w:val="000000"/>
          <w:kern w:val="2"/>
          <w:sz w:val="24"/>
          <w:szCs w:val="24"/>
          <w:highlight w:val="none"/>
          <w:vertAlign w:val="superscript"/>
          <w:lang w:eastAsia="zh-CN"/>
        </w:rPr>
        <w:t>a</w:t>
      </w:r>
      <w:r>
        <w:rPr>
          <w:rFonts w:hint="default" w:ascii="Times New Roman" w:hAnsi="Times New Roman" w:eastAsia="Times New Roman" w:cs="Times New Roman"/>
          <w:kern w:val="2"/>
          <w:sz w:val="24"/>
          <w:szCs w:val="21"/>
          <w:highlight w:val="none"/>
          <w:lang w:eastAsia="zh-CN"/>
        </w:rPr>
        <w:t>,</w:t>
      </w:r>
      <w:r>
        <w:rPr>
          <w:rFonts w:hint="default" w:ascii="Times New Roman" w:hAnsi="Times New Roman" w:eastAsia="宋体" w:cs="Times New Roman"/>
          <w:kern w:val="2"/>
          <w:sz w:val="24"/>
          <w:szCs w:val="21"/>
          <w:highlight w:val="none"/>
          <w:lang w:val="en-US" w:eastAsia="zh-CN"/>
        </w:rPr>
        <w:t xml:space="preserve"> Bing Hu</w:t>
      </w:r>
      <w:r>
        <w:rPr>
          <w:rFonts w:ascii="Times New Roman" w:hAnsi="Times New Roman" w:eastAsia="Times New Roman" w:cs="Times New Roman"/>
          <w:color w:val="000000"/>
          <w:kern w:val="2"/>
          <w:sz w:val="24"/>
          <w:szCs w:val="24"/>
          <w:highlight w:val="none"/>
          <w:vertAlign w:val="superscript"/>
          <w:lang w:eastAsia="zh-CN"/>
        </w:rPr>
        <w:t>a</w:t>
      </w:r>
      <w:r>
        <w:rPr>
          <w:rFonts w:hint="eastAsia" w:ascii="Times New Roman" w:hAnsi="Times New Roman" w:eastAsia="宋体" w:cs="Times New Roman"/>
          <w:kern w:val="2"/>
          <w:sz w:val="24"/>
          <w:szCs w:val="21"/>
          <w:highlight w:val="none"/>
          <w:lang w:val="en-US" w:eastAsia="zh-CN"/>
        </w:rPr>
        <w:t>,</w:t>
      </w:r>
      <w:bookmarkEnd w:id="4"/>
      <w:bookmarkEnd w:id="5"/>
      <w:bookmarkEnd w:id="6"/>
      <w:bookmarkEnd w:id="7"/>
      <w:r>
        <w:rPr>
          <w:rFonts w:hint="eastAsia" w:ascii="Times New Roman" w:hAnsi="Times New Roman" w:eastAsia="宋体" w:cs="Times New Roman"/>
          <w:color w:val="000000"/>
          <w:kern w:val="2"/>
          <w:sz w:val="24"/>
          <w:szCs w:val="24"/>
          <w:highlight w:val="none"/>
          <w:vertAlign w:val="baseline"/>
          <w:lang w:val="en-US" w:eastAsia="zh-CN"/>
        </w:rPr>
        <w:t xml:space="preserve"> Zhifang Zhang</w:t>
      </w:r>
      <w:r>
        <w:rPr>
          <w:rFonts w:ascii="Times New Roman" w:hAnsi="Times New Roman" w:eastAsia="Times New Roman" w:cs="Times New Roman"/>
          <w:color w:val="000000"/>
          <w:kern w:val="2"/>
          <w:sz w:val="24"/>
          <w:szCs w:val="24"/>
          <w:highlight w:val="none"/>
          <w:vertAlign w:val="superscript"/>
          <w:lang w:eastAsia="zh-CN"/>
        </w:rPr>
        <w:t>a</w:t>
      </w:r>
      <w:r>
        <w:rPr>
          <w:rFonts w:hint="eastAsia" w:ascii="Times New Roman" w:hAnsi="Times New Roman" w:eastAsia="宋体" w:cs="Times New Roman"/>
          <w:color w:val="000000"/>
          <w:kern w:val="2"/>
          <w:sz w:val="24"/>
          <w:szCs w:val="24"/>
          <w:highlight w:val="none"/>
          <w:vertAlign w:val="baseline"/>
          <w:lang w:eastAsia="zh-CN"/>
        </w:rPr>
        <w:t>，Haijiao</w:t>
      </w:r>
      <w:r>
        <w:rPr>
          <w:rFonts w:hint="eastAsia" w:ascii="Times New Roman" w:hAnsi="Times New Roman" w:eastAsia="宋体" w:cs="Times New Roman"/>
          <w:color w:val="000000"/>
          <w:kern w:val="2"/>
          <w:sz w:val="24"/>
          <w:szCs w:val="24"/>
          <w:highlight w:val="none"/>
          <w:vertAlign w:val="baseline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kern w:val="2"/>
          <w:sz w:val="24"/>
          <w:szCs w:val="24"/>
          <w:highlight w:val="none"/>
          <w:vertAlign w:val="baseline"/>
          <w:lang w:eastAsia="zh-CN"/>
        </w:rPr>
        <w:t xml:space="preserve">Xie </w:t>
      </w:r>
      <w:r>
        <w:rPr>
          <w:rFonts w:hint="eastAsia" w:ascii="Times New Roman" w:hAnsi="Times New Roman" w:eastAsia="宋体" w:cs="Times New Roman"/>
          <w:color w:val="000000"/>
          <w:kern w:val="2"/>
          <w:sz w:val="24"/>
          <w:szCs w:val="24"/>
          <w:highlight w:val="none"/>
          <w:vertAlign w:val="superscript"/>
          <w:lang w:val="en-US" w:eastAsia="zh-CN"/>
        </w:rPr>
        <w:t>d</w:t>
      </w:r>
    </w:p>
    <w:bookmarkEnd w:id="2"/>
    <w:p w14:paraId="5063D84B">
      <w:pPr>
        <w:widowControl w:val="0"/>
        <w:spacing w:after="0" w:line="480" w:lineRule="auto"/>
        <w:ind w:firstLine="0" w:firstLineChars="0"/>
        <w:jc w:val="both"/>
        <w:rPr>
          <w:rFonts w:ascii="Times New Roman" w:hAnsi="Times New Roman" w:eastAsia="Times New Roman" w:cs="Times New Roman"/>
          <w:kern w:val="2"/>
          <w:sz w:val="24"/>
          <w:szCs w:val="21"/>
          <w:highlight w:val="none"/>
          <w:vertAlign w:val="superscript"/>
          <w:lang w:eastAsia="zh-CN"/>
        </w:rPr>
      </w:pPr>
    </w:p>
    <w:p w14:paraId="42BCAFF5">
      <w:pPr>
        <w:widowControl w:val="0"/>
        <w:spacing w:after="0" w:line="480" w:lineRule="auto"/>
        <w:ind w:firstLine="0" w:firstLineChars="0"/>
        <w:jc w:val="both"/>
        <w:rPr>
          <w:rFonts w:ascii="Times New Roman" w:hAnsi="Times New Roman" w:eastAsia="Times New Roman" w:cs="Times New Roman"/>
          <w:kern w:val="2"/>
          <w:sz w:val="24"/>
          <w:szCs w:val="21"/>
          <w:highlight w:val="none"/>
          <w:lang w:eastAsia="zh-CN"/>
        </w:rPr>
      </w:pPr>
      <w:r>
        <w:rPr>
          <w:rFonts w:ascii="Times New Roman" w:hAnsi="Times New Roman" w:eastAsia="Times New Roman" w:cs="Times New Roman"/>
          <w:color w:val="000000"/>
          <w:kern w:val="2"/>
          <w:sz w:val="24"/>
          <w:szCs w:val="24"/>
          <w:highlight w:val="none"/>
          <w:vertAlign w:val="superscript"/>
          <w:lang w:eastAsia="zh-CN"/>
        </w:rPr>
        <w:t>a</w:t>
      </w:r>
      <w:r>
        <w:rPr>
          <w:rFonts w:hint="eastAsia" w:ascii="Times New Roman" w:hAnsi="Times New Roman" w:eastAsia="宋体" w:cs="Times New Roman"/>
          <w:color w:val="000000"/>
          <w:kern w:val="2"/>
          <w:sz w:val="24"/>
          <w:szCs w:val="24"/>
          <w:highlight w:val="none"/>
          <w:vertAlign w:val="superscript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kern w:val="2"/>
          <w:sz w:val="24"/>
          <w:szCs w:val="21"/>
          <w:highlight w:val="none"/>
          <w:lang w:val="en-US" w:eastAsia="zh-CN"/>
        </w:rPr>
        <w:t>College of Science</w:t>
      </w:r>
      <w:r>
        <w:rPr>
          <w:rFonts w:ascii="Times New Roman" w:hAnsi="Times New Roman" w:eastAsia="Times New Roman" w:cs="Times New Roman"/>
          <w:kern w:val="2"/>
          <w:sz w:val="24"/>
          <w:szCs w:val="21"/>
          <w:highlight w:val="none"/>
          <w:lang w:eastAsia="zh-CN"/>
        </w:rPr>
        <w:t xml:space="preserve">, </w:t>
      </w:r>
      <w:r>
        <w:rPr>
          <w:rFonts w:hint="eastAsia" w:ascii="Times New Roman" w:hAnsi="Times New Roman" w:eastAsia="宋体" w:cs="Times New Roman"/>
          <w:kern w:val="2"/>
          <w:sz w:val="24"/>
          <w:szCs w:val="21"/>
          <w:highlight w:val="none"/>
          <w:lang w:val="en-US" w:eastAsia="zh-CN"/>
        </w:rPr>
        <w:t>Gansu Agricultural</w:t>
      </w:r>
      <w:r>
        <w:rPr>
          <w:rFonts w:ascii="Times New Roman" w:hAnsi="Times New Roman" w:eastAsia="Times New Roman" w:cs="Times New Roman"/>
          <w:kern w:val="2"/>
          <w:sz w:val="24"/>
          <w:szCs w:val="21"/>
          <w:highlight w:val="none"/>
          <w:lang w:eastAsia="zh-CN"/>
        </w:rPr>
        <w:t xml:space="preserve"> University, Lanzhou 7300</w:t>
      </w:r>
      <w:r>
        <w:rPr>
          <w:rFonts w:hint="eastAsia" w:ascii="Times New Roman" w:hAnsi="Times New Roman" w:eastAsia="宋体" w:cs="Times New Roman"/>
          <w:kern w:val="2"/>
          <w:sz w:val="24"/>
          <w:szCs w:val="21"/>
          <w:highlight w:val="none"/>
          <w:lang w:val="en-US" w:eastAsia="zh-CN"/>
        </w:rPr>
        <w:t>7</w:t>
      </w:r>
      <w:r>
        <w:rPr>
          <w:rFonts w:ascii="Times New Roman" w:hAnsi="Times New Roman" w:eastAsia="Times New Roman" w:cs="Times New Roman"/>
          <w:kern w:val="2"/>
          <w:sz w:val="24"/>
          <w:szCs w:val="21"/>
          <w:highlight w:val="none"/>
          <w:lang w:eastAsia="zh-CN"/>
        </w:rPr>
        <w:t>0, China</w:t>
      </w:r>
    </w:p>
    <w:p w14:paraId="020040AF">
      <w:pPr>
        <w:widowControl w:val="0"/>
        <w:spacing w:after="0" w:line="480" w:lineRule="auto"/>
        <w:ind w:firstLine="0" w:firstLineChars="0"/>
        <w:jc w:val="both"/>
        <w:rPr>
          <w:rFonts w:hint="eastAsia" w:ascii="Times New Roman" w:hAnsi="Times New Roman" w:eastAsia="宋体" w:cs="Times New Roman"/>
          <w:color w:val="000000"/>
          <w:kern w:val="2"/>
          <w:sz w:val="24"/>
          <w:szCs w:val="24"/>
          <w:highlight w:val="none"/>
          <w:vertAlign w:val="superscript"/>
          <w:lang w:val="en-US" w:eastAsia="zh-CN"/>
        </w:rPr>
      </w:pPr>
      <w:r>
        <w:rPr>
          <w:rFonts w:hint="eastAsia" w:ascii="Times New Roman" w:hAnsi="Times New Roman" w:eastAsia="宋体" w:cs="Times New Roman"/>
          <w:color w:val="000000"/>
          <w:kern w:val="2"/>
          <w:sz w:val="24"/>
          <w:szCs w:val="24"/>
          <w:highlight w:val="none"/>
          <w:vertAlign w:val="superscript"/>
          <w:lang w:val="en-US" w:eastAsia="zh-CN"/>
        </w:rPr>
        <w:t xml:space="preserve">b </w:t>
      </w:r>
      <w:r>
        <w:rPr>
          <w:rFonts w:hint="eastAsia" w:ascii="Times New Roman" w:hAnsi="Times New Roman" w:eastAsia="宋体" w:cs="Times New Roman"/>
          <w:color w:val="000000"/>
          <w:kern w:val="2"/>
          <w:sz w:val="24"/>
          <w:szCs w:val="24"/>
          <w:highlight w:val="none"/>
          <w:vertAlign w:val="baseline"/>
          <w:lang w:val="en-US" w:eastAsia="zh-CN"/>
        </w:rPr>
        <w:t>Key Laboratory of Eco-functional Polymer Materials, Northwest Normal University, Lanzhou 730070, China</w:t>
      </w:r>
    </w:p>
    <w:p w14:paraId="187B4A4E">
      <w:pPr>
        <w:widowControl w:val="0"/>
        <w:spacing w:after="0" w:line="480" w:lineRule="auto"/>
        <w:ind w:firstLine="0" w:firstLineChars="0"/>
        <w:jc w:val="both"/>
        <w:rPr>
          <w:rFonts w:hint="eastAsia" w:ascii="Times New Roman" w:hAnsi="Times New Roman" w:eastAsia="Times New Roman" w:cs="Times New Roman"/>
          <w:kern w:val="2"/>
          <w:sz w:val="24"/>
          <w:szCs w:val="21"/>
          <w:highlight w:val="none"/>
          <w:lang w:eastAsia="zh-CN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21"/>
          <w:highlight w:val="none"/>
          <w:vertAlign w:val="superscript"/>
          <w:lang w:val="en-US" w:eastAsia="zh-CN"/>
        </w:rPr>
        <w:t xml:space="preserve">c </w:t>
      </w:r>
      <w:r>
        <w:rPr>
          <w:rFonts w:hint="eastAsia" w:ascii="Times New Roman" w:hAnsi="Times New Roman" w:eastAsia="Times New Roman" w:cs="Times New Roman"/>
          <w:kern w:val="2"/>
          <w:sz w:val="24"/>
          <w:szCs w:val="21"/>
          <w:highlight w:val="none"/>
          <w:lang w:eastAsia="zh-CN"/>
        </w:rPr>
        <w:t>School of Chemistry and Chemical Engineering, Southwest Petroleum University, Chengdu</w:t>
      </w:r>
      <w:r>
        <w:rPr>
          <w:rFonts w:hint="eastAsia" w:ascii="Times New Roman" w:hAnsi="Times New Roman" w:eastAsia="宋体" w:cs="Times New Roman"/>
          <w:kern w:val="2"/>
          <w:sz w:val="24"/>
          <w:szCs w:val="21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eastAsia="Times New Roman" w:cs="Times New Roman"/>
          <w:kern w:val="2"/>
          <w:sz w:val="24"/>
          <w:szCs w:val="21"/>
          <w:highlight w:val="none"/>
          <w:lang w:eastAsia="zh-CN"/>
        </w:rPr>
        <w:t>610500, China</w:t>
      </w:r>
    </w:p>
    <w:p w14:paraId="499F0013">
      <w:pPr>
        <w:widowControl w:val="0"/>
        <w:spacing w:after="0" w:line="480" w:lineRule="auto"/>
        <w:ind w:firstLine="0" w:firstLineChars="0"/>
        <w:jc w:val="both"/>
        <w:rPr>
          <w:rFonts w:hint="eastAsia" w:ascii="Times New Roman" w:hAnsi="Times New Roman" w:eastAsia="Times New Roman" w:cs="Times New Roman"/>
          <w:kern w:val="2"/>
          <w:sz w:val="24"/>
          <w:szCs w:val="21"/>
          <w:highlight w:val="none"/>
          <w:lang w:eastAsia="zh-CN"/>
        </w:rPr>
      </w:pPr>
      <w:r>
        <w:rPr>
          <w:rFonts w:hint="eastAsia" w:ascii="Times New Roman" w:hAnsi="Times New Roman" w:eastAsia="Times New Roman" w:cs="Times New Roman"/>
          <w:kern w:val="2"/>
          <w:sz w:val="24"/>
          <w:szCs w:val="21"/>
          <w:highlight w:val="none"/>
          <w:vertAlign w:val="superscript"/>
          <w:lang w:val="en-US" w:eastAsia="zh-CN"/>
        </w:rPr>
        <w:t>d</w:t>
      </w:r>
      <w:r>
        <w:rPr>
          <w:rFonts w:hint="eastAsia" w:ascii="Times New Roman" w:hAnsi="Times New Roman" w:eastAsia="Times New Roman" w:cs="Times New Roman"/>
          <w:kern w:val="2"/>
          <w:sz w:val="24"/>
          <w:szCs w:val="21"/>
          <w:highlight w:val="none"/>
          <w:lang w:val="en-US" w:eastAsia="zh-CN"/>
        </w:rPr>
        <w:t xml:space="preserve"> Hangzhou Yanqu Information Technology Co., Ltd., Hangzhou 310003, </w:t>
      </w:r>
      <w:r>
        <w:rPr>
          <w:rFonts w:hint="eastAsia" w:ascii="Times New Roman" w:hAnsi="Times New Roman" w:eastAsia="宋体" w:cs="Times New Roman"/>
          <w:color w:val="000000"/>
          <w:kern w:val="2"/>
          <w:sz w:val="24"/>
          <w:szCs w:val="24"/>
          <w:highlight w:val="none"/>
          <w:vertAlign w:val="baseline"/>
          <w:lang w:val="en-US" w:eastAsia="zh-CN"/>
        </w:rPr>
        <w:t>China</w:t>
      </w:r>
      <w:bookmarkEnd w:id="3"/>
    </w:p>
    <w:p w14:paraId="74102212">
      <w:pPr>
        <w:widowControl w:val="0"/>
        <w:spacing w:after="0" w:line="480" w:lineRule="auto"/>
        <w:ind w:firstLine="480" w:firstLineChars="200"/>
        <w:jc w:val="both"/>
        <w:rPr>
          <w:rFonts w:hint="eastAsia" w:ascii="Times New Roman" w:hAnsi="Times New Roman" w:eastAsia="Times New Roman" w:cs="Times New Roman"/>
          <w:kern w:val="2"/>
          <w:sz w:val="24"/>
          <w:szCs w:val="21"/>
          <w:lang w:eastAsia="zh-CN"/>
        </w:rPr>
      </w:pPr>
    </w:p>
    <w:p w14:paraId="5CDF6754">
      <w:pPr>
        <w:widowControl w:val="0"/>
        <w:spacing w:after="0" w:line="480" w:lineRule="auto"/>
        <w:ind w:firstLine="480" w:firstLineChars="200"/>
        <w:jc w:val="both"/>
        <w:rPr>
          <w:rFonts w:hint="eastAsia" w:ascii="Times New Roman" w:hAnsi="Times New Roman" w:eastAsia="Times New Roman" w:cs="Times New Roman"/>
          <w:kern w:val="2"/>
          <w:sz w:val="24"/>
          <w:szCs w:val="21"/>
          <w:lang w:eastAsia="zh-CN"/>
        </w:rPr>
      </w:pPr>
    </w:p>
    <w:p w14:paraId="341B8368">
      <w:pPr>
        <w:widowControl w:val="0"/>
        <w:spacing w:after="0" w:line="480" w:lineRule="auto"/>
        <w:ind w:firstLine="480" w:firstLineChars="200"/>
        <w:jc w:val="both"/>
        <w:rPr>
          <w:rFonts w:hint="eastAsia" w:ascii="Times New Roman" w:hAnsi="Times New Roman" w:eastAsia="Times New Roman" w:cs="Times New Roman"/>
          <w:kern w:val="2"/>
          <w:sz w:val="24"/>
          <w:szCs w:val="21"/>
          <w:lang w:eastAsia="zh-CN"/>
        </w:rPr>
      </w:pPr>
    </w:p>
    <w:p w14:paraId="42676C23">
      <w:pPr>
        <w:widowControl w:val="0"/>
        <w:spacing w:after="0" w:line="480" w:lineRule="auto"/>
        <w:ind w:firstLine="0" w:firstLineChars="0"/>
        <w:jc w:val="both"/>
        <w:rPr>
          <w:rFonts w:ascii="Times New Roman" w:hAnsi="Times New Roman" w:eastAsia="Times New Roman" w:cs="Times New Roman"/>
          <w:b/>
          <w:kern w:val="2"/>
          <w:sz w:val="24"/>
          <w:szCs w:val="21"/>
          <w:lang w:eastAsia="zh-CN"/>
        </w:rPr>
      </w:pPr>
      <w:r>
        <w:rPr>
          <w:rFonts w:ascii="Times New Roman" w:hAnsi="Times New Roman" w:eastAsia="Times New Roman" w:cs="Times New Roman"/>
          <w:b/>
          <w:kern w:val="2"/>
          <w:sz w:val="24"/>
          <w:szCs w:val="21"/>
          <w:lang w:eastAsia="zh-CN"/>
        </w:rPr>
        <w:t>Corresponding authors:</w:t>
      </w:r>
    </w:p>
    <w:p w14:paraId="3C4B694D">
      <w:pPr>
        <w:widowControl w:val="0"/>
        <w:spacing w:after="0" w:line="480" w:lineRule="auto"/>
        <w:ind w:firstLine="0" w:firstLineChars="0"/>
        <w:jc w:val="both"/>
        <w:rPr>
          <w:rFonts w:ascii="Times New Roman" w:hAnsi="Times New Roman" w:eastAsia="Times New Roman" w:cs="Times New Roman"/>
          <w:kern w:val="2"/>
          <w:sz w:val="24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21"/>
          <w:lang w:val="en-US" w:eastAsia="zh-CN"/>
        </w:rPr>
        <w:t>Jinxiu</w:t>
      </w:r>
      <w:r>
        <w:rPr>
          <w:rFonts w:ascii="Times New Roman" w:hAnsi="Times New Roman" w:eastAsia="Times New Roman" w:cs="Times New Roman"/>
          <w:kern w:val="2"/>
          <w:sz w:val="24"/>
          <w:szCs w:val="21"/>
          <w:lang w:eastAsia="zh-CN"/>
        </w:rPr>
        <w:t xml:space="preserve"> </w:t>
      </w:r>
      <w:r>
        <w:rPr>
          <w:rFonts w:hint="eastAsia" w:ascii="Times New Roman" w:hAnsi="Times New Roman" w:eastAsia="宋体" w:cs="Times New Roman"/>
          <w:kern w:val="2"/>
          <w:sz w:val="24"/>
          <w:szCs w:val="21"/>
          <w:lang w:val="en-US" w:eastAsia="zh-CN"/>
        </w:rPr>
        <w:t>Guo</w:t>
      </w:r>
      <w:r>
        <w:rPr>
          <w:rFonts w:ascii="Times New Roman" w:hAnsi="Times New Roman" w:eastAsia="Times New Roman" w:cs="Times New Roman"/>
          <w:kern w:val="2"/>
          <w:sz w:val="24"/>
          <w:szCs w:val="21"/>
          <w:lang w:eastAsia="zh-CN"/>
        </w:rPr>
        <w:t xml:space="preserve"> </w:t>
      </w:r>
    </w:p>
    <w:p w14:paraId="08E26625">
      <w:pPr>
        <w:widowControl w:val="0"/>
        <w:spacing w:after="0" w:line="480" w:lineRule="auto"/>
        <w:ind w:firstLine="0" w:firstLineChars="0"/>
        <w:jc w:val="both"/>
        <w:rPr>
          <w:rFonts w:ascii="Times New Roman" w:hAnsi="Times New Roman" w:eastAsia="Times New Roman" w:cs="Times New Roman"/>
          <w:kern w:val="2"/>
          <w:sz w:val="24"/>
          <w:szCs w:val="21"/>
          <w:lang w:eastAsia="zh-CN"/>
        </w:rPr>
      </w:pPr>
      <w:r>
        <w:rPr>
          <w:rFonts w:ascii="Times New Roman" w:hAnsi="Times New Roman" w:eastAsia="Times New Roman" w:cs="Times New Roman"/>
          <w:kern w:val="2"/>
          <w:sz w:val="24"/>
          <w:szCs w:val="21"/>
          <w:lang w:eastAsia="zh-CN"/>
        </w:rPr>
        <w:t xml:space="preserve">E-mail: </w:t>
      </w:r>
      <w:r>
        <w:rPr>
          <w:rFonts w:hint="eastAsia" w:ascii="Times New Roman" w:hAnsi="Times New Roman" w:eastAsia="宋体" w:cs="Times New Roman"/>
          <w:kern w:val="2"/>
          <w:sz w:val="24"/>
          <w:szCs w:val="21"/>
          <w:lang w:val="en-US" w:eastAsia="zh-CN"/>
        </w:rPr>
        <w:t>guojx</w:t>
      </w:r>
      <w:r>
        <w:rPr>
          <w:rFonts w:ascii="Times New Roman" w:hAnsi="Times New Roman" w:eastAsia="Times New Roman" w:cs="Times New Roman"/>
          <w:kern w:val="2"/>
          <w:sz w:val="24"/>
          <w:szCs w:val="21"/>
          <w:lang w:eastAsia="zh-CN"/>
        </w:rPr>
        <w:t>@</w:t>
      </w:r>
      <w:r>
        <w:rPr>
          <w:rFonts w:hint="eastAsia" w:ascii="Times New Roman" w:hAnsi="Times New Roman" w:eastAsia="宋体" w:cs="Times New Roman"/>
          <w:kern w:val="2"/>
          <w:sz w:val="24"/>
          <w:szCs w:val="21"/>
          <w:lang w:val="en-US" w:eastAsia="zh-CN"/>
        </w:rPr>
        <w:t>gsau</w:t>
      </w:r>
      <w:r>
        <w:rPr>
          <w:rFonts w:ascii="Times New Roman" w:hAnsi="Times New Roman" w:eastAsia="Times New Roman" w:cs="Times New Roman"/>
          <w:kern w:val="2"/>
          <w:sz w:val="24"/>
          <w:szCs w:val="21"/>
          <w:lang w:eastAsia="zh-CN"/>
        </w:rPr>
        <w:t>.edu.cn</w:t>
      </w:r>
    </w:p>
    <w:p w14:paraId="7D8D1EBB">
      <w:pPr>
        <w:pStyle w:val="28"/>
        <w:spacing w:before="240" w:after="240" w:line="360" w:lineRule="auto"/>
        <w:jc w:val="center"/>
        <w:rPr>
          <w:i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 w14:paraId="29B37899">
      <w:pPr>
        <w:pStyle w:val="28"/>
        <w:spacing w:before="240" w:after="240" w:line="360" w:lineRule="auto"/>
        <w:jc w:val="center"/>
        <w:rPr>
          <w:i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 w14:paraId="7B164A84">
      <w:pPr>
        <w:pStyle w:val="28"/>
        <w:spacing w:before="240" w:after="240" w:line="360" w:lineRule="auto"/>
        <w:jc w:val="center"/>
        <w:rPr>
          <w:i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 w14:paraId="4E1D16B4">
      <w:pPr>
        <w:pStyle w:val="28"/>
        <w:spacing w:before="240" w:after="240" w:line="360" w:lineRule="auto"/>
        <w:jc w:val="both"/>
        <w:rPr>
          <w:rFonts w:hint="eastAsia" w:eastAsia="宋体"/>
          <w:i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</w:pPr>
    </w:p>
    <w:p w14:paraId="31C9F916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40" w:firstLineChars="200"/>
        <w:jc w:val="both"/>
        <w:rPr>
          <w:rFonts w:hint="default" w:ascii="Times New Roman" w:hAnsi="Times New Roman" w:eastAsia="宋体" w:cs="Times New Roman"/>
          <w:color w:val="00B050"/>
          <w:highlight w:val="yellow"/>
          <w:lang w:val="en-US" w:eastAsia="zh-CN"/>
        </w:rPr>
      </w:pPr>
      <w:bookmarkStart w:id="10" w:name="_Hlk91416090"/>
      <w:r>
        <w:rPr>
          <w:rStyle w:val="16"/>
          <w:color w:val="000000" w:themeColor="text1"/>
          <w:lang w:val="fr-FR"/>
          <w14:textFill>
            <w14:solidFill>
              <w14:schemeClr w14:val="tx1"/>
            </w14:solidFill>
          </w14:textFill>
        </w:rPr>
        <w:br w:type="page"/>
      </w:r>
      <w:bookmarkEnd w:id="10"/>
    </w:p>
    <w:p w14:paraId="46281800">
      <w:pPr>
        <w:spacing w:after="0" w:line="360" w:lineRule="auto"/>
        <w:jc w:val="center"/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924300" cy="2620010"/>
            <wp:effectExtent l="0" t="0" r="0" b="8890"/>
            <wp:docPr id="10" name="图片 10" descr="实物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实物照片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EFBB5">
      <w:pPr>
        <w:spacing w:before="120" w:after="120" w:line="360" w:lineRule="auto"/>
        <w:jc w:val="center"/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lang w:val="en-US" w:eastAsia="zh-CN"/>
        </w:rPr>
      </w:pPr>
      <w:r>
        <w:rPr>
          <w:rFonts w:hint="default" w:ascii="Times New Roman" w:hAnsi="Times New Roman" w:cs="Times New Roman"/>
          <w:b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t>Fig. S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="Times New Roman" w:hAnsi="Times New Roman" w:cs="Times New Roman"/>
          <w:bCs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t xml:space="preserve"> The photo</w:t>
      </w:r>
      <w:r>
        <w:rPr>
          <w:rFonts w:hint="default" w:ascii="Times New Roman" w:hAnsi="Times New Roman" w:eastAsia="宋体" w:cs="Times New Roman"/>
          <w:bCs/>
          <w:color w:val="000000" w:themeColor="text1"/>
          <w:sz w:val="24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  <w:t>graph</w:t>
      </w:r>
      <w:r>
        <w:rPr>
          <w:rFonts w:hint="default" w:ascii="Times New Roman" w:hAnsi="Times New Roman" w:cs="Times New Roman"/>
          <w:bCs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t>s</w:t>
      </w:r>
      <w:r>
        <w:rPr>
          <w:rFonts w:hint="default" w:ascii="Times New Roman" w:hAnsi="Times New Roman" w:eastAsia="宋体" w:cs="Times New Roman"/>
          <w:bCs/>
          <w:color w:val="000000" w:themeColor="text1"/>
          <w:sz w:val="24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  <w:t xml:space="preserve"> of </w:t>
      </w:r>
      <w:r>
        <w:rPr>
          <w:rFonts w:hint="eastAsia" w:ascii="Times New Roman" w:hAnsi="Times New Roman" w:eastAsia="宋体" w:cs="Times New Roman"/>
          <w:bCs/>
          <w:color w:val="000000" w:themeColor="text1"/>
          <w:sz w:val="24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  <w:t xml:space="preserve">(a) 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lang w:val="en-US" w:eastAsia="zh-CN"/>
        </w:rPr>
        <w:t>Bi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vertAlign w:val="subscript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lang w:val="en-US" w:eastAsia="zh-CN"/>
        </w:rPr>
        <w:t>Fe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vertAlign w:val="subscript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lang w:val="en-US" w:eastAsia="zh-CN"/>
        </w:rPr>
        <w:t>O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vertAlign w:val="subscript"/>
          <w:lang w:val="en-US" w:eastAsia="zh-CN"/>
        </w:rPr>
        <w:t>9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lang w:val="en-US" w:eastAsia="zh-CN"/>
        </w:rPr>
        <w:t xml:space="preserve">/rGO-50, </w:t>
      </w:r>
      <w:r>
        <w:rPr>
          <w:rFonts w:hint="eastAsia" w:ascii="Times New Roman" w:hAnsi="Times New Roman" w:eastAsia="宋体" w:cs="Times New Roman"/>
          <w:bCs/>
          <w:color w:val="000000" w:themeColor="text1"/>
          <w:sz w:val="24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  <w:t xml:space="preserve">(b) 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lang w:val="en-US" w:eastAsia="zh-CN"/>
        </w:rPr>
        <w:t>Bi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vertAlign w:val="subscript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lang w:val="en-US" w:eastAsia="zh-CN"/>
        </w:rPr>
        <w:t>Fe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vertAlign w:val="subscript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lang w:val="en-US" w:eastAsia="zh-CN"/>
        </w:rPr>
        <w:t>O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vertAlign w:val="subscript"/>
          <w:lang w:val="en-US" w:eastAsia="zh-CN"/>
        </w:rPr>
        <w:t>9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lang w:val="en-US" w:eastAsia="zh-CN"/>
        </w:rPr>
        <w:t xml:space="preserve">/rGO-100, </w:t>
      </w:r>
      <w:r>
        <w:rPr>
          <w:rFonts w:hint="eastAsia" w:ascii="Times New Roman" w:hAnsi="Times New Roman" w:eastAsia="宋体" w:cs="Times New Roman"/>
          <w:bCs/>
          <w:color w:val="000000" w:themeColor="text1"/>
          <w:sz w:val="24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  <w:t xml:space="preserve">(c) 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lang w:val="en-US" w:eastAsia="zh-CN"/>
        </w:rPr>
        <w:t>Bi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vertAlign w:val="subscript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lang w:val="en-US" w:eastAsia="zh-CN"/>
        </w:rPr>
        <w:t>Fe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vertAlign w:val="subscript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lang w:val="en-US" w:eastAsia="zh-CN"/>
        </w:rPr>
        <w:t>O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vertAlign w:val="subscript"/>
          <w:lang w:val="en-US" w:eastAsia="zh-CN"/>
        </w:rPr>
        <w:t>9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lang w:val="en-US" w:eastAsia="zh-CN"/>
        </w:rPr>
        <w:t xml:space="preserve">/rGO-200 and </w:t>
      </w:r>
      <w:r>
        <w:rPr>
          <w:rFonts w:hint="eastAsia" w:ascii="Times New Roman" w:hAnsi="Times New Roman" w:eastAsia="宋体" w:cs="Times New Roman"/>
          <w:bCs/>
          <w:color w:val="000000" w:themeColor="text1"/>
          <w:sz w:val="24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  <w:t xml:space="preserve">(d) 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lang w:val="en-US" w:eastAsia="zh-CN"/>
        </w:rPr>
        <w:t>Bi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vertAlign w:val="subscript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lang w:val="en-US" w:eastAsia="zh-CN"/>
        </w:rPr>
        <w:t>Fe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vertAlign w:val="subscript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lang w:val="en-US" w:eastAsia="zh-CN"/>
        </w:rPr>
        <w:t>O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vertAlign w:val="subscript"/>
          <w:lang w:val="en-US" w:eastAsia="zh-CN"/>
        </w:rPr>
        <w:t>9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lang w:val="en-US" w:eastAsia="zh-CN"/>
        </w:rPr>
        <w:t>/rGO-400</w:t>
      </w:r>
    </w:p>
    <w:p w14:paraId="49544A2D">
      <w:pPr>
        <w:spacing w:before="120" w:after="120" w:line="360" w:lineRule="auto"/>
        <w:jc w:val="center"/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lang w:val="en-US" w:eastAsia="zh-CN"/>
        </w:rPr>
      </w:pPr>
    </w:p>
    <w:p w14:paraId="0A20878A">
      <w:pPr>
        <w:spacing w:before="120" w:after="120" w:line="360" w:lineRule="auto"/>
        <w:jc w:val="center"/>
        <w:rPr>
          <w:rFonts w:hint="eastAsia" w:ascii="Times New Roman" w:hAnsi="Times New Roman" w:eastAsia="宋体" w:cs="Times New Roman"/>
          <w:bCs/>
          <w:color w:val="000000" w:themeColor="text1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Cs/>
          <w:color w:val="000000" w:themeColor="text1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16905" cy="3155315"/>
            <wp:effectExtent l="0" t="0" r="7620" b="6985"/>
            <wp:docPr id="1" name="图片 1" descr="e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ds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5A8EC">
      <w:pPr>
        <w:spacing w:before="120" w:after="120" w:line="360" w:lineRule="auto"/>
        <w:jc w:val="center"/>
        <w:rPr>
          <w:rFonts w:hint="eastAsia" w:ascii="Times New Roman" w:hAnsi="Times New Roman" w:eastAsia="宋体" w:cs="Times New Roman"/>
          <w:sz w:val="24"/>
          <w:szCs w:val="24"/>
          <w:highlight w:val="none"/>
          <w:u w:val="none"/>
          <w:vertAlign w:val="baseline"/>
          <w:lang w:val="en-US" w:eastAsia="zh-CN"/>
        </w:rPr>
      </w:pPr>
      <w:r>
        <w:rPr>
          <w:rFonts w:hint="default" w:ascii="Times New Roman" w:hAnsi="Times New Roman" w:cs="Times New Roman"/>
          <w:b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t>Fig. S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u w:val="none"/>
          <w:vertAlign w:val="baseline"/>
          <w:lang w:val="en-US" w:eastAsia="zh-CN"/>
        </w:rPr>
        <w:t xml:space="preserve"> (a) SEM image and the corresponding elemental mapping results of Bi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u w:val="none"/>
          <w:vertAlign w:val="subscript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u w:val="none"/>
          <w:vertAlign w:val="baseline"/>
          <w:lang w:val="en-US" w:eastAsia="zh-CN"/>
        </w:rPr>
        <w:t>Fe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u w:val="none"/>
          <w:vertAlign w:val="subscript"/>
          <w:lang w:val="en-US" w:eastAsia="zh-CN"/>
        </w:rPr>
        <w:t>4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u w:val="none"/>
          <w:vertAlign w:val="baseline"/>
          <w:lang w:val="en-US" w:eastAsia="zh-CN"/>
        </w:rPr>
        <w:t>O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u w:val="none"/>
          <w:vertAlign w:val="subscript"/>
          <w:lang w:val="en-US" w:eastAsia="zh-CN"/>
        </w:rPr>
        <w:t>9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u w:val="none"/>
          <w:vertAlign w:val="baseline"/>
          <w:lang w:val="en-US" w:eastAsia="zh-CN"/>
        </w:rPr>
        <w:t>/rGO-100: (b) element overlay, (c)</w:t>
      </w:r>
      <w:r>
        <w:rPr>
          <w:rFonts w:hint="eastAsia" w:eastAsia="宋体" w:cs="Times New Roman"/>
          <w:sz w:val="24"/>
          <w:szCs w:val="24"/>
          <w:highlight w:val="none"/>
          <w:u w:val="none"/>
          <w:vertAlign w:val="baseline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u w:val="none"/>
          <w:vertAlign w:val="baseline"/>
          <w:lang w:val="en-US" w:eastAsia="zh-CN"/>
        </w:rPr>
        <w:t>C, (d)</w:t>
      </w:r>
      <w:r>
        <w:rPr>
          <w:rFonts w:hint="eastAsia" w:eastAsia="宋体" w:cs="Times New Roman"/>
          <w:sz w:val="24"/>
          <w:szCs w:val="24"/>
          <w:highlight w:val="none"/>
          <w:u w:val="none"/>
          <w:vertAlign w:val="baseline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u w:val="none"/>
          <w:vertAlign w:val="baseline"/>
          <w:lang w:val="en-US" w:eastAsia="zh-CN"/>
        </w:rPr>
        <w:t>O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vertAlign w:val="baseline"/>
          <w:lang w:val="en-US" w:eastAsia="zh-CN"/>
        </w:rPr>
        <w:t xml:space="preserve">, 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u w:val="none"/>
          <w:vertAlign w:val="baseline"/>
          <w:lang w:val="en-US" w:eastAsia="zh-CN"/>
        </w:rPr>
        <w:t>(e)</w:t>
      </w:r>
      <w:r>
        <w:rPr>
          <w:rFonts w:hint="eastAsia" w:eastAsia="宋体" w:cs="Times New Roman"/>
          <w:sz w:val="24"/>
          <w:szCs w:val="24"/>
          <w:highlight w:val="none"/>
          <w:u w:val="none"/>
          <w:vertAlign w:val="baseline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u w:val="none"/>
          <w:vertAlign w:val="baseline"/>
          <w:lang w:val="en-US" w:eastAsia="zh-CN"/>
        </w:rPr>
        <w:t>Fe and (f)</w:t>
      </w:r>
      <w:r>
        <w:rPr>
          <w:rFonts w:hint="eastAsia" w:eastAsia="宋体" w:cs="Times New Roman"/>
          <w:sz w:val="24"/>
          <w:szCs w:val="24"/>
          <w:highlight w:val="none"/>
          <w:u w:val="none"/>
          <w:vertAlign w:val="baseline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u w:val="none"/>
          <w:vertAlign w:val="baseline"/>
          <w:lang w:val="en-US" w:eastAsia="zh-CN"/>
        </w:rPr>
        <w:t>Bi</w:t>
      </w:r>
    </w:p>
    <w:p w14:paraId="7847DEFD">
      <w:pPr>
        <w:spacing w:line="360" w:lineRule="auto"/>
        <w:jc w:val="center"/>
        <w:rPr>
          <w:rFonts w:hint="eastAsia" w:eastAsia="宋体" w:asciiTheme="majorBidi" w:hAnsiTheme="majorBidi" w:cstheme="majorBidi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 w:asciiTheme="majorBidi" w:hAnsiTheme="majorBidi" w:cstheme="majorBidi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215765" cy="3522345"/>
            <wp:effectExtent l="0" t="0" r="3810" b="1905"/>
            <wp:docPr id="3" name="图片 3" descr="FT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TIR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5765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98B79">
      <w:pPr>
        <w:spacing w:before="120" w:after="120" w:line="360" w:lineRule="auto"/>
        <w:jc w:val="center"/>
        <w:rPr>
          <w:rFonts w:hint="default" w:ascii="Times New Roman" w:hAnsi="Times New Roman" w:eastAsia="宋体" w:cs="Times New Roman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Fig. S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FTIR spectr</w:t>
      </w:r>
      <w:r>
        <w:rPr>
          <w:rFonts w:hint="eastAsia" w:ascii="Times New Roman" w:hAnsi="Times New Roman" w:eastAsia="宋体" w:cs="Times New Roman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of Bi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Fe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O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9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NP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s</w:t>
      </w:r>
      <w:r>
        <w:rPr>
          <w:rFonts w:hint="eastAsia" w:ascii="Times New Roman" w:hAnsi="Times New Roman" w:eastAsia="宋体" w:cs="Times New Roman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and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Bi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Fe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O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Times New Roman" w:hAnsi="Times New Roman" w:eastAsia="宋体" w:cs="Times New Roman"/>
          <w:bCs/>
          <w:color w:val="000000" w:themeColor="text1"/>
          <w:sz w:val="24"/>
          <w:szCs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/rGO</w:t>
      </w:r>
      <w:r>
        <w:rPr>
          <w:rFonts w:hint="eastAsia" w:ascii="Times New Roman" w:hAnsi="Times New Roman" w:eastAsia="宋体" w:cs="Times New Roman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NCs</w:t>
      </w:r>
    </w:p>
    <w:p w14:paraId="5421E13C">
      <w:pPr>
        <w:spacing w:before="120" w:after="120" w:line="360" w:lineRule="auto"/>
        <w:jc w:val="center"/>
        <w:rPr>
          <w:rFonts w:hint="eastAsia" w:ascii="Times New Roman" w:hAnsi="Times New Roman" w:eastAsia="宋体" w:cs="Times New Roman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714240" cy="3366770"/>
            <wp:effectExtent l="0" t="0" r="635" b="5080"/>
            <wp:docPr id="4" name="图片 4" descr="D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T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14240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D01A5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Fig. S</w:t>
      </w: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TG and DT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G 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curves of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  <w14:textFill>
            <w14:solidFill>
              <w14:schemeClr w14:val="tx1"/>
            </w14:solidFill>
          </w14:textFill>
        </w:rPr>
        <w:t>Bi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  <w14:textFill>
            <w14:solidFill>
              <w14:schemeClr w14:val="tx1"/>
            </w14:solidFill>
          </w14:textFill>
        </w:rPr>
        <w:t>Fe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  <w14:textFill>
            <w14:solidFill>
              <w14:schemeClr w14:val="tx1"/>
            </w14:solidFill>
          </w14:textFill>
        </w:rPr>
        <w:t>O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  <w14:textFill>
            <w14:solidFill>
              <w14:schemeClr w14:val="tx1"/>
            </w14:solidFill>
          </w14:textFill>
        </w:rPr>
        <w:t xml:space="preserve">9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  <w14:textFill>
            <w14:solidFill>
              <w14:schemeClr w14:val="tx1"/>
            </w14:solidFill>
          </w14:textFill>
        </w:rPr>
        <w:t>NPs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and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  <w14:textFill>
            <w14:solidFill>
              <w14:schemeClr w14:val="tx1"/>
            </w14:solidFill>
          </w14:textFill>
        </w:rPr>
        <w:t>Bi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  <w14:textFill>
            <w14:solidFill>
              <w14:schemeClr w14:val="tx1"/>
            </w14:solidFill>
          </w14:textFill>
        </w:rPr>
        <w:t>Fe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  <w14:textFill>
            <w14:solidFill>
              <w14:schemeClr w14:val="tx1"/>
            </w14:solidFill>
          </w14:textFill>
        </w:rPr>
        <w:t>O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/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r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GO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NCs</w:t>
      </w:r>
    </w:p>
    <w:p w14:paraId="16B5BB5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center"/>
        <w:textAlignment w:val="auto"/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 w14:paraId="4FEACA3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center"/>
        <w:textAlignment w:val="auto"/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 w14:paraId="768AC64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center"/>
        <w:textAlignment w:val="auto"/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305935" cy="3485515"/>
            <wp:effectExtent l="0" t="0" r="8890" b="635"/>
            <wp:docPr id="9" name="图片 9" descr="重复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重复性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05935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2CC20">
      <w:pPr>
        <w:spacing w:after="0" w:line="360" w:lineRule="auto"/>
        <w:jc w:val="center"/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Fig. S</w:t>
      </w: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TG and DT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G 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curves of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  <w14:textFill>
            <w14:solidFill>
              <w14:schemeClr w14:val="tx1"/>
            </w14:solidFill>
          </w14:textFill>
        </w:rPr>
        <w:t>Bi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  <w14:textFill>
            <w14:solidFill>
              <w14:schemeClr w14:val="tx1"/>
            </w14:solidFill>
          </w14:textFill>
        </w:rPr>
        <w:t>Fe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  <w14:textFill>
            <w14:solidFill>
              <w14:schemeClr w14:val="tx1"/>
            </w14:solidFill>
          </w14:textFill>
        </w:rPr>
        <w:t>O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  <w14:textFill>
            <w14:solidFill>
              <w14:schemeClr w14:val="tx1"/>
            </w14:solidFill>
          </w14:textFill>
        </w:rPr>
        <w:t xml:space="preserve">9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  <w14:textFill>
            <w14:solidFill>
              <w14:schemeClr w14:val="tx1"/>
            </w14:solidFill>
          </w14:textFill>
        </w:rPr>
        <w:t>NPs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and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  <w14:textFill>
            <w14:solidFill>
              <w14:schemeClr w14:val="tx1"/>
            </w14:solidFill>
          </w14:textFill>
        </w:rPr>
        <w:t>Bi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  <w14:textFill>
            <w14:solidFill>
              <w14:schemeClr w14:val="tx1"/>
            </w14:solidFill>
          </w14:textFill>
        </w:rPr>
        <w:t>Fe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  <w14:textFill>
            <w14:solidFill>
              <w14:schemeClr w14:val="tx1"/>
            </w14:solidFill>
          </w14:textFill>
        </w:rPr>
        <w:t>O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/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r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GO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NCs</w:t>
      </w:r>
    </w:p>
    <w:p w14:paraId="0D74F72C">
      <w:pPr>
        <w:spacing w:after="0" w:line="360" w:lineRule="auto"/>
        <w:jc w:val="center"/>
        <w:rPr>
          <w:rFonts w:hint="eastAsia" w:ascii="Times New Roman" w:hAnsi="Times New Roman" w:eastAsia="宋体" w:cs="Times New Roman"/>
          <w:sz w:val="24"/>
          <w:szCs w:val="24"/>
          <w:highlight w:val="none"/>
          <w:u w:val="none"/>
          <w:vertAlign w:val="baseline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highlight w:val="none"/>
          <w:u w:val="none"/>
          <w:vertAlign w:val="baseline"/>
          <w:lang w:val="en-US" w:eastAsia="zh-CN"/>
        </w:rPr>
        <w:drawing>
          <wp:inline distT="0" distB="0" distL="114300" distR="114300">
            <wp:extent cx="4529455" cy="3774440"/>
            <wp:effectExtent l="0" t="0" r="4445" b="6985"/>
            <wp:docPr id="2" name="图片 2" descr="动力学-符合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动力学-符合前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29455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83D83">
      <w:pPr>
        <w:spacing w:after="0" w:line="360" w:lineRule="auto"/>
        <w:jc w:val="center"/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vertAlign w:val="subscript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u w:val="none"/>
          <w:vertAlign w:val="baseline"/>
          <w:lang w:val="en-US" w:eastAsia="zh-CN"/>
        </w:rPr>
        <w:t xml:space="preserve">Fig. 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  <w:u w:val="none"/>
          <w:vertAlign w:val="baseline"/>
          <w:lang w:val="en-US" w:eastAsia="zh-CN"/>
        </w:rPr>
        <w:t xml:space="preserve">S6 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vertAlign w:val="baseline"/>
          <w:lang w:val="en-US" w:eastAsia="zh-CN"/>
        </w:rPr>
        <w:t>Michaelis-Menten curves of Bi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vertAlign w:val="subscript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vertAlign w:val="baseline"/>
          <w:lang w:val="en-US" w:eastAsia="zh-CN"/>
        </w:rPr>
        <w:t>Fe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vertAlign w:val="subscript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vertAlign w:val="baseline"/>
          <w:lang w:val="en-US" w:eastAsia="zh-CN"/>
        </w:rPr>
        <w:t>O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vertAlign w:val="subscript"/>
          <w:lang w:val="en-US" w:eastAsia="zh-CN"/>
        </w:rPr>
        <w:t>9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u w:val="none"/>
          <w:vertAlign w:val="baseline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vertAlign w:val="baseline"/>
          <w:lang w:val="en-US" w:eastAsia="zh-CN"/>
        </w:rPr>
        <w:t>with (a) TMB and (b) H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vertAlign w:val="subscript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vertAlign w:val="baseline"/>
          <w:lang w:val="en-US" w:eastAsia="zh-CN"/>
        </w:rPr>
        <w:t>O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vertAlign w:val="subscript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vertAlign w:val="baseline"/>
          <w:lang w:val="en-US" w:eastAsia="zh-CN"/>
        </w:rPr>
        <w:t xml:space="preserve"> used as substrate, Lineweaver–Burk plots of Bi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vertAlign w:val="subscript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vertAlign w:val="baseline"/>
          <w:lang w:val="en-US" w:eastAsia="zh-CN"/>
        </w:rPr>
        <w:t>Fe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vertAlign w:val="subscript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vertAlign w:val="baseline"/>
          <w:lang w:val="en-US" w:eastAsia="zh-CN"/>
        </w:rPr>
        <w:t>O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vertAlign w:val="subscript"/>
          <w:lang w:val="en-US" w:eastAsia="zh-CN"/>
        </w:rPr>
        <w:t>9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vertAlign w:val="baseline"/>
          <w:lang w:val="en-US" w:eastAsia="zh-CN"/>
        </w:rPr>
        <w:t xml:space="preserve"> from the activity data of the varied concentration of (c) TMB and (d) H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vertAlign w:val="subscript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vertAlign w:val="baseline"/>
          <w:lang w:val="en-US" w:eastAsia="zh-CN"/>
        </w:rPr>
        <w:t>O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vertAlign w:val="subscript"/>
          <w:lang w:val="en-US" w:eastAsia="zh-CN"/>
        </w:rPr>
        <w:t>2</w:t>
      </w:r>
    </w:p>
    <w:p w14:paraId="2C3192CD">
      <w:pPr>
        <w:spacing w:after="0" w:line="360" w:lineRule="auto"/>
        <w:jc w:val="center"/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vertAlign w:val="subscript"/>
          <w:lang w:val="en-US" w:eastAsia="zh-CN"/>
        </w:rPr>
      </w:pPr>
    </w:p>
    <w:p w14:paraId="7E1DA625">
      <w:pPr>
        <w:ind w:firstLine="0" w:firstLineChars="0"/>
        <w:jc w:val="left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Table </w:t>
      </w:r>
      <w:r>
        <w:rPr>
          <w:rFonts w:hint="eastAsia" w:ascii="Times New Roman" w:hAnsi="Times New Roman" w:eastAsia="宋体" w:cs="Times New Roman"/>
          <w:b/>
          <w:sz w:val="24"/>
          <w:szCs w:val="24"/>
          <w:lang w:val="en-US" w:eastAsia="zh-CN"/>
        </w:rPr>
        <w:t>S1</w:t>
      </w:r>
      <w:r>
        <w:rPr>
          <w:rFonts w:hint="default" w:ascii="Times New Roman" w:hAnsi="Times New Roman" w:eastAsia="宋体" w:cs="Times New Roman"/>
          <w:b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 xml:space="preserve">Comparison of 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k</w:t>
      </w:r>
      <w:r>
        <w:rPr>
          <w:rFonts w:hint="default" w:ascii="Times New Roman" w:hAnsi="Times New Roman" w:cs="Times New Roman"/>
          <w:sz w:val="24"/>
          <w:szCs w:val="24"/>
        </w:rPr>
        <w:t xml:space="preserve">inetic 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p</w:t>
      </w:r>
      <w:r>
        <w:rPr>
          <w:rFonts w:hint="default" w:ascii="Times New Roman" w:hAnsi="Times New Roman" w:cs="Times New Roman"/>
          <w:sz w:val="24"/>
          <w:szCs w:val="24"/>
        </w:rPr>
        <w:t>arameters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of 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vertAlign w:val="baseline"/>
          <w:lang w:val="en-US" w:eastAsia="zh-CN"/>
        </w:rPr>
        <w:t>Bi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vertAlign w:val="subscript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vertAlign w:val="baseline"/>
          <w:lang w:val="en-US" w:eastAsia="zh-CN"/>
        </w:rPr>
        <w:t>Fe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vertAlign w:val="subscript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vertAlign w:val="baseline"/>
          <w:lang w:val="en-US" w:eastAsia="zh-CN"/>
        </w:rPr>
        <w:t>O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vertAlign w:val="subscript"/>
          <w:lang w:val="en-US" w:eastAsia="zh-CN"/>
        </w:rPr>
        <w:t>9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vertAlign w:val="baseline"/>
          <w:lang w:val="en-US" w:eastAsia="zh-CN"/>
        </w:rPr>
        <w:t>/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u w:val="none"/>
          <w:vertAlign w:val="baseline"/>
          <w:lang w:val="en-US" w:eastAsia="zh-CN"/>
        </w:rPr>
        <w:t>r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vertAlign w:val="baseline"/>
          <w:lang w:val="en-US" w:eastAsia="zh-CN"/>
        </w:rPr>
        <w:t xml:space="preserve">GO and </w:t>
      </w:r>
      <w:r>
        <w:rPr>
          <w:rFonts w:hint="default" w:ascii="Times New Roman" w:hAnsi="Times New Roman" w:eastAsia="宋体" w:cs="Times New Roman"/>
          <w:sz w:val="24"/>
          <w:szCs w:val="22"/>
          <w:highlight w:val="none"/>
          <w:u w:val="none"/>
          <w:lang w:val="en-US" w:eastAsia="zh-CN"/>
        </w:rPr>
        <w:t>HRP or other nanozymes</w:t>
      </w:r>
    </w:p>
    <w:tbl>
      <w:tblPr>
        <w:tblStyle w:val="12"/>
        <w:tblW w:w="4996" w:type="pct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54"/>
        <w:gridCol w:w="1363"/>
        <w:gridCol w:w="1363"/>
        <w:gridCol w:w="29"/>
        <w:gridCol w:w="1334"/>
        <w:gridCol w:w="1366"/>
        <w:gridCol w:w="1626"/>
      </w:tblGrid>
      <w:tr w14:paraId="25766C6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567" w:hRule="atLeast"/>
          <w:jc w:val="center"/>
        </w:trPr>
        <w:tc>
          <w:tcPr>
            <w:tcW w:w="1166" w:type="pct"/>
            <w:vMerge w:val="restart"/>
            <w:tcBorders>
              <w:top w:val="single" w:color="auto" w:sz="4" w:space="0"/>
            </w:tcBorders>
            <w:noWrap w:val="0"/>
            <w:vAlign w:val="center"/>
          </w:tcPr>
          <w:p w14:paraId="5F9F70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Catalysts</w:t>
            </w:r>
          </w:p>
        </w:tc>
        <w:tc>
          <w:tcPr>
            <w:tcW w:w="1491" w:type="pct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313C6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K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subscript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 xml:space="preserve"> (mM)</w:t>
            </w:r>
          </w:p>
        </w:tc>
        <w:tc>
          <w:tcPr>
            <w:tcW w:w="1461" w:type="pct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737AA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V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subscript"/>
                <w:lang w:val="en-US" w:eastAsia="zh-CN"/>
              </w:rPr>
              <w:t xml:space="preserve">max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(10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superscript"/>
                <w:lang w:val="en-US" w:eastAsia="zh-CN"/>
              </w:rPr>
              <w:t>-8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 xml:space="preserve"> M·s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superscript"/>
                <w:lang w:val="en-US" w:eastAsia="zh-CN"/>
              </w:rPr>
              <w:t>-1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)</w:t>
            </w:r>
          </w:p>
        </w:tc>
        <w:tc>
          <w:tcPr>
            <w:tcW w:w="880" w:type="pct"/>
            <w:vMerge w:val="restart"/>
            <w:tcBorders>
              <w:top w:val="single" w:color="auto" w:sz="4" w:space="0"/>
            </w:tcBorders>
            <w:noWrap w:val="0"/>
            <w:vAlign w:val="center"/>
          </w:tcPr>
          <w:p w14:paraId="08D4D0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Re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f.</w:t>
            </w:r>
          </w:p>
        </w:tc>
      </w:tr>
      <w:tr w14:paraId="025FDCE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66" w:type="pct"/>
            <w:vMerge w:val="continue"/>
            <w:tcBorders>
              <w:bottom w:val="single" w:color="auto" w:sz="4" w:space="0"/>
            </w:tcBorders>
            <w:noWrap w:val="0"/>
            <w:vAlign w:val="center"/>
          </w:tcPr>
          <w:p w14:paraId="427CFB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37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6F28F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TMB</w:t>
            </w:r>
          </w:p>
        </w:tc>
        <w:tc>
          <w:tcPr>
            <w:tcW w:w="737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 w:val="0"/>
            <w:vAlign w:val="center"/>
          </w:tcPr>
          <w:p w14:paraId="03775D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H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subscript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O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subscript"/>
                <w:lang w:val="en-US" w:eastAsia="zh-CN"/>
              </w:rPr>
              <w:t>2</w:t>
            </w:r>
          </w:p>
        </w:tc>
        <w:tc>
          <w:tcPr>
            <w:tcW w:w="737" w:type="pct"/>
            <w:gridSpan w:val="2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 w:val="0"/>
            <w:vAlign w:val="center"/>
          </w:tcPr>
          <w:p w14:paraId="2726B2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Times New Roman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TMB</w:t>
            </w:r>
          </w:p>
        </w:tc>
        <w:tc>
          <w:tcPr>
            <w:tcW w:w="739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 w:val="0"/>
            <w:vAlign w:val="center"/>
          </w:tcPr>
          <w:p w14:paraId="1B700A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H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subscript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O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subscript"/>
                <w:lang w:val="en-US" w:eastAsia="zh-CN"/>
              </w:rPr>
              <w:t>2</w:t>
            </w:r>
          </w:p>
        </w:tc>
        <w:tc>
          <w:tcPr>
            <w:tcW w:w="880" w:type="pct"/>
            <w:vMerge w:val="continue"/>
            <w:tcBorders>
              <w:bottom w:val="single" w:color="auto" w:sz="4" w:space="0"/>
            </w:tcBorders>
            <w:noWrap w:val="0"/>
            <w:vAlign w:val="center"/>
          </w:tcPr>
          <w:p w14:paraId="3EAAA0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</w:tr>
      <w:tr w14:paraId="28325AE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66" w:type="pct"/>
            <w:tcBorders>
              <w:top w:val="single" w:color="auto" w:sz="4" w:space="0"/>
            </w:tcBorders>
            <w:noWrap w:val="0"/>
            <w:vAlign w:val="center"/>
          </w:tcPr>
          <w:p w14:paraId="0A97DA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HRP</w:t>
            </w:r>
          </w:p>
        </w:tc>
        <w:tc>
          <w:tcPr>
            <w:tcW w:w="737" w:type="pct"/>
            <w:tcBorders>
              <w:top w:val="single" w:color="auto" w:sz="4" w:space="0"/>
            </w:tcBorders>
            <w:noWrap w:val="0"/>
            <w:vAlign w:val="center"/>
          </w:tcPr>
          <w:p w14:paraId="7E5948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0.43</w:t>
            </w:r>
          </w:p>
        </w:tc>
        <w:tc>
          <w:tcPr>
            <w:tcW w:w="737" w:type="pct"/>
            <w:tcBorders>
              <w:top w:val="single" w:color="auto" w:sz="4" w:space="0"/>
            </w:tcBorders>
            <w:shd w:val="clear" w:color="auto" w:fill="auto"/>
            <w:noWrap w:val="0"/>
            <w:vAlign w:val="center"/>
          </w:tcPr>
          <w:p w14:paraId="1EEE34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3.7</w:t>
            </w:r>
          </w:p>
        </w:tc>
        <w:tc>
          <w:tcPr>
            <w:tcW w:w="737" w:type="pct"/>
            <w:gridSpan w:val="2"/>
            <w:tcBorders>
              <w:top w:val="single" w:color="auto" w:sz="4" w:space="0"/>
            </w:tcBorders>
            <w:shd w:val="clear" w:color="auto" w:fill="auto"/>
            <w:noWrap w:val="0"/>
            <w:vAlign w:val="center"/>
          </w:tcPr>
          <w:p w14:paraId="368657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10.00</w:t>
            </w:r>
          </w:p>
        </w:tc>
        <w:tc>
          <w:tcPr>
            <w:tcW w:w="739" w:type="pct"/>
            <w:tcBorders>
              <w:top w:val="single" w:color="auto" w:sz="4" w:space="0"/>
            </w:tcBorders>
            <w:shd w:val="clear" w:color="auto" w:fill="auto"/>
            <w:noWrap w:val="0"/>
            <w:vAlign w:val="center"/>
          </w:tcPr>
          <w:p w14:paraId="68AE89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8.71</w:t>
            </w:r>
          </w:p>
        </w:tc>
        <w:tc>
          <w:tcPr>
            <w:tcW w:w="880" w:type="pct"/>
            <w:tcBorders>
              <w:top w:val="single" w:color="auto" w:sz="4" w:space="0"/>
            </w:tcBorders>
            <w:noWrap w:val="0"/>
            <w:vAlign w:val="center"/>
          </w:tcPr>
          <w:p w14:paraId="3DB557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[</w:t>
            </w: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]</w:t>
            </w:r>
          </w:p>
        </w:tc>
      </w:tr>
      <w:tr w14:paraId="48DF131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66" w:type="pct"/>
            <w:noWrap w:val="0"/>
            <w:vAlign w:val="center"/>
          </w:tcPr>
          <w:p w14:paraId="717FDB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Fe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vertAlign w:val="subscript"/>
              </w:rPr>
              <w:t>3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O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vertAlign w:val="subscript"/>
              </w:rPr>
              <w:t>4</w:t>
            </w:r>
          </w:p>
        </w:tc>
        <w:tc>
          <w:tcPr>
            <w:tcW w:w="737" w:type="pct"/>
            <w:noWrap w:val="0"/>
            <w:vAlign w:val="center"/>
          </w:tcPr>
          <w:p w14:paraId="058E23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0.098</w:t>
            </w:r>
          </w:p>
        </w:tc>
        <w:tc>
          <w:tcPr>
            <w:tcW w:w="737" w:type="pct"/>
            <w:shd w:val="clear" w:color="auto" w:fill="auto"/>
            <w:noWrap w:val="0"/>
            <w:vAlign w:val="center"/>
          </w:tcPr>
          <w:p w14:paraId="7D4601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HAnsi"/>
                <w:color w:val="auto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154</w:t>
            </w:r>
          </w:p>
        </w:tc>
        <w:tc>
          <w:tcPr>
            <w:tcW w:w="737" w:type="pct"/>
            <w:gridSpan w:val="2"/>
            <w:shd w:val="clear" w:color="auto" w:fill="auto"/>
            <w:noWrap w:val="0"/>
            <w:vAlign w:val="center"/>
          </w:tcPr>
          <w:p w14:paraId="0FFD70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3.44</w:t>
            </w:r>
          </w:p>
        </w:tc>
        <w:tc>
          <w:tcPr>
            <w:tcW w:w="739" w:type="pct"/>
            <w:shd w:val="clear" w:color="auto" w:fill="auto"/>
            <w:noWrap w:val="0"/>
            <w:vAlign w:val="center"/>
          </w:tcPr>
          <w:p w14:paraId="40BC90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9.78</w:t>
            </w:r>
          </w:p>
        </w:tc>
        <w:tc>
          <w:tcPr>
            <w:tcW w:w="880" w:type="pct"/>
            <w:noWrap w:val="0"/>
            <w:vAlign w:val="center"/>
          </w:tcPr>
          <w:p w14:paraId="571565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[1]</w:t>
            </w:r>
          </w:p>
        </w:tc>
      </w:tr>
      <w:tr w14:paraId="2239C9D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66" w:type="pct"/>
            <w:shd w:val="clear" w:color="auto" w:fill="auto"/>
            <w:noWrap w:val="0"/>
            <w:vAlign w:val="center"/>
          </w:tcPr>
          <w:p w14:paraId="09E636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GO-Fe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vertAlign w:val="subscript"/>
                <w:lang w:val="en-US" w:eastAsia="zh-CN" w:bidi="ar-SA"/>
              </w:rPr>
              <w:t>3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O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vertAlign w:val="subscript"/>
                <w:lang w:val="en-US" w:eastAsia="zh-CN" w:bidi="ar-SA"/>
              </w:rPr>
              <w:t>4</w:t>
            </w:r>
          </w:p>
        </w:tc>
        <w:tc>
          <w:tcPr>
            <w:tcW w:w="737" w:type="pct"/>
            <w:shd w:val="clear" w:color="auto" w:fill="auto"/>
            <w:noWrap w:val="0"/>
            <w:vAlign w:val="center"/>
          </w:tcPr>
          <w:p w14:paraId="50E7A5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0.43</w:t>
            </w:r>
          </w:p>
        </w:tc>
        <w:tc>
          <w:tcPr>
            <w:tcW w:w="737" w:type="pct"/>
            <w:shd w:val="clear" w:color="auto" w:fill="auto"/>
            <w:noWrap w:val="0"/>
            <w:vAlign w:val="center"/>
          </w:tcPr>
          <w:p w14:paraId="5D75C1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0.71</w:t>
            </w:r>
          </w:p>
        </w:tc>
        <w:tc>
          <w:tcPr>
            <w:tcW w:w="737" w:type="pct"/>
            <w:gridSpan w:val="2"/>
            <w:shd w:val="clear" w:color="auto" w:fill="auto"/>
            <w:noWrap w:val="0"/>
            <w:vAlign w:val="center"/>
          </w:tcPr>
          <w:p w14:paraId="2A49FF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13.08</w:t>
            </w:r>
          </w:p>
        </w:tc>
        <w:tc>
          <w:tcPr>
            <w:tcW w:w="739" w:type="pct"/>
            <w:shd w:val="clear" w:color="auto" w:fill="auto"/>
            <w:noWrap w:val="0"/>
            <w:vAlign w:val="center"/>
          </w:tcPr>
          <w:p w14:paraId="780A7E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5.31</w:t>
            </w:r>
          </w:p>
        </w:tc>
        <w:tc>
          <w:tcPr>
            <w:tcW w:w="880" w:type="pct"/>
            <w:shd w:val="clear" w:color="auto" w:fill="auto"/>
            <w:noWrap w:val="0"/>
            <w:vAlign w:val="center"/>
          </w:tcPr>
          <w:p w14:paraId="093E72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[2]</w:t>
            </w:r>
          </w:p>
        </w:tc>
      </w:tr>
      <w:tr w14:paraId="4A48E6F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66" w:type="pct"/>
            <w:shd w:val="clear" w:color="auto" w:fill="auto"/>
            <w:noWrap w:val="0"/>
            <w:vAlign w:val="center"/>
          </w:tcPr>
          <w:p w14:paraId="670ED9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CoFe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vertAlign w:val="subscript"/>
              </w:rPr>
              <w:t>2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O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vertAlign w:val="subscript"/>
              </w:rPr>
              <w:t>4</w:t>
            </w:r>
          </w:p>
        </w:tc>
        <w:tc>
          <w:tcPr>
            <w:tcW w:w="737" w:type="pct"/>
            <w:shd w:val="clear" w:color="auto" w:fill="auto"/>
            <w:noWrap w:val="0"/>
            <w:vAlign w:val="center"/>
          </w:tcPr>
          <w:p w14:paraId="393564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0.007</w:t>
            </w:r>
          </w:p>
        </w:tc>
        <w:tc>
          <w:tcPr>
            <w:tcW w:w="737" w:type="pct"/>
            <w:shd w:val="clear" w:color="auto" w:fill="auto"/>
            <w:noWrap w:val="0"/>
            <w:vAlign w:val="center"/>
          </w:tcPr>
          <w:p w14:paraId="67998A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0.036</w:t>
            </w:r>
          </w:p>
        </w:tc>
        <w:tc>
          <w:tcPr>
            <w:tcW w:w="737" w:type="pct"/>
            <w:gridSpan w:val="2"/>
            <w:shd w:val="clear" w:color="auto" w:fill="auto"/>
            <w:noWrap w:val="0"/>
            <w:vAlign w:val="center"/>
          </w:tcPr>
          <w:p w14:paraId="504958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vertAlign w:val="superscript"/>
                <w:lang w:val="en-US" w:eastAsia="zh-CN"/>
              </w:rPr>
              <w:t>a</w:t>
            </w:r>
          </w:p>
        </w:tc>
        <w:tc>
          <w:tcPr>
            <w:tcW w:w="739" w:type="pct"/>
            <w:shd w:val="clear" w:color="auto" w:fill="auto"/>
            <w:noWrap w:val="0"/>
            <w:vAlign w:val="center"/>
          </w:tcPr>
          <w:p w14:paraId="1A97EB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-</w:t>
            </w:r>
          </w:p>
        </w:tc>
        <w:tc>
          <w:tcPr>
            <w:tcW w:w="880" w:type="pct"/>
            <w:shd w:val="clear" w:color="auto" w:fill="auto"/>
            <w:noWrap w:val="0"/>
            <w:vAlign w:val="center"/>
          </w:tcPr>
          <w:p w14:paraId="7243F1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[3]</w:t>
            </w:r>
          </w:p>
        </w:tc>
      </w:tr>
      <w:tr w14:paraId="56DE4DE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66" w:type="pct"/>
            <w:shd w:val="clear" w:color="auto" w:fill="auto"/>
            <w:noWrap w:val="0"/>
            <w:vAlign w:val="center"/>
          </w:tcPr>
          <w:p w14:paraId="5324E6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rGO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-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CoFe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vertAlign w:val="subscript"/>
              </w:rPr>
              <w:t>2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O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vertAlign w:val="subscript"/>
              </w:rPr>
              <w:t>4</w:t>
            </w:r>
          </w:p>
        </w:tc>
        <w:tc>
          <w:tcPr>
            <w:tcW w:w="737" w:type="pct"/>
            <w:shd w:val="clear" w:color="auto" w:fill="auto"/>
            <w:noWrap w:val="0"/>
            <w:vAlign w:val="center"/>
          </w:tcPr>
          <w:p w14:paraId="2C6327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0.046</w:t>
            </w:r>
          </w:p>
        </w:tc>
        <w:tc>
          <w:tcPr>
            <w:tcW w:w="737" w:type="pct"/>
            <w:shd w:val="clear" w:color="auto" w:fill="auto"/>
            <w:noWrap w:val="0"/>
            <w:vAlign w:val="center"/>
          </w:tcPr>
          <w:p w14:paraId="30A226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14.72</w:t>
            </w:r>
          </w:p>
        </w:tc>
        <w:tc>
          <w:tcPr>
            <w:tcW w:w="737" w:type="pct"/>
            <w:gridSpan w:val="2"/>
            <w:shd w:val="clear" w:color="auto" w:fill="auto"/>
            <w:noWrap w:val="0"/>
            <w:vAlign w:val="center"/>
          </w:tcPr>
          <w:p w14:paraId="3CE991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1.12</w:t>
            </w:r>
          </w:p>
        </w:tc>
        <w:tc>
          <w:tcPr>
            <w:tcW w:w="739" w:type="pct"/>
            <w:shd w:val="clear" w:color="auto" w:fill="auto"/>
            <w:noWrap w:val="0"/>
            <w:vAlign w:val="center"/>
          </w:tcPr>
          <w:p w14:paraId="78E3D1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21.71</w:t>
            </w:r>
          </w:p>
        </w:tc>
        <w:tc>
          <w:tcPr>
            <w:tcW w:w="880" w:type="pct"/>
            <w:shd w:val="clear" w:color="auto" w:fill="auto"/>
            <w:noWrap w:val="0"/>
            <w:vAlign w:val="center"/>
          </w:tcPr>
          <w:p w14:paraId="108D1D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[4]</w:t>
            </w:r>
          </w:p>
        </w:tc>
      </w:tr>
      <w:tr w14:paraId="3C924EA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66" w:type="pct"/>
            <w:noWrap w:val="0"/>
            <w:vAlign w:val="center"/>
          </w:tcPr>
          <w:p w14:paraId="7D451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ZnFe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vertAlign w:val="subscript"/>
              </w:rPr>
              <w:t>2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O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vertAlign w:val="subscript"/>
              </w:rPr>
              <w:t>4</w:t>
            </w:r>
          </w:p>
        </w:tc>
        <w:tc>
          <w:tcPr>
            <w:tcW w:w="737" w:type="pct"/>
            <w:noWrap w:val="0"/>
            <w:vAlign w:val="center"/>
          </w:tcPr>
          <w:p w14:paraId="488AC0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0.85</w:t>
            </w:r>
          </w:p>
        </w:tc>
        <w:tc>
          <w:tcPr>
            <w:tcW w:w="737" w:type="pct"/>
            <w:shd w:val="clear" w:color="auto" w:fill="auto"/>
            <w:noWrap w:val="0"/>
            <w:vAlign w:val="center"/>
          </w:tcPr>
          <w:p w14:paraId="6C14DE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1.66</w:t>
            </w:r>
          </w:p>
        </w:tc>
        <w:tc>
          <w:tcPr>
            <w:tcW w:w="737" w:type="pct"/>
            <w:gridSpan w:val="2"/>
            <w:shd w:val="clear" w:color="auto" w:fill="auto"/>
            <w:noWrap w:val="0"/>
            <w:vAlign w:val="center"/>
          </w:tcPr>
          <w:p w14:paraId="31E47F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13.31</w:t>
            </w:r>
          </w:p>
        </w:tc>
        <w:tc>
          <w:tcPr>
            <w:tcW w:w="739" w:type="pct"/>
            <w:shd w:val="clear" w:color="auto" w:fill="auto"/>
            <w:noWrap w:val="0"/>
            <w:vAlign w:val="center"/>
          </w:tcPr>
          <w:p w14:paraId="7599A3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7.74</w:t>
            </w:r>
          </w:p>
        </w:tc>
        <w:tc>
          <w:tcPr>
            <w:tcW w:w="880" w:type="pct"/>
            <w:noWrap w:val="0"/>
            <w:vAlign w:val="center"/>
          </w:tcPr>
          <w:p w14:paraId="368B45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[5]</w:t>
            </w:r>
          </w:p>
        </w:tc>
      </w:tr>
      <w:tr w14:paraId="3C7A9EF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66" w:type="pct"/>
            <w:shd w:val="clear" w:color="auto" w:fill="auto"/>
            <w:noWrap w:val="0"/>
            <w:vAlign w:val="center"/>
          </w:tcPr>
          <w:p w14:paraId="2345E1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ZnFe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subscript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O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subscript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/rGO</w:t>
            </w:r>
          </w:p>
        </w:tc>
        <w:tc>
          <w:tcPr>
            <w:tcW w:w="737" w:type="pct"/>
            <w:shd w:val="clear" w:color="auto" w:fill="auto"/>
            <w:noWrap w:val="0"/>
            <w:vAlign w:val="center"/>
          </w:tcPr>
          <w:p w14:paraId="40F3A9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0.12</w:t>
            </w:r>
          </w:p>
        </w:tc>
        <w:tc>
          <w:tcPr>
            <w:tcW w:w="737" w:type="pct"/>
            <w:shd w:val="clear" w:color="auto" w:fill="auto"/>
            <w:noWrap w:val="0"/>
            <w:vAlign w:val="center"/>
          </w:tcPr>
          <w:p w14:paraId="23F498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0.06</w:t>
            </w:r>
          </w:p>
        </w:tc>
        <w:tc>
          <w:tcPr>
            <w:tcW w:w="737" w:type="pct"/>
            <w:gridSpan w:val="2"/>
            <w:shd w:val="clear" w:color="auto" w:fill="auto"/>
            <w:noWrap w:val="0"/>
            <w:vAlign w:val="center"/>
          </w:tcPr>
          <w:p w14:paraId="4DF769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4.15</w:t>
            </w:r>
          </w:p>
        </w:tc>
        <w:tc>
          <w:tcPr>
            <w:tcW w:w="739" w:type="pct"/>
            <w:shd w:val="clear" w:color="auto" w:fill="auto"/>
            <w:noWrap w:val="0"/>
            <w:vAlign w:val="center"/>
          </w:tcPr>
          <w:p w14:paraId="40C331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2.61</w:t>
            </w:r>
          </w:p>
        </w:tc>
        <w:tc>
          <w:tcPr>
            <w:tcW w:w="880" w:type="pct"/>
            <w:shd w:val="clear" w:color="auto" w:fill="auto"/>
            <w:noWrap w:val="0"/>
            <w:vAlign w:val="center"/>
          </w:tcPr>
          <w:p w14:paraId="7D856A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[6]</w:t>
            </w:r>
          </w:p>
        </w:tc>
      </w:tr>
      <w:tr w14:paraId="3752EEE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66" w:type="pct"/>
            <w:shd w:val="clear" w:color="auto" w:fill="auto"/>
            <w:noWrap w:val="0"/>
            <w:vAlign w:val="center"/>
          </w:tcPr>
          <w:p w14:paraId="5DABAC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GO-COOH</w:t>
            </w:r>
          </w:p>
        </w:tc>
        <w:tc>
          <w:tcPr>
            <w:tcW w:w="737" w:type="pct"/>
            <w:shd w:val="clear" w:color="auto" w:fill="auto"/>
            <w:noWrap w:val="0"/>
            <w:vAlign w:val="center"/>
          </w:tcPr>
          <w:p w14:paraId="431E83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0.0237</w:t>
            </w:r>
          </w:p>
        </w:tc>
        <w:tc>
          <w:tcPr>
            <w:tcW w:w="737" w:type="pct"/>
            <w:shd w:val="clear" w:color="auto" w:fill="auto"/>
            <w:noWrap w:val="0"/>
            <w:vAlign w:val="center"/>
          </w:tcPr>
          <w:p w14:paraId="0694BE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3.99</w:t>
            </w:r>
          </w:p>
        </w:tc>
        <w:tc>
          <w:tcPr>
            <w:tcW w:w="737" w:type="pct"/>
            <w:gridSpan w:val="2"/>
            <w:shd w:val="clear" w:color="auto" w:fill="auto"/>
            <w:noWrap w:val="0"/>
            <w:vAlign w:val="center"/>
          </w:tcPr>
          <w:p w14:paraId="0D093C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3.45</w:t>
            </w:r>
          </w:p>
        </w:tc>
        <w:tc>
          <w:tcPr>
            <w:tcW w:w="739" w:type="pct"/>
            <w:shd w:val="clear" w:color="auto" w:fill="auto"/>
            <w:noWrap w:val="0"/>
            <w:vAlign w:val="center"/>
          </w:tcPr>
          <w:p w14:paraId="54F07E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3.85</w:t>
            </w:r>
          </w:p>
        </w:tc>
        <w:tc>
          <w:tcPr>
            <w:tcW w:w="880" w:type="pct"/>
            <w:shd w:val="clear" w:color="auto" w:fill="auto"/>
            <w:noWrap w:val="0"/>
            <w:vAlign w:val="center"/>
          </w:tcPr>
          <w:p w14:paraId="2EBB72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[7]</w:t>
            </w:r>
          </w:p>
        </w:tc>
      </w:tr>
      <w:tr w14:paraId="22EC15A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66" w:type="pct"/>
            <w:noWrap w:val="0"/>
            <w:vAlign w:val="center"/>
          </w:tcPr>
          <w:p w14:paraId="274924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Bi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vertAlign w:val="subscript"/>
              </w:rPr>
              <w:t>2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Fe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vertAlign w:val="subscript"/>
              </w:rPr>
              <w:t>4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O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vertAlign w:val="subscript"/>
              </w:rPr>
              <w:t>9</w:t>
            </w:r>
          </w:p>
        </w:tc>
        <w:tc>
          <w:tcPr>
            <w:tcW w:w="737" w:type="pct"/>
            <w:noWrap w:val="0"/>
            <w:vAlign w:val="center"/>
          </w:tcPr>
          <w:p w14:paraId="029E25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0.07</w:t>
            </w:r>
          </w:p>
        </w:tc>
        <w:tc>
          <w:tcPr>
            <w:tcW w:w="737" w:type="pct"/>
            <w:shd w:val="clear" w:color="auto" w:fill="auto"/>
            <w:noWrap w:val="0"/>
            <w:vAlign w:val="center"/>
          </w:tcPr>
          <w:p w14:paraId="5BAEA2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0.73</w:t>
            </w:r>
          </w:p>
        </w:tc>
        <w:tc>
          <w:tcPr>
            <w:tcW w:w="737" w:type="pct"/>
            <w:gridSpan w:val="2"/>
            <w:shd w:val="clear" w:color="auto" w:fill="auto"/>
            <w:noWrap w:val="0"/>
            <w:vAlign w:val="center"/>
          </w:tcPr>
          <w:p w14:paraId="230B67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2.17</w:t>
            </w:r>
          </w:p>
        </w:tc>
        <w:tc>
          <w:tcPr>
            <w:tcW w:w="739" w:type="pct"/>
            <w:shd w:val="clear" w:color="auto" w:fill="auto"/>
            <w:noWrap w:val="0"/>
            <w:vAlign w:val="center"/>
          </w:tcPr>
          <w:p w14:paraId="7820BA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1.56</w:t>
            </w:r>
          </w:p>
        </w:tc>
        <w:tc>
          <w:tcPr>
            <w:tcW w:w="880" w:type="pct"/>
            <w:noWrap w:val="0"/>
            <w:vAlign w:val="center"/>
          </w:tcPr>
          <w:p w14:paraId="0EF1C5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[8]</w:t>
            </w:r>
          </w:p>
        </w:tc>
      </w:tr>
      <w:tr w14:paraId="0DB9F13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66" w:type="pct"/>
            <w:noWrap w:val="0"/>
            <w:vAlign w:val="center"/>
          </w:tcPr>
          <w:p w14:paraId="3ACB2F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</w:rPr>
              <w:t>Bi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  <w:vertAlign w:val="subscript"/>
              </w:rPr>
              <w:t>2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</w:rPr>
              <w:t>Fe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  <w:vertAlign w:val="subscript"/>
              </w:rPr>
              <w:t>4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</w:rPr>
              <w:t>O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  <w:vertAlign w:val="subscript"/>
              </w:rPr>
              <w:t>9</w:t>
            </w:r>
          </w:p>
        </w:tc>
        <w:tc>
          <w:tcPr>
            <w:tcW w:w="737" w:type="pct"/>
            <w:noWrap w:val="0"/>
            <w:vAlign w:val="center"/>
          </w:tcPr>
          <w:p w14:paraId="7951A4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0.</w:t>
            </w: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42</w:t>
            </w:r>
          </w:p>
        </w:tc>
        <w:tc>
          <w:tcPr>
            <w:tcW w:w="737" w:type="pct"/>
            <w:shd w:val="clear" w:color="auto" w:fill="auto"/>
            <w:noWrap w:val="0"/>
            <w:vAlign w:val="center"/>
          </w:tcPr>
          <w:p w14:paraId="6A9A66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0.</w:t>
            </w: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98</w:t>
            </w:r>
          </w:p>
        </w:tc>
        <w:tc>
          <w:tcPr>
            <w:tcW w:w="737" w:type="pct"/>
            <w:gridSpan w:val="2"/>
            <w:shd w:val="clear" w:color="auto" w:fill="auto"/>
            <w:noWrap w:val="0"/>
            <w:vAlign w:val="center"/>
          </w:tcPr>
          <w:p w14:paraId="731184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  <w:t>2.05</w:t>
            </w:r>
          </w:p>
        </w:tc>
        <w:tc>
          <w:tcPr>
            <w:tcW w:w="739" w:type="pct"/>
            <w:shd w:val="clear" w:color="auto" w:fill="auto"/>
            <w:noWrap w:val="0"/>
            <w:vAlign w:val="center"/>
          </w:tcPr>
          <w:p w14:paraId="02935C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0.82</w:t>
            </w:r>
          </w:p>
        </w:tc>
        <w:tc>
          <w:tcPr>
            <w:tcW w:w="880" w:type="pct"/>
            <w:noWrap w:val="0"/>
            <w:vAlign w:val="center"/>
          </w:tcPr>
          <w:p w14:paraId="744D7F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This work</w:t>
            </w:r>
          </w:p>
        </w:tc>
      </w:tr>
      <w:tr w14:paraId="2F39983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66" w:type="pct"/>
            <w:noWrap w:val="0"/>
            <w:vAlign w:val="center"/>
          </w:tcPr>
          <w:p w14:paraId="58385A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u w:val="none"/>
                <w:vertAlign w:val="baseline"/>
                <w:lang w:val="en-US" w:eastAsia="zh-CN"/>
              </w:rPr>
              <w:t>Bi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u w:val="none"/>
                <w:vertAlign w:val="subscript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u w:val="none"/>
                <w:vertAlign w:val="baseline"/>
                <w:lang w:val="en-US" w:eastAsia="zh-CN"/>
              </w:rPr>
              <w:t>Fe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u w:val="none"/>
                <w:vertAlign w:val="subscript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u w:val="none"/>
                <w:vertAlign w:val="baseline"/>
                <w:lang w:val="en-US" w:eastAsia="zh-CN"/>
              </w:rPr>
              <w:t>O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u w:val="none"/>
                <w:vertAlign w:val="subscript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u w:val="none"/>
                <w:vertAlign w:val="baseline"/>
                <w:lang w:val="en-US" w:eastAsia="zh-CN"/>
              </w:rPr>
              <w:t>/</w:t>
            </w: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u w:val="none"/>
                <w:vertAlign w:val="baseline"/>
                <w:lang w:val="en-US" w:eastAsia="zh-CN"/>
              </w:rPr>
              <w:t>r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u w:val="none"/>
                <w:vertAlign w:val="baseline"/>
                <w:lang w:val="en-US" w:eastAsia="zh-CN"/>
              </w:rPr>
              <w:t>GO</w:t>
            </w:r>
          </w:p>
        </w:tc>
        <w:tc>
          <w:tcPr>
            <w:tcW w:w="737" w:type="pct"/>
            <w:noWrap w:val="0"/>
            <w:vAlign w:val="center"/>
          </w:tcPr>
          <w:p w14:paraId="636A99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0.</w:t>
            </w: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09</w:t>
            </w:r>
          </w:p>
        </w:tc>
        <w:tc>
          <w:tcPr>
            <w:tcW w:w="737" w:type="pct"/>
            <w:shd w:val="clear" w:color="auto" w:fill="auto"/>
            <w:noWrap w:val="0"/>
            <w:vAlign w:val="center"/>
          </w:tcPr>
          <w:p w14:paraId="5F07D4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0.</w:t>
            </w: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24</w:t>
            </w:r>
          </w:p>
        </w:tc>
        <w:tc>
          <w:tcPr>
            <w:tcW w:w="737" w:type="pct"/>
            <w:gridSpan w:val="2"/>
            <w:shd w:val="clear" w:color="auto" w:fill="auto"/>
            <w:noWrap w:val="0"/>
            <w:vAlign w:val="center"/>
          </w:tcPr>
          <w:p w14:paraId="3E5FF7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3.23</w:t>
            </w:r>
          </w:p>
        </w:tc>
        <w:tc>
          <w:tcPr>
            <w:tcW w:w="739" w:type="pct"/>
            <w:shd w:val="clear" w:color="auto" w:fill="auto"/>
            <w:noWrap w:val="0"/>
            <w:vAlign w:val="center"/>
          </w:tcPr>
          <w:p w14:paraId="5A884E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1.93</w:t>
            </w:r>
          </w:p>
        </w:tc>
        <w:tc>
          <w:tcPr>
            <w:tcW w:w="880" w:type="pct"/>
            <w:noWrap w:val="0"/>
            <w:vAlign w:val="center"/>
          </w:tcPr>
          <w:p w14:paraId="7F2A24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This work</w:t>
            </w:r>
          </w:p>
        </w:tc>
      </w:tr>
    </w:tbl>
    <w:p w14:paraId="08FF26E2">
      <w:pPr>
        <w:autoSpaceDE w:val="0"/>
        <w:autoSpaceDN w:val="0"/>
        <w:adjustRightInd w:val="0"/>
        <w:spacing w:line="360" w:lineRule="auto"/>
        <w:jc w:val="both"/>
        <w:rPr>
          <w:rFonts w:hint="default" w:ascii="Times New Roman" w:hAnsi="Times New Roman" w:eastAsia="宋体" w:cs="Times New Roman"/>
          <w:sz w:val="21"/>
          <w:szCs w:val="21"/>
          <w:highlight w:val="none"/>
          <w:u w:val="none"/>
          <w:vertAlign w:val="baseline"/>
          <w:lang w:val="en-US" w:eastAsia="zh-CN"/>
        </w:rPr>
      </w:pPr>
      <w:r>
        <w:rPr>
          <w:rFonts w:hint="eastAsia" w:ascii="Times New Roman" w:hAnsi="Times New Roman" w:eastAsia="宋体" w:cs="Times New Roman"/>
          <w:sz w:val="21"/>
          <w:szCs w:val="21"/>
          <w:highlight w:val="none"/>
          <w:u w:val="none"/>
          <w:vertAlign w:val="superscript"/>
          <w:lang w:val="en-US" w:eastAsia="zh-CN"/>
        </w:rPr>
        <w:t>a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u w:val="none"/>
          <w:vertAlign w:val="baseline"/>
          <w:lang w:val="en-US" w:eastAsia="zh-CN"/>
        </w:rPr>
        <w:t>“</w:t>
      </w:r>
      <w:r>
        <w:rPr>
          <w:rFonts w:hint="eastAsia" w:ascii="Times New Roman" w:hAnsi="Times New Roman" w:eastAsia="宋体" w:cs="Times New Roman"/>
          <w:sz w:val="21"/>
          <w:szCs w:val="21"/>
          <w:highlight w:val="none"/>
          <w:u w:val="none"/>
          <w:vertAlign w:val="baseline"/>
          <w:lang w:val="en-US" w:eastAsia="zh-CN"/>
        </w:rPr>
        <w:t>-” indicates the data were not reported in the cited reference.</w:t>
      </w:r>
    </w:p>
    <w:p w14:paraId="0BE8C21A">
      <w:pPr>
        <w:spacing w:line="360" w:lineRule="auto"/>
        <w:ind w:firstLine="0" w:firstLineChars="0"/>
        <w:jc w:val="left"/>
        <w:rPr>
          <w:rFonts w:hint="default" w:eastAsia="宋体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Table </w:t>
      </w:r>
      <w:r>
        <w:rPr>
          <w:rFonts w:hint="eastAsia" w:ascii="Times New Roman" w:hAnsi="Times New Roman" w:eastAsia="宋体" w:cs="Times New Roman"/>
          <w:b/>
          <w:sz w:val="24"/>
          <w:szCs w:val="24"/>
          <w:lang w:val="en-US" w:eastAsia="zh-CN"/>
        </w:rPr>
        <w:t>S</w:t>
      </w:r>
      <w:r>
        <w:rPr>
          <w:rFonts w:hint="default" w:ascii="Times New Roman" w:hAnsi="Times New Roman" w:eastAsia="宋体" w:cs="Times New Roman"/>
          <w:b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Comparison of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 xml:space="preserve">the analytical performance of 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GSH</w:t>
      </w:r>
      <w:r>
        <w:rPr>
          <w:rFonts w:hint="default" w:ascii="Times New Roman" w:hAnsi="Times New Roman" w:cs="Times New Roman"/>
          <w:sz w:val="24"/>
          <w:szCs w:val="24"/>
        </w:rPr>
        <w:t xml:space="preserve"> with 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vertAlign w:val="baseline"/>
          <w:lang w:val="en-US" w:eastAsia="zh-CN"/>
        </w:rPr>
        <w:t>Bi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vertAlign w:val="subscript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vertAlign w:val="baseline"/>
          <w:lang w:val="en-US" w:eastAsia="zh-CN"/>
        </w:rPr>
        <w:t>Fe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vertAlign w:val="subscript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vertAlign w:val="baseline"/>
          <w:lang w:val="en-US" w:eastAsia="zh-CN"/>
        </w:rPr>
        <w:t>O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vertAlign w:val="subscript"/>
          <w:lang w:val="en-US" w:eastAsia="zh-CN"/>
        </w:rPr>
        <w:t>9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vertAlign w:val="baseline"/>
          <w:lang w:val="en-US" w:eastAsia="zh-CN"/>
        </w:rPr>
        <w:t>/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u w:val="none"/>
          <w:vertAlign w:val="baseline"/>
          <w:lang w:val="en-US" w:eastAsia="zh-CN"/>
        </w:rPr>
        <w:t>r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vertAlign w:val="baseline"/>
          <w:lang w:val="en-US" w:eastAsia="zh-CN"/>
        </w:rPr>
        <w:t>GO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u w:val="none"/>
          <w:vertAlign w:val="baseline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u w:val="none"/>
          <w:vertAlign w:val="baseline"/>
          <w:lang w:val="en-US" w:eastAsia="zh-CN"/>
        </w:rPr>
        <w:t xml:space="preserve">and </w:t>
      </w:r>
      <w:r>
        <w:rPr>
          <w:rFonts w:hint="default" w:ascii="Times New Roman" w:hAnsi="Times New Roman" w:cs="Times New Roman"/>
          <w:sz w:val="24"/>
          <w:szCs w:val="24"/>
        </w:rPr>
        <w:t xml:space="preserve">different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p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eroxidase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mimics</w:t>
      </w:r>
    </w:p>
    <w:tbl>
      <w:tblPr>
        <w:tblStyle w:val="12"/>
        <w:tblW w:w="9214" w:type="dxa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96"/>
        <w:gridCol w:w="2277"/>
        <w:gridCol w:w="2047"/>
        <w:gridCol w:w="1394"/>
      </w:tblGrid>
      <w:tr w14:paraId="59A8C79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496" w:type="dxa"/>
            <w:tcBorders>
              <w:top w:val="single" w:color="auto" w:sz="4" w:space="0"/>
            </w:tcBorders>
            <w:noWrap w:val="0"/>
            <w:vAlign w:val="center"/>
          </w:tcPr>
          <w:p w14:paraId="5A8A0A99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Peroxidase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mimics</w:t>
            </w:r>
          </w:p>
        </w:tc>
        <w:tc>
          <w:tcPr>
            <w:tcW w:w="2277" w:type="dxa"/>
            <w:tcBorders>
              <w:top w:val="single" w:color="auto" w:sz="4" w:space="0"/>
            </w:tcBorders>
            <w:noWrap w:val="0"/>
            <w:vAlign w:val="center"/>
          </w:tcPr>
          <w:p w14:paraId="4A0A7B8C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Linear Range(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μM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)</w:t>
            </w:r>
          </w:p>
        </w:tc>
        <w:tc>
          <w:tcPr>
            <w:tcW w:w="2047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FE2C497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LOD (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n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M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)</w:t>
            </w:r>
          </w:p>
        </w:tc>
        <w:tc>
          <w:tcPr>
            <w:tcW w:w="1394" w:type="dxa"/>
            <w:tcBorders>
              <w:top w:val="single" w:color="auto" w:sz="4" w:space="0"/>
            </w:tcBorders>
            <w:noWrap w:val="0"/>
            <w:vAlign w:val="center"/>
          </w:tcPr>
          <w:p w14:paraId="3F6AAFEA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Re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f.</w:t>
            </w:r>
          </w:p>
        </w:tc>
      </w:tr>
      <w:tr w14:paraId="3262AFA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496" w:type="dxa"/>
            <w:tcBorders>
              <w:top w:val="single" w:color="auto" w:sz="4" w:space="0"/>
            </w:tcBorders>
            <w:shd w:val="clear"/>
            <w:noWrap w:val="0"/>
            <w:vAlign w:val="center"/>
          </w:tcPr>
          <w:p w14:paraId="56F971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pl-PL"/>
              </w:rPr>
              <w:t>Fe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subscript"/>
                <w:lang w:val="pl-PL"/>
              </w:rPr>
              <w:t>3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pl-PL"/>
              </w:rPr>
              <w:t>O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subscript"/>
                <w:lang w:val="pl-PL"/>
              </w:rPr>
              <w:t>4</w:t>
            </w:r>
          </w:p>
        </w:tc>
        <w:tc>
          <w:tcPr>
            <w:tcW w:w="2277" w:type="dxa"/>
            <w:tcBorders>
              <w:top w:val="single" w:color="auto" w:sz="4" w:space="0"/>
            </w:tcBorders>
            <w:shd w:val="clear"/>
            <w:noWrap w:val="0"/>
            <w:vAlign w:val="center"/>
          </w:tcPr>
          <w:p w14:paraId="6AE094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pl-PL"/>
              </w:rPr>
              <w:t>3-30</w:t>
            </w:r>
          </w:p>
        </w:tc>
        <w:tc>
          <w:tcPr>
            <w:tcW w:w="2047" w:type="dxa"/>
            <w:tcBorders>
              <w:top w:val="single" w:color="auto" w:sz="4" w:space="0"/>
            </w:tcBorders>
            <w:shd w:val="clear"/>
            <w:noWrap w:val="0"/>
            <w:vAlign w:val="center"/>
          </w:tcPr>
          <w:p w14:paraId="600C35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vertAlign w:val="superscript"/>
                <w:lang w:val="en-US" w:eastAsia="zh-CN"/>
              </w:rPr>
              <w:t>a</w:t>
            </w:r>
          </w:p>
        </w:tc>
        <w:tc>
          <w:tcPr>
            <w:tcW w:w="1394" w:type="dxa"/>
            <w:tcBorders>
              <w:top w:val="single" w:color="auto" w:sz="4" w:space="0"/>
            </w:tcBorders>
            <w:shd w:val="clear"/>
            <w:noWrap w:val="0"/>
            <w:vAlign w:val="center"/>
          </w:tcPr>
          <w:p w14:paraId="55FD41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Cs/>
                <w:sz w:val="21"/>
                <w:szCs w:val="21"/>
                <w:lang w:val="en-US" w:eastAsia="zh-CN" w:bidi="ar-SA"/>
              </w:rPr>
              <w:t>[9]</w:t>
            </w:r>
          </w:p>
        </w:tc>
      </w:tr>
      <w:tr w14:paraId="5234B8C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496" w:type="dxa"/>
            <w:shd w:val="clear"/>
            <w:noWrap w:val="0"/>
            <w:vAlign w:val="center"/>
          </w:tcPr>
          <w:p w14:paraId="2E6AFE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lang w:val="pl-PL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pl-PL"/>
              </w:rPr>
              <w:t>GO-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pl-PL"/>
              </w:rPr>
              <w:t>Fe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subscript"/>
                <w:lang w:val="pl-PL"/>
              </w:rPr>
              <w:t>3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pl-PL"/>
              </w:rPr>
              <w:t>O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subscript"/>
                <w:lang w:val="pl-PL"/>
              </w:rPr>
              <w:t>4</w:t>
            </w:r>
          </w:p>
        </w:tc>
        <w:tc>
          <w:tcPr>
            <w:tcW w:w="2277" w:type="dxa"/>
            <w:shd w:val="clear"/>
            <w:noWrap w:val="0"/>
            <w:vAlign w:val="center"/>
          </w:tcPr>
          <w:p w14:paraId="1E5E3A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0.1-10</w:t>
            </w:r>
          </w:p>
        </w:tc>
        <w:tc>
          <w:tcPr>
            <w:tcW w:w="2047" w:type="dxa"/>
            <w:shd w:val="clear"/>
            <w:noWrap w:val="0"/>
            <w:vAlign w:val="center"/>
          </w:tcPr>
          <w:p w14:paraId="6269D8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Cs/>
                <w:sz w:val="21"/>
                <w:szCs w:val="21"/>
                <w:lang w:val="en-US" w:eastAsia="zh-CN"/>
              </w:rPr>
              <w:t>9.17</w:t>
            </w:r>
          </w:p>
        </w:tc>
        <w:tc>
          <w:tcPr>
            <w:tcW w:w="1394" w:type="dxa"/>
            <w:shd w:val="clear"/>
            <w:noWrap w:val="0"/>
            <w:vAlign w:val="center"/>
          </w:tcPr>
          <w:p w14:paraId="027859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Cs/>
                <w:sz w:val="21"/>
                <w:szCs w:val="21"/>
                <w:lang w:val="en-US" w:eastAsia="zh-CN"/>
              </w:rPr>
              <w:t>[10]</w:t>
            </w:r>
          </w:p>
        </w:tc>
      </w:tr>
      <w:tr w14:paraId="7291904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496" w:type="dxa"/>
            <w:shd w:val="clear" w:color="auto" w:fill="auto"/>
            <w:noWrap w:val="0"/>
            <w:vAlign w:val="center"/>
          </w:tcPr>
          <w:p w14:paraId="556388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ZnFe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vertAlign w:val="subscript"/>
              </w:rPr>
              <w:t>2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O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vertAlign w:val="subscript"/>
              </w:rPr>
              <w:t>4</w:t>
            </w:r>
            <w:r>
              <w:rPr>
                <w:rFonts w:hint="default" w:ascii="Times New Roman" w:hAnsi="Times New Roman" w:eastAsia="TimesNewRoman" w:cs="Times New Roman"/>
                <w:color w:val="auto"/>
                <w:kern w:val="0"/>
                <w:sz w:val="21"/>
                <w:szCs w:val="21"/>
              </w:rPr>
              <w:t>/rGO</w:t>
            </w:r>
          </w:p>
        </w:tc>
        <w:tc>
          <w:tcPr>
            <w:tcW w:w="2277" w:type="dxa"/>
            <w:shd w:val="clear" w:color="auto" w:fill="auto"/>
            <w:noWrap w:val="0"/>
            <w:vAlign w:val="center"/>
          </w:tcPr>
          <w:p w14:paraId="030462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2-40</w:t>
            </w:r>
          </w:p>
        </w:tc>
        <w:tc>
          <w:tcPr>
            <w:tcW w:w="2047" w:type="dxa"/>
            <w:shd w:val="clear" w:color="auto" w:fill="auto"/>
            <w:noWrap w:val="0"/>
            <w:vAlign w:val="center"/>
          </w:tcPr>
          <w:p w14:paraId="173961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760</w:t>
            </w:r>
          </w:p>
        </w:tc>
        <w:tc>
          <w:tcPr>
            <w:tcW w:w="1394" w:type="dxa"/>
            <w:shd w:val="clear" w:color="auto" w:fill="auto"/>
            <w:noWrap w:val="0"/>
            <w:vAlign w:val="center"/>
          </w:tcPr>
          <w:p w14:paraId="0B379E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[6]</w:t>
            </w:r>
          </w:p>
        </w:tc>
      </w:tr>
      <w:tr w14:paraId="12463D1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496" w:type="dxa"/>
            <w:shd w:val="clear"/>
            <w:noWrap w:val="0"/>
            <w:vAlign w:val="center"/>
          </w:tcPr>
          <w:p w14:paraId="3D27FA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MnCe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vertAlign w:val="subscript"/>
                <w:lang w:val="en-US" w:eastAsia="zh-CN"/>
              </w:rPr>
              <w:t>0.1</w:t>
            </w:r>
          </w:p>
        </w:tc>
        <w:tc>
          <w:tcPr>
            <w:tcW w:w="2277" w:type="dxa"/>
            <w:shd w:val="clear"/>
            <w:noWrap w:val="0"/>
            <w:vAlign w:val="center"/>
          </w:tcPr>
          <w:p w14:paraId="2152E0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2.5-20</w:t>
            </w:r>
          </w:p>
        </w:tc>
        <w:tc>
          <w:tcPr>
            <w:tcW w:w="2047" w:type="dxa"/>
            <w:shd w:val="clear"/>
            <w:noWrap w:val="0"/>
            <w:vAlign w:val="center"/>
          </w:tcPr>
          <w:p w14:paraId="04EB2B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370</w:t>
            </w:r>
          </w:p>
        </w:tc>
        <w:tc>
          <w:tcPr>
            <w:tcW w:w="1394" w:type="dxa"/>
            <w:shd w:val="clear"/>
            <w:noWrap w:val="0"/>
            <w:vAlign w:val="center"/>
          </w:tcPr>
          <w:p w14:paraId="3B51EE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Cs/>
                <w:sz w:val="21"/>
                <w:szCs w:val="21"/>
              </w:rPr>
              <w:t>[1</w:t>
            </w:r>
            <w:r>
              <w:rPr>
                <w:rFonts w:hint="eastAsia" w:ascii="Times New Roman" w:hAnsi="Times New Roman" w:eastAsia="宋体" w:cs="Times New Roman"/>
                <w:bCs/>
                <w:sz w:val="21"/>
                <w:szCs w:val="21"/>
                <w:lang w:val="en-US" w:eastAsia="zh-CN"/>
              </w:rPr>
              <w:t>1</w:t>
            </w:r>
            <w:r>
              <w:rPr>
                <w:rFonts w:hint="default" w:ascii="Times New Roman" w:hAnsi="Times New Roman" w:cs="Times New Roman"/>
                <w:bCs/>
                <w:sz w:val="21"/>
                <w:szCs w:val="21"/>
              </w:rPr>
              <w:t>]</w:t>
            </w:r>
          </w:p>
        </w:tc>
      </w:tr>
      <w:tr w14:paraId="7109646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496" w:type="dxa"/>
            <w:shd w:val="clear"/>
            <w:noWrap w:val="0"/>
            <w:vAlign w:val="center"/>
          </w:tcPr>
          <w:p w14:paraId="603B59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HAnsi"/>
                <w:kern w:val="0"/>
                <w:sz w:val="21"/>
                <w:szCs w:val="21"/>
                <w:lang w:val="en-US" w:eastAsia="zh-CN" w:bidi="ar-SA"/>
              </w:rPr>
              <w:t>Cu@Co-MOFs</w:t>
            </w:r>
          </w:p>
        </w:tc>
        <w:tc>
          <w:tcPr>
            <w:tcW w:w="2277" w:type="dxa"/>
            <w:shd w:val="clear"/>
            <w:noWrap w:val="0"/>
            <w:vAlign w:val="center"/>
          </w:tcPr>
          <w:p w14:paraId="2FE5A6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1-1200</w:t>
            </w:r>
          </w:p>
        </w:tc>
        <w:tc>
          <w:tcPr>
            <w:tcW w:w="2047" w:type="dxa"/>
            <w:shd w:val="clear"/>
            <w:noWrap w:val="0"/>
            <w:vAlign w:val="center"/>
          </w:tcPr>
          <w:p w14:paraId="273463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720</w:t>
            </w:r>
          </w:p>
        </w:tc>
        <w:tc>
          <w:tcPr>
            <w:tcW w:w="1394" w:type="dxa"/>
            <w:shd w:val="clear"/>
            <w:noWrap w:val="0"/>
            <w:vAlign w:val="center"/>
          </w:tcPr>
          <w:p w14:paraId="52EE09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Cs/>
                <w:sz w:val="21"/>
                <w:szCs w:val="21"/>
              </w:rPr>
              <w:t>[1</w:t>
            </w:r>
            <w:r>
              <w:rPr>
                <w:rFonts w:hint="eastAsia" w:ascii="Times New Roman" w:hAnsi="Times New Roman" w:eastAsia="宋体" w:cs="Times New Roman"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default" w:ascii="Times New Roman" w:hAnsi="Times New Roman" w:cs="Times New Roman"/>
                <w:bCs/>
                <w:sz w:val="21"/>
                <w:szCs w:val="21"/>
              </w:rPr>
              <w:t>]</w:t>
            </w:r>
          </w:p>
        </w:tc>
      </w:tr>
      <w:tr w14:paraId="4953186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496" w:type="dxa"/>
            <w:shd w:val="clear"/>
            <w:noWrap w:val="0"/>
            <w:vAlign w:val="center"/>
          </w:tcPr>
          <w:p w14:paraId="0F9984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HAnsi"/>
                <w:bCs/>
                <w:sz w:val="21"/>
                <w:szCs w:val="21"/>
                <w:lang w:val="en-US" w:eastAsia="zh-CN" w:bidi="ar-SA"/>
              </w:rPr>
              <w:t>MOF-Fe(DTNB)</w:t>
            </w:r>
          </w:p>
        </w:tc>
        <w:tc>
          <w:tcPr>
            <w:tcW w:w="2277" w:type="dxa"/>
            <w:shd w:val="clear"/>
            <w:noWrap w:val="0"/>
            <w:vAlign w:val="center"/>
          </w:tcPr>
          <w:p w14:paraId="72E11B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Cs/>
                <w:sz w:val="21"/>
                <w:szCs w:val="21"/>
                <w:lang w:val="en-US" w:eastAsia="zh-CN"/>
              </w:rPr>
              <w:t>0-80</w:t>
            </w:r>
          </w:p>
        </w:tc>
        <w:tc>
          <w:tcPr>
            <w:tcW w:w="2047" w:type="dxa"/>
            <w:shd w:val="clear"/>
            <w:noWrap w:val="0"/>
            <w:vAlign w:val="center"/>
          </w:tcPr>
          <w:p w14:paraId="7429AB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Cs/>
                <w:sz w:val="21"/>
                <w:szCs w:val="21"/>
                <w:lang w:val="en-US" w:eastAsia="zh-CN"/>
              </w:rPr>
              <w:t>280</w:t>
            </w:r>
          </w:p>
        </w:tc>
        <w:tc>
          <w:tcPr>
            <w:tcW w:w="1394" w:type="dxa"/>
            <w:shd w:val="clear"/>
            <w:noWrap w:val="0"/>
            <w:vAlign w:val="center"/>
          </w:tcPr>
          <w:p w14:paraId="730E0E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Cs/>
                <w:sz w:val="21"/>
                <w:szCs w:val="21"/>
              </w:rPr>
              <w:t>[1</w:t>
            </w:r>
            <w:r>
              <w:rPr>
                <w:rFonts w:hint="eastAsia" w:ascii="Times New Roman" w:hAnsi="Times New Roman" w:eastAsia="宋体" w:cs="Times New Roman"/>
                <w:bCs/>
                <w:sz w:val="21"/>
                <w:szCs w:val="21"/>
                <w:lang w:val="en-US" w:eastAsia="zh-CN"/>
              </w:rPr>
              <w:t>3</w:t>
            </w:r>
            <w:r>
              <w:rPr>
                <w:rFonts w:hint="default" w:ascii="Times New Roman" w:hAnsi="Times New Roman" w:cs="Times New Roman"/>
                <w:bCs/>
                <w:sz w:val="21"/>
                <w:szCs w:val="21"/>
              </w:rPr>
              <w:t>]</w:t>
            </w:r>
          </w:p>
        </w:tc>
      </w:tr>
      <w:tr w14:paraId="4A12523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496" w:type="dxa"/>
            <w:shd w:val="clear" w:color="auto" w:fill="auto"/>
            <w:noWrap w:val="0"/>
            <w:vAlign w:val="center"/>
          </w:tcPr>
          <w:p w14:paraId="514088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HAnsi"/>
                <w:sz w:val="21"/>
                <w:szCs w:val="21"/>
                <w:lang w:val="en-US" w:eastAsia="zh-CN" w:bidi="ar-SA"/>
              </w:rPr>
              <w:t>KV</w:t>
            </w:r>
            <w:r>
              <w:rPr>
                <w:rFonts w:hint="default" w:ascii="Times New Roman" w:hAnsi="Times New Roman" w:cs="Times New Roman" w:eastAsiaTheme="minorHAnsi"/>
                <w:sz w:val="21"/>
                <w:szCs w:val="21"/>
                <w:vertAlign w:val="subscript"/>
                <w:lang w:val="en-US" w:eastAsia="zh-CN" w:bidi="ar-SA"/>
              </w:rPr>
              <w:t>6</w:t>
            </w:r>
            <w:r>
              <w:rPr>
                <w:rFonts w:hint="default" w:ascii="Times New Roman" w:hAnsi="Times New Roman" w:cs="Times New Roman" w:eastAsiaTheme="minorHAnsi"/>
                <w:sz w:val="21"/>
                <w:szCs w:val="21"/>
                <w:lang w:val="en-US" w:eastAsia="zh-CN" w:bidi="ar-SA"/>
              </w:rPr>
              <w:t>O</w:t>
            </w:r>
            <w:r>
              <w:rPr>
                <w:rFonts w:hint="default" w:ascii="Times New Roman" w:hAnsi="Times New Roman" w:cs="Times New Roman" w:eastAsiaTheme="minorHAnsi"/>
                <w:sz w:val="21"/>
                <w:szCs w:val="21"/>
                <w:vertAlign w:val="subscript"/>
                <w:lang w:val="en-US" w:eastAsia="zh-CN" w:bidi="ar-SA"/>
              </w:rPr>
              <w:t>15</w:t>
            </w:r>
            <w:r>
              <w:rPr>
                <w:rFonts w:hint="default" w:ascii="Times New Roman" w:hAnsi="Times New Roman" w:cs="Times New Roman" w:eastAsiaTheme="minorHAnsi"/>
                <w:sz w:val="21"/>
                <w:szCs w:val="21"/>
                <w:lang w:val="en-US" w:eastAsia="zh-CN" w:bidi="ar-SA"/>
              </w:rPr>
              <w:t>/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highlight w:val="none"/>
                <w:lang w:val="en-US" w:eastAsia="zh-CN"/>
              </w:rPr>
              <w:t>V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highlight w:val="none"/>
                <w:vertAlign w:val="subscript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highlight w:val="none"/>
                <w:lang w:val="en-US" w:eastAsia="zh-CN"/>
              </w:rPr>
              <w:t>O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highlight w:val="none"/>
                <w:vertAlign w:val="subscript"/>
                <w:lang w:val="en-US" w:eastAsia="zh-CN"/>
              </w:rPr>
              <w:t>5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highlight w:val="none"/>
                <w:lang w:val="en-US" w:eastAsia="zh-CN"/>
              </w:rPr>
              <w:t xml:space="preserve"> </w:t>
            </w:r>
          </w:p>
        </w:tc>
        <w:tc>
          <w:tcPr>
            <w:tcW w:w="2277" w:type="dxa"/>
            <w:shd w:val="clear" w:color="auto" w:fill="auto"/>
            <w:noWrap w:val="0"/>
            <w:vAlign w:val="center"/>
          </w:tcPr>
          <w:p w14:paraId="3CE078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0.1-35</w:t>
            </w:r>
          </w:p>
        </w:tc>
        <w:tc>
          <w:tcPr>
            <w:tcW w:w="2047" w:type="dxa"/>
            <w:shd w:val="clear" w:color="auto" w:fill="auto"/>
            <w:noWrap w:val="0"/>
            <w:vAlign w:val="center"/>
          </w:tcPr>
          <w:p w14:paraId="492466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Cs/>
                <w:sz w:val="21"/>
                <w:szCs w:val="21"/>
                <w:lang w:val="en-US" w:eastAsia="zh-CN"/>
              </w:rPr>
              <w:t>38.8</w:t>
            </w:r>
          </w:p>
        </w:tc>
        <w:tc>
          <w:tcPr>
            <w:tcW w:w="1394" w:type="dxa"/>
            <w:shd w:val="clear" w:color="auto" w:fill="auto"/>
            <w:noWrap w:val="0"/>
            <w:vAlign w:val="center"/>
          </w:tcPr>
          <w:p w14:paraId="5C804A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 w:eastAsiaTheme="minorHAnsi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Cs/>
                <w:sz w:val="21"/>
                <w:szCs w:val="21"/>
              </w:rPr>
              <w:t>[1</w:t>
            </w:r>
            <w:r>
              <w:rPr>
                <w:rFonts w:hint="eastAsia" w:ascii="Times New Roman" w:hAnsi="Times New Roman" w:eastAsia="宋体" w:cs="Times New Roman"/>
                <w:bCs/>
                <w:sz w:val="21"/>
                <w:szCs w:val="21"/>
                <w:lang w:val="en-US" w:eastAsia="zh-CN"/>
              </w:rPr>
              <w:t>4</w:t>
            </w:r>
            <w:r>
              <w:rPr>
                <w:rFonts w:hint="default" w:ascii="Times New Roman" w:hAnsi="Times New Roman" w:cs="Times New Roman"/>
                <w:bCs/>
                <w:sz w:val="21"/>
                <w:szCs w:val="21"/>
              </w:rPr>
              <w:t>]</w:t>
            </w:r>
          </w:p>
        </w:tc>
      </w:tr>
      <w:tr w14:paraId="71B7605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496" w:type="dxa"/>
            <w:shd w:val="clear" w:color="auto" w:fill="auto"/>
            <w:noWrap w:val="0"/>
            <w:vAlign w:val="center"/>
          </w:tcPr>
          <w:p w14:paraId="0827F5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lang w:val="pl-PL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0"/>
                <w:highlight w:val="none"/>
                <w:lang w:val="en-US" w:eastAsia="zh-CN"/>
              </w:rPr>
              <w:t>MoSe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0"/>
                <w:highlight w:val="none"/>
                <w:vertAlign w:val="subscript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0"/>
                <w:highlight w:val="none"/>
                <w:lang w:val="en-US" w:eastAsia="zh-CN"/>
              </w:rPr>
              <w:t>@Fe</w:t>
            </w:r>
          </w:p>
        </w:tc>
        <w:tc>
          <w:tcPr>
            <w:tcW w:w="2277" w:type="dxa"/>
            <w:shd w:val="clear" w:color="auto" w:fill="auto"/>
            <w:noWrap w:val="0"/>
            <w:vAlign w:val="center"/>
          </w:tcPr>
          <w:p w14:paraId="67A763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1.67-33.3</w:t>
            </w:r>
          </w:p>
        </w:tc>
        <w:tc>
          <w:tcPr>
            <w:tcW w:w="2047" w:type="dxa"/>
            <w:shd w:val="clear" w:color="auto" w:fill="auto"/>
            <w:noWrap w:val="0"/>
            <w:vAlign w:val="center"/>
          </w:tcPr>
          <w:p w14:paraId="12D9AA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Cs/>
                <w:sz w:val="21"/>
                <w:szCs w:val="21"/>
                <w:lang w:val="en-US" w:eastAsia="zh-CN"/>
              </w:rPr>
              <w:t>3070</w:t>
            </w:r>
          </w:p>
        </w:tc>
        <w:tc>
          <w:tcPr>
            <w:tcW w:w="1394" w:type="dxa"/>
            <w:shd w:val="clear" w:color="auto" w:fill="auto"/>
            <w:noWrap w:val="0"/>
            <w:vAlign w:val="center"/>
          </w:tcPr>
          <w:p w14:paraId="2F2A03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Cs/>
                <w:sz w:val="21"/>
                <w:szCs w:val="21"/>
                <w:lang w:val="en-US" w:eastAsia="zh-CN"/>
              </w:rPr>
              <w:t>[15]</w:t>
            </w:r>
          </w:p>
        </w:tc>
      </w:tr>
      <w:tr w14:paraId="46925A7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496" w:type="dxa"/>
            <w:noWrap w:val="0"/>
            <w:vAlign w:val="center"/>
          </w:tcPr>
          <w:p w14:paraId="6CD8749A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u w:val="none"/>
                <w:vertAlign w:val="baseline"/>
                <w:lang w:val="en-US" w:eastAsia="zh-CN"/>
              </w:rPr>
              <w:t>Bi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u w:val="none"/>
                <w:vertAlign w:val="subscript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u w:val="none"/>
                <w:vertAlign w:val="baseline"/>
                <w:lang w:val="en-US" w:eastAsia="zh-CN"/>
              </w:rPr>
              <w:t>Fe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u w:val="none"/>
                <w:vertAlign w:val="subscript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u w:val="none"/>
                <w:vertAlign w:val="baseline"/>
                <w:lang w:val="en-US" w:eastAsia="zh-CN"/>
              </w:rPr>
              <w:t>O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u w:val="none"/>
                <w:vertAlign w:val="subscript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u w:val="none"/>
                <w:vertAlign w:val="baseline"/>
                <w:lang w:val="en-US" w:eastAsia="zh-CN"/>
              </w:rPr>
              <w:t>/</w:t>
            </w: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u w:val="none"/>
                <w:vertAlign w:val="baseline"/>
                <w:lang w:val="en-US" w:eastAsia="zh-CN"/>
              </w:rPr>
              <w:t>r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u w:val="none"/>
                <w:vertAlign w:val="baseline"/>
                <w:lang w:val="en-US" w:eastAsia="zh-CN"/>
              </w:rPr>
              <w:t>GO</w:t>
            </w:r>
          </w:p>
        </w:tc>
        <w:tc>
          <w:tcPr>
            <w:tcW w:w="2277" w:type="dxa"/>
            <w:noWrap w:val="0"/>
            <w:vAlign w:val="center"/>
          </w:tcPr>
          <w:p w14:paraId="4B14A54A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0.01-0.25</w:t>
            </w:r>
          </w:p>
        </w:tc>
        <w:tc>
          <w:tcPr>
            <w:tcW w:w="2047" w:type="dxa"/>
            <w:noWrap w:val="0"/>
            <w:vAlign w:val="center"/>
          </w:tcPr>
          <w:p w14:paraId="30786A8C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3.1</w:t>
            </w:r>
          </w:p>
        </w:tc>
        <w:tc>
          <w:tcPr>
            <w:tcW w:w="1394" w:type="dxa"/>
            <w:tcBorders>
              <w:bottom w:val="single" w:color="auto" w:sz="4" w:space="0"/>
            </w:tcBorders>
            <w:noWrap w:val="0"/>
            <w:vAlign w:val="center"/>
          </w:tcPr>
          <w:p w14:paraId="0ABAB9E3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This work</w:t>
            </w:r>
          </w:p>
        </w:tc>
      </w:tr>
    </w:tbl>
    <w:p w14:paraId="5A037329">
      <w:pPr>
        <w:autoSpaceDE w:val="0"/>
        <w:autoSpaceDN w:val="0"/>
        <w:adjustRightInd w:val="0"/>
        <w:spacing w:line="360" w:lineRule="auto"/>
        <w:jc w:val="both"/>
        <w:rPr>
          <w:rFonts w:hint="default" w:ascii="Times New Roman" w:hAnsi="Times New Roman" w:eastAsia="宋体" w:cs="Times New Roman"/>
          <w:sz w:val="21"/>
          <w:szCs w:val="21"/>
          <w:highlight w:val="none"/>
          <w:u w:val="none"/>
          <w:vertAlign w:val="baseline"/>
          <w:lang w:val="en-US" w:eastAsia="zh-CN"/>
        </w:rPr>
      </w:pPr>
      <w:r>
        <w:rPr>
          <w:rFonts w:hint="eastAsia" w:ascii="Times New Roman" w:hAnsi="Times New Roman" w:eastAsia="宋体" w:cs="Times New Roman"/>
          <w:sz w:val="21"/>
          <w:szCs w:val="21"/>
          <w:highlight w:val="none"/>
          <w:u w:val="none"/>
          <w:vertAlign w:val="superscript"/>
          <w:lang w:val="en-US" w:eastAsia="zh-CN"/>
        </w:rPr>
        <w:t>a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u w:val="none"/>
          <w:vertAlign w:val="baseline"/>
          <w:lang w:val="en-US" w:eastAsia="zh-CN"/>
        </w:rPr>
        <w:t>“</w:t>
      </w:r>
      <w:r>
        <w:rPr>
          <w:rFonts w:hint="eastAsia" w:ascii="Times New Roman" w:hAnsi="Times New Roman" w:eastAsia="宋体" w:cs="Times New Roman"/>
          <w:sz w:val="21"/>
          <w:szCs w:val="21"/>
          <w:highlight w:val="none"/>
          <w:u w:val="none"/>
          <w:vertAlign w:val="baseline"/>
          <w:lang w:val="en-US" w:eastAsia="zh-CN"/>
        </w:rPr>
        <w:t>-” indicates the data were not reported in the cited reference.</w:t>
      </w:r>
    </w:p>
    <w:p w14:paraId="336B431A">
      <w:pPr>
        <w:widowControl w:val="0"/>
        <w:spacing w:after="0" w:line="480" w:lineRule="auto"/>
        <w:ind w:firstLine="0" w:firstLineChars="0"/>
        <w:jc w:val="both"/>
        <w:rPr>
          <w:rFonts w:hint="eastAsia" w:ascii="Times New Roman" w:hAnsi="Times New Roman" w:eastAsia="Times New Roman" w:cs="Times New Roman"/>
          <w:b/>
          <w:kern w:val="2"/>
          <w:sz w:val="24"/>
          <w:szCs w:val="21"/>
          <w:lang w:eastAsia="zh-CN"/>
        </w:rPr>
      </w:pPr>
      <w:r>
        <w:rPr>
          <w:rFonts w:ascii="Times New Roman" w:hAnsi="Times New Roman" w:eastAsia="Times New Roman" w:cs="Times New Roman"/>
          <w:b/>
          <w:kern w:val="2"/>
          <w:sz w:val="24"/>
          <w:szCs w:val="21"/>
          <w:lang w:eastAsia="zh-CN"/>
        </w:rPr>
        <w:t>References</w:t>
      </w:r>
    </w:p>
    <w:p w14:paraId="07D6E37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420" w:hanging="420"/>
        <w:jc w:val="both"/>
        <w:textAlignment w:val="auto"/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lang w:val="en-US" w:eastAsia="zh-CN"/>
        </w:rPr>
        <w:t xml:space="preserve">[1] 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highlight w:val="none"/>
          <w:lang w:val="en-US" w:eastAsia="zh-CN"/>
        </w:rPr>
        <w:t>Gao L, Zhuang J, Nie L, et al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lang w:val="en-US" w:eastAsia="zh-CN"/>
        </w:rPr>
        <w:t xml:space="preserve"> (2007)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highlight w:val="none"/>
          <w:lang w:val="en-US" w:eastAsia="zh-CN"/>
        </w:rPr>
        <w:t xml:space="preserve"> Intrinsic peroxidase-like activity of ferromagnetic nanoparticles. Nature 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lang w:val="en-US" w:eastAsia="zh-CN"/>
        </w:rPr>
        <w:t>N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highlight w:val="none"/>
          <w:lang w:val="en-US" w:eastAsia="zh-CN"/>
        </w:rPr>
        <w:t>anotechnology 2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highlight w:val="none"/>
          <w:lang w:val="en-US" w:eastAsia="zh-CN"/>
        </w:rPr>
        <w:t>(9): 577-583.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lang w:val="en-US" w:eastAsia="zh-CN"/>
        </w:rPr>
        <w:t xml:space="preserve"> https://doi.org/10.1038/nnano.2007.260</w:t>
      </w:r>
    </w:p>
    <w:p w14:paraId="0162B1C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420" w:hanging="420"/>
        <w:jc w:val="both"/>
        <w:textAlignment w:val="auto"/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lang w:val="en-US" w:eastAsia="zh-CN"/>
        </w:rPr>
        <w:t>[2] Dong Y, Zhang H, Rahman ZU, et al (2012) Graphene oxide-Fe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vertAlign w:val="subscript"/>
          <w:lang w:val="en-US" w:eastAsia="zh-CN"/>
        </w:rPr>
        <w:t>3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lang w:val="en-US" w:eastAsia="zh-CN"/>
        </w:rPr>
        <w:t>O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vertAlign w:val="subscript"/>
          <w:lang w:val="en-US" w:eastAsia="zh-CN"/>
        </w:rPr>
        <w:t>4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lang w:val="en-US" w:eastAsia="zh-CN"/>
        </w:rPr>
        <w:t xml:space="preserve"> magnetic nanocomposites with peroxidase-like activity for colorimetric detection of glucose. Nanoscale 4 (13):3969-3976. 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u w:val="none"/>
          <w:lang w:val="en-US" w:eastAsia="zh-CN"/>
        </w:rPr>
        <w:t>https://doi.org/3969-3976.10.1039/c2nr12109c</w:t>
      </w:r>
    </w:p>
    <w:p w14:paraId="44CAD26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420" w:hanging="420"/>
        <w:jc w:val="both"/>
        <w:textAlignment w:val="auto"/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u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lang w:val="en-US" w:eastAsia="zh-CN"/>
        </w:rPr>
        <w:t>[3] Zhang K, Zuo W, Wang Z, et al (2015) A simple route to CoFe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vertAlign w:val="subscript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lang w:val="en-US" w:eastAsia="zh-CN"/>
        </w:rPr>
        <w:t>O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vertAlign w:val="subscript"/>
          <w:lang w:val="en-US" w:eastAsia="zh-CN"/>
        </w:rPr>
        <w:t>4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lang w:val="en-US" w:eastAsia="zh-CN"/>
        </w:rPr>
        <w:t xml:space="preserve"> nanoparticles with shape and siz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u w:val="none"/>
          <w:lang w:val="en-US" w:eastAsia="zh-CN"/>
        </w:rPr>
        <w:t xml:space="preserve">e control and their tunable peroxidase-like activity. RSC Advances 5 (14): 10632-10640. 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u w:val="none"/>
          <w:lang w:val="en-US" w:eastAsia="zh-CN"/>
        </w:rPr>
        <w:t>https://doi.org/10.1039/c4ra15675g</w:t>
      </w:r>
    </w:p>
    <w:p w14:paraId="4A02407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420" w:hanging="420"/>
        <w:jc w:val="both"/>
        <w:textAlignment w:val="auto"/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u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u w:val="none"/>
          <w:lang w:val="en-US" w:eastAsia="zh-CN"/>
        </w:rPr>
        <w:t>[4] Hao J, Zhang Z, Yang W, et al (2013) In situ controllable growth of CoFe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u w:val="none"/>
          <w:vertAlign w:val="subscript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u w:val="none"/>
          <w:lang w:val="en-US" w:eastAsia="zh-CN"/>
        </w:rPr>
        <w:t>O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u w:val="none"/>
          <w:vertAlign w:val="subscript"/>
          <w:lang w:val="en-US" w:eastAsia="zh-CN"/>
        </w:rPr>
        <w:t>4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u w:val="none"/>
          <w:lang w:val="en-US" w:eastAsia="zh-CN"/>
        </w:rPr>
        <w:t xml:space="preserve"> ferrite nanocubes on graphene for colorimetric detection of hydrogen peroxide. Journal of Materials Chemistry A 1 (13): 4352-4357. 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u w:val="none"/>
          <w:lang w:val="en-US" w:eastAsia="zh-CN"/>
        </w:rPr>
        <w:t>https://doi.org/10.1039/10.1039/c3ta00774j</w:t>
      </w:r>
    </w:p>
    <w:p w14:paraId="736EC3A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420" w:hanging="420"/>
        <w:jc w:val="both"/>
        <w:textAlignment w:val="auto"/>
        <w:rPr>
          <w:rFonts w:hint="default" w:ascii="Times New Roman" w:hAnsi="Times New Roman" w:eastAsia="宋体" w:cs="Times New Roman"/>
          <w:color w:val="auto"/>
          <w:kern w:val="0"/>
          <w:sz w:val="24"/>
          <w:highlight w:val="none"/>
          <w:u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u w:val="none"/>
          <w:lang w:val="en-US" w:eastAsia="zh-CN"/>
        </w:rPr>
        <w:t xml:space="preserve">[5] 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highlight w:val="none"/>
          <w:u w:val="none"/>
          <w:lang w:val="en-US" w:eastAsia="zh-CN"/>
        </w:rPr>
        <w:t>Su L, Feng J, Zhou X, et al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u w:val="none"/>
          <w:lang w:val="en-US" w:eastAsia="zh-CN"/>
        </w:rPr>
        <w:t xml:space="preserve"> (2012)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highlight w:val="none"/>
          <w:u w:val="none"/>
          <w:lang w:val="en-US" w:eastAsia="zh-CN"/>
        </w:rPr>
        <w:t xml:space="preserve"> Colorimetric detection of urine glucose based ZnFe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highlight w:val="none"/>
          <w:u w:val="none"/>
          <w:vertAlign w:val="subscript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highlight w:val="none"/>
          <w:u w:val="none"/>
          <w:lang w:val="en-US" w:eastAsia="zh-CN"/>
        </w:rPr>
        <w:t>O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highlight w:val="none"/>
          <w:u w:val="none"/>
          <w:vertAlign w:val="subscript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highlight w:val="none"/>
          <w:u w:val="none"/>
          <w:lang w:val="en-US" w:eastAsia="zh-CN"/>
        </w:rPr>
        <w:t xml:space="preserve"> magnetic nanoparticles. Analytical 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u w:val="none"/>
          <w:lang w:val="en-US" w:eastAsia="zh-CN"/>
        </w:rPr>
        <w:t>C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highlight w:val="none"/>
          <w:u w:val="none"/>
          <w:lang w:val="en-US" w:eastAsia="zh-CN"/>
        </w:rPr>
        <w:t>hemistry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u w:val="none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highlight w:val="none"/>
          <w:u w:val="none"/>
          <w:lang w:val="en-US" w:eastAsia="zh-CN"/>
        </w:rPr>
        <w:t>84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u w:val="none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highlight w:val="none"/>
          <w:u w:val="none"/>
          <w:lang w:val="en-US" w:eastAsia="zh-CN"/>
        </w:rPr>
        <w:t>(13): 5753-5758.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u w:val="none"/>
          <w:lang w:val="en-US" w:eastAsia="zh-CN"/>
        </w:rPr>
        <w:t xml:space="preserve"> https://doi.org/10.1021/ac300939z</w:t>
      </w:r>
    </w:p>
    <w:p w14:paraId="429CAFF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420" w:hanging="420"/>
        <w:jc w:val="both"/>
        <w:textAlignment w:val="auto"/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u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u w:val="none"/>
          <w:lang w:val="en-US" w:eastAsia="zh-CN"/>
        </w:rPr>
        <w:t>[6] Bian B, Liu Q, Yu S (2019) Peroxidase mimetic activity of porphyrin modified ZnFe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u w:val="none"/>
          <w:vertAlign w:val="subscript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u w:val="none"/>
          <w:lang w:val="en-US" w:eastAsia="zh-CN"/>
        </w:rPr>
        <w:t>O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u w:val="none"/>
          <w:vertAlign w:val="subscript"/>
          <w:lang w:val="en-US" w:eastAsia="zh-CN"/>
        </w:rPr>
        <w:t>4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u w:val="none"/>
          <w:lang w:val="en-US" w:eastAsia="zh-CN"/>
        </w:rPr>
        <w:t>/reduced graphene oxide and its application for colorimetric detection of H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u w:val="none"/>
          <w:vertAlign w:val="subscript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u w:val="none"/>
          <w:lang w:val="en-US" w:eastAsia="zh-CN"/>
        </w:rPr>
        <w:t>O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u w:val="none"/>
          <w:vertAlign w:val="subscript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u w:val="none"/>
          <w:lang w:val="en-US" w:eastAsia="zh-CN"/>
        </w:rPr>
        <w:t xml:space="preserve"> and glutathione. Colloids and Surfaces B: Biointerfaces 181: 567-575. https://doi.org/10.1016/j.colsurfb.2019.06.008</w:t>
      </w:r>
      <w:bookmarkStart w:id="11" w:name="_GoBack"/>
      <w:bookmarkEnd w:id="11"/>
    </w:p>
    <w:p w14:paraId="2A98C35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420" w:hanging="420"/>
        <w:jc w:val="both"/>
        <w:textAlignment w:val="auto"/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u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u w:val="none"/>
          <w:lang w:val="en-US" w:eastAsia="zh-CN"/>
        </w:rPr>
        <w:t xml:space="preserve">[7] 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highlight w:val="none"/>
          <w:u w:val="none"/>
          <w:lang w:val="en-US" w:eastAsia="zh-CN"/>
        </w:rPr>
        <w:t>Song Y, Qu K, Zhao C, et al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u w:val="none"/>
          <w:lang w:val="en-US" w:eastAsia="zh-CN"/>
        </w:rPr>
        <w:t xml:space="preserve"> (2010)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highlight w:val="none"/>
          <w:u w:val="none"/>
          <w:lang w:val="en-US" w:eastAsia="zh-CN"/>
        </w:rPr>
        <w:t xml:space="preserve"> Graphene oxide: intrinsic peroxidase catalytic activity and its application to glucose detection. Advanced Materials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u w:val="none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highlight w:val="none"/>
          <w:u w:val="none"/>
          <w:lang w:val="en-US" w:eastAsia="zh-CN"/>
        </w:rPr>
        <w:t>22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u w:val="none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highlight w:val="none"/>
          <w:u w:val="none"/>
          <w:lang w:val="en-US" w:eastAsia="zh-CN"/>
        </w:rPr>
        <w:t>(19): 2206-2210.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u w:val="none"/>
          <w:lang w:val="en-US" w:eastAsia="zh-CN"/>
        </w:rPr>
        <w:t xml:space="preserve"> </w:t>
      </w:r>
    </w:p>
    <w:p w14:paraId="6E8A791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420" w:hanging="420"/>
        <w:jc w:val="both"/>
        <w:textAlignment w:val="auto"/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lang w:val="en-US" w:eastAsia="zh-CN"/>
        </w:rPr>
        <w:t xml:space="preserve">[8] 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highlight w:val="none"/>
          <w:lang w:val="en-US" w:eastAsia="zh-CN"/>
        </w:rPr>
        <w:t>Razavi M, Barras A, Ifires M, et al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lang w:val="en-US" w:eastAsia="zh-CN"/>
        </w:rPr>
        <w:t xml:space="preserve"> (2022)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highlight w:val="none"/>
          <w:lang w:val="en-US" w:eastAsia="zh-CN"/>
        </w:rPr>
        <w:t xml:space="preserve"> Colorimetric assay for the detection of dopamine using bismuth ferrite oxide (Bi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highlight w:val="none"/>
          <w:vertAlign w:val="subscript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highlight w:val="none"/>
          <w:lang w:val="en-US" w:eastAsia="zh-CN"/>
        </w:rPr>
        <w:t>Fe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highlight w:val="none"/>
          <w:vertAlign w:val="subscript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highlight w:val="none"/>
          <w:lang w:val="en-US" w:eastAsia="zh-CN"/>
        </w:rPr>
        <w:t>O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highlight w:val="none"/>
          <w:vertAlign w:val="subscript"/>
          <w:lang w:val="en-US" w:eastAsia="zh-CN"/>
        </w:rPr>
        <w:t>9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highlight w:val="none"/>
          <w:lang w:val="en-US" w:eastAsia="zh-CN"/>
        </w:rPr>
        <w:t>) nanoparticles as an efficient peroxidase-mimic nanozyme. Journal of Colloid and Interface Science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highlight w:val="none"/>
          <w:lang w:val="en-US" w:eastAsia="zh-CN"/>
        </w:rPr>
        <w:t>613: 384-395.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lang w:val="en-US" w:eastAsia="zh-CN"/>
        </w:rPr>
        <w:t xml:space="preserve"> https://doi.org/10.1016/j.jcis.2022.01.041</w:t>
      </w:r>
    </w:p>
    <w:p w14:paraId="326A2E9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420" w:hanging="420"/>
        <w:jc w:val="both"/>
        <w:textAlignment w:val="auto"/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lang w:val="en-US" w:eastAsia="zh-CN"/>
        </w:rPr>
        <w:t xml:space="preserve">[9] Ma Y, Zhang Z, Ren C, 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highlight w:val="none"/>
          <w:lang w:val="en-US" w:eastAsia="zh-CN"/>
        </w:rPr>
        <w:t>et al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lang w:val="en-US" w:eastAsia="zh-CN"/>
        </w:rPr>
        <w:t xml:space="preserve"> (2012) A novel colorimetric determination of reduced glutathione in A549 cells based on Fe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vertAlign w:val="subscript"/>
          <w:lang w:val="en-US" w:eastAsia="zh-CN"/>
        </w:rPr>
        <w:t>3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lang w:val="en-US" w:eastAsia="zh-CN"/>
        </w:rPr>
        <w:t>O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vertAlign w:val="subscript"/>
          <w:lang w:val="en-US" w:eastAsia="zh-CN"/>
        </w:rPr>
        <w:t>4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lang w:val="en-US" w:eastAsia="zh-CN"/>
        </w:rPr>
        <w:t xml:space="preserve"> magnetic nanoparticles as peroxidase mimetics. Analyst 137 (2): 485-489. https://doi.org/10.1039/C1AN15718C</w:t>
      </w:r>
    </w:p>
    <w:p w14:paraId="5CA5209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420" w:hanging="420"/>
        <w:jc w:val="both"/>
        <w:textAlignment w:val="auto"/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lang w:val="en-US" w:eastAsia="zh-CN"/>
        </w:rPr>
        <w:t>[10] Mei L, Wei B, Liu C, et al (2025) Polyvinylpyrrolidone-stabilized ultra-small Fe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vertAlign w:val="subscript"/>
          <w:lang w:val="en-US" w:eastAsia="zh-CN"/>
        </w:rPr>
        <w:t>3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lang w:val="en-US" w:eastAsia="zh-CN"/>
        </w:rPr>
        <w:t>O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vertAlign w:val="subscript"/>
          <w:lang w:val="en-US" w:eastAsia="zh-CN"/>
        </w:rPr>
        <w:t>4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lang w:val="en-US" w:eastAsia="zh-CN"/>
        </w:rPr>
        <w:t xml:space="preserve"> nanoparticles-functionalized graphene oxide with synergistically enhanced peroxidase-like activity for glutathione colorimetric determination in rat serum. Microchimica Acta 192 (4): 250. https://doi.org/10.1007/s00604-025-07044-w</w:t>
      </w:r>
    </w:p>
    <w:p w14:paraId="4F98798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420" w:hanging="420"/>
        <w:jc w:val="both"/>
        <w:textAlignment w:val="auto"/>
        <w:rPr>
          <w:rFonts w:hint="default" w:ascii="Times New Roman" w:hAnsi="Times New Roman" w:eastAsia="宋体" w:cs="Times New Roman"/>
          <w:color w:val="auto"/>
          <w:kern w:val="0"/>
          <w:sz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lang w:val="en-US" w:eastAsia="zh-CN"/>
        </w:rPr>
        <w:t>[11] Yao J, Li C, Feng J, et al (2024) Mn-doped CeO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vertAlign w:val="subscript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lang w:val="en-US" w:eastAsia="zh-CN"/>
        </w:rPr>
        <w:t xml:space="preserve"> nanorods for the colorimetric sensing of glutathione. ACS Applied Nano Materials 7 (24): 28242-28254. https://doi.org/10.1021/acsanm.4c05215</w:t>
      </w:r>
    </w:p>
    <w:p w14:paraId="7FFCF39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420" w:hanging="420"/>
        <w:jc w:val="both"/>
        <w:textAlignment w:val="auto"/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lang w:val="en-US" w:eastAsia="zh-CN"/>
        </w:rPr>
        <w:t>[12] Gu Y, Han J, Zhang N, et al (2024) Bimetallic Cu@ Co-MOFs mimic peroxidase for colorimetric detection of glutathione. ACS Applied Nano Materials 7 (21): 24683-24696. https://doi.org/10.1021/acsanm.4c04563</w:t>
      </w:r>
    </w:p>
    <w:p w14:paraId="23A37A2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420" w:hanging="420"/>
        <w:jc w:val="both"/>
        <w:textAlignment w:val="auto"/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lang w:val="en-US" w:eastAsia="zh-CN"/>
        </w:rPr>
        <w:t>[13] Zhang K, Sun H, Wei L, et al (2025) Robust and sensitive colorimetric detection of glutathione with double-triggering MOF-Fe (DTNB). Spectrochimica Acta Part A: Molecular and Biomolecular Spectroscopy 328: 125439. https://doi.org/10.1016/j.saa.2024.125439</w:t>
      </w:r>
    </w:p>
    <w:p w14:paraId="2AA4E67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420" w:hanging="420"/>
        <w:jc w:val="both"/>
        <w:textAlignment w:val="auto"/>
        <w:rPr>
          <w:rFonts w:hint="default" w:ascii="Times New Roman" w:hAnsi="Times New Roman" w:eastAsia="宋体" w:cs="Times New Roman"/>
          <w:color w:val="auto"/>
          <w:kern w:val="0"/>
          <w:sz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lang w:val="en-US" w:eastAsia="zh-CN"/>
        </w:rPr>
        <w:t>[14] Mao H, Wang M, Wang H, et al (2024) Oxygen vacancy and heterojunction co-boosted peroxidase-like activity of KV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vertAlign w:val="subscript"/>
          <w:lang w:val="en-US" w:eastAsia="zh-CN"/>
        </w:rPr>
        <w:t>6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lang w:val="en-US" w:eastAsia="zh-CN"/>
        </w:rPr>
        <w:t>O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vertAlign w:val="subscript"/>
          <w:lang w:val="en-US" w:eastAsia="zh-CN"/>
        </w:rPr>
        <w:t>15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lang w:val="en-US" w:eastAsia="zh-CN"/>
        </w:rPr>
        <w:t>/V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vertAlign w:val="subscript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lang w:val="en-US" w:eastAsia="zh-CN"/>
        </w:rPr>
        <w:t>O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vertAlign w:val="subscript"/>
          <w:lang w:val="en-US" w:eastAsia="zh-CN"/>
        </w:rPr>
        <w:t>5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lang w:val="en-US" w:eastAsia="zh-CN"/>
        </w:rPr>
        <w:t xml:space="preserve"> nanoribbons for the colorimetric detection of glutathione. Microchemical Journal 204: 111091. https://doi.org/10.1016/j.microc.2024.111091</w:t>
      </w:r>
    </w:p>
    <w:p w14:paraId="2AD1607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420" w:hanging="420"/>
        <w:jc w:val="both"/>
        <w:textAlignment w:val="auto"/>
        <w:rPr>
          <w:rFonts w:hint="default" w:ascii="Times New Roman" w:hAnsi="Times New Roman" w:eastAsia="宋体" w:cs="Times New Roman"/>
          <w:color w:val="auto"/>
          <w:kern w:val="0"/>
          <w:sz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lang w:val="en-US" w:eastAsia="zh-CN"/>
        </w:rPr>
        <w:t>[15] Lin L, Chen D, Lu C, et al (2022) Fluorescence and colorimetric dual-signal determination of Fe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vertAlign w:val="superscript"/>
          <w:lang w:val="en-US" w:eastAsia="zh-CN"/>
        </w:rPr>
        <w:t>3+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lang w:val="en-US" w:eastAsia="zh-CN"/>
        </w:rPr>
        <w:t xml:space="preserve"> and glutathione with MoSe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vertAlign w:val="subscript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highlight w:val="none"/>
          <w:lang w:val="en-US" w:eastAsia="zh-CN"/>
        </w:rPr>
        <w:t>@Fe nanozyme. Microchemical Journal 177: 107283. https://doi.org/10.1016/j.microc.2022.107283</w:t>
      </w:r>
    </w:p>
    <w:p w14:paraId="74DBF61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420" w:hanging="420"/>
        <w:jc w:val="both"/>
        <w:textAlignment w:val="auto"/>
        <w:rPr>
          <w:rFonts w:hint="default" w:ascii="Times New Roman" w:hAnsi="Times New Roman" w:eastAsia="宋体" w:cs="Times New Roman"/>
          <w:color w:val="auto"/>
          <w:kern w:val="0"/>
          <w:sz w:val="24"/>
          <w:highlight w:val="none"/>
          <w:lang w:val="en-US" w:eastAsia="zh-CN"/>
        </w:rPr>
      </w:pPr>
    </w:p>
    <w:sectPr>
      <w:footerReference r:id="rId7" w:type="first"/>
      <w:footerReference r:id="rId5" w:type="default"/>
      <w:footerReference r:id="rId6" w:type="even"/>
      <w:pgSz w:w="11906" w:h="16838"/>
      <w:pgMar w:top="1440" w:right="1440" w:bottom="1440" w:left="1440" w:header="706" w:footer="706" w:gutter="0"/>
      <w:lnNumType w:countBy="1" w:restart="continuous"/>
      <w:cols w:space="708" w:num="1"/>
      <w:titlePg/>
      <w:rtlGutter w:val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dvPS497E4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dvPSA403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OT9b12cd41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OT281613a3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OT7fb33346.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OT596495f2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panose1 w:val="02010600030101010101"/>
    <w:charset w:val="88"/>
    <w:family w:val="auto"/>
    <w:pitch w:val="default"/>
    <w:sig w:usb0="A00002BF" w:usb1="38CF7CFA" w:usb2="00000016" w:usb3="00000000" w:csb0="0004000F" w:csb1="00000000"/>
  </w:font>
  <w:font w:name="TimesNewRoman">
    <w:altName w:val="宋体"/>
    <w:panose1 w:val="00000000000000000000"/>
    <w:charset w:val="86"/>
    <w:family w:val="auto"/>
    <w:pitch w:val="default"/>
    <w:sig w:usb0="00000000" w:usb1="00000000" w:usb2="00000010" w:usb3="00000000" w:csb0="00060000" w:csb1="00000000"/>
  </w:font>
  <w:font w:name="STIX-Regula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yriadPro-SemiC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281946180"/>
      <w:docPartObj>
        <w:docPartGallery w:val="autotext"/>
      </w:docPartObj>
    </w:sdtPr>
    <w:sdtContent>
      <w:p w14:paraId="6586160C">
        <w:pPr>
          <w:pStyle w:val="7"/>
          <w:jc w:val="center"/>
        </w:pPr>
        <w:r>
          <w:t>S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3</w:t>
        </w:r>
        <w:r>
          <w:fldChar w:fldCharType="end"/>
        </w:r>
      </w:p>
    </w:sdtContent>
  </w:sdt>
  <w:p w14:paraId="26DAD3C2">
    <w:pPr>
      <w:pStyle w:val="7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6E5485">
    <w:pPr>
      <w:pStyle w:val="7"/>
      <w:jc w:val="center"/>
    </w:pPr>
    <w:r>
      <w:t>S2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937E26">
    <w:pPr>
      <w:pStyle w:val="7"/>
      <w:jc w:val="center"/>
    </w:pPr>
    <w:r>
      <w:t>S1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bordersDoNotSurroundHeader w:val="0"/>
  <w:bordersDoNotSurroundFooter w:val="0"/>
  <w:gutterAtTop/>
  <w:documentProtection w:enforcement="0"/>
  <w:defaultTabStop w:val="720"/>
  <w:hyphenationZone w:val="425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c5ZjUzOGY2MTBhMDZkZTYzMTYzZjJkOGEwMjcyY2UifQ=="/>
  </w:docVars>
  <w:rsids>
    <w:rsidRoot w:val="009E1ED6"/>
    <w:rsid w:val="00006962"/>
    <w:rsid w:val="00013E00"/>
    <w:rsid w:val="00032ED6"/>
    <w:rsid w:val="00033114"/>
    <w:rsid w:val="00041DB5"/>
    <w:rsid w:val="0004434D"/>
    <w:rsid w:val="000447E8"/>
    <w:rsid w:val="000464BB"/>
    <w:rsid w:val="000551E1"/>
    <w:rsid w:val="00055893"/>
    <w:rsid w:val="00057374"/>
    <w:rsid w:val="00065E7B"/>
    <w:rsid w:val="000712EF"/>
    <w:rsid w:val="00077CA6"/>
    <w:rsid w:val="00091DEE"/>
    <w:rsid w:val="00096C19"/>
    <w:rsid w:val="000A0F4C"/>
    <w:rsid w:val="000A7197"/>
    <w:rsid w:val="000A7B98"/>
    <w:rsid w:val="000C595A"/>
    <w:rsid w:val="000D193C"/>
    <w:rsid w:val="000D3166"/>
    <w:rsid w:val="000D33E8"/>
    <w:rsid w:val="000E015F"/>
    <w:rsid w:val="000E1425"/>
    <w:rsid w:val="000E244F"/>
    <w:rsid w:val="000E3920"/>
    <w:rsid w:val="000E4CC3"/>
    <w:rsid w:val="000E502A"/>
    <w:rsid w:val="00114225"/>
    <w:rsid w:val="00114391"/>
    <w:rsid w:val="00131D2E"/>
    <w:rsid w:val="00134840"/>
    <w:rsid w:val="00136DED"/>
    <w:rsid w:val="001620BE"/>
    <w:rsid w:val="0016390F"/>
    <w:rsid w:val="00166301"/>
    <w:rsid w:val="001756D2"/>
    <w:rsid w:val="00180A4E"/>
    <w:rsid w:val="00180F62"/>
    <w:rsid w:val="00182739"/>
    <w:rsid w:val="00185ED0"/>
    <w:rsid w:val="00186076"/>
    <w:rsid w:val="00191F6B"/>
    <w:rsid w:val="00192F13"/>
    <w:rsid w:val="00195414"/>
    <w:rsid w:val="00195EF9"/>
    <w:rsid w:val="001A0F2A"/>
    <w:rsid w:val="001A432E"/>
    <w:rsid w:val="001A649E"/>
    <w:rsid w:val="001A727E"/>
    <w:rsid w:val="001B2F10"/>
    <w:rsid w:val="001D0B05"/>
    <w:rsid w:val="001D431E"/>
    <w:rsid w:val="001D556E"/>
    <w:rsid w:val="001D779F"/>
    <w:rsid w:val="001E12B8"/>
    <w:rsid w:val="001E3391"/>
    <w:rsid w:val="0020695F"/>
    <w:rsid w:val="00214807"/>
    <w:rsid w:val="00214BF0"/>
    <w:rsid w:val="002167EE"/>
    <w:rsid w:val="0021742A"/>
    <w:rsid w:val="00227A93"/>
    <w:rsid w:val="00231FA6"/>
    <w:rsid w:val="0024241B"/>
    <w:rsid w:val="0024578B"/>
    <w:rsid w:val="002606F4"/>
    <w:rsid w:val="00270481"/>
    <w:rsid w:val="00273C09"/>
    <w:rsid w:val="002904DD"/>
    <w:rsid w:val="0029096B"/>
    <w:rsid w:val="002977B7"/>
    <w:rsid w:val="002A6993"/>
    <w:rsid w:val="002A7490"/>
    <w:rsid w:val="002C2BAA"/>
    <w:rsid w:val="002C34F4"/>
    <w:rsid w:val="002C7094"/>
    <w:rsid w:val="002D0619"/>
    <w:rsid w:val="002D5A25"/>
    <w:rsid w:val="002E56B7"/>
    <w:rsid w:val="00301052"/>
    <w:rsid w:val="00301D97"/>
    <w:rsid w:val="00302A67"/>
    <w:rsid w:val="00312B6B"/>
    <w:rsid w:val="00315003"/>
    <w:rsid w:val="003310C8"/>
    <w:rsid w:val="00335768"/>
    <w:rsid w:val="0033778D"/>
    <w:rsid w:val="0034030B"/>
    <w:rsid w:val="00343464"/>
    <w:rsid w:val="00355EBE"/>
    <w:rsid w:val="00362673"/>
    <w:rsid w:val="003635DD"/>
    <w:rsid w:val="00365331"/>
    <w:rsid w:val="00365607"/>
    <w:rsid w:val="0037042C"/>
    <w:rsid w:val="00376421"/>
    <w:rsid w:val="00376A7B"/>
    <w:rsid w:val="003957BE"/>
    <w:rsid w:val="003A3866"/>
    <w:rsid w:val="003A6779"/>
    <w:rsid w:val="003A69CB"/>
    <w:rsid w:val="003B2FBB"/>
    <w:rsid w:val="003B308E"/>
    <w:rsid w:val="003C2F03"/>
    <w:rsid w:val="003C3796"/>
    <w:rsid w:val="003C4BB2"/>
    <w:rsid w:val="003E5C4A"/>
    <w:rsid w:val="003E61E3"/>
    <w:rsid w:val="00416C20"/>
    <w:rsid w:val="00433303"/>
    <w:rsid w:val="00440335"/>
    <w:rsid w:val="00443309"/>
    <w:rsid w:val="00446A71"/>
    <w:rsid w:val="00446B41"/>
    <w:rsid w:val="004766D4"/>
    <w:rsid w:val="004866CE"/>
    <w:rsid w:val="004B6C1F"/>
    <w:rsid w:val="004B7FDE"/>
    <w:rsid w:val="004C0647"/>
    <w:rsid w:val="004D461A"/>
    <w:rsid w:val="004D514E"/>
    <w:rsid w:val="004D7E13"/>
    <w:rsid w:val="004F1891"/>
    <w:rsid w:val="004F7F9D"/>
    <w:rsid w:val="00503541"/>
    <w:rsid w:val="00504826"/>
    <w:rsid w:val="00504A92"/>
    <w:rsid w:val="00510633"/>
    <w:rsid w:val="00511D81"/>
    <w:rsid w:val="00513E79"/>
    <w:rsid w:val="00515DBF"/>
    <w:rsid w:val="00520CC0"/>
    <w:rsid w:val="005277E0"/>
    <w:rsid w:val="00527EB0"/>
    <w:rsid w:val="005308DF"/>
    <w:rsid w:val="0053432F"/>
    <w:rsid w:val="00535CF2"/>
    <w:rsid w:val="00540186"/>
    <w:rsid w:val="00571B97"/>
    <w:rsid w:val="00571E1F"/>
    <w:rsid w:val="00585775"/>
    <w:rsid w:val="00585B49"/>
    <w:rsid w:val="00585C1F"/>
    <w:rsid w:val="005865B4"/>
    <w:rsid w:val="005953AC"/>
    <w:rsid w:val="005A1797"/>
    <w:rsid w:val="005A5EEE"/>
    <w:rsid w:val="005A73A7"/>
    <w:rsid w:val="005B04E0"/>
    <w:rsid w:val="005C61B4"/>
    <w:rsid w:val="005E12DC"/>
    <w:rsid w:val="005E1B3B"/>
    <w:rsid w:val="005E45EE"/>
    <w:rsid w:val="005F1CAE"/>
    <w:rsid w:val="00601E38"/>
    <w:rsid w:val="00615C8E"/>
    <w:rsid w:val="0061624A"/>
    <w:rsid w:val="0061625A"/>
    <w:rsid w:val="00617BFC"/>
    <w:rsid w:val="006348A9"/>
    <w:rsid w:val="0063638A"/>
    <w:rsid w:val="00637505"/>
    <w:rsid w:val="00645705"/>
    <w:rsid w:val="00645A24"/>
    <w:rsid w:val="006508DC"/>
    <w:rsid w:val="006536B9"/>
    <w:rsid w:val="006552C5"/>
    <w:rsid w:val="0066253A"/>
    <w:rsid w:val="006639D0"/>
    <w:rsid w:val="00665B75"/>
    <w:rsid w:val="00670383"/>
    <w:rsid w:val="00672403"/>
    <w:rsid w:val="00673F9F"/>
    <w:rsid w:val="00693334"/>
    <w:rsid w:val="006B1225"/>
    <w:rsid w:val="006E0602"/>
    <w:rsid w:val="006E352E"/>
    <w:rsid w:val="006F1243"/>
    <w:rsid w:val="0070095B"/>
    <w:rsid w:val="0070186D"/>
    <w:rsid w:val="00702065"/>
    <w:rsid w:val="00702439"/>
    <w:rsid w:val="00722792"/>
    <w:rsid w:val="00733348"/>
    <w:rsid w:val="0076021F"/>
    <w:rsid w:val="0077786D"/>
    <w:rsid w:val="0078128C"/>
    <w:rsid w:val="00794863"/>
    <w:rsid w:val="007D318F"/>
    <w:rsid w:val="007E0F3E"/>
    <w:rsid w:val="007E25F1"/>
    <w:rsid w:val="007E49F7"/>
    <w:rsid w:val="007F1D04"/>
    <w:rsid w:val="00841044"/>
    <w:rsid w:val="00846FD0"/>
    <w:rsid w:val="00851B96"/>
    <w:rsid w:val="00883447"/>
    <w:rsid w:val="00885C93"/>
    <w:rsid w:val="0089286D"/>
    <w:rsid w:val="00894B43"/>
    <w:rsid w:val="008A0B25"/>
    <w:rsid w:val="008A1266"/>
    <w:rsid w:val="008A547A"/>
    <w:rsid w:val="008C3163"/>
    <w:rsid w:val="008D0459"/>
    <w:rsid w:val="008D7C43"/>
    <w:rsid w:val="008F072C"/>
    <w:rsid w:val="008F1FB7"/>
    <w:rsid w:val="008F60EE"/>
    <w:rsid w:val="00902073"/>
    <w:rsid w:val="00911BE0"/>
    <w:rsid w:val="009140DB"/>
    <w:rsid w:val="00916623"/>
    <w:rsid w:val="00931133"/>
    <w:rsid w:val="00931EE6"/>
    <w:rsid w:val="0093799F"/>
    <w:rsid w:val="00975628"/>
    <w:rsid w:val="0097795A"/>
    <w:rsid w:val="0098034C"/>
    <w:rsid w:val="009808C7"/>
    <w:rsid w:val="009852E2"/>
    <w:rsid w:val="009960EC"/>
    <w:rsid w:val="009A0806"/>
    <w:rsid w:val="009B40F3"/>
    <w:rsid w:val="009D59B5"/>
    <w:rsid w:val="009D6C22"/>
    <w:rsid w:val="009E0A1F"/>
    <w:rsid w:val="009E1ED6"/>
    <w:rsid w:val="009F09C7"/>
    <w:rsid w:val="009F0F75"/>
    <w:rsid w:val="009F4D4D"/>
    <w:rsid w:val="00A03969"/>
    <w:rsid w:val="00A054A1"/>
    <w:rsid w:val="00A062D4"/>
    <w:rsid w:val="00A11A29"/>
    <w:rsid w:val="00A15BEA"/>
    <w:rsid w:val="00A2027A"/>
    <w:rsid w:val="00A22F1C"/>
    <w:rsid w:val="00A23A58"/>
    <w:rsid w:val="00A308F8"/>
    <w:rsid w:val="00A363D9"/>
    <w:rsid w:val="00A40A86"/>
    <w:rsid w:val="00A47A83"/>
    <w:rsid w:val="00A6708C"/>
    <w:rsid w:val="00A6762F"/>
    <w:rsid w:val="00A67806"/>
    <w:rsid w:val="00A7247D"/>
    <w:rsid w:val="00A91A1C"/>
    <w:rsid w:val="00AA166F"/>
    <w:rsid w:val="00AB6630"/>
    <w:rsid w:val="00AE0B45"/>
    <w:rsid w:val="00AE3951"/>
    <w:rsid w:val="00AE4E5E"/>
    <w:rsid w:val="00B115C7"/>
    <w:rsid w:val="00B16895"/>
    <w:rsid w:val="00B16DDE"/>
    <w:rsid w:val="00B20A2C"/>
    <w:rsid w:val="00B36F82"/>
    <w:rsid w:val="00B7364E"/>
    <w:rsid w:val="00B75BCA"/>
    <w:rsid w:val="00B82862"/>
    <w:rsid w:val="00B83A26"/>
    <w:rsid w:val="00BA149D"/>
    <w:rsid w:val="00BB4021"/>
    <w:rsid w:val="00BB68E1"/>
    <w:rsid w:val="00BC7270"/>
    <w:rsid w:val="00BD6457"/>
    <w:rsid w:val="00BD7064"/>
    <w:rsid w:val="00C07A53"/>
    <w:rsid w:val="00C21AC3"/>
    <w:rsid w:val="00C249A4"/>
    <w:rsid w:val="00C25053"/>
    <w:rsid w:val="00C43498"/>
    <w:rsid w:val="00C458E7"/>
    <w:rsid w:val="00C45B9A"/>
    <w:rsid w:val="00C60691"/>
    <w:rsid w:val="00C6074C"/>
    <w:rsid w:val="00C60E82"/>
    <w:rsid w:val="00C7539B"/>
    <w:rsid w:val="00C8260C"/>
    <w:rsid w:val="00C82F23"/>
    <w:rsid w:val="00C84601"/>
    <w:rsid w:val="00C87366"/>
    <w:rsid w:val="00C92EEA"/>
    <w:rsid w:val="00CB1601"/>
    <w:rsid w:val="00CB3C00"/>
    <w:rsid w:val="00CB79FF"/>
    <w:rsid w:val="00CD1DB4"/>
    <w:rsid w:val="00CD2864"/>
    <w:rsid w:val="00CE2B74"/>
    <w:rsid w:val="00CE7B57"/>
    <w:rsid w:val="00CF2973"/>
    <w:rsid w:val="00CF3E12"/>
    <w:rsid w:val="00CF74DC"/>
    <w:rsid w:val="00D0103F"/>
    <w:rsid w:val="00D01EDC"/>
    <w:rsid w:val="00D02911"/>
    <w:rsid w:val="00D03CD1"/>
    <w:rsid w:val="00D11360"/>
    <w:rsid w:val="00D14D34"/>
    <w:rsid w:val="00D24044"/>
    <w:rsid w:val="00D3087D"/>
    <w:rsid w:val="00D4731C"/>
    <w:rsid w:val="00D508B2"/>
    <w:rsid w:val="00D53BDD"/>
    <w:rsid w:val="00D62CC9"/>
    <w:rsid w:val="00D63C54"/>
    <w:rsid w:val="00D674EE"/>
    <w:rsid w:val="00D723FC"/>
    <w:rsid w:val="00D73E8D"/>
    <w:rsid w:val="00D77B2A"/>
    <w:rsid w:val="00D82298"/>
    <w:rsid w:val="00D83050"/>
    <w:rsid w:val="00D91221"/>
    <w:rsid w:val="00D94F10"/>
    <w:rsid w:val="00DA01F4"/>
    <w:rsid w:val="00DB2559"/>
    <w:rsid w:val="00DB2641"/>
    <w:rsid w:val="00DB71F8"/>
    <w:rsid w:val="00DC22D5"/>
    <w:rsid w:val="00DC7615"/>
    <w:rsid w:val="00DE7517"/>
    <w:rsid w:val="00DF182A"/>
    <w:rsid w:val="00E00222"/>
    <w:rsid w:val="00E16D1B"/>
    <w:rsid w:val="00E170C3"/>
    <w:rsid w:val="00E21D75"/>
    <w:rsid w:val="00E350C6"/>
    <w:rsid w:val="00E436D3"/>
    <w:rsid w:val="00E479C5"/>
    <w:rsid w:val="00E57283"/>
    <w:rsid w:val="00E65402"/>
    <w:rsid w:val="00E671B6"/>
    <w:rsid w:val="00E8098C"/>
    <w:rsid w:val="00E9106F"/>
    <w:rsid w:val="00E92DB5"/>
    <w:rsid w:val="00E94642"/>
    <w:rsid w:val="00E95F21"/>
    <w:rsid w:val="00EA2EF2"/>
    <w:rsid w:val="00EA4AB8"/>
    <w:rsid w:val="00EC59F7"/>
    <w:rsid w:val="00EE1713"/>
    <w:rsid w:val="00EE7CED"/>
    <w:rsid w:val="00EF0EA4"/>
    <w:rsid w:val="00EF0FAD"/>
    <w:rsid w:val="00EF3727"/>
    <w:rsid w:val="00F25DB4"/>
    <w:rsid w:val="00F412AB"/>
    <w:rsid w:val="00F458C7"/>
    <w:rsid w:val="00F46153"/>
    <w:rsid w:val="00F56919"/>
    <w:rsid w:val="00F61034"/>
    <w:rsid w:val="00F64B9B"/>
    <w:rsid w:val="00F919D3"/>
    <w:rsid w:val="00F9628E"/>
    <w:rsid w:val="00FA4DE0"/>
    <w:rsid w:val="00FC281E"/>
    <w:rsid w:val="00FE0804"/>
    <w:rsid w:val="00FF7111"/>
    <w:rsid w:val="012D66CB"/>
    <w:rsid w:val="02D36CA3"/>
    <w:rsid w:val="03326801"/>
    <w:rsid w:val="036E4EB4"/>
    <w:rsid w:val="042E62AF"/>
    <w:rsid w:val="04367644"/>
    <w:rsid w:val="0A577EA6"/>
    <w:rsid w:val="0AC27A07"/>
    <w:rsid w:val="0D3A5123"/>
    <w:rsid w:val="0EA855E3"/>
    <w:rsid w:val="0EAC0F21"/>
    <w:rsid w:val="0F5C1838"/>
    <w:rsid w:val="0F7F158E"/>
    <w:rsid w:val="0FA65968"/>
    <w:rsid w:val="0FB26250"/>
    <w:rsid w:val="10572BB3"/>
    <w:rsid w:val="108A2C16"/>
    <w:rsid w:val="10C1060B"/>
    <w:rsid w:val="11793A96"/>
    <w:rsid w:val="11CB0ABE"/>
    <w:rsid w:val="12E07081"/>
    <w:rsid w:val="13077910"/>
    <w:rsid w:val="133B6A25"/>
    <w:rsid w:val="138C7281"/>
    <w:rsid w:val="13C470E7"/>
    <w:rsid w:val="13EA178A"/>
    <w:rsid w:val="14876CA2"/>
    <w:rsid w:val="14955740"/>
    <w:rsid w:val="14F645ED"/>
    <w:rsid w:val="15603C4A"/>
    <w:rsid w:val="15743E42"/>
    <w:rsid w:val="177303E8"/>
    <w:rsid w:val="186B797F"/>
    <w:rsid w:val="188F0A6E"/>
    <w:rsid w:val="194A6C88"/>
    <w:rsid w:val="19ED50D1"/>
    <w:rsid w:val="1A446AFE"/>
    <w:rsid w:val="1A6071F3"/>
    <w:rsid w:val="1B715091"/>
    <w:rsid w:val="1BD25A4D"/>
    <w:rsid w:val="1C511220"/>
    <w:rsid w:val="1D2D666C"/>
    <w:rsid w:val="1D916C98"/>
    <w:rsid w:val="1E5E181A"/>
    <w:rsid w:val="1E81151C"/>
    <w:rsid w:val="1F0B514F"/>
    <w:rsid w:val="1F3C1B5B"/>
    <w:rsid w:val="204507CA"/>
    <w:rsid w:val="207323B9"/>
    <w:rsid w:val="21097C41"/>
    <w:rsid w:val="21902632"/>
    <w:rsid w:val="21B84270"/>
    <w:rsid w:val="24AC4A8D"/>
    <w:rsid w:val="24D86FD2"/>
    <w:rsid w:val="25DE1BBE"/>
    <w:rsid w:val="266E283A"/>
    <w:rsid w:val="272924A0"/>
    <w:rsid w:val="27A37603"/>
    <w:rsid w:val="27BF15BC"/>
    <w:rsid w:val="2935022C"/>
    <w:rsid w:val="297316D8"/>
    <w:rsid w:val="2A67601F"/>
    <w:rsid w:val="2AAA7D8D"/>
    <w:rsid w:val="2AC90642"/>
    <w:rsid w:val="2B072DE2"/>
    <w:rsid w:val="2D354EB8"/>
    <w:rsid w:val="2D594D85"/>
    <w:rsid w:val="2D894942"/>
    <w:rsid w:val="2E277E7A"/>
    <w:rsid w:val="31945827"/>
    <w:rsid w:val="32110C25"/>
    <w:rsid w:val="333D458E"/>
    <w:rsid w:val="36B71418"/>
    <w:rsid w:val="36C162E8"/>
    <w:rsid w:val="37493898"/>
    <w:rsid w:val="378332F8"/>
    <w:rsid w:val="386D476C"/>
    <w:rsid w:val="3A402774"/>
    <w:rsid w:val="3B245E6D"/>
    <w:rsid w:val="3B5E668A"/>
    <w:rsid w:val="3C125CC6"/>
    <w:rsid w:val="3C5738CA"/>
    <w:rsid w:val="3D3C244E"/>
    <w:rsid w:val="3F233925"/>
    <w:rsid w:val="405E0011"/>
    <w:rsid w:val="40D667EF"/>
    <w:rsid w:val="41523BBA"/>
    <w:rsid w:val="41E4204D"/>
    <w:rsid w:val="41EB4E51"/>
    <w:rsid w:val="43156730"/>
    <w:rsid w:val="437E6337"/>
    <w:rsid w:val="4441183E"/>
    <w:rsid w:val="444E229E"/>
    <w:rsid w:val="45A02594"/>
    <w:rsid w:val="4694464B"/>
    <w:rsid w:val="474C68B7"/>
    <w:rsid w:val="48C90054"/>
    <w:rsid w:val="49153758"/>
    <w:rsid w:val="4B7D753C"/>
    <w:rsid w:val="4BC82845"/>
    <w:rsid w:val="4E2763FA"/>
    <w:rsid w:val="4E584DB1"/>
    <w:rsid w:val="4E8C1402"/>
    <w:rsid w:val="51581F75"/>
    <w:rsid w:val="522208EA"/>
    <w:rsid w:val="524B7790"/>
    <w:rsid w:val="52CD28C8"/>
    <w:rsid w:val="541D2076"/>
    <w:rsid w:val="545879E0"/>
    <w:rsid w:val="54C876B3"/>
    <w:rsid w:val="561B4764"/>
    <w:rsid w:val="56440315"/>
    <w:rsid w:val="56E322E1"/>
    <w:rsid w:val="572A7F10"/>
    <w:rsid w:val="57347C1D"/>
    <w:rsid w:val="577949F3"/>
    <w:rsid w:val="578E0C34"/>
    <w:rsid w:val="5817739E"/>
    <w:rsid w:val="586568EA"/>
    <w:rsid w:val="5A2E6EA9"/>
    <w:rsid w:val="5B41461C"/>
    <w:rsid w:val="5B602F18"/>
    <w:rsid w:val="5B6D277B"/>
    <w:rsid w:val="5E600665"/>
    <w:rsid w:val="5ECE3876"/>
    <w:rsid w:val="5F3B69B2"/>
    <w:rsid w:val="5F531FCE"/>
    <w:rsid w:val="61025DCB"/>
    <w:rsid w:val="62B81204"/>
    <w:rsid w:val="657C2A83"/>
    <w:rsid w:val="66A55805"/>
    <w:rsid w:val="67683D23"/>
    <w:rsid w:val="67CF7ACF"/>
    <w:rsid w:val="69360996"/>
    <w:rsid w:val="69E76134"/>
    <w:rsid w:val="6A06480C"/>
    <w:rsid w:val="6A1E7827"/>
    <w:rsid w:val="6A732DB2"/>
    <w:rsid w:val="6BCA2D65"/>
    <w:rsid w:val="6BEE5D16"/>
    <w:rsid w:val="6C4224BC"/>
    <w:rsid w:val="6C9B7FF9"/>
    <w:rsid w:val="6F716E92"/>
    <w:rsid w:val="702B71E2"/>
    <w:rsid w:val="714D3D36"/>
    <w:rsid w:val="7205731D"/>
    <w:rsid w:val="72682CC8"/>
    <w:rsid w:val="72802C82"/>
    <w:rsid w:val="72924992"/>
    <w:rsid w:val="73823836"/>
    <w:rsid w:val="73A95E6C"/>
    <w:rsid w:val="76E31F0C"/>
    <w:rsid w:val="771C5855"/>
    <w:rsid w:val="7A3727C0"/>
    <w:rsid w:val="7C360F49"/>
    <w:rsid w:val="7C4C354E"/>
    <w:rsid w:val="7D242BDB"/>
    <w:rsid w:val="7E085260"/>
    <w:rsid w:val="7E9F4838"/>
    <w:rsid w:val="7EAB4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semiHidden="0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99" w:semiHidden="0" w:name="footnote reference"/>
    <w:lsdException w:qFormat="1" w:uiPriority="99" w:name="annotation reference"/>
    <w:lsdException w:qFormat="1"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widowControl w:val="0"/>
      <w:suppressLineNumbers w:val="0"/>
      <w:spacing w:before="0" w:beforeAutospacing="0" w:after="0" w:afterAutospacing="0" w:line="480" w:lineRule="auto"/>
      <w:ind w:left="0" w:right="0" w:firstLine="200" w:firstLineChars="200"/>
      <w:jc w:val="center"/>
      <w:outlineLvl w:val="0"/>
    </w:pPr>
    <w:rPr>
      <w:rFonts w:hint="default" w:ascii="Times New Roman" w:hAnsi="Times New Roman" w:eastAsia="宋体" w:cs="Times New Roman"/>
      <w:b/>
      <w:bCs/>
      <w:kern w:val="44"/>
      <w:sz w:val="24"/>
      <w:szCs w:val="24"/>
      <w:lang w:val="en-US" w:eastAsia="zh-CN" w:bidi="ar"/>
    </w:rPr>
  </w:style>
  <w:style w:type="paragraph" w:styleId="3">
    <w:name w:val="heading 2"/>
    <w:basedOn w:val="1"/>
    <w:next w:val="1"/>
    <w:qFormat/>
    <w:uiPriority w:val="9"/>
    <w:pPr>
      <w:keepNext/>
      <w:keepLines/>
      <w:spacing w:before="260" w:after="260"/>
      <w:ind w:firstLine="0" w:firstLineChars="0"/>
      <w:outlineLvl w:val="1"/>
    </w:pPr>
    <w:rPr>
      <w:rFonts w:ascii="Times New Roman" w:hAnsi="Times New Roman" w:eastAsia="Cambria"/>
      <w:b/>
      <w:bCs/>
      <w:sz w:val="28"/>
      <w:szCs w:val="32"/>
    </w:rPr>
  </w:style>
  <w:style w:type="paragraph" w:styleId="4">
    <w:name w:val="heading 3"/>
    <w:basedOn w:val="1"/>
    <w:next w:val="1"/>
    <w:qFormat/>
    <w:uiPriority w:val="9"/>
    <w:pPr>
      <w:keepNext/>
      <w:keepLines/>
      <w:spacing w:before="260" w:after="260"/>
      <w:ind w:firstLine="0" w:firstLineChars="0"/>
      <w:outlineLvl w:val="2"/>
    </w:pPr>
    <w:rPr>
      <w:bCs/>
      <w:sz w:val="28"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3"/>
    <w:unhideWhenUsed/>
    <w:qFormat/>
    <w:uiPriority w:val="99"/>
    <w:pPr>
      <w:bidi/>
      <w:spacing w:line="240" w:lineRule="auto"/>
    </w:pPr>
    <w:rPr>
      <w:rFonts w:eastAsiaTheme="minorEastAsia"/>
      <w:sz w:val="20"/>
      <w:szCs w:val="20"/>
      <w:lang w:bidi="fa-IR"/>
    </w:rPr>
  </w:style>
  <w:style w:type="paragraph" w:styleId="6">
    <w:name w:val="Balloon Text"/>
    <w:basedOn w:val="1"/>
    <w:link w:val="26"/>
    <w:semiHidden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7">
    <w:name w:val="footer"/>
    <w:basedOn w:val="1"/>
    <w:link w:val="25"/>
    <w:unhideWhenUsed/>
    <w:qFormat/>
    <w:uiPriority w:val="99"/>
    <w:pPr>
      <w:tabs>
        <w:tab w:val="center" w:pos="4513"/>
        <w:tab w:val="right" w:pos="9026"/>
      </w:tabs>
      <w:spacing w:after="0" w:line="240" w:lineRule="auto"/>
    </w:pPr>
  </w:style>
  <w:style w:type="paragraph" w:styleId="8">
    <w:name w:val="header"/>
    <w:basedOn w:val="1"/>
    <w:link w:val="24"/>
    <w:unhideWhenUsed/>
    <w:qFormat/>
    <w:uiPriority w:val="99"/>
    <w:pPr>
      <w:tabs>
        <w:tab w:val="center" w:pos="4513"/>
        <w:tab w:val="right" w:pos="9026"/>
      </w:tabs>
      <w:spacing w:after="0" w:line="240" w:lineRule="auto"/>
    </w:pPr>
  </w:style>
  <w:style w:type="paragraph" w:styleId="9">
    <w:name w:val="footnote text"/>
    <w:basedOn w:val="1"/>
    <w:link w:val="22"/>
    <w:unhideWhenUsed/>
    <w:qFormat/>
    <w:uiPriority w:val="99"/>
    <w:pPr>
      <w:spacing w:after="0" w:line="240" w:lineRule="auto"/>
    </w:pPr>
    <w:rPr>
      <w:rFonts w:ascii="Calibri" w:hAnsi="Calibri" w:eastAsia="Calibri" w:cs="Arial"/>
      <w:sz w:val="20"/>
      <w:szCs w:val="20"/>
      <w:lang w:val="zh-CN" w:eastAsia="zh-CN"/>
    </w:rPr>
  </w:style>
  <w:style w:type="paragraph" w:styleId="10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bidi="fa-IR"/>
    </w:rPr>
  </w:style>
  <w:style w:type="paragraph" w:styleId="11">
    <w:name w:val="annotation subject"/>
    <w:basedOn w:val="5"/>
    <w:next w:val="5"/>
    <w:link w:val="31"/>
    <w:semiHidden/>
    <w:unhideWhenUsed/>
    <w:qFormat/>
    <w:uiPriority w:val="99"/>
    <w:pPr>
      <w:bidi w:val="0"/>
    </w:pPr>
    <w:rPr>
      <w:rFonts w:eastAsiaTheme="minorHAnsi"/>
      <w:b/>
      <w:bCs/>
      <w:lang w:bidi="ar-SA"/>
    </w:rPr>
  </w:style>
  <w:style w:type="character" w:styleId="14">
    <w:name w:val="Emphasis"/>
    <w:basedOn w:val="13"/>
    <w:qFormat/>
    <w:uiPriority w:val="20"/>
    <w:rPr>
      <w:i/>
      <w:iCs/>
    </w:rPr>
  </w:style>
  <w:style w:type="character" w:styleId="15">
    <w:name w:val="line number"/>
    <w:basedOn w:val="13"/>
    <w:semiHidden/>
    <w:unhideWhenUsed/>
    <w:qFormat/>
    <w:uiPriority w:val="99"/>
  </w:style>
  <w:style w:type="character" w:styleId="16">
    <w:name w:val="Hyperlink"/>
    <w:basedOn w:val="13"/>
    <w:unhideWhenUsed/>
    <w:qFormat/>
    <w:uiPriority w:val="0"/>
    <w:rPr>
      <w:color w:val="0000FF"/>
      <w:u w:val="single"/>
    </w:rPr>
  </w:style>
  <w:style w:type="character" w:styleId="17">
    <w:name w:val="annotation reference"/>
    <w:basedOn w:val="13"/>
    <w:semiHidden/>
    <w:unhideWhenUsed/>
    <w:qFormat/>
    <w:uiPriority w:val="99"/>
    <w:rPr>
      <w:sz w:val="16"/>
      <w:szCs w:val="16"/>
    </w:rPr>
  </w:style>
  <w:style w:type="character" w:styleId="18">
    <w:name w:val="footnote reference"/>
    <w:qFormat/>
    <w:uiPriority w:val="99"/>
    <w:rPr>
      <w:vertAlign w:val="superscript"/>
    </w:rPr>
  </w:style>
  <w:style w:type="paragraph" w:customStyle="1" w:styleId="19">
    <w:name w:val="BA_Title"/>
    <w:basedOn w:val="1"/>
    <w:next w:val="1"/>
    <w:qFormat/>
    <w:uiPriority w:val="0"/>
    <w:pPr>
      <w:spacing w:before="720" w:after="360" w:line="480" w:lineRule="auto"/>
      <w:jc w:val="center"/>
    </w:pPr>
    <w:rPr>
      <w:rFonts w:ascii="Times New Roman" w:hAnsi="Times New Roman" w:eastAsia="Times New Roman" w:cs="Times New Roman"/>
      <w:sz w:val="44"/>
      <w:szCs w:val="20"/>
    </w:rPr>
  </w:style>
  <w:style w:type="paragraph" w:customStyle="1" w:styleId="20">
    <w:name w:val="BB_Author_Name"/>
    <w:basedOn w:val="1"/>
    <w:next w:val="21"/>
    <w:qFormat/>
    <w:uiPriority w:val="0"/>
    <w:pPr>
      <w:spacing w:after="240" w:line="480" w:lineRule="auto"/>
      <w:jc w:val="center"/>
    </w:pPr>
    <w:rPr>
      <w:rFonts w:ascii="Times" w:hAnsi="Times" w:eastAsia="Times New Roman" w:cs="Times New Roman"/>
      <w:i/>
      <w:sz w:val="24"/>
      <w:szCs w:val="20"/>
    </w:rPr>
  </w:style>
  <w:style w:type="paragraph" w:customStyle="1" w:styleId="21">
    <w:name w:val="BC_Author_Address"/>
    <w:basedOn w:val="1"/>
    <w:next w:val="1"/>
    <w:qFormat/>
    <w:uiPriority w:val="0"/>
    <w:pPr>
      <w:spacing w:after="240" w:line="480" w:lineRule="auto"/>
      <w:jc w:val="center"/>
    </w:pPr>
    <w:rPr>
      <w:rFonts w:ascii="Times" w:hAnsi="Times" w:eastAsia="Times New Roman" w:cs="Times New Roman"/>
      <w:sz w:val="24"/>
      <w:szCs w:val="20"/>
    </w:rPr>
  </w:style>
  <w:style w:type="character" w:customStyle="1" w:styleId="22">
    <w:name w:val="Note de bas de page Car"/>
    <w:basedOn w:val="13"/>
    <w:link w:val="9"/>
    <w:qFormat/>
    <w:uiPriority w:val="99"/>
    <w:rPr>
      <w:rFonts w:ascii="Calibri" w:hAnsi="Calibri" w:eastAsia="Calibri" w:cs="Arial"/>
      <w:sz w:val="20"/>
      <w:szCs w:val="20"/>
      <w:lang w:val="zh-CN" w:eastAsia="zh-CN" w:bidi="ar-SA"/>
    </w:rPr>
  </w:style>
  <w:style w:type="character" w:customStyle="1" w:styleId="23">
    <w:name w:val="Commentaire Car"/>
    <w:basedOn w:val="13"/>
    <w:link w:val="5"/>
    <w:qFormat/>
    <w:uiPriority w:val="99"/>
    <w:rPr>
      <w:rFonts w:eastAsiaTheme="minorEastAsia"/>
      <w:sz w:val="20"/>
      <w:szCs w:val="20"/>
    </w:rPr>
  </w:style>
  <w:style w:type="character" w:customStyle="1" w:styleId="24">
    <w:name w:val="En-tête Car"/>
    <w:basedOn w:val="13"/>
    <w:link w:val="8"/>
    <w:qFormat/>
    <w:uiPriority w:val="99"/>
    <w:rPr>
      <w:lang w:bidi="ar-SA"/>
    </w:rPr>
  </w:style>
  <w:style w:type="character" w:customStyle="1" w:styleId="25">
    <w:name w:val="Pied de page Car"/>
    <w:basedOn w:val="13"/>
    <w:link w:val="7"/>
    <w:qFormat/>
    <w:uiPriority w:val="99"/>
    <w:rPr>
      <w:lang w:bidi="ar-SA"/>
    </w:rPr>
  </w:style>
  <w:style w:type="character" w:customStyle="1" w:styleId="26">
    <w:name w:val="Texte de bulles Car"/>
    <w:basedOn w:val="13"/>
    <w:link w:val="6"/>
    <w:semiHidden/>
    <w:qFormat/>
    <w:uiPriority w:val="99"/>
    <w:rPr>
      <w:rFonts w:ascii="Segoe UI" w:hAnsi="Segoe UI" w:cs="Segoe UI"/>
      <w:sz w:val="18"/>
      <w:szCs w:val="18"/>
      <w:lang w:bidi="ar-SA"/>
    </w:rPr>
  </w:style>
  <w:style w:type="character" w:customStyle="1" w:styleId="27">
    <w:name w:val="tlid-translation"/>
    <w:basedOn w:val="13"/>
    <w:qFormat/>
    <w:uiPriority w:val="0"/>
  </w:style>
  <w:style w:type="paragraph" w:customStyle="1" w:styleId="28">
    <w:name w:val="Default"/>
    <w:link w:val="29"/>
    <w:qFormat/>
    <w:uiPriority w:val="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 w:eastAsiaTheme="minorHAnsi"/>
      <w:color w:val="000000"/>
      <w:sz w:val="24"/>
      <w:szCs w:val="24"/>
      <w:lang w:val="en-US" w:eastAsia="en-US" w:bidi="ar-SA"/>
    </w:rPr>
  </w:style>
  <w:style w:type="character" w:customStyle="1" w:styleId="29">
    <w:name w:val="Default Char"/>
    <w:basedOn w:val="13"/>
    <w:link w:val="28"/>
    <w:qFormat/>
    <w:uiPriority w:val="99"/>
    <w:rPr>
      <w:rFonts w:ascii="Times New Roman" w:hAnsi="Times New Roman" w:cs="Times New Roman"/>
      <w:color w:val="000000"/>
      <w:sz w:val="24"/>
      <w:szCs w:val="24"/>
      <w:lang w:bidi="ar-SA"/>
    </w:rPr>
  </w:style>
  <w:style w:type="character" w:customStyle="1" w:styleId="30">
    <w:name w:val="text"/>
    <w:basedOn w:val="13"/>
    <w:qFormat/>
    <w:uiPriority w:val="0"/>
  </w:style>
  <w:style w:type="character" w:customStyle="1" w:styleId="31">
    <w:name w:val="Objet du commentaire Car"/>
    <w:basedOn w:val="23"/>
    <w:link w:val="11"/>
    <w:semiHidden/>
    <w:qFormat/>
    <w:uiPriority w:val="99"/>
    <w:rPr>
      <w:rFonts w:eastAsiaTheme="minorEastAsia"/>
      <w:b/>
      <w:bCs/>
      <w:sz w:val="20"/>
      <w:szCs w:val="20"/>
      <w:lang w:bidi="ar-SA"/>
    </w:rPr>
  </w:style>
  <w:style w:type="paragraph" w:customStyle="1" w:styleId="32">
    <w:name w:val="Revision"/>
    <w:hidden/>
    <w:semiHidden/>
    <w:qFormat/>
    <w:uiPriority w:val="99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tiff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6.tiff"/><Relationship Id="rId13" Type="http://schemas.openxmlformats.org/officeDocument/2006/relationships/image" Target="media/image5.tiff"/><Relationship Id="rId12" Type="http://schemas.openxmlformats.org/officeDocument/2006/relationships/image" Target="media/image4.tiff"/><Relationship Id="rId11" Type="http://schemas.openxmlformats.org/officeDocument/2006/relationships/image" Target="media/image3.tiff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F885B1-BF10-48EE-89ED-9994832D4D3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358</Words>
  <Characters>1993</Characters>
  <Lines>1</Lines>
  <Paragraphs>1</Paragraphs>
  <TotalTime>13</TotalTime>
  <ScaleCrop>false</ScaleCrop>
  <LinksUpToDate>false</LinksUpToDate>
  <CharactersWithSpaces>2226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2022-01-03T10:17:00Z</dcterms:created>
  <dc:creator>Windows User</dc:creator>
  <cp:lastModifiedBy>郭锦秀</cp:lastModifiedBy>
  <dcterms:modified xsi:type="dcterms:W3CDTF">2026-03-20T15:20:39Z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7D9BC587FA9C4697AC9D8FF3CBBDED4A_13</vt:lpwstr>
  </property>
  <property fmtid="{D5CDD505-2E9C-101B-9397-08002B2CF9AE}" pid="4" name="KSOTemplateDocerSaveRecord">
    <vt:lpwstr>eyJoZGlkIjoiMDc5ZjUzOGY2MTBhMDZkZTYzMTYzZjJkOGEwMjcyY2UiLCJ1c2VySWQiOiI0NDUyNjUxNzQifQ==</vt:lpwstr>
  </property>
</Properties>
</file>