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F1AF" w14:textId="77777777" w:rsidR="00154103" w:rsidRPr="00CB0D6F" w:rsidRDefault="00F44408" w:rsidP="00154103">
      <w:pPr>
        <w:pStyle w:val="Title"/>
        <w:rPr>
          <w:sz w:val="48"/>
          <w:szCs w:val="48"/>
        </w:rPr>
      </w:pPr>
      <w:r w:rsidRPr="00604551">
        <w:rPr>
          <w:sz w:val="48"/>
          <w:szCs w:val="48"/>
          <w:lang w:val="en-US"/>
        </w:rPr>
        <w:t>S</w:t>
      </w:r>
      <w:r w:rsidR="00604551" w:rsidRPr="00604551">
        <w:rPr>
          <w:sz w:val="48"/>
          <w:szCs w:val="48"/>
          <w:lang w:val="en-US"/>
        </w:rPr>
        <w:t xml:space="preserve">upporting Information: </w:t>
      </w:r>
      <w:r w:rsidR="00154103" w:rsidRPr="00CB0D6F">
        <w:rPr>
          <w:sz w:val="48"/>
          <w:szCs w:val="48"/>
        </w:rPr>
        <w:t>Resource nationalist versus regional collaboration approaches for increased battery mineral value addition in Southern Africa</w:t>
      </w:r>
    </w:p>
    <w:p w14:paraId="66FC7A3C" w14:textId="1E3B63D1" w:rsidR="00F250D7" w:rsidRPr="00AD595C" w:rsidRDefault="00F250D7" w:rsidP="00F250D7">
      <w:pPr>
        <w:pStyle w:val="paragraph"/>
        <w:spacing w:before="0" w:beforeAutospacing="0" w:after="0" w:afterAutospacing="0"/>
        <w:rPr>
          <w:rFonts w:asciiTheme="minorHAnsi" w:hAnsiTheme="minorHAnsi" w:cs="Arial"/>
          <w:lang w:val="en-US"/>
        </w:rPr>
      </w:pPr>
      <w:r w:rsidRPr="00AD595C">
        <w:rPr>
          <w:rFonts w:asciiTheme="minorHAnsi" w:hAnsiTheme="minorHAnsi" w:cs="Arial"/>
        </w:rPr>
        <w:t>Karla Cervantes Barron</w:t>
      </w:r>
      <w:r>
        <w:rPr>
          <w:rFonts w:asciiTheme="minorHAnsi" w:hAnsiTheme="minorHAnsi" w:cs="Arial"/>
        </w:rPr>
        <w:t>*</w:t>
      </w:r>
      <w:r>
        <w:rPr>
          <w:rFonts w:asciiTheme="minorHAnsi" w:hAnsiTheme="minorHAnsi" w:cs="Arial"/>
          <w:vertAlign w:val="superscript"/>
        </w:rPr>
        <w:t>1</w:t>
      </w:r>
      <w:r w:rsidRPr="00AD595C">
        <w:rPr>
          <w:rFonts w:ascii="Arial" w:hAnsi="Arial" w:cs="Arial"/>
        </w:rPr>
        <w:t>​</w:t>
      </w:r>
      <w:r w:rsidRPr="00AD595C">
        <w:rPr>
          <w:rFonts w:asciiTheme="minorHAnsi" w:hAnsiTheme="minorHAnsi" w:cs="Arial"/>
        </w:rPr>
        <w:t>, Raghav Pant</w:t>
      </w:r>
      <w:r w:rsidRPr="00AD595C">
        <w:rPr>
          <w:rFonts w:asciiTheme="minorHAnsi" w:hAnsiTheme="minorHAnsi" w:cs="Arial"/>
          <w:vertAlign w:val="superscript"/>
        </w:rPr>
        <w:t>3</w:t>
      </w:r>
      <w:r w:rsidRPr="00AD595C">
        <w:rPr>
          <w:rFonts w:ascii="Arial" w:hAnsi="Arial" w:cs="Arial"/>
        </w:rPr>
        <w:t>​</w:t>
      </w:r>
      <w:r w:rsidRPr="00AD595C">
        <w:rPr>
          <w:rFonts w:asciiTheme="minorHAnsi" w:hAnsiTheme="minorHAnsi" w:cs="Arial"/>
        </w:rPr>
        <w:t>, Baptiste Andrieu</w:t>
      </w:r>
      <w:r>
        <w:rPr>
          <w:rFonts w:asciiTheme="minorHAnsi" w:hAnsiTheme="minorHAnsi" w:cs="Arial"/>
          <w:vertAlign w:val="superscript"/>
        </w:rPr>
        <w:t>4</w:t>
      </w:r>
      <w:r w:rsidRPr="00AD595C">
        <w:rPr>
          <w:rFonts w:asciiTheme="minorHAnsi" w:hAnsiTheme="minorHAnsi" w:cs="Arial"/>
        </w:rPr>
        <w:t>, Mehrnoosh Heydari</w:t>
      </w:r>
      <w:r>
        <w:rPr>
          <w:rFonts w:asciiTheme="minorHAnsi" w:hAnsiTheme="minorHAnsi" w:cs="Arial"/>
          <w:vertAlign w:val="superscript"/>
        </w:rPr>
        <w:t>4</w:t>
      </w:r>
      <w:r w:rsidRPr="00AD595C">
        <w:rPr>
          <w:rFonts w:ascii="Arial" w:hAnsi="Arial" w:cs="Arial"/>
        </w:rPr>
        <w:t>​</w:t>
      </w:r>
      <w:r w:rsidRPr="00AD595C">
        <w:rPr>
          <w:rFonts w:asciiTheme="minorHAnsi" w:hAnsiTheme="minorHAnsi" w:cs="Arial"/>
        </w:rPr>
        <w:t>, Alexandros Korkovelos</w:t>
      </w:r>
      <w:r>
        <w:rPr>
          <w:rFonts w:asciiTheme="minorHAnsi" w:hAnsiTheme="minorHAnsi" w:cs="Arial"/>
          <w:vertAlign w:val="superscript"/>
        </w:rPr>
        <w:t>6</w:t>
      </w:r>
      <w:r w:rsidRPr="00AD595C">
        <w:rPr>
          <w:rFonts w:ascii="Arial" w:hAnsi="Arial" w:cs="Arial"/>
        </w:rPr>
        <w:t>​</w:t>
      </w:r>
      <w:r w:rsidRPr="00AD595C">
        <w:rPr>
          <w:rFonts w:asciiTheme="minorHAnsi" w:hAnsiTheme="minorHAnsi" w:cs="Arial"/>
        </w:rPr>
        <w:t>, Simone Osei-Owusu</w:t>
      </w:r>
      <w:r>
        <w:rPr>
          <w:rFonts w:asciiTheme="minorHAnsi" w:hAnsiTheme="minorHAnsi" w:cs="Arial"/>
          <w:vertAlign w:val="superscript"/>
        </w:rPr>
        <w:t>5</w:t>
      </w:r>
      <w:r w:rsidRPr="00AD595C">
        <w:rPr>
          <w:rFonts w:asciiTheme="minorHAnsi" w:hAnsiTheme="minorHAnsi" w:cs="Arial"/>
        </w:rPr>
        <w:t>, Samira Barzin</w:t>
      </w:r>
      <w:r w:rsidRPr="00AD595C">
        <w:rPr>
          <w:rFonts w:asciiTheme="minorHAnsi" w:hAnsiTheme="minorHAnsi" w:cs="Arial"/>
          <w:vertAlign w:val="superscript"/>
        </w:rPr>
        <w:t>3</w:t>
      </w:r>
      <w:r w:rsidRPr="00AD595C">
        <w:rPr>
          <w:rFonts w:asciiTheme="minorHAnsi" w:hAnsiTheme="minorHAnsi" w:cs="Arial"/>
        </w:rPr>
        <w:t xml:space="preserve">, </w:t>
      </w:r>
      <w:r>
        <w:rPr>
          <w:rFonts w:asciiTheme="minorHAnsi" w:hAnsiTheme="minorHAnsi" w:cs="Arial"/>
        </w:rPr>
        <w:t xml:space="preserve">Mehmet </w:t>
      </w:r>
      <w:r w:rsidRPr="00AD595C">
        <w:rPr>
          <w:rFonts w:asciiTheme="minorHAnsi" w:hAnsiTheme="minorHAnsi" w:cs="Arial"/>
        </w:rPr>
        <w:t>Metehan Ciftci</w:t>
      </w:r>
      <w:r>
        <w:rPr>
          <w:rFonts w:asciiTheme="minorHAnsi" w:hAnsiTheme="minorHAnsi" w:cs="Arial"/>
          <w:vertAlign w:val="superscript"/>
        </w:rPr>
        <w:t>7</w:t>
      </w:r>
      <w:r w:rsidRPr="00AD595C">
        <w:rPr>
          <w:rFonts w:asciiTheme="minorHAnsi" w:hAnsiTheme="minorHAnsi" w:cs="Arial"/>
        </w:rPr>
        <w:t>, Martin Stringer</w:t>
      </w:r>
      <w:r w:rsidRPr="00AD595C">
        <w:rPr>
          <w:rFonts w:ascii="Arial" w:hAnsi="Arial" w:cs="Arial"/>
          <w:lang w:val="en-US"/>
        </w:rPr>
        <w:t>​</w:t>
      </w:r>
      <w:r>
        <w:rPr>
          <w:rFonts w:asciiTheme="minorHAnsi" w:hAnsiTheme="minorHAnsi" w:cs="Arial"/>
          <w:vertAlign w:val="superscript"/>
        </w:rPr>
        <w:t>6</w:t>
      </w:r>
      <w:r w:rsidRPr="00AD595C">
        <w:rPr>
          <w:rFonts w:asciiTheme="minorHAnsi" w:hAnsiTheme="minorHAnsi" w:cs="Arial"/>
          <w:lang w:val="en-US"/>
        </w:rPr>
        <w:t>, Camilo Ramirez Gomez</w:t>
      </w:r>
      <w:r w:rsidRPr="00AD595C">
        <w:rPr>
          <w:rFonts w:asciiTheme="minorHAnsi" w:hAnsiTheme="minorHAnsi" w:cs="Arial"/>
          <w:vertAlign w:val="superscript"/>
        </w:rPr>
        <w:t xml:space="preserve"> </w:t>
      </w:r>
      <w:r>
        <w:rPr>
          <w:rFonts w:asciiTheme="minorHAnsi" w:hAnsiTheme="minorHAnsi" w:cs="Arial"/>
          <w:vertAlign w:val="superscript"/>
        </w:rPr>
        <w:t>8</w:t>
      </w:r>
      <w:r w:rsidRPr="00AD595C">
        <w:rPr>
          <w:rFonts w:asciiTheme="minorHAnsi" w:hAnsiTheme="minorHAnsi" w:cs="Arial"/>
          <w:lang w:val="en-US"/>
        </w:rPr>
        <w:t xml:space="preserve">, </w:t>
      </w:r>
      <w:r w:rsidRPr="00AD595C">
        <w:rPr>
          <w:rFonts w:asciiTheme="minorHAnsi" w:hAnsiTheme="minorHAnsi" w:cs="Arial"/>
        </w:rPr>
        <w:t>Adam Hawkes</w:t>
      </w:r>
      <w:r>
        <w:rPr>
          <w:rFonts w:asciiTheme="minorHAnsi" w:hAnsiTheme="minorHAnsi" w:cs="Arial"/>
          <w:vertAlign w:val="superscript"/>
        </w:rPr>
        <w:t>6</w:t>
      </w:r>
      <w:r w:rsidRPr="00AD595C">
        <w:rPr>
          <w:rFonts w:asciiTheme="minorHAnsi" w:hAnsiTheme="minorHAnsi" w:cs="Arial"/>
        </w:rPr>
        <w:t xml:space="preserve">, Jim </w:t>
      </w:r>
      <w:r>
        <w:rPr>
          <w:rFonts w:asciiTheme="minorHAnsi" w:hAnsiTheme="minorHAnsi" w:cs="Arial"/>
        </w:rPr>
        <w:t xml:space="preserve">W. </w:t>
      </w:r>
      <w:r w:rsidRPr="00AD595C">
        <w:rPr>
          <w:rFonts w:asciiTheme="minorHAnsi" w:hAnsiTheme="minorHAnsi" w:cs="Arial"/>
        </w:rPr>
        <w:t>Hall</w:t>
      </w:r>
      <w:r w:rsidRPr="00AD595C">
        <w:rPr>
          <w:rFonts w:asciiTheme="minorHAnsi" w:hAnsiTheme="minorHAnsi" w:cs="Arial"/>
          <w:vertAlign w:val="superscript"/>
        </w:rPr>
        <w:t>3</w:t>
      </w:r>
      <w:r w:rsidRPr="00AD595C">
        <w:rPr>
          <w:rFonts w:asciiTheme="minorHAnsi" w:hAnsiTheme="minorHAnsi" w:cs="Arial"/>
        </w:rPr>
        <w:t>,</w:t>
      </w:r>
      <w:r w:rsidRPr="00AD595C">
        <w:rPr>
          <w:rFonts w:asciiTheme="minorHAnsi" w:hAnsiTheme="minorHAnsi" w:cs="Arial"/>
          <w:vertAlign w:val="superscript"/>
        </w:rPr>
        <w:t xml:space="preserve"> </w:t>
      </w:r>
      <w:r w:rsidRPr="00AD595C">
        <w:rPr>
          <w:rFonts w:asciiTheme="minorHAnsi" w:hAnsiTheme="minorHAnsi" w:cs="Arial"/>
        </w:rPr>
        <w:t>Vivien Foster</w:t>
      </w:r>
      <w:r w:rsidR="00D81467">
        <w:rPr>
          <w:rFonts w:asciiTheme="minorHAnsi" w:hAnsiTheme="minorHAnsi" w:cs="Arial"/>
        </w:rPr>
        <w:t>*</w:t>
      </w:r>
      <w:r>
        <w:rPr>
          <w:rFonts w:asciiTheme="minorHAnsi" w:hAnsiTheme="minorHAnsi" w:cs="Arial"/>
          <w:vertAlign w:val="superscript"/>
        </w:rPr>
        <w:t>2</w:t>
      </w:r>
      <w:r w:rsidRPr="00AD595C">
        <w:rPr>
          <w:rFonts w:ascii="Arial" w:hAnsi="Arial" w:cs="Arial"/>
        </w:rPr>
        <w:t>​</w:t>
      </w:r>
    </w:p>
    <w:p w14:paraId="7EEA2FED" w14:textId="77777777" w:rsidR="00F250D7" w:rsidRDefault="00F250D7" w:rsidP="00F250D7">
      <w:pPr>
        <w:rPr>
          <w:b/>
          <w:bCs/>
          <w:lang w:val="en-US"/>
        </w:rPr>
      </w:pPr>
    </w:p>
    <w:p w14:paraId="793D9905" w14:textId="554372F0" w:rsidR="00F250D7" w:rsidRPr="007D3751" w:rsidRDefault="00F250D7" w:rsidP="00F250D7">
      <w:pPr>
        <w:spacing w:after="0"/>
        <w:rPr>
          <w:rFonts w:cs="Arial"/>
          <w:lang w:val="en-US"/>
        </w:rPr>
      </w:pPr>
      <w:r w:rsidRPr="00AD595C">
        <w:rPr>
          <w:rFonts w:cs="Arial"/>
          <w:vertAlign w:val="superscript"/>
        </w:rPr>
        <w:t>1</w:t>
      </w:r>
      <w:r w:rsidRPr="00AD595C">
        <w:rPr>
          <w:rFonts w:cs="Arial"/>
        </w:rPr>
        <w:t xml:space="preserve"> </w:t>
      </w:r>
      <w:r>
        <w:rPr>
          <w:rFonts w:cs="Arial"/>
        </w:rPr>
        <w:t xml:space="preserve">Independent &amp; </w:t>
      </w:r>
      <w:r w:rsidRPr="00AD595C">
        <w:rPr>
          <w:rFonts w:cs="Arial"/>
        </w:rPr>
        <w:t>Centre for Environmental Policy, Imperial College London, London, UK</w:t>
      </w:r>
    </w:p>
    <w:p w14:paraId="4B2453D2" w14:textId="77777777" w:rsidR="00F250D7" w:rsidRDefault="00F250D7" w:rsidP="00F250D7">
      <w:pPr>
        <w:spacing w:after="0"/>
        <w:rPr>
          <w:rFonts w:cs="Arial"/>
        </w:rPr>
      </w:pPr>
      <w:r>
        <w:rPr>
          <w:rFonts w:cs="Arial"/>
          <w:vertAlign w:val="superscript"/>
        </w:rPr>
        <w:t>2</w:t>
      </w:r>
      <w:r w:rsidRPr="00AD595C">
        <w:rPr>
          <w:rFonts w:cs="Arial"/>
        </w:rPr>
        <w:t xml:space="preserve"> Centre for Environmental Policy, Imperial College London, London, UK</w:t>
      </w:r>
    </w:p>
    <w:p w14:paraId="4BB074A2" w14:textId="77777777" w:rsidR="00F250D7" w:rsidRPr="00AD595C" w:rsidRDefault="00F250D7" w:rsidP="00F250D7">
      <w:pPr>
        <w:spacing w:after="0"/>
        <w:rPr>
          <w:rFonts w:cs="Arial"/>
        </w:rPr>
      </w:pPr>
      <w:r w:rsidRPr="00AD595C">
        <w:rPr>
          <w:rFonts w:cs="Arial"/>
          <w:vertAlign w:val="superscript"/>
        </w:rPr>
        <w:t>3</w:t>
      </w:r>
      <w:r w:rsidRPr="00AD595C">
        <w:rPr>
          <w:rFonts w:cs="Arial"/>
        </w:rPr>
        <w:t xml:space="preserve"> Oxford University, Environmental Change Institute, South Parks Road, OX1 3QY</w:t>
      </w:r>
    </w:p>
    <w:p w14:paraId="4B77406B" w14:textId="77777777" w:rsidR="00F250D7" w:rsidRPr="00AD595C" w:rsidRDefault="00F250D7" w:rsidP="00F250D7">
      <w:pPr>
        <w:spacing w:after="0"/>
        <w:rPr>
          <w:rFonts w:cs="Arial"/>
        </w:rPr>
      </w:pPr>
      <w:r>
        <w:rPr>
          <w:rFonts w:cs="Arial"/>
          <w:vertAlign w:val="superscript"/>
        </w:rPr>
        <w:t>4</w:t>
      </w:r>
      <w:r w:rsidRPr="00AD595C">
        <w:rPr>
          <w:rFonts w:cs="Arial"/>
        </w:rPr>
        <w:t xml:space="preserve"> University of Cambridge, Department of Engineering, Trumpington Street, CB2 1PZ</w:t>
      </w:r>
    </w:p>
    <w:p w14:paraId="38EF3358" w14:textId="77777777" w:rsidR="00F250D7" w:rsidRPr="00AD595C" w:rsidRDefault="00F250D7" w:rsidP="00F250D7">
      <w:pPr>
        <w:spacing w:after="0"/>
        <w:rPr>
          <w:rFonts w:cs="Arial"/>
        </w:rPr>
      </w:pPr>
      <w:r>
        <w:rPr>
          <w:rFonts w:cs="Arial"/>
          <w:vertAlign w:val="superscript"/>
        </w:rPr>
        <w:t>5</w:t>
      </w:r>
      <w:r w:rsidRPr="00AD595C">
        <w:rPr>
          <w:rFonts w:cs="Arial"/>
        </w:rPr>
        <w:t xml:space="preserve"> University College London, Bartlett School of Environment, Energy &amp; Resources, London, UK; Smith School of Enterprise and the Environment, School of Geography and the Environment, University of Oxford, Oxfordshire OX1 3QY, UK</w:t>
      </w:r>
    </w:p>
    <w:p w14:paraId="4B919514" w14:textId="77777777" w:rsidR="00F250D7" w:rsidRPr="00AD595C" w:rsidRDefault="00F250D7" w:rsidP="00F250D7">
      <w:pPr>
        <w:spacing w:after="0"/>
        <w:rPr>
          <w:rFonts w:cs="Arial"/>
        </w:rPr>
      </w:pPr>
      <w:r>
        <w:rPr>
          <w:rFonts w:cs="Arial"/>
          <w:vertAlign w:val="superscript"/>
        </w:rPr>
        <w:t>6</w:t>
      </w:r>
      <w:r w:rsidRPr="00AD595C">
        <w:rPr>
          <w:rFonts w:cs="Arial"/>
        </w:rPr>
        <w:t xml:space="preserve"> Department of Chemical Engineering, Imperial College London</w:t>
      </w:r>
      <w:r>
        <w:rPr>
          <w:rFonts w:cs="Arial"/>
        </w:rPr>
        <w:t xml:space="preserve">, </w:t>
      </w:r>
      <w:r w:rsidRPr="00AD595C">
        <w:rPr>
          <w:rFonts w:cs="Arial"/>
        </w:rPr>
        <w:t>London, UK</w:t>
      </w:r>
      <w:r w:rsidRPr="00AD595C" w:rsidDel="00195A4F">
        <w:rPr>
          <w:rFonts w:cs="Arial"/>
        </w:rPr>
        <w:t xml:space="preserve"> </w:t>
      </w:r>
    </w:p>
    <w:p w14:paraId="2B10FF80" w14:textId="77777777" w:rsidR="00F250D7" w:rsidRPr="00AD595C" w:rsidRDefault="00F250D7" w:rsidP="00F250D7">
      <w:pPr>
        <w:spacing w:after="0"/>
        <w:rPr>
          <w:rFonts w:cs="Arial"/>
        </w:rPr>
      </w:pPr>
      <w:r>
        <w:rPr>
          <w:rFonts w:cs="Arial"/>
          <w:vertAlign w:val="superscript"/>
        </w:rPr>
        <w:t>7</w:t>
      </w:r>
      <w:r w:rsidRPr="00AD595C">
        <w:rPr>
          <w:rFonts w:cs="Arial"/>
        </w:rPr>
        <w:t xml:space="preserve"> University College London, Bartlett School of Environment, Energy &amp; Resources, London</w:t>
      </w:r>
      <w:r>
        <w:rPr>
          <w:rFonts w:cs="Arial"/>
        </w:rPr>
        <w:t xml:space="preserve">, </w:t>
      </w:r>
      <w:r w:rsidRPr="006D3258">
        <w:rPr>
          <w:rFonts w:cs="Arial"/>
        </w:rPr>
        <w:t>Smith School of Enterprise and the Environment, School of Geography and the Environment, University of Oxford, Oxfordshire OX1 3QY, UK</w:t>
      </w:r>
      <w:r w:rsidRPr="00AD595C" w:rsidDel="00195A4F">
        <w:rPr>
          <w:rFonts w:cs="Arial"/>
        </w:rPr>
        <w:t xml:space="preserve"> </w:t>
      </w:r>
    </w:p>
    <w:p w14:paraId="4626A62B" w14:textId="77777777" w:rsidR="00F250D7" w:rsidRDefault="00F250D7" w:rsidP="00F250D7">
      <w:pPr>
        <w:spacing w:after="0"/>
        <w:rPr>
          <w:rFonts w:cs="Arial"/>
        </w:rPr>
      </w:pPr>
      <w:r>
        <w:rPr>
          <w:rFonts w:cs="Arial"/>
          <w:vertAlign w:val="superscript"/>
        </w:rPr>
        <w:t>8</w:t>
      </w:r>
      <w:r w:rsidRPr="00AD595C">
        <w:rPr>
          <w:rFonts w:cs="Arial"/>
        </w:rPr>
        <w:t xml:space="preserve"> KTH Royal Institute of Technology, School of Industrial Engineering and Management, Stockholm</w:t>
      </w:r>
      <w:r w:rsidRPr="00AD595C" w:rsidDel="00195A4F">
        <w:rPr>
          <w:rFonts w:cs="Arial"/>
        </w:rPr>
        <w:t xml:space="preserve"> </w:t>
      </w:r>
    </w:p>
    <w:p w14:paraId="596871BC" w14:textId="216FA269" w:rsidR="00E829E2" w:rsidRPr="00AD595C" w:rsidRDefault="00E829E2" w:rsidP="00F250D7">
      <w:pPr>
        <w:spacing w:after="0"/>
        <w:rPr>
          <w:rFonts w:cs="Arial"/>
        </w:rPr>
      </w:pPr>
      <w:r>
        <w:rPr>
          <w:rFonts w:cs="Arial"/>
        </w:rPr>
        <w:t>* Corresponding authors</w:t>
      </w:r>
    </w:p>
    <w:p w14:paraId="1A4EAB30" w14:textId="79FAE37F" w:rsidR="00604551" w:rsidRPr="00604551" w:rsidRDefault="00604551" w:rsidP="00154103">
      <w:pPr>
        <w:pStyle w:val="Title"/>
      </w:pPr>
    </w:p>
    <w:p w14:paraId="721F226D" w14:textId="3C88405E" w:rsidR="00BE51B1" w:rsidRDefault="00BE51B1" w:rsidP="00512EE5">
      <w:pPr>
        <w:pStyle w:val="Heading1"/>
        <w:numPr>
          <w:ilvl w:val="0"/>
          <w:numId w:val="60"/>
        </w:numPr>
        <w:rPr>
          <w:rFonts w:ascii="Arial" w:hAnsi="Arial" w:cs="Arial"/>
        </w:rPr>
      </w:pPr>
      <w:bookmarkStart w:id="0" w:name="_Toc211272266"/>
      <w:r w:rsidRPr="00E805E2">
        <w:rPr>
          <w:rFonts w:ascii="Arial" w:hAnsi="Arial" w:cs="Arial"/>
        </w:rPr>
        <w:t>Scenario definition</w:t>
      </w:r>
      <w:bookmarkEnd w:id="0"/>
    </w:p>
    <w:p w14:paraId="2F789221" w14:textId="60011D44" w:rsidR="00BE51B1" w:rsidRPr="007E0D98" w:rsidRDefault="00BE51B1" w:rsidP="00BE51B1">
      <w:r w:rsidRPr="00766470">
        <w:rPr>
          <w:rFonts w:ascii="Arial" w:hAnsi="Arial" w:cs="Arial"/>
        </w:rPr>
        <w:t xml:space="preserve">This </w:t>
      </w:r>
      <w:r w:rsidR="00604551">
        <w:rPr>
          <w:rFonts w:ascii="Arial" w:hAnsi="Arial" w:cs="Arial"/>
        </w:rPr>
        <w:t>SI</w:t>
      </w:r>
      <w:r w:rsidRPr="00766470">
        <w:rPr>
          <w:rFonts w:ascii="Arial" w:hAnsi="Arial" w:cs="Arial"/>
        </w:rPr>
        <w:t xml:space="preserve"> documents</w:t>
      </w:r>
      <w:r>
        <w:rPr>
          <w:rFonts w:ascii="Arial" w:hAnsi="Arial" w:cs="Arial"/>
        </w:rPr>
        <w:t xml:space="preserve"> the scenarios used in the study.</w:t>
      </w:r>
    </w:p>
    <w:p w14:paraId="3F8AD06F" w14:textId="3A063789" w:rsidR="00BE51B1" w:rsidRPr="00BC19A4" w:rsidRDefault="00BE51B1" w:rsidP="00BE51B1">
      <w:pPr>
        <w:jc w:val="both"/>
        <w:rPr>
          <w:rFonts w:ascii="Arial" w:hAnsi="Arial" w:cs="Arial"/>
          <w:color w:val="000000" w:themeColor="text1"/>
        </w:rPr>
      </w:pPr>
      <w:r w:rsidRPr="007E0D98">
        <w:rPr>
          <w:rFonts w:ascii="Arial" w:hAnsi="Arial" w:cs="Arial"/>
        </w:rPr>
        <w:t xml:space="preserve">In this study, data from 2022 are takes as the baseline scenario which includes the mineral production in such year up to the refining of compounds of interest already done in the 14 African countries and the existing energy and transport infrastructure. Future scenarios are projected using three approaches: the first is a Business-as-Usual (BAU) scenario where the same stages as in the baseline are produced, with changes in volumes being processed at the same locations where processing occurred in 2022. The </w:t>
      </w:r>
      <w:r w:rsidR="00F256D1">
        <w:rPr>
          <w:rFonts w:ascii="Arial" w:hAnsi="Arial" w:cs="Arial"/>
        </w:rPr>
        <w:t xml:space="preserve">second </w:t>
      </w:r>
      <w:r w:rsidRPr="007E0D98">
        <w:rPr>
          <w:rFonts w:ascii="Arial" w:hAnsi="Arial" w:cs="Arial"/>
        </w:rPr>
        <w:t>scenario reflect</w:t>
      </w:r>
      <w:r w:rsidR="00F256D1">
        <w:rPr>
          <w:rFonts w:ascii="Arial" w:hAnsi="Arial" w:cs="Arial"/>
        </w:rPr>
        <w:t>s</w:t>
      </w:r>
      <w:r w:rsidRPr="007E0D98">
        <w:rPr>
          <w:rFonts w:ascii="Arial" w:hAnsi="Arial" w:cs="Arial"/>
        </w:rPr>
        <w:t xml:space="preserve"> increasing mineral processing ambition</w:t>
      </w:r>
      <w:r w:rsidR="00F256D1">
        <w:rPr>
          <w:rFonts w:ascii="Arial" w:hAnsi="Arial" w:cs="Arial"/>
        </w:rPr>
        <w:t>, with</w:t>
      </w:r>
      <w:r w:rsidRPr="007E0D98">
        <w:rPr>
          <w:rFonts w:ascii="Arial" w:hAnsi="Arial" w:cs="Arial"/>
        </w:rPr>
        <w:t xml:space="preserve"> a so-called Precursor-Related Product scenario where compounds specifically used as inputs to battery precursors are produced.</w:t>
      </w:r>
      <w:r>
        <w:rPr>
          <w:rFonts w:ascii="Arial" w:hAnsi="Arial" w:cs="Arial"/>
        </w:rPr>
        <w:t xml:space="preserve"> </w:t>
      </w:r>
      <w:r>
        <w:rPr>
          <w:rFonts w:ascii="Arial" w:hAnsi="Arial" w:cs="Arial"/>
          <w:color w:val="000000" w:themeColor="text1"/>
        </w:rPr>
        <w:t xml:space="preserve">The year projected for </w:t>
      </w:r>
      <w:r>
        <w:rPr>
          <w:rFonts w:ascii="Arial" w:hAnsi="Arial" w:cs="Arial"/>
          <w:color w:val="000000" w:themeColor="text1"/>
        </w:rPr>
        <w:lastRenderedPageBreak/>
        <w:t xml:space="preserve">the build-up of processing facilities in this study is 2040, which is a reasonable estimate given how long project may need to go from exploration to being operational. However, it should be noted that there is some uncertainty on the timeline at project level as some would likely be done faster while others slower. While there is not a way to evaluate this currently, the approach used in this study helps illustrate future processing capabilities and identifies potential sites of interest. </w:t>
      </w:r>
    </w:p>
    <w:p w14:paraId="4B6B0100" w14:textId="739D2A0F" w:rsidR="00BE51B1" w:rsidRPr="007E0D98" w:rsidRDefault="007C1413" w:rsidP="00BE51B1">
      <w:pPr>
        <w:jc w:val="both"/>
        <w:rPr>
          <w:rFonts w:ascii="Arial" w:hAnsi="Arial" w:cs="Arial"/>
        </w:rPr>
      </w:pPr>
      <w:r>
        <w:rPr>
          <w:rFonts w:ascii="Arial" w:hAnsi="Arial" w:cs="Arial"/>
        </w:rPr>
        <w:fldChar w:fldCharType="begin"/>
      </w:r>
      <w:r>
        <w:rPr>
          <w:rFonts w:ascii="Arial" w:hAnsi="Arial" w:cs="Arial"/>
        </w:rPr>
        <w:instrText xml:space="preserve"> REF _Ref214444376 \h </w:instrText>
      </w:r>
      <w:r w:rsidR="00DC2A39">
        <w:rPr>
          <w:rFonts w:ascii="Arial" w:hAnsi="Arial" w:cs="Arial"/>
        </w:rPr>
        <w:instrText xml:space="preserve"> \* MERGEFORMAT </w:instrText>
      </w:r>
      <w:r>
        <w:rPr>
          <w:rFonts w:ascii="Arial" w:hAnsi="Arial" w:cs="Arial"/>
        </w:rPr>
      </w:r>
      <w:r>
        <w:rPr>
          <w:rFonts w:ascii="Arial" w:hAnsi="Arial" w:cs="Arial"/>
        </w:rPr>
        <w:fldChar w:fldCharType="separate"/>
      </w:r>
      <w:r w:rsidRPr="00DC2A39">
        <w:rPr>
          <w:rFonts w:ascii="Arial" w:hAnsi="Arial" w:cs="Arial"/>
        </w:rPr>
        <w:t>Table 1</w:t>
      </w:r>
      <w:r>
        <w:rPr>
          <w:rFonts w:ascii="Arial" w:hAnsi="Arial" w:cs="Arial"/>
        </w:rPr>
        <w:fldChar w:fldCharType="end"/>
      </w:r>
      <w:r>
        <w:rPr>
          <w:rFonts w:ascii="Arial" w:hAnsi="Arial" w:cs="Arial"/>
        </w:rPr>
        <w:t xml:space="preserve"> </w:t>
      </w:r>
      <w:r w:rsidR="00BE51B1" w:rsidRPr="007E0D98">
        <w:rPr>
          <w:rFonts w:ascii="Arial" w:hAnsi="Arial" w:cs="Arial"/>
        </w:rPr>
        <w:t xml:space="preserve">shows the four scenarios in this study and which levers are included to compare the level of future mineral production, the degree of cooperation between countries, and the inclusion of environmental constraints. The level of production refers to levels of mineral extraction depending on demand projections scenarios.  The degree of cooperation refers to whether countries are assumed to process minerals only within their jurisdiction in a nationalist approach, or whether there is trade within the region to find optimal locations for mineral processing as a regionalist approach. Environmental constraints included are water scarcity and biodiverse areas which are used to model whether certain areas need to be excluded from mining and processing activities. Further details on each lever are found in </w:t>
      </w:r>
      <w:r w:rsidR="00F256D1" w:rsidRPr="00F256D1">
        <w:rPr>
          <w:rFonts w:ascii="Arial" w:hAnsi="Arial" w:cs="Arial"/>
        </w:rPr>
        <w:t>Sections</w:t>
      </w:r>
      <w:r w:rsidR="00BE51B1" w:rsidRPr="00F256D1">
        <w:rPr>
          <w:rFonts w:ascii="Arial" w:hAnsi="Arial" w:cs="Arial"/>
        </w:rPr>
        <w:t xml:space="preserve"> 2,3 and 6.</w:t>
      </w:r>
    </w:p>
    <w:p w14:paraId="63122C33" w14:textId="7D5139AF" w:rsidR="00BE51B1" w:rsidRPr="00766470" w:rsidRDefault="007C1413" w:rsidP="007C1413">
      <w:pPr>
        <w:pStyle w:val="Caption"/>
        <w:rPr>
          <w:rFonts w:ascii="Arial" w:hAnsi="Arial" w:cs="Arial"/>
          <w:color w:val="A02B93" w:themeColor="accent5"/>
          <w:sz w:val="20"/>
          <w:szCs w:val="20"/>
        </w:rPr>
      </w:pPr>
      <w:bookmarkStart w:id="1" w:name="_Ref214444376"/>
      <w:bookmarkStart w:id="2" w:name="_Toc211509396"/>
      <w:r>
        <w:t xml:space="preserve">Table </w:t>
      </w:r>
      <w:fldSimple w:instr=" SEQ Table \* ARABIC ">
        <w:r w:rsidR="00615C28">
          <w:rPr>
            <w:noProof/>
          </w:rPr>
          <w:t>1</w:t>
        </w:r>
      </w:fldSimple>
      <w:bookmarkEnd w:id="1"/>
      <w:r w:rsidR="00BE51B1" w:rsidRPr="007C1413">
        <w:t>: Overview of illustrative scenarios for simulation. Of these, the medium ones were explored further in this report.</w:t>
      </w:r>
      <w:bookmarkEnd w:id="2"/>
    </w:p>
    <w:tbl>
      <w:tblPr>
        <w:tblW w:w="0" w:type="auto"/>
        <w:jc w:val="center"/>
        <w:tblBorders>
          <w:top w:val="single" w:sz="6" w:space="0" w:color="FFFFFF"/>
          <w:left w:val="single" w:sz="6" w:space="0" w:color="FFFFFF"/>
          <w:bottom w:val="single" w:sz="6" w:space="0" w:color="FFFFFF"/>
          <w:right w:val="single" w:sz="6" w:space="0" w:color="000000" w:themeColor="text1"/>
          <w:insideH w:val="single" w:sz="6" w:space="0" w:color="000000" w:themeColor="text1"/>
          <w:insideV w:val="single" w:sz="6" w:space="0" w:color="FFFFFF"/>
        </w:tblBorders>
        <w:tblCellMar>
          <w:top w:w="15" w:type="dxa"/>
          <w:left w:w="15" w:type="dxa"/>
          <w:bottom w:w="15" w:type="dxa"/>
          <w:right w:w="15" w:type="dxa"/>
        </w:tblCellMar>
        <w:tblLook w:val="04A0" w:firstRow="1" w:lastRow="0" w:firstColumn="1" w:lastColumn="0" w:noHBand="0" w:noVBand="1"/>
      </w:tblPr>
      <w:tblGrid>
        <w:gridCol w:w="4387"/>
        <w:gridCol w:w="1275"/>
        <w:gridCol w:w="1418"/>
        <w:gridCol w:w="1848"/>
      </w:tblGrid>
      <w:tr w:rsidR="00BE51B1" w:rsidRPr="007D3F22" w14:paraId="29E78169" w14:textId="77777777" w:rsidTr="00877C15">
        <w:trPr>
          <w:trHeight w:val="288"/>
          <w:jc w:val="center"/>
        </w:trPr>
        <w:tc>
          <w:tcPr>
            <w:tcW w:w="4387" w:type="dxa"/>
            <w:tcBorders>
              <w:top w:val="single" w:sz="6" w:space="0" w:color="000000"/>
              <w:left w:val="single" w:sz="6" w:space="0" w:color="000000"/>
              <w:right w:val="single" w:sz="6" w:space="0" w:color="000000"/>
            </w:tcBorders>
            <w:shd w:val="clear" w:color="auto" w:fill="B7D4EF" w:themeFill="text2" w:themeFillTint="33"/>
            <w:vAlign w:val="center"/>
            <w:hideMark/>
          </w:tcPr>
          <w:p w14:paraId="4B367A24" w14:textId="77777777" w:rsidR="00BE51B1" w:rsidRPr="00B46BA6" w:rsidRDefault="00BE51B1" w:rsidP="00877C15">
            <w:pPr>
              <w:spacing w:beforeLines="20" w:before="48" w:afterLines="40" w:after="96" w:line="240" w:lineRule="auto"/>
              <w:ind w:left="113"/>
              <w:jc w:val="center"/>
              <w:rPr>
                <w:rFonts w:ascii="Arial" w:eastAsia="Calibri" w:hAnsi="Arial" w:cs="Arial"/>
                <w:b/>
                <w:bCs/>
                <w:color w:val="156082" w:themeColor="accent1"/>
                <w:sz w:val="20"/>
                <w:szCs w:val="20"/>
                <w:lang w:val="en-US"/>
              </w:rPr>
            </w:pPr>
            <w:r w:rsidRPr="00B46BA6">
              <w:rPr>
                <w:rFonts w:ascii="Arial" w:eastAsia="Calibri" w:hAnsi="Arial" w:cs="Arial"/>
                <w:b/>
                <w:bCs/>
                <w:color w:val="156082" w:themeColor="accent1"/>
                <w:sz w:val="20"/>
                <w:szCs w:val="20"/>
                <w:lang w:val="en-US"/>
              </w:rPr>
              <w:t>Policy target</w:t>
            </w:r>
          </w:p>
        </w:tc>
        <w:tc>
          <w:tcPr>
            <w:tcW w:w="1275" w:type="dxa"/>
            <w:tcBorders>
              <w:top w:val="single" w:sz="6" w:space="0" w:color="000000"/>
              <w:left w:val="single" w:sz="6" w:space="0" w:color="000000"/>
              <w:right w:val="single" w:sz="6" w:space="0" w:color="000000"/>
            </w:tcBorders>
            <w:shd w:val="clear" w:color="auto" w:fill="B7D4EF" w:themeFill="text2" w:themeFillTint="33"/>
            <w:hideMark/>
          </w:tcPr>
          <w:p w14:paraId="03F89A36"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lang w:val="en-US"/>
              </w:rPr>
            </w:pPr>
            <w:r w:rsidRPr="00B46BA6">
              <w:rPr>
                <w:rFonts w:ascii="Arial" w:eastAsia="Calibri" w:hAnsi="Arial" w:cs="Arial"/>
                <w:b/>
                <w:bCs/>
                <w:color w:val="156082" w:themeColor="accent1"/>
                <w:sz w:val="20"/>
                <w:szCs w:val="20"/>
                <w:lang w:val="en-US"/>
              </w:rPr>
              <w:t>Level of production</w:t>
            </w:r>
          </w:p>
        </w:tc>
        <w:tc>
          <w:tcPr>
            <w:tcW w:w="1418" w:type="dxa"/>
            <w:tcBorders>
              <w:top w:val="single" w:sz="6" w:space="0" w:color="000000"/>
              <w:left w:val="single" w:sz="6" w:space="0" w:color="000000"/>
              <w:right w:val="single" w:sz="6" w:space="0" w:color="000000"/>
            </w:tcBorders>
            <w:shd w:val="clear" w:color="auto" w:fill="B7D4EF" w:themeFill="text2" w:themeFillTint="33"/>
            <w:hideMark/>
          </w:tcPr>
          <w:p w14:paraId="7340C901"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lang w:val="en-US"/>
              </w:rPr>
            </w:pPr>
            <w:r w:rsidRPr="00B46BA6">
              <w:rPr>
                <w:rFonts w:ascii="Arial" w:eastAsia="Calibri" w:hAnsi="Arial" w:cs="Arial"/>
                <w:b/>
                <w:bCs/>
                <w:color w:val="156082" w:themeColor="accent1"/>
                <w:sz w:val="20"/>
                <w:szCs w:val="20"/>
                <w:lang w:val="en-US"/>
              </w:rPr>
              <w:t>Degree of cooperation</w:t>
            </w:r>
          </w:p>
        </w:tc>
        <w:tc>
          <w:tcPr>
            <w:tcW w:w="1848" w:type="dxa"/>
            <w:tcBorders>
              <w:top w:val="single" w:sz="6" w:space="0" w:color="000000"/>
              <w:left w:val="single" w:sz="6" w:space="0" w:color="000000"/>
              <w:right w:val="single" w:sz="6" w:space="0" w:color="000000"/>
            </w:tcBorders>
            <w:shd w:val="clear" w:color="auto" w:fill="B7D4EF" w:themeFill="text2" w:themeFillTint="33"/>
            <w:hideMark/>
          </w:tcPr>
          <w:p w14:paraId="176C1ED5"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lang w:val="en-US"/>
              </w:rPr>
            </w:pPr>
            <w:r w:rsidRPr="00B46BA6">
              <w:rPr>
                <w:rFonts w:ascii="Arial" w:eastAsia="Calibri" w:hAnsi="Arial" w:cs="Arial"/>
                <w:b/>
                <w:bCs/>
                <w:color w:val="156082" w:themeColor="accent1"/>
                <w:sz w:val="20"/>
                <w:szCs w:val="20"/>
              </w:rPr>
              <w:t>Environmental constraints</w:t>
            </w:r>
            <w:r w:rsidRPr="00B46BA6">
              <w:rPr>
                <w:rFonts w:ascii="Arial" w:eastAsia="Calibri" w:hAnsi="Arial" w:cs="Arial"/>
                <w:b/>
                <w:bCs/>
                <w:color w:val="156082" w:themeColor="accent1"/>
                <w:sz w:val="20"/>
                <w:szCs w:val="20"/>
                <w:lang w:val="en-US"/>
              </w:rPr>
              <w:t>​</w:t>
            </w:r>
          </w:p>
        </w:tc>
      </w:tr>
      <w:tr w:rsidR="00BE51B1" w:rsidRPr="007D3F22" w14:paraId="13BCC20F" w14:textId="77777777" w:rsidTr="00877C15">
        <w:trPr>
          <w:trHeight w:val="324"/>
          <w:jc w:val="center"/>
        </w:trPr>
        <w:tc>
          <w:tcPr>
            <w:tcW w:w="4387" w:type="dxa"/>
            <w:tcBorders>
              <w:left w:val="single" w:sz="6" w:space="0" w:color="000000"/>
              <w:right w:val="single" w:sz="6" w:space="0" w:color="000000"/>
            </w:tcBorders>
            <w:shd w:val="clear" w:color="auto" w:fill="D1D1D1"/>
            <w:hideMark/>
          </w:tcPr>
          <w:p w14:paraId="315C5D2E" w14:textId="77777777" w:rsidR="00BE51B1" w:rsidRPr="00B46BA6" w:rsidRDefault="00BE51B1" w:rsidP="00877C15">
            <w:pPr>
              <w:spacing w:beforeLines="20" w:before="48" w:afterLines="40" w:after="96" w:line="240" w:lineRule="auto"/>
              <w:ind w:left="113"/>
              <w:rPr>
                <w:rFonts w:ascii="Arial" w:eastAsia="Calibri" w:hAnsi="Arial" w:cs="Arial"/>
                <w:color w:val="156082" w:themeColor="accent1"/>
                <w:sz w:val="20"/>
                <w:szCs w:val="20"/>
              </w:rPr>
            </w:pPr>
            <w:r w:rsidRPr="00B46BA6">
              <w:rPr>
                <w:rFonts w:ascii="Arial" w:eastAsia="Calibri" w:hAnsi="Arial" w:cs="Arial"/>
                <w:b/>
                <w:bCs/>
                <w:color w:val="156082" w:themeColor="accent1"/>
                <w:sz w:val="20"/>
                <w:szCs w:val="20"/>
              </w:rPr>
              <w:t>2022 Baseline​</w:t>
            </w:r>
          </w:p>
        </w:tc>
        <w:tc>
          <w:tcPr>
            <w:tcW w:w="1275" w:type="dxa"/>
            <w:tcBorders>
              <w:left w:val="single" w:sz="6" w:space="0" w:color="000000"/>
              <w:right w:val="single" w:sz="6" w:space="0" w:color="000000"/>
            </w:tcBorders>
            <w:shd w:val="clear" w:color="auto" w:fill="CCFFCC"/>
            <w:hideMark/>
          </w:tcPr>
          <w:p w14:paraId="3F6F84DA"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Status Quo</w:t>
            </w:r>
            <w:r w:rsidRPr="00B46BA6">
              <w:rPr>
                <w:rFonts w:ascii="Arial" w:eastAsia="Calibri" w:hAnsi="Arial" w:cs="Arial"/>
                <w:sz w:val="20"/>
                <w:szCs w:val="20"/>
                <w:lang w:val="en-US"/>
              </w:rPr>
              <w:t>​</w:t>
            </w:r>
          </w:p>
        </w:tc>
        <w:tc>
          <w:tcPr>
            <w:tcW w:w="1418" w:type="dxa"/>
            <w:tcBorders>
              <w:left w:val="single" w:sz="6" w:space="0" w:color="000000"/>
              <w:bottom w:val="single" w:sz="6" w:space="0" w:color="000000"/>
              <w:right w:val="single" w:sz="6" w:space="0" w:color="000000"/>
            </w:tcBorders>
            <w:shd w:val="clear" w:color="auto" w:fill="CCFFCC"/>
            <w:hideMark/>
          </w:tcPr>
          <w:p w14:paraId="3448828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Status Quo</w:t>
            </w:r>
            <w:r w:rsidRPr="00B46BA6">
              <w:rPr>
                <w:rFonts w:ascii="Arial" w:eastAsia="Calibri" w:hAnsi="Arial" w:cs="Arial"/>
                <w:sz w:val="20"/>
                <w:szCs w:val="20"/>
                <w:lang w:val="en-US"/>
              </w:rPr>
              <w:t>​</w:t>
            </w:r>
          </w:p>
        </w:tc>
        <w:tc>
          <w:tcPr>
            <w:tcW w:w="1848" w:type="dxa"/>
            <w:tcBorders>
              <w:left w:val="single" w:sz="6" w:space="0" w:color="000000"/>
              <w:bottom w:val="single" w:sz="6" w:space="0" w:color="000000"/>
              <w:right w:val="single" w:sz="6" w:space="0" w:color="000000"/>
            </w:tcBorders>
            <w:shd w:val="clear" w:color="auto" w:fill="CCFFCC"/>
            <w:hideMark/>
          </w:tcPr>
          <w:p w14:paraId="5CC52F84"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None</w:t>
            </w:r>
            <w:r w:rsidRPr="00B46BA6">
              <w:rPr>
                <w:rFonts w:ascii="Arial" w:eastAsia="Calibri" w:hAnsi="Arial" w:cs="Arial"/>
                <w:sz w:val="20"/>
                <w:szCs w:val="20"/>
                <w:lang w:val="en-US"/>
              </w:rPr>
              <w:t>​</w:t>
            </w:r>
          </w:p>
        </w:tc>
      </w:tr>
      <w:tr w:rsidR="00BE51B1" w:rsidRPr="007D3F22" w14:paraId="5811A24F" w14:textId="77777777" w:rsidTr="00877C15">
        <w:trPr>
          <w:trHeight w:val="376"/>
          <w:jc w:val="center"/>
        </w:trPr>
        <w:tc>
          <w:tcPr>
            <w:tcW w:w="4387" w:type="dxa"/>
            <w:vMerge w:val="restart"/>
            <w:tcBorders>
              <w:left w:val="single" w:sz="6" w:space="0" w:color="000000"/>
              <w:right w:val="single" w:sz="6" w:space="0" w:color="000000"/>
            </w:tcBorders>
            <w:shd w:val="clear" w:color="auto" w:fill="E7EAED"/>
          </w:tcPr>
          <w:p w14:paraId="4B6D6A87" w14:textId="77777777" w:rsidR="00BE51B1" w:rsidRPr="00B46BA6" w:rsidRDefault="00BE51B1" w:rsidP="00877C15">
            <w:pPr>
              <w:spacing w:beforeLines="20" w:before="48" w:afterLines="40" w:after="96" w:line="240" w:lineRule="auto"/>
              <w:ind w:left="113"/>
              <w:rPr>
                <w:rFonts w:ascii="Arial" w:eastAsia="Calibri" w:hAnsi="Arial" w:cs="Arial"/>
                <w:color w:val="156082" w:themeColor="accent1"/>
                <w:sz w:val="20"/>
                <w:szCs w:val="20"/>
                <w:lang w:val="en-US"/>
              </w:rPr>
            </w:pPr>
            <w:r>
              <w:rPr>
                <w:rFonts w:ascii="Arial" w:eastAsia="Calibri" w:hAnsi="Arial" w:cs="Arial"/>
                <w:b/>
                <w:bCs/>
                <w:color w:val="156082" w:themeColor="accent1"/>
                <w:sz w:val="20"/>
                <w:szCs w:val="20"/>
              </w:rPr>
              <w:t>Business-as-Usual</w:t>
            </w:r>
            <w:r w:rsidRPr="00B46BA6">
              <w:rPr>
                <w:rFonts w:ascii="Arial" w:eastAsia="Calibri" w:hAnsi="Arial" w:cs="Arial"/>
                <w:b/>
                <w:bCs/>
                <w:color w:val="156082" w:themeColor="accent1"/>
                <w:sz w:val="20"/>
                <w:szCs w:val="20"/>
              </w:rPr>
              <w:t xml:space="preserve"> Scenario</w:t>
            </w:r>
            <w:r w:rsidRPr="00B46BA6">
              <w:rPr>
                <w:rFonts w:ascii="Arial" w:eastAsia="Calibri" w:hAnsi="Arial" w:cs="Arial"/>
                <w:color w:val="156082" w:themeColor="accent1"/>
                <w:sz w:val="20"/>
                <w:szCs w:val="20"/>
                <w:lang w:val="en-US"/>
              </w:rPr>
              <w:t>​</w:t>
            </w:r>
          </w:p>
          <w:p w14:paraId="3F9C95E9"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rPr>
            </w:pPr>
            <w:r>
              <w:rPr>
                <w:rFonts w:ascii="Arial" w:eastAsia="Calibri" w:hAnsi="Arial" w:cs="Arial"/>
                <w:color w:val="156082" w:themeColor="accent1"/>
                <w:sz w:val="20"/>
                <w:szCs w:val="20"/>
              </w:rPr>
              <w:t>M</w:t>
            </w:r>
            <w:r w:rsidRPr="00B46BA6">
              <w:rPr>
                <w:rFonts w:ascii="Arial" w:eastAsia="Calibri" w:hAnsi="Arial" w:cs="Arial"/>
                <w:color w:val="156082" w:themeColor="accent1"/>
                <w:sz w:val="20"/>
                <w:szCs w:val="20"/>
              </w:rPr>
              <w:t>ineral</w:t>
            </w:r>
            <w:r>
              <w:rPr>
                <w:rFonts w:ascii="Arial" w:eastAsia="Calibri" w:hAnsi="Arial" w:cs="Arial"/>
                <w:color w:val="156082" w:themeColor="accent1"/>
                <w:sz w:val="20"/>
                <w:szCs w:val="20"/>
              </w:rPr>
              <w:t xml:space="preserve"> mining may grow, but</w:t>
            </w:r>
            <w:r w:rsidRPr="00B46BA6">
              <w:rPr>
                <w:rFonts w:ascii="Arial" w:eastAsia="Calibri" w:hAnsi="Arial" w:cs="Arial"/>
                <w:color w:val="156082" w:themeColor="accent1"/>
                <w:sz w:val="20"/>
                <w:szCs w:val="20"/>
              </w:rPr>
              <w:t xml:space="preserve"> </w:t>
            </w:r>
            <w:r>
              <w:rPr>
                <w:rFonts w:ascii="Arial" w:eastAsia="Calibri" w:hAnsi="Arial" w:cs="Arial"/>
                <w:color w:val="156082" w:themeColor="accent1"/>
                <w:sz w:val="20"/>
                <w:szCs w:val="20"/>
              </w:rPr>
              <w:t>refining amounts and trade shares remain as in the baseline, no new processing is done</w:t>
            </w:r>
            <w:r w:rsidRPr="00B46BA6">
              <w:rPr>
                <w:rFonts w:ascii="Arial" w:eastAsia="Calibri" w:hAnsi="Arial" w:cs="Arial"/>
                <w:color w:val="156082" w:themeColor="accent1"/>
                <w:sz w:val="20"/>
                <w:szCs w:val="20"/>
                <w:lang w:val="en-US"/>
              </w:rPr>
              <w:t xml:space="preserve"> </w:t>
            </w:r>
            <w:r>
              <w:rPr>
                <w:rFonts w:ascii="Arial" w:eastAsia="Calibri" w:hAnsi="Arial" w:cs="Arial"/>
                <w:color w:val="156082" w:themeColor="accent1"/>
                <w:sz w:val="20"/>
                <w:szCs w:val="20"/>
                <w:lang w:val="en-US"/>
              </w:rPr>
              <w:t xml:space="preserve">by </w:t>
            </w:r>
            <w:r w:rsidRPr="00B46BA6">
              <w:rPr>
                <w:rFonts w:ascii="Arial" w:eastAsia="Calibri" w:hAnsi="Arial" w:cs="Arial"/>
                <w:color w:val="156082" w:themeColor="accent1"/>
                <w:sz w:val="20"/>
                <w:szCs w:val="20"/>
                <w:lang w:val="en-US"/>
              </w:rPr>
              <w:t>20</w:t>
            </w:r>
            <w:r>
              <w:rPr>
                <w:rFonts w:ascii="Arial" w:eastAsia="Calibri" w:hAnsi="Arial" w:cs="Arial"/>
                <w:color w:val="156082" w:themeColor="accent1"/>
                <w:sz w:val="20"/>
                <w:szCs w:val="20"/>
                <w:lang w:val="en-US"/>
              </w:rPr>
              <w:t>4</w:t>
            </w:r>
            <w:r w:rsidRPr="00B46BA6">
              <w:rPr>
                <w:rFonts w:ascii="Arial" w:eastAsia="Calibri" w:hAnsi="Arial" w:cs="Arial"/>
                <w:color w:val="156082" w:themeColor="accent1"/>
                <w:sz w:val="20"/>
                <w:szCs w:val="20"/>
                <w:lang w:val="en-US"/>
              </w:rPr>
              <w:t>0</w:t>
            </w:r>
          </w:p>
        </w:tc>
        <w:tc>
          <w:tcPr>
            <w:tcW w:w="1275" w:type="dxa"/>
            <w:tcBorders>
              <w:left w:val="single" w:sz="6" w:space="0" w:color="000000"/>
              <w:right w:val="single" w:sz="6" w:space="0" w:color="000000"/>
            </w:tcBorders>
            <w:shd w:val="clear" w:color="auto" w:fill="E7EAED"/>
          </w:tcPr>
          <w:p w14:paraId="752FCF74"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Low</w:t>
            </w:r>
            <w:r w:rsidRPr="00B46BA6">
              <w:rPr>
                <w:rFonts w:ascii="Arial" w:eastAsia="Calibri" w:hAnsi="Arial" w:cs="Arial"/>
                <w:sz w:val="20"/>
                <w:szCs w:val="20"/>
                <w:lang w:val="en-US"/>
              </w:rPr>
              <w:t>​</w:t>
            </w:r>
          </w:p>
          <w:p w14:paraId="46367DBE"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w:t>
            </w:r>
          </w:p>
        </w:tc>
        <w:tc>
          <w:tcPr>
            <w:tcW w:w="1418" w:type="dxa"/>
            <w:tcBorders>
              <w:left w:val="single" w:sz="6" w:space="0" w:color="000000"/>
              <w:right w:val="single" w:sz="6" w:space="0" w:color="000000"/>
            </w:tcBorders>
            <w:shd w:val="clear" w:color="auto" w:fill="E7EAED"/>
            <w:vAlign w:val="center"/>
          </w:tcPr>
          <w:p w14:paraId="3382AB61"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Pr>
                <w:rFonts w:ascii="Arial" w:eastAsia="Calibri" w:hAnsi="Arial" w:cs="Arial"/>
                <w:b/>
                <w:bCs/>
                <w:sz w:val="20"/>
                <w:szCs w:val="20"/>
              </w:rPr>
              <w:t>National</w:t>
            </w:r>
          </w:p>
        </w:tc>
        <w:tc>
          <w:tcPr>
            <w:tcW w:w="1848" w:type="dxa"/>
            <w:tcBorders>
              <w:left w:val="single" w:sz="6" w:space="0" w:color="000000"/>
              <w:right w:val="single" w:sz="6" w:space="0" w:color="000000"/>
            </w:tcBorders>
            <w:shd w:val="clear" w:color="auto" w:fill="E7EAED"/>
          </w:tcPr>
          <w:p w14:paraId="36F57B69"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028C3674"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r w:rsidR="00BE51B1" w:rsidRPr="007D3F22" w14:paraId="43BCD56D" w14:textId="77777777" w:rsidTr="00877C15">
        <w:trPr>
          <w:trHeight w:val="376"/>
          <w:jc w:val="center"/>
        </w:trPr>
        <w:tc>
          <w:tcPr>
            <w:tcW w:w="4387" w:type="dxa"/>
            <w:vMerge/>
            <w:tcBorders>
              <w:left w:val="single" w:sz="6" w:space="0" w:color="000000"/>
              <w:right w:val="single" w:sz="6" w:space="0" w:color="000000"/>
            </w:tcBorders>
            <w:shd w:val="clear" w:color="auto" w:fill="E7EAED"/>
          </w:tcPr>
          <w:p w14:paraId="378C83F3"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rPr>
            </w:pPr>
          </w:p>
        </w:tc>
        <w:tc>
          <w:tcPr>
            <w:tcW w:w="1275" w:type="dxa"/>
            <w:tcBorders>
              <w:left w:val="single" w:sz="6" w:space="0" w:color="000000"/>
              <w:right w:val="single" w:sz="6" w:space="0" w:color="000000"/>
            </w:tcBorders>
            <w:shd w:val="clear" w:color="auto" w:fill="CCFFCC"/>
          </w:tcPr>
          <w:p w14:paraId="24AEC431" w14:textId="77777777" w:rsidR="00BE51B1" w:rsidRPr="002F7D8D" w:rsidRDefault="00BE51B1" w:rsidP="00877C15">
            <w:pPr>
              <w:spacing w:beforeLines="20" w:before="48" w:afterLines="40" w:after="96" w:line="240" w:lineRule="auto"/>
              <w:ind w:left="113"/>
              <w:rPr>
                <w:rFonts w:ascii="Arial" w:eastAsia="Calibri" w:hAnsi="Arial" w:cs="Arial"/>
                <w:b/>
                <w:bCs/>
                <w:sz w:val="20"/>
                <w:szCs w:val="20"/>
              </w:rPr>
            </w:pPr>
            <w:r w:rsidRPr="00B46BA6">
              <w:rPr>
                <w:rFonts w:ascii="Arial" w:eastAsia="Calibri" w:hAnsi="Arial" w:cs="Arial"/>
                <w:b/>
                <w:bCs/>
                <w:sz w:val="20"/>
                <w:szCs w:val="20"/>
              </w:rPr>
              <w:t>Medium</w:t>
            </w:r>
            <w:r w:rsidRPr="002F7D8D">
              <w:rPr>
                <w:rFonts w:ascii="Arial" w:eastAsia="Calibri" w:hAnsi="Arial" w:cs="Arial"/>
                <w:b/>
                <w:bCs/>
                <w:sz w:val="20"/>
                <w:szCs w:val="20"/>
              </w:rPr>
              <w:t>​</w:t>
            </w:r>
          </w:p>
        </w:tc>
        <w:tc>
          <w:tcPr>
            <w:tcW w:w="1418" w:type="dxa"/>
            <w:tcBorders>
              <w:left w:val="single" w:sz="6" w:space="0" w:color="000000"/>
              <w:right w:val="single" w:sz="6" w:space="0" w:color="000000"/>
            </w:tcBorders>
            <w:shd w:val="clear" w:color="auto" w:fill="CCFFCC"/>
          </w:tcPr>
          <w:p w14:paraId="5FA94724" w14:textId="77777777" w:rsidR="00BE51B1" w:rsidRPr="002F7D8D" w:rsidRDefault="00BE51B1" w:rsidP="00877C15">
            <w:pPr>
              <w:spacing w:beforeLines="20" w:before="48" w:afterLines="40" w:after="96" w:line="240" w:lineRule="auto"/>
              <w:ind w:left="113"/>
              <w:rPr>
                <w:rFonts w:ascii="Arial" w:eastAsia="Calibri" w:hAnsi="Arial" w:cs="Arial"/>
                <w:b/>
                <w:bCs/>
                <w:sz w:val="20"/>
                <w:szCs w:val="20"/>
              </w:rPr>
            </w:pPr>
            <w:r w:rsidRPr="00B46BA6">
              <w:rPr>
                <w:rFonts w:ascii="Arial" w:eastAsia="Calibri" w:hAnsi="Arial" w:cs="Arial"/>
                <w:b/>
                <w:bCs/>
                <w:sz w:val="20"/>
                <w:szCs w:val="20"/>
              </w:rPr>
              <w:t>National</w:t>
            </w:r>
            <w:r w:rsidRPr="002F7D8D">
              <w:rPr>
                <w:rFonts w:ascii="Arial" w:eastAsia="Calibri" w:hAnsi="Arial" w:cs="Arial"/>
                <w:b/>
                <w:bCs/>
                <w:sz w:val="20"/>
                <w:szCs w:val="20"/>
              </w:rPr>
              <w:t>​</w:t>
            </w:r>
          </w:p>
        </w:tc>
        <w:tc>
          <w:tcPr>
            <w:tcW w:w="1848" w:type="dxa"/>
            <w:tcBorders>
              <w:left w:val="single" w:sz="6" w:space="0" w:color="000000"/>
              <w:right w:val="single" w:sz="6" w:space="0" w:color="000000"/>
            </w:tcBorders>
            <w:shd w:val="clear" w:color="auto" w:fill="CCFFCC"/>
          </w:tcPr>
          <w:p w14:paraId="7C1B2AE2" w14:textId="77777777" w:rsidR="00BE51B1" w:rsidRPr="002F7D8D" w:rsidRDefault="00BE51B1" w:rsidP="00877C15">
            <w:pPr>
              <w:spacing w:beforeLines="20" w:before="48" w:afterLines="40" w:after="96" w:line="240" w:lineRule="auto"/>
              <w:ind w:left="113"/>
              <w:rPr>
                <w:rFonts w:ascii="Arial" w:eastAsia="Calibri" w:hAnsi="Arial" w:cs="Arial"/>
                <w:b/>
                <w:bCs/>
                <w:sz w:val="20"/>
                <w:szCs w:val="20"/>
              </w:rPr>
            </w:pPr>
            <w:r w:rsidRPr="00B46BA6">
              <w:rPr>
                <w:rFonts w:ascii="Arial" w:eastAsia="Calibri" w:hAnsi="Arial" w:cs="Arial"/>
                <w:b/>
                <w:bCs/>
                <w:sz w:val="20"/>
                <w:szCs w:val="20"/>
              </w:rPr>
              <w:t>Unconstrained</w:t>
            </w:r>
            <w:r w:rsidRPr="002F7D8D">
              <w:rPr>
                <w:rFonts w:ascii="Arial" w:eastAsia="Calibri" w:hAnsi="Arial" w:cs="Arial"/>
                <w:b/>
                <w:bCs/>
                <w:sz w:val="20"/>
                <w:szCs w:val="20"/>
              </w:rPr>
              <w:t>​</w:t>
            </w:r>
          </w:p>
          <w:p w14:paraId="39491524" w14:textId="77777777" w:rsidR="00BE51B1" w:rsidRPr="002F7D8D" w:rsidRDefault="00BE51B1" w:rsidP="00877C15">
            <w:pPr>
              <w:spacing w:beforeLines="20" w:before="48" w:afterLines="40" w:after="96" w:line="240" w:lineRule="auto"/>
              <w:ind w:left="113"/>
              <w:rPr>
                <w:rFonts w:ascii="Arial" w:eastAsia="Calibri" w:hAnsi="Arial" w:cs="Arial"/>
                <w:b/>
                <w:bCs/>
                <w:sz w:val="20"/>
                <w:szCs w:val="20"/>
              </w:rPr>
            </w:pPr>
            <w:r w:rsidRPr="00B46BA6">
              <w:rPr>
                <w:rFonts w:ascii="Arial" w:eastAsia="Calibri" w:hAnsi="Arial" w:cs="Arial"/>
                <w:b/>
                <w:bCs/>
                <w:sz w:val="20"/>
                <w:szCs w:val="20"/>
              </w:rPr>
              <w:t>Constrained</w:t>
            </w:r>
            <w:r w:rsidRPr="002F7D8D">
              <w:rPr>
                <w:rFonts w:ascii="Arial" w:eastAsia="Calibri" w:hAnsi="Arial" w:cs="Arial"/>
                <w:b/>
                <w:bCs/>
                <w:sz w:val="20"/>
                <w:szCs w:val="20"/>
              </w:rPr>
              <w:t>​</w:t>
            </w:r>
          </w:p>
        </w:tc>
      </w:tr>
      <w:tr w:rsidR="00BE51B1" w:rsidRPr="007D3F22" w14:paraId="2BBBE957" w14:textId="77777777" w:rsidTr="00877C15">
        <w:trPr>
          <w:trHeight w:val="376"/>
          <w:jc w:val="center"/>
        </w:trPr>
        <w:tc>
          <w:tcPr>
            <w:tcW w:w="4387" w:type="dxa"/>
            <w:vMerge/>
            <w:tcBorders>
              <w:left w:val="single" w:sz="6" w:space="0" w:color="000000"/>
              <w:right w:val="single" w:sz="6" w:space="0" w:color="000000"/>
            </w:tcBorders>
            <w:shd w:val="clear" w:color="auto" w:fill="E7EAED"/>
          </w:tcPr>
          <w:p w14:paraId="3E549E26" w14:textId="77777777" w:rsidR="00BE51B1" w:rsidRPr="00B46BA6" w:rsidRDefault="00BE51B1" w:rsidP="00877C15">
            <w:pPr>
              <w:spacing w:beforeLines="20" w:before="48" w:afterLines="40" w:after="96" w:line="240" w:lineRule="auto"/>
              <w:ind w:left="113"/>
              <w:rPr>
                <w:rFonts w:ascii="Arial" w:eastAsia="Calibri" w:hAnsi="Arial" w:cs="Arial"/>
                <w:b/>
                <w:bCs/>
                <w:color w:val="156082" w:themeColor="accent1"/>
                <w:sz w:val="20"/>
                <w:szCs w:val="20"/>
              </w:rPr>
            </w:pPr>
          </w:p>
        </w:tc>
        <w:tc>
          <w:tcPr>
            <w:tcW w:w="1275" w:type="dxa"/>
            <w:tcBorders>
              <w:left w:val="single" w:sz="6" w:space="0" w:color="000000"/>
              <w:right w:val="single" w:sz="6" w:space="0" w:color="000000"/>
            </w:tcBorders>
            <w:shd w:val="clear" w:color="auto" w:fill="E7EAED"/>
          </w:tcPr>
          <w:p w14:paraId="4F43F2B1"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High</w:t>
            </w:r>
            <w:r w:rsidRPr="00B46BA6">
              <w:rPr>
                <w:rFonts w:ascii="Arial" w:eastAsia="Calibri" w:hAnsi="Arial" w:cs="Arial"/>
                <w:sz w:val="20"/>
                <w:szCs w:val="20"/>
                <w:lang w:val="en-US"/>
              </w:rPr>
              <w:t>​</w:t>
            </w:r>
          </w:p>
          <w:p w14:paraId="7CC256CD"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w:t>
            </w:r>
          </w:p>
        </w:tc>
        <w:tc>
          <w:tcPr>
            <w:tcW w:w="1418" w:type="dxa"/>
            <w:tcBorders>
              <w:left w:val="single" w:sz="6" w:space="0" w:color="000000"/>
              <w:right w:val="single" w:sz="6" w:space="0" w:color="000000"/>
            </w:tcBorders>
            <w:shd w:val="clear" w:color="auto" w:fill="E7EAED"/>
          </w:tcPr>
          <w:p w14:paraId="4688E2E5"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National</w:t>
            </w:r>
            <w:r w:rsidRPr="00B46BA6">
              <w:rPr>
                <w:rFonts w:ascii="Arial" w:eastAsia="Calibri" w:hAnsi="Arial" w:cs="Arial"/>
                <w:sz w:val="20"/>
                <w:szCs w:val="20"/>
                <w:lang w:val="en-US"/>
              </w:rPr>
              <w:t>​</w:t>
            </w:r>
          </w:p>
        </w:tc>
        <w:tc>
          <w:tcPr>
            <w:tcW w:w="1848" w:type="dxa"/>
            <w:tcBorders>
              <w:left w:val="single" w:sz="6" w:space="0" w:color="000000"/>
              <w:right w:val="single" w:sz="6" w:space="0" w:color="000000"/>
            </w:tcBorders>
            <w:shd w:val="clear" w:color="auto" w:fill="E7EAED"/>
          </w:tcPr>
          <w:p w14:paraId="0C753EB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08F4A072"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r w:rsidR="00BE51B1" w:rsidRPr="007D3F22" w14:paraId="31096CA1" w14:textId="77777777" w:rsidTr="00877C15">
        <w:trPr>
          <w:trHeight w:val="370"/>
          <w:jc w:val="center"/>
        </w:trPr>
        <w:tc>
          <w:tcPr>
            <w:tcW w:w="4387" w:type="dxa"/>
            <w:vMerge w:val="restart"/>
            <w:tcBorders>
              <w:top w:val="single" w:sz="6" w:space="0" w:color="000000"/>
              <w:left w:val="single" w:sz="6" w:space="0" w:color="000000"/>
              <w:right w:val="single" w:sz="6" w:space="0" w:color="000000"/>
            </w:tcBorders>
            <w:shd w:val="clear" w:color="auto" w:fill="D1D1D1"/>
            <w:hideMark/>
          </w:tcPr>
          <w:p w14:paraId="12D19988" w14:textId="77777777" w:rsidR="00BE51B1" w:rsidRPr="00B46BA6" w:rsidRDefault="00BE51B1" w:rsidP="00877C15">
            <w:pPr>
              <w:spacing w:beforeLines="20" w:before="48" w:afterLines="40" w:after="96" w:line="240" w:lineRule="auto"/>
              <w:ind w:left="113" w:right="57"/>
              <w:rPr>
                <w:rFonts w:ascii="Arial" w:eastAsia="Calibri" w:hAnsi="Arial" w:cs="Arial"/>
                <w:color w:val="156082" w:themeColor="accent1"/>
                <w:sz w:val="20"/>
                <w:szCs w:val="20"/>
                <w:lang w:val="en-US"/>
              </w:rPr>
            </w:pPr>
            <w:r w:rsidRPr="00B46BA6">
              <w:rPr>
                <w:rFonts w:ascii="Arial" w:eastAsia="Calibri" w:hAnsi="Arial" w:cs="Arial"/>
                <w:b/>
                <w:bCs/>
                <w:color w:val="156082" w:themeColor="accent1"/>
                <w:sz w:val="20"/>
                <w:szCs w:val="20"/>
              </w:rPr>
              <w:t>Precursor-Related Product</w:t>
            </w:r>
            <w:r w:rsidRPr="00B46BA6">
              <w:rPr>
                <w:rFonts w:ascii="Arial" w:eastAsia="Calibri" w:hAnsi="Arial" w:cs="Arial"/>
                <w:b/>
                <w:bCs/>
                <w:color w:val="156082" w:themeColor="accent1"/>
                <w:sz w:val="20"/>
                <w:szCs w:val="20"/>
                <w:lang w:val="en-US"/>
              </w:rPr>
              <w:t xml:space="preserve"> Scenario</w:t>
            </w:r>
          </w:p>
          <w:p w14:paraId="0DFBA0D2" w14:textId="77777777" w:rsidR="00BE51B1" w:rsidRPr="00B46BA6" w:rsidRDefault="00BE51B1" w:rsidP="00877C15">
            <w:pPr>
              <w:spacing w:beforeLines="20" w:before="48" w:afterLines="40" w:after="96" w:line="240" w:lineRule="auto"/>
              <w:ind w:left="113" w:right="57"/>
              <w:rPr>
                <w:rFonts w:ascii="Arial" w:eastAsia="Calibri" w:hAnsi="Arial" w:cs="Arial"/>
                <w:color w:val="156082" w:themeColor="accent1"/>
                <w:sz w:val="20"/>
                <w:szCs w:val="20"/>
                <w:lang w:val="en-US"/>
              </w:rPr>
            </w:pPr>
            <w:r>
              <w:rPr>
                <w:rFonts w:ascii="Arial" w:eastAsia="Calibri" w:hAnsi="Arial" w:cs="Arial"/>
                <w:color w:val="156082" w:themeColor="accent1"/>
                <w:sz w:val="20"/>
                <w:szCs w:val="20"/>
              </w:rPr>
              <w:t>M</w:t>
            </w:r>
            <w:r w:rsidRPr="00B46BA6">
              <w:rPr>
                <w:rFonts w:ascii="Arial" w:eastAsia="Calibri" w:hAnsi="Arial" w:cs="Arial"/>
                <w:color w:val="156082" w:themeColor="accent1"/>
                <w:sz w:val="20"/>
                <w:szCs w:val="20"/>
              </w:rPr>
              <w:t>ineral production reaches an advanced level of processing by 2040</w:t>
            </w:r>
            <w:r w:rsidRPr="00B46BA6">
              <w:rPr>
                <w:rFonts w:ascii="Arial" w:eastAsia="Calibri" w:hAnsi="Arial" w:cs="Arial"/>
                <w:color w:val="156082" w:themeColor="accent1"/>
                <w:sz w:val="20"/>
                <w:szCs w:val="20"/>
                <w:lang w:val="en-US"/>
              </w:rPr>
              <w:t>​</w:t>
            </w:r>
          </w:p>
        </w:tc>
        <w:tc>
          <w:tcPr>
            <w:tcW w:w="1275" w:type="dxa"/>
            <w:vMerge w:val="restart"/>
            <w:tcBorders>
              <w:top w:val="single" w:sz="6" w:space="0" w:color="000000"/>
              <w:left w:val="single" w:sz="6" w:space="0" w:color="000000"/>
              <w:right w:val="single" w:sz="6" w:space="0" w:color="000000"/>
            </w:tcBorders>
            <w:shd w:val="clear" w:color="auto" w:fill="D1D1D1"/>
            <w:hideMark/>
          </w:tcPr>
          <w:p w14:paraId="0955446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Low</w:t>
            </w:r>
            <w:r w:rsidRPr="00B46BA6">
              <w:rPr>
                <w:rFonts w:ascii="Arial" w:eastAsia="Calibri" w:hAnsi="Arial" w:cs="Arial"/>
                <w:sz w:val="20"/>
                <w:szCs w:val="20"/>
                <w:lang w:val="en-US"/>
              </w:rPr>
              <w:t>​</w:t>
            </w:r>
          </w:p>
          <w:p w14:paraId="272EBC8D"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r w:rsidRPr="00B46BA6">
              <w:rPr>
                <w:rFonts w:ascii="Arial" w:eastAsia="Calibri" w:hAnsi="Arial" w:cs="Arial"/>
                <w:sz w:val="20"/>
                <w:szCs w:val="20"/>
              </w:rPr>
              <w:t>​</w:t>
            </w:r>
          </w:p>
        </w:tc>
        <w:tc>
          <w:tcPr>
            <w:tcW w:w="1418" w:type="dxa"/>
            <w:tcBorders>
              <w:left w:val="single" w:sz="6" w:space="0" w:color="000000"/>
              <w:right w:val="single" w:sz="6" w:space="0" w:color="000000" w:themeColor="text1"/>
            </w:tcBorders>
            <w:shd w:val="clear" w:color="auto" w:fill="E7EAED"/>
            <w:hideMark/>
          </w:tcPr>
          <w:p w14:paraId="4704347B"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National</w:t>
            </w:r>
            <w:r w:rsidRPr="00B46BA6">
              <w:rPr>
                <w:rFonts w:ascii="Arial" w:eastAsia="Calibri" w:hAnsi="Arial" w:cs="Arial"/>
                <w:sz w:val="20"/>
                <w:szCs w:val="20"/>
                <w:lang w:val="en-US"/>
              </w:rPr>
              <w:t>​</w:t>
            </w:r>
          </w:p>
        </w:tc>
        <w:tc>
          <w:tcPr>
            <w:tcW w:w="1848" w:type="dxa"/>
            <w:tcBorders>
              <w:left w:val="single" w:sz="6" w:space="0" w:color="000000" w:themeColor="text1"/>
              <w:right w:val="single" w:sz="6" w:space="0" w:color="000000" w:themeColor="text1"/>
            </w:tcBorders>
            <w:shd w:val="clear" w:color="auto" w:fill="E7EAED"/>
            <w:hideMark/>
          </w:tcPr>
          <w:p w14:paraId="075E229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4160938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r w:rsidR="00BE51B1" w:rsidRPr="007D3F22" w14:paraId="006EDB7B" w14:textId="77777777" w:rsidTr="00877C15">
        <w:trPr>
          <w:trHeight w:val="375"/>
          <w:jc w:val="center"/>
        </w:trPr>
        <w:tc>
          <w:tcPr>
            <w:tcW w:w="4387" w:type="dxa"/>
            <w:vMerge/>
            <w:tcBorders>
              <w:left w:val="single" w:sz="6" w:space="0" w:color="000000"/>
              <w:right w:val="single" w:sz="6" w:space="0" w:color="000000"/>
            </w:tcBorders>
            <w:vAlign w:val="center"/>
            <w:hideMark/>
          </w:tcPr>
          <w:p w14:paraId="51991F4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275" w:type="dxa"/>
            <w:vMerge/>
            <w:tcBorders>
              <w:left w:val="single" w:sz="6" w:space="0" w:color="000000"/>
              <w:right w:val="single" w:sz="6" w:space="0" w:color="000000"/>
            </w:tcBorders>
            <w:vAlign w:val="center"/>
            <w:hideMark/>
          </w:tcPr>
          <w:p w14:paraId="7A50AE04" w14:textId="77777777" w:rsidR="00BE51B1" w:rsidRPr="00B46BA6" w:rsidRDefault="00BE51B1" w:rsidP="00877C15">
            <w:pPr>
              <w:spacing w:beforeLines="20" w:before="48" w:afterLines="40" w:after="96" w:line="240" w:lineRule="auto"/>
              <w:ind w:left="113"/>
              <w:rPr>
                <w:rFonts w:ascii="Arial" w:eastAsia="Calibri" w:hAnsi="Arial" w:cs="Arial"/>
                <w:sz w:val="20"/>
                <w:szCs w:val="20"/>
              </w:rPr>
            </w:pPr>
          </w:p>
        </w:tc>
        <w:tc>
          <w:tcPr>
            <w:tcW w:w="1418" w:type="dxa"/>
            <w:tcBorders>
              <w:left w:val="single" w:sz="6" w:space="0" w:color="000000"/>
              <w:right w:val="single" w:sz="6" w:space="0" w:color="000000" w:themeColor="text1"/>
            </w:tcBorders>
            <w:shd w:val="clear" w:color="auto" w:fill="D1D1D1"/>
            <w:hideMark/>
          </w:tcPr>
          <w:p w14:paraId="0430D282"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Regional</w:t>
            </w:r>
            <w:r w:rsidRPr="00B46BA6">
              <w:rPr>
                <w:rFonts w:ascii="Arial" w:eastAsia="Calibri" w:hAnsi="Arial" w:cs="Arial"/>
                <w:sz w:val="20"/>
                <w:szCs w:val="20"/>
                <w:lang w:val="en-US"/>
              </w:rPr>
              <w:t>​</w:t>
            </w:r>
          </w:p>
        </w:tc>
        <w:tc>
          <w:tcPr>
            <w:tcW w:w="1848" w:type="dxa"/>
            <w:tcBorders>
              <w:left w:val="single" w:sz="6" w:space="0" w:color="000000" w:themeColor="text1"/>
              <w:right w:val="single" w:sz="6" w:space="0" w:color="000000" w:themeColor="text1"/>
            </w:tcBorders>
            <w:shd w:val="clear" w:color="auto" w:fill="D1D1D1"/>
            <w:hideMark/>
          </w:tcPr>
          <w:p w14:paraId="60086CD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3E45377F"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r w:rsidR="00BE51B1" w:rsidRPr="007D3F22" w14:paraId="2B10A898" w14:textId="77777777" w:rsidTr="00877C15">
        <w:trPr>
          <w:trHeight w:val="367"/>
          <w:jc w:val="center"/>
        </w:trPr>
        <w:tc>
          <w:tcPr>
            <w:tcW w:w="4387" w:type="dxa"/>
            <w:vMerge/>
            <w:tcBorders>
              <w:left w:val="single" w:sz="6" w:space="0" w:color="000000"/>
              <w:right w:val="single" w:sz="6" w:space="0" w:color="000000"/>
            </w:tcBorders>
            <w:vAlign w:val="center"/>
            <w:hideMark/>
          </w:tcPr>
          <w:p w14:paraId="37E6B714"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275" w:type="dxa"/>
            <w:vMerge w:val="restart"/>
            <w:tcBorders>
              <w:left w:val="single" w:sz="6" w:space="0" w:color="000000"/>
              <w:right w:val="single" w:sz="6" w:space="0" w:color="000000"/>
            </w:tcBorders>
            <w:shd w:val="clear" w:color="auto" w:fill="C2F1C8"/>
            <w:hideMark/>
          </w:tcPr>
          <w:p w14:paraId="290A595A"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Medium</w:t>
            </w:r>
            <w:r w:rsidRPr="00B46BA6">
              <w:rPr>
                <w:rFonts w:ascii="Arial" w:eastAsia="Calibri" w:hAnsi="Arial" w:cs="Arial"/>
                <w:sz w:val="20"/>
                <w:szCs w:val="20"/>
                <w:lang w:val="en-US"/>
              </w:rPr>
              <w:t>​</w:t>
            </w:r>
          </w:p>
        </w:tc>
        <w:tc>
          <w:tcPr>
            <w:tcW w:w="1418" w:type="dxa"/>
            <w:tcBorders>
              <w:left w:val="single" w:sz="6" w:space="0" w:color="000000"/>
              <w:right w:val="single" w:sz="6" w:space="0" w:color="000000" w:themeColor="text1"/>
            </w:tcBorders>
            <w:shd w:val="clear" w:color="auto" w:fill="C2F1C8"/>
            <w:hideMark/>
          </w:tcPr>
          <w:p w14:paraId="0D12A3E5"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National</w:t>
            </w:r>
            <w:r w:rsidRPr="00B46BA6">
              <w:rPr>
                <w:rFonts w:ascii="Arial" w:eastAsia="Calibri" w:hAnsi="Arial" w:cs="Arial"/>
                <w:sz w:val="20"/>
                <w:szCs w:val="20"/>
                <w:lang w:val="en-US"/>
              </w:rPr>
              <w:t>​</w:t>
            </w:r>
          </w:p>
        </w:tc>
        <w:tc>
          <w:tcPr>
            <w:tcW w:w="1848" w:type="dxa"/>
            <w:tcBorders>
              <w:left w:val="single" w:sz="6" w:space="0" w:color="000000" w:themeColor="text1"/>
              <w:right w:val="single" w:sz="6" w:space="0" w:color="000000" w:themeColor="text1"/>
            </w:tcBorders>
            <w:shd w:val="clear" w:color="auto" w:fill="C2F1C8"/>
            <w:hideMark/>
          </w:tcPr>
          <w:p w14:paraId="1F2645A3" w14:textId="77777777" w:rsidR="00BE51B1" w:rsidRPr="00B46BA6" w:rsidRDefault="00BE51B1" w:rsidP="00877C15">
            <w:pPr>
              <w:spacing w:beforeLines="20" w:before="48" w:afterLines="40" w:after="96" w:line="240" w:lineRule="auto"/>
              <w:ind w:left="113"/>
              <w:rPr>
                <w:rFonts w:ascii="Arial" w:eastAsia="Calibri" w:hAnsi="Arial" w:cs="Arial"/>
                <w:b/>
                <w:bCs/>
                <w:sz w:val="20"/>
                <w:szCs w:val="20"/>
                <w:lang w:val="en-US"/>
              </w:rPr>
            </w:pPr>
            <w:r w:rsidRPr="00B46BA6">
              <w:rPr>
                <w:rFonts w:ascii="Arial" w:eastAsia="Calibri" w:hAnsi="Arial" w:cs="Arial"/>
                <w:b/>
                <w:bCs/>
                <w:sz w:val="20"/>
                <w:szCs w:val="20"/>
              </w:rPr>
              <w:t>Unconstrained</w:t>
            </w:r>
            <w:r w:rsidRPr="00B46BA6">
              <w:rPr>
                <w:rFonts w:ascii="Arial" w:eastAsia="Calibri" w:hAnsi="Arial" w:cs="Arial"/>
                <w:b/>
                <w:bCs/>
                <w:sz w:val="20"/>
                <w:szCs w:val="20"/>
                <w:lang w:val="en-US"/>
              </w:rPr>
              <w:t>​</w:t>
            </w:r>
          </w:p>
          <w:p w14:paraId="1A4A2F98"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Constrained</w:t>
            </w:r>
            <w:r w:rsidRPr="00B46BA6">
              <w:rPr>
                <w:rFonts w:ascii="Arial" w:eastAsia="Calibri" w:hAnsi="Arial" w:cs="Arial"/>
                <w:b/>
                <w:bCs/>
                <w:sz w:val="20"/>
                <w:szCs w:val="20"/>
                <w:lang w:val="en-US"/>
              </w:rPr>
              <w:t>​</w:t>
            </w:r>
          </w:p>
        </w:tc>
      </w:tr>
      <w:tr w:rsidR="00BE51B1" w:rsidRPr="007D3F22" w14:paraId="6324F627" w14:textId="77777777" w:rsidTr="00877C15">
        <w:trPr>
          <w:trHeight w:val="374"/>
          <w:jc w:val="center"/>
        </w:trPr>
        <w:tc>
          <w:tcPr>
            <w:tcW w:w="4387" w:type="dxa"/>
            <w:vMerge/>
            <w:tcBorders>
              <w:left w:val="single" w:sz="6" w:space="0" w:color="000000"/>
              <w:right w:val="single" w:sz="6" w:space="0" w:color="000000"/>
            </w:tcBorders>
            <w:vAlign w:val="center"/>
            <w:hideMark/>
          </w:tcPr>
          <w:p w14:paraId="3920A8E9"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275" w:type="dxa"/>
            <w:vMerge/>
            <w:tcBorders>
              <w:left w:val="single" w:sz="6" w:space="0" w:color="000000"/>
              <w:right w:val="single" w:sz="6" w:space="0" w:color="000000"/>
            </w:tcBorders>
            <w:vAlign w:val="center"/>
            <w:hideMark/>
          </w:tcPr>
          <w:p w14:paraId="34FCB661"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418" w:type="dxa"/>
            <w:tcBorders>
              <w:left w:val="single" w:sz="6" w:space="0" w:color="000000"/>
              <w:right w:val="single" w:sz="6" w:space="0" w:color="000000" w:themeColor="text1"/>
            </w:tcBorders>
            <w:shd w:val="clear" w:color="auto" w:fill="C2F1C8"/>
            <w:hideMark/>
          </w:tcPr>
          <w:p w14:paraId="5DED88DE"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Regional</w:t>
            </w:r>
            <w:r w:rsidRPr="00B46BA6">
              <w:rPr>
                <w:rFonts w:ascii="Arial" w:eastAsia="Calibri" w:hAnsi="Arial" w:cs="Arial"/>
                <w:sz w:val="20"/>
                <w:szCs w:val="20"/>
                <w:lang w:val="en-US"/>
              </w:rPr>
              <w:t>​</w:t>
            </w:r>
          </w:p>
        </w:tc>
        <w:tc>
          <w:tcPr>
            <w:tcW w:w="1848" w:type="dxa"/>
            <w:tcBorders>
              <w:left w:val="single" w:sz="6" w:space="0" w:color="000000" w:themeColor="text1"/>
              <w:right w:val="single" w:sz="6" w:space="0" w:color="000000" w:themeColor="text1"/>
            </w:tcBorders>
            <w:shd w:val="clear" w:color="auto" w:fill="C2F1C8"/>
            <w:hideMark/>
          </w:tcPr>
          <w:p w14:paraId="7CA8A07C" w14:textId="77777777" w:rsidR="00BE51B1" w:rsidRPr="00B46BA6" w:rsidRDefault="00BE51B1" w:rsidP="00877C15">
            <w:pPr>
              <w:spacing w:beforeLines="20" w:before="48" w:afterLines="40" w:after="96" w:line="240" w:lineRule="auto"/>
              <w:ind w:left="113"/>
              <w:rPr>
                <w:rFonts w:ascii="Arial" w:eastAsia="Calibri" w:hAnsi="Arial" w:cs="Arial"/>
                <w:b/>
                <w:bCs/>
                <w:sz w:val="20"/>
                <w:szCs w:val="20"/>
                <w:lang w:val="en-US"/>
              </w:rPr>
            </w:pPr>
            <w:r w:rsidRPr="00B46BA6">
              <w:rPr>
                <w:rFonts w:ascii="Arial" w:eastAsia="Calibri" w:hAnsi="Arial" w:cs="Arial"/>
                <w:b/>
                <w:bCs/>
                <w:sz w:val="20"/>
                <w:szCs w:val="20"/>
              </w:rPr>
              <w:t>Unconstrained</w:t>
            </w:r>
            <w:r w:rsidRPr="00B46BA6">
              <w:rPr>
                <w:rFonts w:ascii="Arial" w:eastAsia="Calibri" w:hAnsi="Arial" w:cs="Arial"/>
                <w:b/>
                <w:bCs/>
                <w:sz w:val="20"/>
                <w:szCs w:val="20"/>
                <w:lang w:val="en-US"/>
              </w:rPr>
              <w:t>​</w:t>
            </w:r>
          </w:p>
          <w:p w14:paraId="6C21AE34"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b/>
                <w:bCs/>
                <w:sz w:val="20"/>
                <w:szCs w:val="20"/>
              </w:rPr>
              <w:t>Constrained</w:t>
            </w:r>
            <w:r w:rsidRPr="00B46BA6">
              <w:rPr>
                <w:rFonts w:ascii="Arial" w:eastAsia="Calibri" w:hAnsi="Arial" w:cs="Arial"/>
                <w:b/>
                <w:bCs/>
                <w:sz w:val="20"/>
                <w:szCs w:val="20"/>
                <w:lang w:val="en-US"/>
              </w:rPr>
              <w:t>​</w:t>
            </w:r>
          </w:p>
        </w:tc>
      </w:tr>
      <w:tr w:rsidR="00BE51B1" w:rsidRPr="007D3F22" w14:paraId="335C4FF2" w14:textId="77777777" w:rsidTr="00877C15">
        <w:trPr>
          <w:trHeight w:val="380"/>
          <w:jc w:val="center"/>
        </w:trPr>
        <w:tc>
          <w:tcPr>
            <w:tcW w:w="4387" w:type="dxa"/>
            <w:vMerge/>
            <w:tcBorders>
              <w:left w:val="single" w:sz="6" w:space="0" w:color="000000"/>
              <w:right w:val="single" w:sz="6" w:space="0" w:color="000000"/>
            </w:tcBorders>
            <w:vAlign w:val="center"/>
            <w:hideMark/>
          </w:tcPr>
          <w:p w14:paraId="1C041A5A"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275" w:type="dxa"/>
            <w:vMerge w:val="restart"/>
            <w:tcBorders>
              <w:left w:val="single" w:sz="6" w:space="0" w:color="000000"/>
              <w:right w:val="single" w:sz="6" w:space="0" w:color="000000"/>
            </w:tcBorders>
            <w:shd w:val="clear" w:color="auto" w:fill="D1D1D1"/>
            <w:hideMark/>
          </w:tcPr>
          <w:p w14:paraId="64739C8D"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High</w:t>
            </w:r>
            <w:r w:rsidRPr="00B46BA6">
              <w:rPr>
                <w:rFonts w:ascii="Arial" w:eastAsia="Calibri" w:hAnsi="Arial" w:cs="Arial"/>
                <w:sz w:val="20"/>
                <w:szCs w:val="20"/>
                <w:lang w:val="en-US"/>
              </w:rPr>
              <w:t>​</w:t>
            </w:r>
          </w:p>
        </w:tc>
        <w:tc>
          <w:tcPr>
            <w:tcW w:w="1418" w:type="dxa"/>
            <w:tcBorders>
              <w:left w:val="single" w:sz="6" w:space="0" w:color="000000"/>
              <w:right w:val="single" w:sz="6" w:space="0" w:color="000000" w:themeColor="text1"/>
            </w:tcBorders>
            <w:shd w:val="clear" w:color="auto" w:fill="E7EAED"/>
            <w:hideMark/>
          </w:tcPr>
          <w:p w14:paraId="4249AD5B"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National</w:t>
            </w:r>
            <w:r w:rsidRPr="00B46BA6">
              <w:rPr>
                <w:rFonts w:ascii="Arial" w:eastAsia="Calibri" w:hAnsi="Arial" w:cs="Arial"/>
                <w:sz w:val="20"/>
                <w:szCs w:val="20"/>
                <w:lang w:val="en-US"/>
              </w:rPr>
              <w:t>​</w:t>
            </w:r>
          </w:p>
        </w:tc>
        <w:tc>
          <w:tcPr>
            <w:tcW w:w="1848" w:type="dxa"/>
            <w:tcBorders>
              <w:left w:val="single" w:sz="6" w:space="0" w:color="000000" w:themeColor="text1"/>
              <w:right w:val="single" w:sz="6" w:space="0" w:color="000000" w:themeColor="text1"/>
            </w:tcBorders>
            <w:shd w:val="clear" w:color="auto" w:fill="E7EAED"/>
            <w:hideMark/>
          </w:tcPr>
          <w:p w14:paraId="1F8C57A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660A474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r w:rsidR="00BE51B1" w:rsidRPr="007D3F22" w14:paraId="1BB3DF92" w14:textId="77777777" w:rsidTr="00877C15">
        <w:trPr>
          <w:trHeight w:val="369"/>
          <w:jc w:val="center"/>
        </w:trPr>
        <w:tc>
          <w:tcPr>
            <w:tcW w:w="4387" w:type="dxa"/>
            <w:vMerge/>
            <w:tcBorders>
              <w:left w:val="single" w:sz="6" w:space="0" w:color="000000"/>
              <w:bottom w:val="single" w:sz="6" w:space="0" w:color="000000"/>
              <w:right w:val="single" w:sz="6" w:space="0" w:color="000000"/>
            </w:tcBorders>
            <w:vAlign w:val="center"/>
            <w:hideMark/>
          </w:tcPr>
          <w:p w14:paraId="7773CDC1"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275" w:type="dxa"/>
            <w:vMerge/>
            <w:tcBorders>
              <w:left w:val="single" w:sz="6" w:space="0" w:color="000000"/>
              <w:bottom w:val="single" w:sz="6" w:space="0" w:color="000000"/>
              <w:right w:val="single" w:sz="6" w:space="0" w:color="000000"/>
            </w:tcBorders>
            <w:vAlign w:val="center"/>
            <w:hideMark/>
          </w:tcPr>
          <w:p w14:paraId="30A952F6"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p>
        </w:tc>
        <w:tc>
          <w:tcPr>
            <w:tcW w:w="1418" w:type="dxa"/>
            <w:tcBorders>
              <w:left w:val="single" w:sz="6" w:space="0" w:color="000000"/>
              <w:bottom w:val="single" w:sz="6" w:space="0" w:color="000000"/>
              <w:right w:val="single" w:sz="6" w:space="0" w:color="000000" w:themeColor="text1"/>
            </w:tcBorders>
            <w:shd w:val="clear" w:color="auto" w:fill="D1D1D1"/>
            <w:hideMark/>
          </w:tcPr>
          <w:p w14:paraId="6AE065EE"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Regional</w:t>
            </w:r>
            <w:r w:rsidRPr="00B46BA6">
              <w:rPr>
                <w:rFonts w:ascii="Arial" w:eastAsia="Calibri" w:hAnsi="Arial" w:cs="Arial"/>
                <w:sz w:val="20"/>
                <w:szCs w:val="20"/>
                <w:lang w:val="en-US"/>
              </w:rPr>
              <w:t>​</w:t>
            </w:r>
          </w:p>
        </w:tc>
        <w:tc>
          <w:tcPr>
            <w:tcW w:w="1848" w:type="dxa"/>
            <w:tcBorders>
              <w:left w:val="single" w:sz="6" w:space="0" w:color="000000" w:themeColor="text1"/>
              <w:bottom w:val="single" w:sz="6" w:space="0" w:color="000000" w:themeColor="text1"/>
              <w:right w:val="single" w:sz="6" w:space="0" w:color="000000" w:themeColor="text1"/>
            </w:tcBorders>
            <w:shd w:val="clear" w:color="auto" w:fill="D1D1D1"/>
            <w:hideMark/>
          </w:tcPr>
          <w:p w14:paraId="3DB34F0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Unconstrained</w:t>
            </w:r>
            <w:r w:rsidRPr="00B46BA6">
              <w:rPr>
                <w:rFonts w:ascii="Arial" w:eastAsia="Calibri" w:hAnsi="Arial" w:cs="Arial"/>
                <w:sz w:val="20"/>
                <w:szCs w:val="20"/>
                <w:lang w:val="en-US"/>
              </w:rPr>
              <w:t>​</w:t>
            </w:r>
          </w:p>
          <w:p w14:paraId="22EA9070" w14:textId="77777777" w:rsidR="00BE51B1" w:rsidRPr="00B46BA6" w:rsidRDefault="00BE51B1" w:rsidP="00877C15">
            <w:pPr>
              <w:spacing w:beforeLines="20" w:before="48" w:afterLines="40" w:after="96" w:line="240" w:lineRule="auto"/>
              <w:ind w:left="113"/>
              <w:rPr>
                <w:rFonts w:ascii="Arial" w:eastAsia="Calibri" w:hAnsi="Arial" w:cs="Arial"/>
                <w:sz w:val="20"/>
                <w:szCs w:val="20"/>
                <w:lang w:val="en-US"/>
              </w:rPr>
            </w:pPr>
            <w:r w:rsidRPr="00B46BA6">
              <w:rPr>
                <w:rFonts w:ascii="Arial" w:eastAsia="Calibri" w:hAnsi="Arial" w:cs="Arial"/>
                <w:sz w:val="20"/>
                <w:szCs w:val="20"/>
              </w:rPr>
              <w:t>Constrained</w:t>
            </w:r>
            <w:r w:rsidRPr="00B46BA6">
              <w:rPr>
                <w:rFonts w:ascii="Arial" w:eastAsia="Calibri" w:hAnsi="Arial" w:cs="Arial"/>
                <w:sz w:val="20"/>
                <w:szCs w:val="20"/>
                <w:lang w:val="en-US"/>
              </w:rPr>
              <w:t>​</w:t>
            </w:r>
          </w:p>
        </w:tc>
      </w:tr>
    </w:tbl>
    <w:p w14:paraId="0A11830E" w14:textId="0BFAF1C8" w:rsidR="00BE51B1" w:rsidRPr="00766470" w:rsidRDefault="00BE51B1" w:rsidP="00512EE5">
      <w:pPr>
        <w:pStyle w:val="Heading1"/>
        <w:numPr>
          <w:ilvl w:val="0"/>
          <w:numId w:val="60"/>
        </w:numPr>
        <w:rPr>
          <w:rStyle w:val="normaltextrun"/>
          <w:rFonts w:ascii="Arial" w:hAnsi="Arial" w:cs="Arial"/>
        </w:rPr>
      </w:pPr>
      <w:bookmarkStart w:id="3" w:name="_Toc211272267"/>
      <w:r w:rsidRPr="00766470">
        <w:rPr>
          <w:rStyle w:val="normaltextrun"/>
          <w:rFonts w:ascii="Arial" w:hAnsi="Arial" w:cs="Arial"/>
        </w:rPr>
        <w:lastRenderedPageBreak/>
        <w:t>Geo-Localisation of Current and Future Mining Sites and Associated Production</w:t>
      </w:r>
      <w:bookmarkEnd w:id="3"/>
    </w:p>
    <w:p w14:paraId="5CDD7877" w14:textId="77777777" w:rsidR="00BE51B1" w:rsidRPr="00766470" w:rsidRDefault="00BE51B1" w:rsidP="00BE51B1">
      <w:pPr>
        <w:pStyle w:val="paragraph"/>
        <w:spacing w:before="0" w:beforeAutospacing="0" w:after="0" w:afterAutospacing="0" w:line="276" w:lineRule="auto"/>
        <w:rPr>
          <w:rFonts w:ascii="Arial" w:hAnsi="Arial" w:cs="Arial"/>
          <w:sz w:val="22"/>
          <w:szCs w:val="22"/>
        </w:rPr>
      </w:pPr>
    </w:p>
    <w:p w14:paraId="376358E7" w14:textId="4E9832FB" w:rsidR="00BE51B1" w:rsidRPr="00B10A7E" w:rsidRDefault="00BE51B1" w:rsidP="00BE51B1">
      <w:pPr>
        <w:pStyle w:val="paragraph"/>
        <w:spacing w:before="0" w:beforeAutospacing="0" w:after="0" w:afterAutospacing="0" w:line="276" w:lineRule="auto"/>
        <w:rPr>
          <w:rFonts w:ascii="Arial" w:hAnsi="Arial" w:cs="Arial"/>
        </w:rPr>
      </w:pPr>
      <w:r w:rsidRPr="00B10A7E">
        <w:rPr>
          <w:rFonts w:ascii="Arial" w:hAnsi="Arial" w:cs="Arial"/>
        </w:rPr>
        <w:t xml:space="preserve">This </w:t>
      </w:r>
      <w:r w:rsidR="00F256D1" w:rsidRPr="00B10A7E">
        <w:rPr>
          <w:rFonts w:ascii="Arial" w:hAnsi="Arial" w:cs="Arial"/>
        </w:rPr>
        <w:t>section</w:t>
      </w:r>
      <w:r w:rsidRPr="00B10A7E">
        <w:rPr>
          <w:rFonts w:ascii="Arial" w:hAnsi="Arial" w:cs="Arial"/>
        </w:rPr>
        <w:t xml:space="preserve"> documents the detailed methodological steps used to establish geo-localised baseline mineral production data and project this into the future.</w:t>
      </w:r>
    </w:p>
    <w:p w14:paraId="7956706E" w14:textId="77777777" w:rsidR="00BE51B1" w:rsidRPr="00766470" w:rsidRDefault="00BE51B1" w:rsidP="00BE51B1">
      <w:pPr>
        <w:pStyle w:val="paragraph"/>
        <w:spacing w:before="0" w:beforeAutospacing="0" w:after="0" w:afterAutospacing="0" w:line="276" w:lineRule="auto"/>
        <w:rPr>
          <w:rFonts w:ascii="Arial" w:hAnsi="Arial" w:cs="Arial"/>
          <w:sz w:val="22"/>
          <w:szCs w:val="22"/>
        </w:rPr>
      </w:pPr>
    </w:p>
    <w:p w14:paraId="04A56AB3" w14:textId="77777777" w:rsidR="00F256D1" w:rsidRPr="001332EB" w:rsidRDefault="00F256D1" w:rsidP="00F256D1">
      <w:pPr>
        <w:pStyle w:val="Heading2"/>
        <w:rPr>
          <w:rFonts w:ascii="Arial" w:hAnsi="Arial" w:cs="Arial"/>
          <w:b/>
          <w:bCs/>
          <w:color w:val="E97132" w:themeColor="accent2"/>
          <w:sz w:val="24"/>
          <w:szCs w:val="24"/>
        </w:rPr>
      </w:pPr>
      <w:bookmarkStart w:id="4" w:name="_Toc211272268"/>
      <w:r w:rsidRPr="001332EB">
        <w:rPr>
          <w:rFonts w:ascii="Arial" w:hAnsi="Arial" w:cs="Arial"/>
          <w:b/>
          <w:bCs/>
          <w:color w:val="E97132" w:themeColor="accent2"/>
          <w:sz w:val="24"/>
          <w:szCs w:val="24"/>
        </w:rPr>
        <w:t>2.1</w:t>
      </w:r>
      <w:r w:rsidRPr="001332EB">
        <w:rPr>
          <w:rFonts w:ascii="Arial" w:hAnsi="Arial" w:cs="Arial"/>
          <w:b/>
          <w:bCs/>
          <w:color w:val="E97132" w:themeColor="accent2"/>
          <w:sz w:val="24"/>
          <w:szCs w:val="24"/>
        </w:rPr>
        <w:tab/>
        <w:t>Establishment of geo-localised baseline for mineral production</w:t>
      </w:r>
      <w:bookmarkEnd w:id="4"/>
    </w:p>
    <w:p w14:paraId="58FAF9AB"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2F48E825" w14:textId="77777777" w:rsidR="00F256D1" w:rsidRPr="007555C9" w:rsidRDefault="00F256D1" w:rsidP="00F256D1">
      <w:pPr>
        <w:pStyle w:val="Heading3"/>
        <w:rPr>
          <w:rFonts w:ascii="Arial" w:hAnsi="Arial" w:cs="Arial"/>
          <w:b/>
          <w:bCs/>
          <w:sz w:val="24"/>
          <w:szCs w:val="24"/>
        </w:rPr>
      </w:pPr>
      <w:bookmarkStart w:id="5" w:name="_Toc211272269"/>
      <w:r w:rsidRPr="007555C9">
        <w:rPr>
          <w:rFonts w:ascii="Arial" w:hAnsi="Arial" w:cs="Arial"/>
          <w:b/>
          <w:bCs/>
          <w:sz w:val="24"/>
          <w:szCs w:val="24"/>
        </w:rPr>
        <w:t>2.1.1</w:t>
      </w:r>
      <w:r w:rsidRPr="007555C9">
        <w:rPr>
          <w:rFonts w:ascii="Arial" w:hAnsi="Arial" w:cs="Arial"/>
          <w:b/>
          <w:bCs/>
          <w:sz w:val="24"/>
          <w:szCs w:val="24"/>
        </w:rPr>
        <w:tab/>
        <w:t>Several relevant data sources were identified.</w:t>
      </w:r>
      <w:bookmarkEnd w:id="5"/>
    </w:p>
    <w:p w14:paraId="1AFE90CF"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330625F9" w14:textId="066C1DB6" w:rsidR="00F256D1" w:rsidRPr="00B10A7E" w:rsidRDefault="00F256D1" w:rsidP="00F256D1">
      <w:pPr>
        <w:pStyle w:val="paragraph"/>
        <w:numPr>
          <w:ilvl w:val="0"/>
          <w:numId w:val="4"/>
        </w:numPr>
        <w:spacing w:before="0" w:beforeAutospacing="0" w:after="0" w:afterAutospacing="0" w:line="276" w:lineRule="auto"/>
        <w:jc w:val="both"/>
        <w:rPr>
          <w:rFonts w:ascii="Arial" w:eastAsiaTheme="minorEastAsia" w:hAnsi="Arial" w:cs="Arial"/>
        </w:rPr>
      </w:pPr>
      <w:r w:rsidRPr="00B10A7E">
        <w:rPr>
          <w:rFonts w:ascii="Arial" w:eastAsiaTheme="minorEastAsia" w:hAnsi="Arial" w:cs="Arial"/>
          <w:u w:val="single"/>
        </w:rPr>
        <w:t>Standard &amp; Poor’s (S&amp;P) Capital IQ Pro Metals &amp; Mining Database</w:t>
      </w:r>
      <w:r w:rsidRPr="00B10A7E">
        <w:rPr>
          <w:rFonts w:ascii="Arial" w:eastAsiaTheme="minorEastAsia" w:hAnsi="Arial" w:cs="Arial"/>
        </w:rPr>
        <w:t xml:space="preserve"> (previously known as SNL or Rystad Energy Complementary) is a proprietary database</w:t>
      </w:r>
      <w:r w:rsidRPr="00B10A7E">
        <w:rPr>
          <w:rFonts w:ascii="Arial" w:eastAsiaTheme="minorEastAsia" w:hAnsi="Arial" w:cs="Arial"/>
        </w:rPr>
        <w:fldChar w:fldCharType="begin"/>
      </w:r>
      <w:r w:rsidRPr="00B10A7E">
        <w:rPr>
          <w:rFonts w:ascii="Arial" w:eastAsiaTheme="minorEastAsia" w:hAnsi="Arial" w:cs="Arial"/>
        </w:rPr>
        <w:instrText xml:space="preserve"> ADDIN ZOTERO_ITEM CSL_CITATION {"citationID":"TgpzLYuM","properties":{"formattedCitation":"\\super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B10A7E">
        <w:rPr>
          <w:rFonts w:ascii="Arial" w:eastAsiaTheme="minorEastAsia" w:hAnsi="Arial" w:cs="Arial"/>
        </w:rPr>
        <w:fldChar w:fldCharType="separate"/>
      </w:r>
      <w:r w:rsidRPr="00B10A7E">
        <w:rPr>
          <w:rFonts w:ascii="Arial" w:hAnsi="Arial" w:cs="Arial"/>
          <w:vertAlign w:val="superscript"/>
        </w:rPr>
        <w:t>1</w:t>
      </w:r>
      <w:r w:rsidRPr="00B10A7E">
        <w:rPr>
          <w:rFonts w:ascii="Arial" w:eastAsiaTheme="minorEastAsia" w:hAnsi="Arial" w:cs="Arial"/>
        </w:rPr>
        <w:fldChar w:fldCharType="end"/>
      </w:r>
      <w:r w:rsidRPr="00B10A7E">
        <w:rPr>
          <w:rFonts w:ascii="Arial" w:eastAsiaTheme="minorEastAsia" w:hAnsi="Arial" w:cs="Arial"/>
        </w:rPr>
        <w:t>, which provides detailed mine-level data on production and processing activities for an array of minerals with global coverage for 37,400 mining properties and 7,750 operating mines and is widely used in the academic and policy literature</w:t>
      </w:r>
      <w:r w:rsidRPr="00B10A7E">
        <w:rPr>
          <w:rFonts w:ascii="Arial" w:eastAsiaTheme="minorEastAsia" w:hAnsi="Arial" w:cs="Arial"/>
        </w:rPr>
        <w:fldChar w:fldCharType="begin"/>
      </w:r>
      <w:r w:rsidRPr="00B10A7E">
        <w:rPr>
          <w:rFonts w:ascii="Arial" w:eastAsiaTheme="minorEastAsia" w:hAnsi="Arial" w:cs="Arial"/>
        </w:rPr>
        <w:instrText xml:space="preserve"> ADDIN ZOTERO_ITEM CSL_CITATION {"citationID":"aTMSAESN","properties":{"formattedCitation":"\\super 2\\nosupersub{}","plainCitation":"2","noteIndex":0},"citationItems":[{"id":2096,"uris":["http://zotero.org/users/10918866/items/XTU5ATWN"],"itemData":{"id":2096,"type":"article-journal","abstract":"We combine georeferenced data on mining extraction of 14 minerals with information on conflict events at spatial resolution of 0.5\n              o\n              × 0.5\n              o\n              for all of Africa between 1997 and 2010. Exploiting exogenous variations in world prices, we find a positive impact of mining on conflict at the local level. Quantitatively, our estimates suggest that the historical rise in mineral prices (commodity super-cycle) might explain up to one-fourth of the average level of violence across African countries over the period. We then document how a fighting group's control of a mining area contributes to escalation from local to global violence. Finally, we analyze the impact of corporate practices and transparency initiatives in the mining industry. (JEL C23, D74, L70, O13, Q34)","container-title":"American Economic Review","DOI":"10.1257/aer.20150774","ISSN":"0002-8282","issue":"6","journalAbbreviation":"American Economic Review","language":"en","page":"1564-1610","source":"DOI.org (Crossref)","title":"This Mine is Mine! How Minerals Fuel Conflicts in Africa","volume":"107","author":[{"family":"Berman","given":"Nicolas"},{"family":"Couttenier","given":"Mathieu"},{"family":"Rohner","given":"Dominic"},{"family":"Thoenig","given":"Mathias"}],"issued":{"date-parts":[["2017",6,1]]}}}],"schema":"https://github.com/citation-style-language/schema/raw/master/csl-citation.json"} </w:instrText>
      </w:r>
      <w:r w:rsidRPr="00B10A7E">
        <w:rPr>
          <w:rFonts w:ascii="Arial" w:eastAsiaTheme="minorEastAsia" w:hAnsi="Arial" w:cs="Arial"/>
        </w:rPr>
        <w:fldChar w:fldCharType="separate"/>
      </w:r>
      <w:r w:rsidRPr="00B10A7E">
        <w:rPr>
          <w:rFonts w:ascii="Arial" w:hAnsi="Arial" w:cs="Arial"/>
          <w:vertAlign w:val="superscript"/>
        </w:rPr>
        <w:t>2</w:t>
      </w:r>
      <w:r w:rsidRPr="00B10A7E">
        <w:rPr>
          <w:rFonts w:ascii="Arial" w:eastAsiaTheme="minorEastAsia" w:hAnsi="Arial" w:cs="Arial"/>
        </w:rPr>
        <w:fldChar w:fldCharType="end"/>
      </w:r>
      <w:r w:rsidRPr="00B10A7E">
        <w:rPr>
          <w:rFonts w:ascii="Arial" w:eastAsiaTheme="minorEastAsia" w:hAnsi="Arial" w:cs="Arial"/>
        </w:rPr>
        <w:t>.</w:t>
      </w:r>
    </w:p>
    <w:p w14:paraId="0DEB93F5" w14:textId="7CBC946C" w:rsidR="00F256D1" w:rsidRPr="00B10A7E" w:rsidRDefault="00F256D1" w:rsidP="00F256D1">
      <w:pPr>
        <w:pStyle w:val="paragraph"/>
        <w:numPr>
          <w:ilvl w:val="0"/>
          <w:numId w:val="4"/>
        </w:numPr>
        <w:spacing w:before="0" w:beforeAutospacing="0" w:after="0" w:afterAutospacing="0" w:line="276" w:lineRule="auto"/>
        <w:jc w:val="both"/>
        <w:rPr>
          <w:rFonts w:ascii="Arial" w:hAnsi="Arial" w:cs="Arial"/>
        </w:rPr>
      </w:pPr>
      <w:r w:rsidRPr="00B10A7E">
        <w:rPr>
          <w:rFonts w:ascii="Arial" w:hAnsi="Arial" w:cs="Arial"/>
          <w:u w:val="single"/>
        </w:rPr>
        <w:t>British Geological Survey (BGS) World Mineral Statistics Database</w:t>
      </w:r>
      <w:r w:rsidRPr="00B10A7E">
        <w:rPr>
          <w:rFonts w:ascii="Arial" w:hAnsi="Arial" w:cs="Arial"/>
          <w:u w:val="single"/>
        </w:rPr>
        <w:fldChar w:fldCharType="begin"/>
      </w:r>
      <w:r w:rsidRPr="00B10A7E">
        <w:rPr>
          <w:rFonts w:ascii="Arial" w:hAnsi="Arial" w:cs="Arial"/>
          <w:u w:val="single"/>
        </w:rPr>
        <w:instrText xml:space="preserve"> ADDIN ZOTERO_ITEM CSL_CITATION {"citationID":"vlVurdT9","properties":{"formattedCitation":"\\super 3\\nosupersub{}","plainCitation":"3","noteIndex":0},"citationItems":[{"id":8,"uris":["http://zotero.org/users/10918866/items/FSJMI4AU"],"itemData":{"id":8,"type":"webpage","title":"World mineral statistics","URL":"https://www.bgs.ac.uk/mineralsuk/statistics/world-mineral-statistics/","author":[{"family":"British Geological Survey","given":""}],"accessed":{"date-parts":[["2025",2,7]]},"issued":{"date-parts":[["2025"]]}}}],"schema":"https://github.com/citation-style-language/schema/raw/master/csl-citation.json"} </w:instrText>
      </w:r>
      <w:r w:rsidRPr="00B10A7E">
        <w:rPr>
          <w:rFonts w:ascii="Arial" w:hAnsi="Arial" w:cs="Arial"/>
          <w:u w:val="single"/>
        </w:rPr>
        <w:fldChar w:fldCharType="separate"/>
      </w:r>
      <w:r w:rsidRPr="00B10A7E">
        <w:rPr>
          <w:rFonts w:ascii="Arial" w:hAnsi="Arial" w:cs="Arial"/>
          <w:vertAlign w:val="superscript"/>
        </w:rPr>
        <w:t>3</w:t>
      </w:r>
      <w:r w:rsidRPr="00B10A7E">
        <w:rPr>
          <w:rFonts w:ascii="Arial" w:hAnsi="Arial" w:cs="Arial"/>
          <w:u w:val="single"/>
        </w:rPr>
        <w:fldChar w:fldCharType="end"/>
      </w:r>
      <w:r w:rsidRPr="00B10A7E">
        <w:rPr>
          <w:rFonts w:ascii="Arial" w:hAnsi="Arial" w:cs="Arial"/>
        </w:rPr>
        <w:t xml:space="preserve"> is an open access public database that provides aggregate data for annual national production and trade of minerals. More than 70 mineral commodities – covering the majority of economically important and internationally traded minerals, metals and mineral-based materials – are included. As far as possible the production data are compiled from primary, official sources. Quality assurance is maintained by participation in such groups as the International Consultative Group on Non-ferrous Metal Statistics.</w:t>
      </w:r>
      <w:r w:rsidRPr="00B10A7E">
        <w:rPr>
          <w:rFonts w:ascii="Arial" w:hAnsi="Arial" w:cs="Arial"/>
          <w:i/>
          <w:iCs/>
        </w:rPr>
        <w:t xml:space="preserve"> </w:t>
      </w:r>
    </w:p>
    <w:p w14:paraId="2197D0F5" w14:textId="44743A09" w:rsidR="00F256D1" w:rsidRPr="00B10A7E" w:rsidRDefault="00F256D1" w:rsidP="00F256D1">
      <w:pPr>
        <w:pStyle w:val="paragraph"/>
        <w:numPr>
          <w:ilvl w:val="0"/>
          <w:numId w:val="4"/>
        </w:numPr>
        <w:spacing w:before="0" w:beforeAutospacing="0" w:after="0" w:afterAutospacing="0" w:line="276" w:lineRule="auto"/>
        <w:jc w:val="both"/>
        <w:rPr>
          <w:rFonts w:ascii="Arial" w:hAnsi="Arial" w:cs="Arial"/>
        </w:rPr>
      </w:pPr>
      <w:r w:rsidRPr="00B10A7E">
        <w:rPr>
          <w:rFonts w:ascii="Arial" w:hAnsi="Arial" w:cs="Arial"/>
          <w:u w:val="single"/>
        </w:rPr>
        <w:t>Scientific literature databases</w:t>
      </w:r>
      <w:r w:rsidRPr="00B10A7E">
        <w:rPr>
          <w:rFonts w:ascii="Arial" w:hAnsi="Arial" w:cs="Arial"/>
        </w:rPr>
        <w:t xml:space="preserve">. Some databases on mining production are publicly available in the scientific literature. There are three that proved to be particularly useful for this study: production data from published </w:t>
      </w:r>
      <w:r w:rsidRPr="00B10A7E">
        <w:rPr>
          <w:rFonts w:ascii="Arial" w:eastAsiaTheme="minorEastAsia" w:hAnsi="Arial" w:cs="Arial"/>
        </w:rPr>
        <w:t>reports of 1,171 coal and metal mines worldwide</w:t>
      </w:r>
      <w:r w:rsidR="007555C9" w:rsidRPr="00B10A7E">
        <w:rPr>
          <w:rFonts w:ascii="Arial" w:eastAsiaTheme="minorEastAsia" w:hAnsi="Arial" w:cs="Arial"/>
        </w:rPr>
        <w:fldChar w:fldCharType="begin"/>
      </w:r>
      <w:r w:rsidR="0016542D">
        <w:rPr>
          <w:rFonts w:ascii="Arial" w:eastAsiaTheme="minorEastAsia" w:hAnsi="Arial" w:cs="Arial"/>
        </w:rPr>
        <w:instrText xml:space="preserve"> ADDIN ZOTERO_ITEM CSL_CITATION {"citationID":"8vOAjVnq","properties":{"formattedCitation":"\\super 4\\nosupersub{}","plainCitation":"4","noteIndex":0},"citationItems":[{"id":1954,"uris":["http://zotero.org/users/10918866/items/DMU5WAQ2"],"itemData":{"id":1954,"type":"article-journal","abstract":"While the extraction of natural resources has been well documented and analysed at the national level, production trends at the level of individual mines are more difficult to uncover, mainly due to poor availability of mining data with sub-national detail. In this paper, we contribute to filling this gap by presenting an open database on global coal and metal mine production on the level of individual mines. It is based on manually gathered information from more than 1900 freely available reports of mining companies, where every data point is linked to its source document, ensuring full transparency. The database covers 1171 individual mines and reports mine-level production for 80 different materials in the period 2000–2021. Furthermore, also data on mining coordinates, ownership, mineral reserves, mining waste, transportation of mining products, as well as mineral processing capacities (smelters and mineral refineries) and production is included.","container-title":"Scientific Data","DOI":"10.1038/s41597-023-01965-y","ISSN":"2052-4463","issue":"1","journalAbbreviation":"Sci Data","language":"en","license":"2023 The Author(s)","page":"52","publisher":"Nature Publishing Group","source":"www.nature.com","title":"An open database on global coal and metal mine production","volume":"10","author":[{"family":"Jasansky","given":"Simon"},{"family":"Lieber","given":"Mirko"},{"family":"Giljum","given":"Stefan"},{"family":"Maus","given":"Victor"}],"issued":{"date-parts":[["2023",1,24]]}}}],"schema":"https://github.com/citation-style-language/schema/raw/master/csl-citation.json"} </w:instrText>
      </w:r>
      <w:r w:rsidR="007555C9" w:rsidRPr="00B10A7E">
        <w:rPr>
          <w:rFonts w:ascii="Arial" w:eastAsiaTheme="minorEastAsia" w:hAnsi="Arial" w:cs="Arial"/>
        </w:rPr>
        <w:fldChar w:fldCharType="separate"/>
      </w:r>
      <w:r w:rsidR="007555C9" w:rsidRPr="00B10A7E">
        <w:rPr>
          <w:rFonts w:ascii="Arial" w:hAnsi="Arial" w:cs="Arial"/>
          <w:vertAlign w:val="superscript"/>
        </w:rPr>
        <w:t>4</w:t>
      </w:r>
      <w:r w:rsidR="007555C9" w:rsidRPr="00B10A7E">
        <w:rPr>
          <w:rFonts w:ascii="Arial" w:eastAsiaTheme="minorEastAsia" w:hAnsi="Arial" w:cs="Arial"/>
        </w:rPr>
        <w:fldChar w:fldCharType="end"/>
      </w:r>
      <w:r w:rsidRPr="00B10A7E">
        <w:rPr>
          <w:rFonts w:ascii="Arial" w:eastAsiaTheme="minorEastAsia" w:hAnsi="Arial" w:cs="Arial"/>
        </w:rPr>
        <w:t xml:space="preserve">; and, </w:t>
      </w:r>
      <w:r w:rsidR="007555C9">
        <w:rPr>
          <w:rFonts w:ascii="Arial" w:eastAsiaTheme="minorEastAsia" w:hAnsi="Arial" w:cs="Arial"/>
        </w:rPr>
        <w:t xml:space="preserve">two sources containing </w:t>
      </w:r>
      <w:r w:rsidRPr="00B10A7E">
        <w:rPr>
          <w:rFonts w:ascii="Arial" w:eastAsiaTheme="minorEastAsia" w:hAnsi="Arial" w:cs="Arial"/>
        </w:rPr>
        <w:t>geolocat</w:t>
      </w:r>
      <w:r w:rsidR="007555C9">
        <w:rPr>
          <w:rFonts w:ascii="Arial" w:eastAsiaTheme="minorEastAsia" w:hAnsi="Arial" w:cs="Arial"/>
        </w:rPr>
        <w:t>ed</w:t>
      </w:r>
      <w:r w:rsidRPr="00B10A7E">
        <w:rPr>
          <w:rFonts w:ascii="Arial" w:eastAsiaTheme="minorEastAsia" w:hAnsi="Arial" w:cs="Arial"/>
        </w:rPr>
        <w:t xml:space="preserve"> mining sites via remote sensing</w:t>
      </w:r>
      <w:r w:rsidR="007555C9" w:rsidRPr="00B10A7E">
        <w:rPr>
          <w:rFonts w:ascii="Arial" w:eastAsiaTheme="minorEastAsia" w:hAnsi="Arial" w:cs="Arial"/>
        </w:rPr>
        <w:fldChar w:fldCharType="begin"/>
      </w:r>
      <w:r w:rsidR="0016542D">
        <w:rPr>
          <w:rFonts w:ascii="Arial" w:eastAsiaTheme="minorEastAsia" w:hAnsi="Arial" w:cs="Arial"/>
        </w:rPr>
        <w:instrText xml:space="preserve"> ADDIN ZOTERO_ITEM CSL_CITATION {"citationID":"ybD7Twdb","properties":{"formattedCitation":"\\super 5,6\\nosupersub{}","plainCitation":"5,6","noteIndex":0},"citationItems":[{"id":2104,"uris":["http://zotero.org/users/10918866/items/M8MGQ8X5"],"itemData":{"id":2104,"type":"article-journal","abstract":"The area used for mineral extraction is a key indicator for understanding and mitigating the environmental impacts caused by the extractive sector. To date, worldwide data products on mineral extraction do not report the area used by mining activities. In this paper, we contribute to filling this gap by presenting a new data set of mining extents derived by visual interpretation of satellite images. We delineated mining areas within a 10 km buffer from the approximate geographical coordinates of more than six thousand active mining sites across the globe. The result is a global-scale data set consisting of 21,060 polygons that add up to 57,277 km2. The polygons cover all mining above-ground features that could be identified from the satellite images, including open cuts, tailings dams, waste rock dumps, water ponds, and processing infrastructure. The data set is available for download from https://doi.org/10.1594/PANGAEA.910894and visualization at www.fineprint.global/viewer.","container-title":"Scientific Data","DOI":"10.1038/s41597-020-00624-w","ISSN":"2052-4463","issue":"1","journalAbbreviation":"Sci Data","language":"en","license":"2020 The Author(s)","page":"289","publisher":"Nature Publishing Group","source":"www.nature.com","title":"A global-scale data set of mining areas","volume":"7","author":[{"family":"Maus","given":"Victor"},{"family":"Giljum","given":"Stefan"},{"family":"Gutschlhofer","given":"Jakob"},{"family":"Silva","given":"Dieison M.","non-dropping-particle":"da"},{"family":"Probst","given":"Michael"},{"family":"Gass","given":"Sidnei L. B."},{"family":"Luckeneder","given":"Sebastian"},{"family":"Lieber","given":"Mirko"},{"family":"McCallum","given":"Ian"}],"issued":{"date-parts":[["2020",9,8]]}}},{"id":2097,"uris":["http://zotero.org/users/10918866/items/HE8Z4ENQ"],"itemData":{"id":2097,"type":"article-journal","abstract":"Mining is of major economic, environmental and societal consequence, yet knowledge and understanding of its global footprint is still limited. Here, we produce a global mining land use dataset via remote sensing analysis of high-resolution, publicly available satellite imagery. The dataset comprises 74,548 polygons, covering ~66,000 km2 of features like waste rock dumps, pits, water ponds, tailings dams, heap leach pads and processing/milling infrastructure. Our polygons finely contour the edges of mine features and do not include the space between them. This distinguishes our dataset from others that employ broader definitions of mining lands. Hence, despite our database being the largest to date by number of polygons, comparisons show relatively lower global land use. Our database is made freely available to support future studies of global mining impacts. A series of spatial analyses are also presented that highlight global mine distribution patterns and broader environmental risks.","container-title":"Communications Earth &amp; Environment","DOI":"10.1038/s43247-023-00805-6","ISSN":"2662-4435","issue":"1","journalAbbreviation":"Commun Earth Environ","language":"en","license":"2023 The Author(s)","page":"1-12","publisher":"Nature Publishing Group","source":"www.nature.com","title":"Global mining footprint mapped from high-resolution satellite imagery","volume":"4","author":[{"family":"Tang","given":"Liang"},{"family":"Werner","given":"Tim T."}],"issued":{"date-parts":[["2023",4,22]]}}}],"schema":"https://github.com/citation-style-language/schema/raw/master/csl-citation.json"} </w:instrText>
      </w:r>
      <w:r w:rsidR="007555C9" w:rsidRPr="00B10A7E">
        <w:rPr>
          <w:rFonts w:ascii="Arial" w:eastAsiaTheme="minorEastAsia" w:hAnsi="Arial" w:cs="Arial"/>
        </w:rPr>
        <w:fldChar w:fldCharType="separate"/>
      </w:r>
      <w:r w:rsidR="007555C9" w:rsidRPr="00B10A7E">
        <w:rPr>
          <w:rFonts w:ascii="Arial" w:hAnsi="Arial" w:cs="Arial"/>
          <w:vertAlign w:val="superscript"/>
        </w:rPr>
        <w:t>5,6</w:t>
      </w:r>
      <w:r w:rsidR="007555C9" w:rsidRPr="00B10A7E">
        <w:rPr>
          <w:rFonts w:ascii="Arial" w:eastAsiaTheme="minorEastAsia" w:hAnsi="Arial" w:cs="Arial"/>
        </w:rPr>
        <w:fldChar w:fldCharType="end"/>
      </w:r>
      <w:r w:rsidRPr="00B10A7E">
        <w:rPr>
          <w:rFonts w:ascii="Arial" w:eastAsia="Aptos" w:hAnsi="Arial" w:cs="Arial"/>
        </w:rPr>
        <w:t xml:space="preserve">. </w:t>
      </w:r>
    </w:p>
    <w:p w14:paraId="58380E42" w14:textId="77777777" w:rsidR="00F256D1" w:rsidRPr="00766470" w:rsidRDefault="00F256D1" w:rsidP="00F256D1">
      <w:pPr>
        <w:pStyle w:val="Heading3"/>
        <w:rPr>
          <w:rFonts w:ascii="Arial" w:hAnsi="Arial" w:cs="Arial"/>
          <w:b/>
          <w:bCs/>
        </w:rPr>
      </w:pPr>
      <w:r w:rsidRPr="00B10A7E">
        <w:rPr>
          <w:rFonts w:ascii="Arial" w:hAnsi="Arial" w:cs="Arial"/>
          <w:sz w:val="24"/>
          <w:szCs w:val="24"/>
        </w:rPr>
        <w:br/>
      </w:r>
      <w:bookmarkStart w:id="6" w:name="_Toc211272270"/>
      <w:r>
        <w:rPr>
          <w:rFonts w:ascii="Arial" w:hAnsi="Arial" w:cs="Arial"/>
          <w:b/>
          <w:bCs/>
        </w:rPr>
        <w:t>2</w:t>
      </w:r>
      <w:r w:rsidRPr="00766470">
        <w:rPr>
          <w:rFonts w:ascii="Arial" w:hAnsi="Arial" w:cs="Arial"/>
          <w:b/>
          <w:bCs/>
        </w:rPr>
        <w:t xml:space="preserve">.1.2 </w:t>
      </w:r>
      <w:r w:rsidRPr="00766470">
        <w:rPr>
          <w:rFonts w:ascii="Arial" w:hAnsi="Arial" w:cs="Arial"/>
          <w:b/>
          <w:bCs/>
        </w:rPr>
        <w:tab/>
        <w:t>Identified data sources were evaluated for completeness.</w:t>
      </w:r>
      <w:bookmarkEnd w:id="6"/>
      <w:r w:rsidRPr="00766470">
        <w:rPr>
          <w:rFonts w:ascii="Arial" w:hAnsi="Arial" w:cs="Arial"/>
          <w:b/>
          <w:bCs/>
        </w:rPr>
        <w:t xml:space="preserve"> </w:t>
      </w:r>
    </w:p>
    <w:p w14:paraId="7987F036"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6F173995" w14:textId="27BEA2BA" w:rsidR="00F256D1" w:rsidRPr="00B10A7E" w:rsidRDefault="00F256D1" w:rsidP="00F256D1">
      <w:pPr>
        <w:pStyle w:val="paragraph"/>
        <w:spacing w:before="0" w:beforeAutospacing="0" w:after="0" w:afterAutospacing="0" w:line="276" w:lineRule="auto"/>
        <w:jc w:val="both"/>
        <w:rPr>
          <w:rFonts w:ascii="Arial" w:hAnsi="Arial" w:cs="Arial"/>
        </w:rPr>
      </w:pPr>
      <w:r w:rsidRPr="00B10A7E">
        <w:rPr>
          <w:rFonts w:ascii="Arial" w:hAnsi="Arial" w:cs="Arial"/>
        </w:rPr>
        <w:t>None of the identified sources provided complete site-specific geo-localised data on mineral production volumes and attributes. By far the most complete source of data was the S&amp;P Database. However, even the S&amp;P Database has been shown to miss as many as 50% of mining sites that can be identified by remote sensing</w:t>
      </w:r>
      <w:r w:rsidRPr="00B10A7E">
        <w:rPr>
          <w:rFonts w:ascii="Arial" w:hAnsi="Arial" w:cs="Arial"/>
        </w:rPr>
        <w:fldChar w:fldCharType="begin"/>
      </w:r>
      <w:r w:rsidR="0016542D">
        <w:rPr>
          <w:rFonts w:ascii="Arial" w:hAnsi="Arial" w:cs="Arial"/>
        </w:rPr>
        <w:instrText xml:space="preserve"> ADDIN ZOTERO_ITEM CSL_CITATION {"citationID":"udnWRE1r","properties":{"formattedCitation":"\\super 7\\nosupersub{}","plainCitation":"7","noteIndex":0},"citationItems":[{"id":1876,"uris":["http://zotero.org/users/10918866/items/6QWXKB4S"],"itemData":{"id":1876,"type":"article-journal","abstract":"As the race to extract minerals and metals for clean-energy technologies accelerates, researchers must take more steps to map and study mines globally.","container-title":"Nature","DOI":"10.1038/d41586-023-04090-3","issue":"7993","language":"en","license":"2024 Springer Nature Limited","note":"Bandiera_abtest: a\nCg_type: Comment\nSubject_term: Environmental sciences, Policy, Industry, Sustainability","page":"26-29","publisher":"Nature Publishing Group","source":"www.nature.com","title":"Impacts for half of the world’s mining areas are undocumented","volume":"625","author":[{"family":"Maus","given":"Victor"},{"family":"Werner","given":"Tim T."}],"issued":{"date-parts":[["2024",1]]}}}],"schema":"https://github.com/citation-style-language/schema/raw/master/csl-citation.json"} </w:instrText>
      </w:r>
      <w:r w:rsidRPr="00B10A7E">
        <w:rPr>
          <w:rFonts w:ascii="Arial" w:hAnsi="Arial" w:cs="Arial"/>
        </w:rPr>
        <w:fldChar w:fldCharType="separate"/>
      </w:r>
      <w:r w:rsidRPr="00B10A7E">
        <w:rPr>
          <w:rFonts w:ascii="Arial" w:hAnsi="Arial" w:cs="Arial"/>
          <w:szCs w:val="28"/>
          <w:vertAlign w:val="superscript"/>
        </w:rPr>
        <w:t>7</w:t>
      </w:r>
      <w:r w:rsidRPr="00B10A7E">
        <w:rPr>
          <w:rFonts w:ascii="Arial" w:hAnsi="Arial" w:cs="Arial"/>
        </w:rPr>
        <w:fldChar w:fldCharType="end"/>
      </w:r>
      <w:r w:rsidRPr="00B10A7E">
        <w:rPr>
          <w:rFonts w:ascii="Arial" w:hAnsi="Arial" w:cs="Arial"/>
        </w:rPr>
        <w:t>. Moreover, even for sites captured in the S&amp;P Database, information fields are often missing or incomplete in the African context. For the countries of this study, the aggregated coverage rate for cobalt, copper, and graphite, is of 94%, 70%, and 64% respectively. For lithium, manganese, and nickel, the production values are larger in S&amp;P than in BGS. The coverage rates at the country level are given in</w:t>
      </w:r>
      <w:r w:rsidR="00DC2A39" w:rsidRPr="00DC2A39">
        <w:rPr>
          <w:rFonts w:ascii="Arial" w:hAnsi="Arial" w:cs="Arial"/>
        </w:rPr>
        <w:t xml:space="preserve"> </w:t>
      </w:r>
      <w:r w:rsidR="00DC2A39" w:rsidRPr="00DC2A39">
        <w:rPr>
          <w:rFonts w:ascii="Arial" w:hAnsi="Arial" w:cs="Arial"/>
        </w:rPr>
        <w:fldChar w:fldCharType="begin"/>
      </w:r>
      <w:r w:rsidR="00DC2A39" w:rsidRPr="00DC2A39">
        <w:rPr>
          <w:rFonts w:ascii="Arial" w:hAnsi="Arial" w:cs="Arial"/>
        </w:rPr>
        <w:instrText xml:space="preserve"> REF _Ref214444416 \h </w:instrText>
      </w:r>
      <w:r w:rsidR="00DC2A39">
        <w:rPr>
          <w:rFonts w:ascii="Arial" w:hAnsi="Arial" w:cs="Arial"/>
        </w:rPr>
        <w:instrText xml:space="preserve"> \* MERGEFORMAT </w:instrText>
      </w:r>
      <w:r w:rsidR="00DC2A39" w:rsidRPr="00DC2A39">
        <w:rPr>
          <w:rFonts w:ascii="Arial" w:hAnsi="Arial" w:cs="Arial"/>
        </w:rPr>
      </w:r>
      <w:r w:rsidR="00DC2A39" w:rsidRPr="00DC2A39">
        <w:rPr>
          <w:rFonts w:ascii="Arial" w:hAnsi="Arial" w:cs="Arial"/>
        </w:rPr>
        <w:fldChar w:fldCharType="separate"/>
      </w:r>
      <w:r w:rsidR="00DC2A39" w:rsidRPr="00DC2A39">
        <w:rPr>
          <w:rFonts w:ascii="Arial" w:hAnsi="Arial" w:cs="Arial"/>
        </w:rPr>
        <w:t>Table 2</w:t>
      </w:r>
      <w:r w:rsidR="00DC2A39" w:rsidRPr="00DC2A39">
        <w:rPr>
          <w:rFonts w:ascii="Arial" w:hAnsi="Arial" w:cs="Arial"/>
        </w:rPr>
        <w:fldChar w:fldCharType="end"/>
      </w:r>
      <w:r w:rsidRPr="00B10A7E">
        <w:rPr>
          <w:rFonts w:ascii="Arial" w:hAnsi="Arial" w:cs="Arial"/>
        </w:rPr>
        <w:t xml:space="preserve">. </w:t>
      </w:r>
    </w:p>
    <w:p w14:paraId="6908ED9B" w14:textId="77777777" w:rsidR="00F256D1" w:rsidRDefault="00F256D1" w:rsidP="00F256D1">
      <w:pPr>
        <w:pStyle w:val="paragraph"/>
        <w:spacing w:before="0" w:beforeAutospacing="0" w:after="0" w:afterAutospacing="0" w:line="276" w:lineRule="auto"/>
        <w:rPr>
          <w:rFonts w:ascii="Arial" w:hAnsi="Arial" w:cs="Arial"/>
          <w:sz w:val="22"/>
          <w:szCs w:val="22"/>
        </w:rPr>
      </w:pPr>
    </w:p>
    <w:p w14:paraId="377975F0" w14:textId="77777777" w:rsidR="00F256D1" w:rsidRPr="00B10A7E" w:rsidRDefault="00F256D1" w:rsidP="00F256D1">
      <w:pPr>
        <w:pStyle w:val="Heading3"/>
        <w:rPr>
          <w:rFonts w:ascii="Arial" w:hAnsi="Arial" w:cs="Arial"/>
          <w:b/>
          <w:bCs/>
          <w:sz w:val="24"/>
          <w:szCs w:val="24"/>
        </w:rPr>
      </w:pPr>
      <w:bookmarkStart w:id="7" w:name="_Ref190098707"/>
      <w:bookmarkStart w:id="8" w:name="_Toc211272271"/>
      <w:r w:rsidRPr="00B10A7E">
        <w:rPr>
          <w:rFonts w:ascii="Arial" w:hAnsi="Arial" w:cs="Arial"/>
          <w:b/>
          <w:bCs/>
          <w:sz w:val="24"/>
          <w:szCs w:val="24"/>
        </w:rPr>
        <w:t>2.1.3 Identified data sources were evaluated for consistency.</w:t>
      </w:r>
      <w:bookmarkEnd w:id="7"/>
      <w:bookmarkEnd w:id="8"/>
      <w:r w:rsidRPr="00B10A7E">
        <w:rPr>
          <w:rFonts w:ascii="Arial" w:hAnsi="Arial" w:cs="Arial"/>
          <w:b/>
          <w:bCs/>
          <w:sz w:val="24"/>
          <w:szCs w:val="24"/>
        </w:rPr>
        <w:t xml:space="preserve"> </w:t>
      </w:r>
    </w:p>
    <w:p w14:paraId="49AE5121" w14:textId="77777777" w:rsidR="00F256D1" w:rsidRPr="00B10A7E" w:rsidRDefault="00F256D1" w:rsidP="00F256D1">
      <w:pPr>
        <w:pStyle w:val="paragraph"/>
        <w:spacing w:before="0" w:beforeAutospacing="0" w:after="0" w:afterAutospacing="0" w:line="276" w:lineRule="auto"/>
        <w:rPr>
          <w:rFonts w:ascii="Arial" w:hAnsi="Arial" w:cs="Arial"/>
        </w:rPr>
      </w:pPr>
    </w:p>
    <w:p w14:paraId="3F6B29C4" w14:textId="0F7A05B7" w:rsidR="00F256D1" w:rsidRPr="00B10A7E" w:rsidRDefault="00F256D1" w:rsidP="00F256D1">
      <w:pPr>
        <w:pStyle w:val="paragraph"/>
        <w:spacing w:before="0" w:beforeAutospacing="0" w:after="0" w:afterAutospacing="0" w:line="276" w:lineRule="auto"/>
        <w:jc w:val="both"/>
        <w:rPr>
          <w:rFonts w:ascii="Arial" w:hAnsi="Arial" w:cs="Arial"/>
        </w:rPr>
      </w:pPr>
      <w:r w:rsidRPr="00B10A7E">
        <w:rPr>
          <w:rFonts w:ascii="Arial" w:hAnsi="Arial" w:cs="Arial"/>
        </w:rPr>
        <w:t xml:space="preserve">Identified data sources were found to be mutually inconsistent. In particular, national aggregate production volumes for specific mineral-country combinations were found to diverge substantially between S&amp;P and BGS, as shown in </w:t>
      </w:r>
      <w:r w:rsidR="007C1413">
        <w:rPr>
          <w:rFonts w:ascii="Arial" w:hAnsi="Arial" w:cs="Arial"/>
        </w:rPr>
        <w:fldChar w:fldCharType="begin"/>
      </w:r>
      <w:r w:rsidR="007C1413">
        <w:rPr>
          <w:rFonts w:ascii="Arial" w:hAnsi="Arial" w:cs="Arial"/>
        </w:rPr>
        <w:instrText xml:space="preserve"> REF _Ref214444416 \h </w:instrText>
      </w:r>
      <w:r w:rsidR="00DC2A39">
        <w:rPr>
          <w:rFonts w:ascii="Arial" w:hAnsi="Arial" w:cs="Arial"/>
        </w:rPr>
        <w:instrText xml:space="preserve"> \* MERGEFORMAT </w:instrText>
      </w:r>
      <w:r w:rsidR="007C1413">
        <w:rPr>
          <w:rFonts w:ascii="Arial" w:hAnsi="Arial" w:cs="Arial"/>
        </w:rPr>
      </w:r>
      <w:r w:rsidR="007C1413">
        <w:rPr>
          <w:rFonts w:ascii="Arial" w:hAnsi="Arial" w:cs="Arial"/>
        </w:rPr>
        <w:fldChar w:fldCharType="separate"/>
      </w:r>
      <w:r w:rsidR="007C1413" w:rsidRPr="00DC2A39">
        <w:rPr>
          <w:rFonts w:ascii="Arial" w:hAnsi="Arial" w:cs="Arial"/>
        </w:rPr>
        <w:t>Table 2</w:t>
      </w:r>
      <w:r w:rsidR="007C1413">
        <w:rPr>
          <w:rFonts w:ascii="Arial" w:hAnsi="Arial" w:cs="Arial"/>
        </w:rPr>
        <w:fldChar w:fldCharType="end"/>
      </w:r>
    </w:p>
    <w:p w14:paraId="0D2E28AF" w14:textId="77777777" w:rsidR="00F256D1" w:rsidRPr="00766470" w:rsidRDefault="00F256D1" w:rsidP="00F256D1">
      <w:pPr>
        <w:pStyle w:val="paragraph"/>
        <w:spacing w:before="0" w:beforeAutospacing="0" w:after="0" w:afterAutospacing="0" w:line="276" w:lineRule="auto"/>
        <w:rPr>
          <w:rFonts w:ascii="Arial" w:hAnsi="Arial" w:cs="Arial"/>
          <w:b/>
          <w:bCs/>
          <w:i/>
          <w:iCs/>
          <w:sz w:val="22"/>
          <w:szCs w:val="22"/>
        </w:rPr>
      </w:pPr>
    </w:p>
    <w:p w14:paraId="3EDB8B4E" w14:textId="286B14C9" w:rsidR="00F256D1" w:rsidRPr="007C1413" w:rsidRDefault="007C1413" w:rsidP="007C1413">
      <w:pPr>
        <w:pStyle w:val="Caption"/>
      </w:pPr>
      <w:bookmarkStart w:id="9" w:name="_Ref214444416"/>
      <w:bookmarkStart w:id="10" w:name="_Toc211509397"/>
      <w:r>
        <w:t xml:space="preserve">Table </w:t>
      </w:r>
      <w:fldSimple w:instr=" SEQ Table \* ARABIC ">
        <w:r w:rsidR="00615C28">
          <w:rPr>
            <w:noProof/>
          </w:rPr>
          <w:t>2</w:t>
        </w:r>
      </w:fldSimple>
      <w:bookmarkEnd w:id="9"/>
      <w:r w:rsidR="00F256D1" w:rsidRPr="007C1413">
        <w:t>: Comparison of aggregate national production between S&amp;P IQ Pro and BGS in 2022</w:t>
      </w:r>
      <w:bookmarkEnd w:id="10"/>
      <w:r w:rsidR="005B13B2">
        <w:t xml:space="preserve">. </w:t>
      </w:r>
      <w:r w:rsidR="005B13B2" w:rsidRPr="005B13B2">
        <w:t>Source: Authors’ elaboration, based on S&amp;P and BGS Databases.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21"/>
        <w:gridCol w:w="1528"/>
        <w:gridCol w:w="1452"/>
        <w:gridCol w:w="1464"/>
        <w:gridCol w:w="1838"/>
      </w:tblGrid>
      <w:tr w:rsidR="00F256D1" w:rsidRPr="007D3F22" w14:paraId="152FF464" w14:textId="77777777" w:rsidTr="00877C15">
        <w:trPr>
          <w:trHeight w:val="300"/>
          <w:jc w:val="center"/>
        </w:trPr>
        <w:tc>
          <w:tcPr>
            <w:tcW w:w="1421" w:type="dxa"/>
            <w:shd w:val="clear" w:color="auto" w:fill="B7D4EF" w:themeFill="text2" w:themeFillTint="33"/>
            <w:tcMar>
              <w:top w:w="15" w:type="dxa"/>
              <w:left w:w="15" w:type="dxa"/>
              <w:right w:w="15" w:type="dxa"/>
            </w:tcMar>
            <w:vAlign w:val="center"/>
          </w:tcPr>
          <w:p w14:paraId="077BFEFD" w14:textId="77777777" w:rsidR="00F256D1" w:rsidRPr="00766470" w:rsidRDefault="00F256D1" w:rsidP="00877C15">
            <w:pPr>
              <w:spacing w:before="40" w:after="40" w:line="240" w:lineRule="auto"/>
              <w:ind w:left="113"/>
              <w:rPr>
                <w:rFonts w:ascii="Arial" w:hAnsi="Arial" w:cs="Arial"/>
              </w:rPr>
            </w:pPr>
          </w:p>
        </w:tc>
        <w:tc>
          <w:tcPr>
            <w:tcW w:w="1528" w:type="dxa"/>
            <w:shd w:val="clear" w:color="auto" w:fill="B7D4EF" w:themeFill="text2" w:themeFillTint="33"/>
            <w:tcMar>
              <w:top w:w="15" w:type="dxa"/>
              <w:left w:w="15" w:type="dxa"/>
              <w:right w:w="15" w:type="dxa"/>
            </w:tcMar>
            <w:vAlign w:val="center"/>
          </w:tcPr>
          <w:p w14:paraId="3AF1E69C"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Country</w:t>
            </w:r>
          </w:p>
        </w:tc>
        <w:tc>
          <w:tcPr>
            <w:tcW w:w="1452" w:type="dxa"/>
            <w:shd w:val="clear" w:color="auto" w:fill="B7D4EF" w:themeFill="text2" w:themeFillTint="33"/>
            <w:tcMar>
              <w:top w:w="15" w:type="dxa"/>
              <w:left w:w="15" w:type="dxa"/>
              <w:right w:w="15" w:type="dxa"/>
            </w:tcMar>
            <w:vAlign w:val="center"/>
          </w:tcPr>
          <w:p w14:paraId="6D28B913"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S&amp;P (tonnes)</w:t>
            </w:r>
          </w:p>
        </w:tc>
        <w:tc>
          <w:tcPr>
            <w:tcW w:w="1464" w:type="dxa"/>
            <w:shd w:val="clear" w:color="auto" w:fill="B7D4EF" w:themeFill="text2" w:themeFillTint="33"/>
            <w:tcMar>
              <w:top w:w="15" w:type="dxa"/>
              <w:left w:w="15" w:type="dxa"/>
              <w:right w:w="15" w:type="dxa"/>
            </w:tcMar>
            <w:vAlign w:val="center"/>
          </w:tcPr>
          <w:p w14:paraId="4E50F5E7"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BGS (tonnes)</w:t>
            </w:r>
          </w:p>
        </w:tc>
        <w:tc>
          <w:tcPr>
            <w:tcW w:w="1838" w:type="dxa"/>
            <w:shd w:val="clear" w:color="auto" w:fill="B7D4EF" w:themeFill="text2" w:themeFillTint="33"/>
            <w:tcMar>
              <w:top w:w="15" w:type="dxa"/>
              <w:left w:w="15" w:type="dxa"/>
              <w:right w:w="15" w:type="dxa"/>
            </w:tcMar>
            <w:vAlign w:val="center"/>
          </w:tcPr>
          <w:p w14:paraId="12F67D41"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Ratio S&amp;P/BGS</w:t>
            </w:r>
          </w:p>
        </w:tc>
      </w:tr>
      <w:tr w:rsidR="00F256D1" w:rsidRPr="007D3F22" w14:paraId="5CB5163B"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6BBF68A2"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Cobalt</w:t>
            </w:r>
          </w:p>
        </w:tc>
        <w:tc>
          <w:tcPr>
            <w:tcW w:w="1528" w:type="dxa"/>
            <w:shd w:val="clear" w:color="auto" w:fill="FFFFFF" w:themeFill="background1"/>
            <w:tcMar>
              <w:top w:w="15" w:type="dxa"/>
              <w:left w:w="15" w:type="dxa"/>
              <w:right w:w="15" w:type="dxa"/>
            </w:tcMar>
            <w:vAlign w:val="center"/>
          </w:tcPr>
          <w:p w14:paraId="291DF38F"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DRC</w:t>
            </w:r>
          </w:p>
        </w:tc>
        <w:tc>
          <w:tcPr>
            <w:tcW w:w="1452" w:type="dxa"/>
            <w:shd w:val="clear" w:color="auto" w:fill="FFFFFF" w:themeFill="background1"/>
            <w:tcMar>
              <w:top w:w="15" w:type="dxa"/>
              <w:left w:w="15" w:type="dxa"/>
              <w:right w:w="15" w:type="dxa"/>
            </w:tcMar>
            <w:vAlign w:val="center"/>
          </w:tcPr>
          <w:p w14:paraId="7D156D38" w14:textId="77777777" w:rsidR="00F256D1" w:rsidRPr="007555C9" w:rsidRDefault="00F256D1" w:rsidP="007555C9">
            <w:pPr>
              <w:jc w:val="center"/>
              <w:rPr>
                <w:rFonts w:ascii="Arial" w:hAnsi="Arial" w:cs="Arial"/>
                <w:color w:val="000000"/>
                <w:sz w:val="20"/>
                <w:szCs w:val="20"/>
              </w:rPr>
            </w:pPr>
            <w:r w:rsidRPr="007555C9">
              <w:rPr>
                <w:rFonts w:ascii="Arial" w:hAnsi="Arial" w:cs="Arial"/>
                <w:color w:val="000000"/>
                <w:sz w:val="20"/>
                <w:szCs w:val="20"/>
              </w:rPr>
              <w:t>107,439</w:t>
            </w:r>
          </w:p>
          <w:p w14:paraId="3A0BE6FE"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75A97C9B" w14:textId="6D5ADAD5"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115,371</w:t>
            </w:r>
          </w:p>
        </w:tc>
        <w:tc>
          <w:tcPr>
            <w:tcW w:w="1838" w:type="dxa"/>
            <w:shd w:val="clear" w:color="auto" w:fill="E67C7C"/>
            <w:tcMar>
              <w:top w:w="15" w:type="dxa"/>
              <w:left w:w="15" w:type="dxa"/>
              <w:right w:w="15" w:type="dxa"/>
            </w:tcMar>
            <w:vAlign w:val="center"/>
          </w:tcPr>
          <w:p w14:paraId="021E3A74"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93%</w:t>
            </w:r>
          </w:p>
        </w:tc>
      </w:tr>
      <w:tr w:rsidR="00F256D1" w:rsidRPr="007D3F22" w14:paraId="4EDE6920" w14:textId="77777777" w:rsidTr="00877C15">
        <w:trPr>
          <w:trHeight w:val="300"/>
          <w:jc w:val="center"/>
        </w:trPr>
        <w:tc>
          <w:tcPr>
            <w:tcW w:w="1421" w:type="dxa"/>
            <w:vMerge/>
          </w:tcPr>
          <w:p w14:paraId="2A22C814"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13626E4D"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Madagascar</w:t>
            </w:r>
          </w:p>
        </w:tc>
        <w:tc>
          <w:tcPr>
            <w:tcW w:w="1452" w:type="dxa"/>
            <w:shd w:val="clear" w:color="auto" w:fill="FFFFFF" w:themeFill="background1"/>
            <w:tcMar>
              <w:top w:w="15" w:type="dxa"/>
              <w:left w:w="15" w:type="dxa"/>
              <w:right w:w="15" w:type="dxa"/>
            </w:tcMar>
            <w:vAlign w:val="center"/>
          </w:tcPr>
          <w:p w14:paraId="422E3AF1" w14:textId="35855DD4"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3,159</w:t>
            </w:r>
          </w:p>
        </w:tc>
        <w:tc>
          <w:tcPr>
            <w:tcW w:w="1464" w:type="dxa"/>
            <w:shd w:val="clear" w:color="auto" w:fill="FFFFFF" w:themeFill="background1"/>
            <w:tcMar>
              <w:top w:w="15" w:type="dxa"/>
              <w:left w:w="15" w:type="dxa"/>
              <w:right w:w="15" w:type="dxa"/>
            </w:tcMar>
            <w:vAlign w:val="center"/>
          </w:tcPr>
          <w:p w14:paraId="02980785" w14:textId="39981A92"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3 428</w:t>
            </w:r>
          </w:p>
        </w:tc>
        <w:tc>
          <w:tcPr>
            <w:tcW w:w="1838" w:type="dxa"/>
            <w:shd w:val="clear" w:color="auto" w:fill="E67C7C"/>
            <w:tcMar>
              <w:top w:w="15" w:type="dxa"/>
              <w:left w:w="15" w:type="dxa"/>
              <w:right w:w="15" w:type="dxa"/>
            </w:tcMar>
            <w:vAlign w:val="center"/>
          </w:tcPr>
          <w:p w14:paraId="1D65363C"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92%</w:t>
            </w:r>
          </w:p>
        </w:tc>
      </w:tr>
      <w:tr w:rsidR="00F256D1" w:rsidRPr="007D3F22" w14:paraId="28E8D7CC" w14:textId="77777777" w:rsidTr="00877C15">
        <w:trPr>
          <w:trHeight w:val="300"/>
          <w:jc w:val="center"/>
        </w:trPr>
        <w:tc>
          <w:tcPr>
            <w:tcW w:w="1421" w:type="dxa"/>
            <w:vMerge/>
          </w:tcPr>
          <w:p w14:paraId="4573CC7D"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0678A56A"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South Africa</w:t>
            </w:r>
          </w:p>
        </w:tc>
        <w:tc>
          <w:tcPr>
            <w:tcW w:w="1452" w:type="dxa"/>
            <w:shd w:val="clear" w:color="auto" w:fill="FFFFFF" w:themeFill="background1"/>
            <w:tcMar>
              <w:top w:w="15" w:type="dxa"/>
              <w:left w:w="15" w:type="dxa"/>
              <w:right w:w="15" w:type="dxa"/>
            </w:tcMar>
            <w:vAlign w:val="center"/>
          </w:tcPr>
          <w:p w14:paraId="5D6E8A5B"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74BE9D65" w14:textId="06AAB510"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250</w:t>
            </w:r>
          </w:p>
        </w:tc>
        <w:tc>
          <w:tcPr>
            <w:tcW w:w="1838" w:type="dxa"/>
            <w:shd w:val="clear" w:color="auto" w:fill="E8E8E8" w:themeFill="background2"/>
            <w:tcMar>
              <w:top w:w="15" w:type="dxa"/>
              <w:left w:w="15" w:type="dxa"/>
              <w:right w:w="15" w:type="dxa"/>
            </w:tcMar>
            <w:vAlign w:val="center"/>
          </w:tcPr>
          <w:p w14:paraId="4FA931D0"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56DC4F6D" w14:textId="77777777" w:rsidTr="00877C15">
        <w:trPr>
          <w:trHeight w:val="300"/>
          <w:jc w:val="center"/>
        </w:trPr>
        <w:tc>
          <w:tcPr>
            <w:tcW w:w="1421" w:type="dxa"/>
            <w:vMerge/>
          </w:tcPr>
          <w:p w14:paraId="07AB81C8"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599E92DF"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Zambia</w:t>
            </w:r>
          </w:p>
        </w:tc>
        <w:tc>
          <w:tcPr>
            <w:tcW w:w="1452" w:type="dxa"/>
            <w:shd w:val="clear" w:color="auto" w:fill="FFFFFF" w:themeFill="background1"/>
            <w:tcMar>
              <w:top w:w="15" w:type="dxa"/>
              <w:left w:w="15" w:type="dxa"/>
              <w:right w:w="15" w:type="dxa"/>
            </w:tcMar>
            <w:vAlign w:val="center"/>
          </w:tcPr>
          <w:p w14:paraId="33755E36" w14:textId="79164424"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688</w:t>
            </w:r>
          </w:p>
        </w:tc>
        <w:tc>
          <w:tcPr>
            <w:tcW w:w="1464" w:type="dxa"/>
            <w:shd w:val="clear" w:color="auto" w:fill="FFFFFF" w:themeFill="background1"/>
            <w:tcMar>
              <w:top w:w="15" w:type="dxa"/>
              <w:left w:w="15" w:type="dxa"/>
              <w:right w:w="15" w:type="dxa"/>
            </w:tcMar>
            <w:vAlign w:val="center"/>
          </w:tcPr>
          <w:p w14:paraId="38AC185B" w14:textId="7BDEFB75"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252</w:t>
            </w:r>
          </w:p>
        </w:tc>
        <w:tc>
          <w:tcPr>
            <w:tcW w:w="1838" w:type="dxa"/>
            <w:shd w:val="clear" w:color="auto" w:fill="8DD873" w:themeFill="accent6" w:themeFillTint="99"/>
            <w:tcMar>
              <w:top w:w="15" w:type="dxa"/>
              <w:left w:w="15" w:type="dxa"/>
              <w:right w:w="15" w:type="dxa"/>
            </w:tcMar>
            <w:vAlign w:val="center"/>
          </w:tcPr>
          <w:p w14:paraId="3D2F33A0"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273%</w:t>
            </w:r>
          </w:p>
        </w:tc>
      </w:tr>
      <w:tr w:rsidR="00F256D1" w:rsidRPr="007D3F22" w14:paraId="3D180295" w14:textId="77777777" w:rsidTr="00877C15">
        <w:trPr>
          <w:trHeight w:val="300"/>
          <w:jc w:val="center"/>
        </w:trPr>
        <w:tc>
          <w:tcPr>
            <w:tcW w:w="1421" w:type="dxa"/>
            <w:vMerge/>
          </w:tcPr>
          <w:p w14:paraId="5CDFDB51"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12EDA0A6"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Zimbabwe</w:t>
            </w:r>
          </w:p>
        </w:tc>
        <w:tc>
          <w:tcPr>
            <w:tcW w:w="1452" w:type="dxa"/>
            <w:shd w:val="clear" w:color="auto" w:fill="FFFFFF" w:themeFill="background1"/>
            <w:tcMar>
              <w:top w:w="15" w:type="dxa"/>
              <w:left w:w="15" w:type="dxa"/>
              <w:right w:w="15" w:type="dxa"/>
            </w:tcMar>
            <w:vAlign w:val="center"/>
          </w:tcPr>
          <w:p w14:paraId="4138BB33"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38726487" w14:textId="22531DC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241</w:t>
            </w:r>
          </w:p>
        </w:tc>
        <w:tc>
          <w:tcPr>
            <w:tcW w:w="1838" w:type="dxa"/>
            <w:shd w:val="clear" w:color="auto" w:fill="E8E8E8" w:themeFill="background2"/>
            <w:tcMar>
              <w:top w:w="15" w:type="dxa"/>
              <w:left w:w="15" w:type="dxa"/>
              <w:right w:w="15" w:type="dxa"/>
            </w:tcMar>
            <w:vAlign w:val="center"/>
          </w:tcPr>
          <w:p w14:paraId="17875015"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2727D045"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5D27D682"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Copper</w:t>
            </w:r>
          </w:p>
        </w:tc>
        <w:tc>
          <w:tcPr>
            <w:tcW w:w="1528" w:type="dxa"/>
            <w:shd w:val="clear" w:color="auto" w:fill="FFFFFF" w:themeFill="background1"/>
            <w:tcMar>
              <w:top w:w="15" w:type="dxa"/>
              <w:left w:w="15" w:type="dxa"/>
              <w:right w:w="15" w:type="dxa"/>
            </w:tcMar>
            <w:vAlign w:val="center"/>
          </w:tcPr>
          <w:p w14:paraId="5C5D24E6"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Botswana</w:t>
            </w:r>
          </w:p>
        </w:tc>
        <w:tc>
          <w:tcPr>
            <w:tcW w:w="1452" w:type="dxa"/>
            <w:shd w:val="clear" w:color="auto" w:fill="FFFFFF" w:themeFill="background1"/>
            <w:tcMar>
              <w:top w:w="15" w:type="dxa"/>
              <w:left w:w="15" w:type="dxa"/>
              <w:right w:w="15" w:type="dxa"/>
            </w:tcMar>
            <w:vAlign w:val="center"/>
          </w:tcPr>
          <w:p w14:paraId="7C5D6611" w14:textId="6834CAC4"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59,225</w:t>
            </w:r>
          </w:p>
        </w:tc>
        <w:tc>
          <w:tcPr>
            <w:tcW w:w="1464" w:type="dxa"/>
            <w:shd w:val="clear" w:color="auto" w:fill="FFFFFF" w:themeFill="background1"/>
            <w:tcMar>
              <w:top w:w="15" w:type="dxa"/>
              <w:left w:w="15" w:type="dxa"/>
              <w:right w:w="15" w:type="dxa"/>
            </w:tcMar>
            <w:vAlign w:val="center"/>
          </w:tcPr>
          <w:p w14:paraId="26218434" w14:textId="3FB162F3"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34,201</w:t>
            </w:r>
          </w:p>
        </w:tc>
        <w:tc>
          <w:tcPr>
            <w:tcW w:w="1838" w:type="dxa"/>
            <w:shd w:val="clear" w:color="auto" w:fill="8DD873" w:themeFill="accent6" w:themeFillTint="99"/>
            <w:tcMar>
              <w:top w:w="15" w:type="dxa"/>
              <w:left w:w="15" w:type="dxa"/>
              <w:right w:w="15" w:type="dxa"/>
            </w:tcMar>
            <w:vAlign w:val="center"/>
          </w:tcPr>
          <w:p w14:paraId="6ED97343"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173%</w:t>
            </w:r>
          </w:p>
        </w:tc>
      </w:tr>
      <w:tr w:rsidR="00F256D1" w:rsidRPr="007D3F22" w14:paraId="5C7D476C" w14:textId="77777777" w:rsidTr="007555C9">
        <w:trPr>
          <w:trHeight w:val="300"/>
          <w:jc w:val="center"/>
        </w:trPr>
        <w:tc>
          <w:tcPr>
            <w:tcW w:w="1421" w:type="dxa"/>
            <w:vMerge/>
          </w:tcPr>
          <w:p w14:paraId="3D6DB584"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34D9699D"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DRC</w:t>
            </w:r>
          </w:p>
        </w:tc>
        <w:tc>
          <w:tcPr>
            <w:tcW w:w="1452" w:type="dxa"/>
            <w:shd w:val="clear" w:color="auto" w:fill="FFFFFF" w:themeFill="background1"/>
            <w:tcMar>
              <w:top w:w="15" w:type="dxa"/>
              <w:left w:w="15" w:type="dxa"/>
              <w:right w:w="15" w:type="dxa"/>
            </w:tcMar>
            <w:vAlign w:val="center"/>
          </w:tcPr>
          <w:p w14:paraId="31EFA150" w14:textId="2C05111E" w:rsidR="00F256D1" w:rsidRPr="007555C9" w:rsidRDefault="00F256D1" w:rsidP="007555C9">
            <w:pPr>
              <w:jc w:val="center"/>
              <w:rPr>
                <w:rFonts w:ascii="Arial" w:hAnsi="Arial" w:cs="Arial"/>
                <w:sz w:val="20"/>
                <w:szCs w:val="20"/>
              </w:rPr>
            </w:pPr>
            <w:r w:rsidRPr="007555C9">
              <w:rPr>
                <w:rFonts w:ascii="Arial" w:hAnsi="Arial" w:cs="Arial"/>
                <w:color w:val="000000"/>
                <w:sz w:val="20"/>
                <w:szCs w:val="20"/>
              </w:rPr>
              <w:t>1,533,817</w:t>
            </w:r>
          </w:p>
        </w:tc>
        <w:tc>
          <w:tcPr>
            <w:tcW w:w="1464" w:type="dxa"/>
            <w:shd w:val="clear" w:color="auto" w:fill="FFFFFF" w:themeFill="background1"/>
            <w:tcMar>
              <w:top w:w="15" w:type="dxa"/>
              <w:left w:w="15" w:type="dxa"/>
              <w:right w:w="15" w:type="dxa"/>
            </w:tcMar>
            <w:vAlign w:val="center"/>
          </w:tcPr>
          <w:p w14:paraId="510C4404" w14:textId="60E2DFC0"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2,394,630</w:t>
            </w:r>
          </w:p>
        </w:tc>
        <w:tc>
          <w:tcPr>
            <w:tcW w:w="1838" w:type="dxa"/>
            <w:shd w:val="clear" w:color="auto" w:fill="E67C7C"/>
            <w:tcMar>
              <w:top w:w="15" w:type="dxa"/>
              <w:left w:w="15" w:type="dxa"/>
              <w:right w:w="15" w:type="dxa"/>
            </w:tcMar>
            <w:vAlign w:val="center"/>
          </w:tcPr>
          <w:p w14:paraId="5E9A3201"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64%</w:t>
            </w:r>
          </w:p>
        </w:tc>
      </w:tr>
      <w:tr w:rsidR="00F256D1" w:rsidRPr="007D3F22" w14:paraId="44F72390" w14:textId="77777777" w:rsidTr="00877C15">
        <w:trPr>
          <w:trHeight w:val="300"/>
          <w:jc w:val="center"/>
        </w:trPr>
        <w:tc>
          <w:tcPr>
            <w:tcW w:w="1421" w:type="dxa"/>
            <w:vMerge/>
          </w:tcPr>
          <w:p w14:paraId="4D29EC20"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5C54650F"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Namibia</w:t>
            </w:r>
          </w:p>
        </w:tc>
        <w:tc>
          <w:tcPr>
            <w:tcW w:w="1452" w:type="dxa"/>
            <w:shd w:val="clear" w:color="auto" w:fill="FFFFFF" w:themeFill="background1"/>
            <w:tcMar>
              <w:top w:w="15" w:type="dxa"/>
              <w:left w:w="15" w:type="dxa"/>
              <w:right w:w="15" w:type="dxa"/>
            </w:tcMar>
            <w:vAlign w:val="center"/>
          </w:tcPr>
          <w:p w14:paraId="2CB5DDB2" w14:textId="4232BB58"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3,500</w:t>
            </w:r>
          </w:p>
        </w:tc>
        <w:tc>
          <w:tcPr>
            <w:tcW w:w="1464" w:type="dxa"/>
            <w:shd w:val="clear" w:color="auto" w:fill="FFFFFF" w:themeFill="background1"/>
            <w:tcMar>
              <w:top w:w="15" w:type="dxa"/>
              <w:left w:w="15" w:type="dxa"/>
              <w:right w:w="15" w:type="dxa"/>
            </w:tcMar>
            <w:vAlign w:val="center"/>
          </w:tcPr>
          <w:p w14:paraId="5806C90F" w14:textId="1C29C3C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2,036</w:t>
            </w:r>
          </w:p>
        </w:tc>
        <w:tc>
          <w:tcPr>
            <w:tcW w:w="1838" w:type="dxa"/>
            <w:shd w:val="clear" w:color="auto" w:fill="8DD873" w:themeFill="accent6" w:themeFillTint="99"/>
            <w:tcMar>
              <w:top w:w="15" w:type="dxa"/>
              <w:left w:w="15" w:type="dxa"/>
              <w:right w:w="15" w:type="dxa"/>
            </w:tcMar>
            <w:vAlign w:val="center"/>
          </w:tcPr>
          <w:p w14:paraId="175C24A9"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172%</w:t>
            </w:r>
          </w:p>
        </w:tc>
      </w:tr>
      <w:tr w:rsidR="00F256D1" w:rsidRPr="007D3F22" w14:paraId="1D0BE9F1" w14:textId="77777777" w:rsidTr="00877C15">
        <w:trPr>
          <w:trHeight w:val="300"/>
          <w:jc w:val="center"/>
        </w:trPr>
        <w:tc>
          <w:tcPr>
            <w:tcW w:w="1421" w:type="dxa"/>
            <w:vMerge/>
          </w:tcPr>
          <w:p w14:paraId="581C1FAE"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49F84448"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South Africa</w:t>
            </w:r>
          </w:p>
        </w:tc>
        <w:tc>
          <w:tcPr>
            <w:tcW w:w="1452" w:type="dxa"/>
            <w:shd w:val="clear" w:color="auto" w:fill="FFFFFF" w:themeFill="background1"/>
            <w:tcMar>
              <w:top w:w="15" w:type="dxa"/>
              <w:left w:w="15" w:type="dxa"/>
              <w:right w:w="15" w:type="dxa"/>
            </w:tcMar>
            <w:vAlign w:val="center"/>
          </w:tcPr>
          <w:p w14:paraId="5460517A" w14:textId="43DDCEBE"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38,714</w:t>
            </w:r>
          </w:p>
        </w:tc>
        <w:tc>
          <w:tcPr>
            <w:tcW w:w="1464" w:type="dxa"/>
            <w:shd w:val="clear" w:color="auto" w:fill="FFFFFF" w:themeFill="background1"/>
            <w:tcMar>
              <w:top w:w="15" w:type="dxa"/>
              <w:left w:w="15" w:type="dxa"/>
              <w:right w:w="15" w:type="dxa"/>
            </w:tcMar>
            <w:vAlign w:val="center"/>
          </w:tcPr>
          <w:p w14:paraId="0E228E90" w14:textId="4FFAF04A"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49,194</w:t>
            </w:r>
          </w:p>
        </w:tc>
        <w:tc>
          <w:tcPr>
            <w:tcW w:w="1838" w:type="dxa"/>
            <w:shd w:val="clear" w:color="auto" w:fill="E67C7C"/>
            <w:tcMar>
              <w:top w:w="15" w:type="dxa"/>
              <w:left w:w="15" w:type="dxa"/>
              <w:right w:w="15" w:type="dxa"/>
            </w:tcMar>
            <w:vAlign w:val="center"/>
          </w:tcPr>
          <w:p w14:paraId="5EC3EA99"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79%</w:t>
            </w:r>
          </w:p>
        </w:tc>
      </w:tr>
      <w:tr w:rsidR="00F256D1" w:rsidRPr="007D3F22" w14:paraId="77378707" w14:textId="77777777" w:rsidTr="00877C15">
        <w:trPr>
          <w:trHeight w:val="300"/>
          <w:jc w:val="center"/>
        </w:trPr>
        <w:tc>
          <w:tcPr>
            <w:tcW w:w="1421" w:type="dxa"/>
            <w:vMerge/>
          </w:tcPr>
          <w:p w14:paraId="6D1A8DC7"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2EBDF338"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Tanzania</w:t>
            </w:r>
          </w:p>
        </w:tc>
        <w:tc>
          <w:tcPr>
            <w:tcW w:w="1452" w:type="dxa"/>
            <w:shd w:val="clear" w:color="auto" w:fill="FFFFFF" w:themeFill="background1"/>
            <w:tcMar>
              <w:top w:w="15" w:type="dxa"/>
              <w:left w:w="15" w:type="dxa"/>
              <w:right w:w="15" w:type="dxa"/>
            </w:tcMar>
            <w:vAlign w:val="center"/>
          </w:tcPr>
          <w:p w14:paraId="482882C9"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552E31E2" w14:textId="23320288"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118,000</w:t>
            </w:r>
          </w:p>
        </w:tc>
        <w:tc>
          <w:tcPr>
            <w:tcW w:w="1838" w:type="dxa"/>
            <w:shd w:val="clear" w:color="auto" w:fill="E8E8E8" w:themeFill="background2"/>
            <w:tcMar>
              <w:top w:w="15" w:type="dxa"/>
              <w:left w:w="15" w:type="dxa"/>
              <w:right w:w="15" w:type="dxa"/>
            </w:tcMar>
            <w:vAlign w:val="center"/>
          </w:tcPr>
          <w:p w14:paraId="683C9546"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17678CC9" w14:textId="77777777" w:rsidTr="00877C15">
        <w:trPr>
          <w:trHeight w:val="300"/>
          <w:jc w:val="center"/>
        </w:trPr>
        <w:tc>
          <w:tcPr>
            <w:tcW w:w="1421" w:type="dxa"/>
            <w:vMerge/>
          </w:tcPr>
          <w:p w14:paraId="28440743"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54D76896"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Zambia</w:t>
            </w:r>
          </w:p>
        </w:tc>
        <w:tc>
          <w:tcPr>
            <w:tcW w:w="1452" w:type="dxa"/>
            <w:shd w:val="clear" w:color="auto" w:fill="FFFFFF" w:themeFill="background1"/>
            <w:tcMar>
              <w:top w:w="15" w:type="dxa"/>
              <w:left w:w="15" w:type="dxa"/>
              <w:right w:w="15" w:type="dxa"/>
            </w:tcMar>
            <w:vAlign w:val="center"/>
          </w:tcPr>
          <w:p w14:paraId="66D414C3" w14:textId="2F51244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736,970</w:t>
            </w:r>
          </w:p>
        </w:tc>
        <w:tc>
          <w:tcPr>
            <w:tcW w:w="1464" w:type="dxa"/>
            <w:shd w:val="clear" w:color="auto" w:fill="FFFFFF" w:themeFill="background1"/>
            <w:tcMar>
              <w:top w:w="15" w:type="dxa"/>
              <w:left w:w="15" w:type="dxa"/>
              <w:right w:w="15" w:type="dxa"/>
            </w:tcMar>
            <w:vAlign w:val="center"/>
          </w:tcPr>
          <w:p w14:paraId="712D679C" w14:textId="6DA02679"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763,550</w:t>
            </w:r>
          </w:p>
        </w:tc>
        <w:tc>
          <w:tcPr>
            <w:tcW w:w="1838" w:type="dxa"/>
            <w:shd w:val="clear" w:color="auto" w:fill="8DD873" w:themeFill="accent6" w:themeFillTint="99"/>
            <w:tcMar>
              <w:top w:w="15" w:type="dxa"/>
              <w:left w:w="15" w:type="dxa"/>
              <w:right w:w="15" w:type="dxa"/>
            </w:tcMar>
            <w:vAlign w:val="center"/>
          </w:tcPr>
          <w:p w14:paraId="75ECC5A7"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97%</w:t>
            </w:r>
          </w:p>
        </w:tc>
      </w:tr>
      <w:tr w:rsidR="00F256D1" w:rsidRPr="007D3F22" w14:paraId="6230D98C" w14:textId="77777777" w:rsidTr="00877C15">
        <w:trPr>
          <w:trHeight w:val="300"/>
          <w:jc w:val="center"/>
        </w:trPr>
        <w:tc>
          <w:tcPr>
            <w:tcW w:w="1421" w:type="dxa"/>
            <w:vMerge/>
          </w:tcPr>
          <w:p w14:paraId="7A90AAE5"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1AF91605"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Zimbabwe</w:t>
            </w:r>
          </w:p>
        </w:tc>
        <w:tc>
          <w:tcPr>
            <w:tcW w:w="1452" w:type="dxa"/>
            <w:shd w:val="clear" w:color="auto" w:fill="FFFFFF" w:themeFill="background1"/>
            <w:tcMar>
              <w:top w:w="15" w:type="dxa"/>
              <w:left w:w="15" w:type="dxa"/>
              <w:right w:w="15" w:type="dxa"/>
            </w:tcMar>
            <w:vAlign w:val="center"/>
          </w:tcPr>
          <w:p w14:paraId="60CE76FC" w14:textId="6ED4900F"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2,739</w:t>
            </w:r>
          </w:p>
        </w:tc>
        <w:tc>
          <w:tcPr>
            <w:tcW w:w="1464" w:type="dxa"/>
            <w:shd w:val="clear" w:color="auto" w:fill="FFFFFF" w:themeFill="background1"/>
            <w:tcMar>
              <w:top w:w="15" w:type="dxa"/>
              <w:left w:w="15" w:type="dxa"/>
              <w:right w:w="15" w:type="dxa"/>
            </w:tcMar>
            <w:vAlign w:val="center"/>
          </w:tcPr>
          <w:p w14:paraId="6BB79216" w14:textId="3D2EA729"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10,168</w:t>
            </w:r>
          </w:p>
        </w:tc>
        <w:tc>
          <w:tcPr>
            <w:tcW w:w="1838" w:type="dxa"/>
            <w:shd w:val="clear" w:color="auto" w:fill="E67C7C"/>
            <w:tcMar>
              <w:top w:w="15" w:type="dxa"/>
              <w:left w:w="15" w:type="dxa"/>
              <w:right w:w="15" w:type="dxa"/>
            </w:tcMar>
            <w:vAlign w:val="center"/>
          </w:tcPr>
          <w:p w14:paraId="7C6C4F73"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27%</w:t>
            </w:r>
          </w:p>
        </w:tc>
      </w:tr>
      <w:tr w:rsidR="00F256D1" w:rsidRPr="007D3F22" w14:paraId="786AA54D"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0716C9EC"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Graphite</w:t>
            </w:r>
          </w:p>
        </w:tc>
        <w:tc>
          <w:tcPr>
            <w:tcW w:w="1528" w:type="dxa"/>
            <w:shd w:val="clear" w:color="auto" w:fill="FFFFFF" w:themeFill="background1"/>
            <w:tcMar>
              <w:top w:w="15" w:type="dxa"/>
              <w:left w:w="15" w:type="dxa"/>
              <w:right w:w="15" w:type="dxa"/>
            </w:tcMar>
            <w:vAlign w:val="center"/>
          </w:tcPr>
          <w:p w14:paraId="104D1218"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Madagascar</w:t>
            </w:r>
          </w:p>
        </w:tc>
        <w:tc>
          <w:tcPr>
            <w:tcW w:w="1452" w:type="dxa"/>
            <w:shd w:val="clear" w:color="auto" w:fill="FFFFFF" w:themeFill="background1"/>
            <w:tcMar>
              <w:top w:w="15" w:type="dxa"/>
              <w:left w:w="15" w:type="dxa"/>
              <w:right w:w="15" w:type="dxa"/>
            </w:tcMar>
            <w:vAlign w:val="center"/>
          </w:tcPr>
          <w:p w14:paraId="77BBCE66" w14:textId="16D444B1"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17,227</w:t>
            </w:r>
          </w:p>
        </w:tc>
        <w:tc>
          <w:tcPr>
            <w:tcW w:w="1464" w:type="dxa"/>
            <w:shd w:val="clear" w:color="auto" w:fill="FFFFFF" w:themeFill="background1"/>
            <w:tcMar>
              <w:top w:w="15" w:type="dxa"/>
              <w:left w:w="15" w:type="dxa"/>
              <w:right w:w="15" w:type="dxa"/>
            </w:tcMar>
            <w:vAlign w:val="center"/>
          </w:tcPr>
          <w:p w14:paraId="7AEA1B48" w14:textId="54621D7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116,700</w:t>
            </w:r>
          </w:p>
        </w:tc>
        <w:tc>
          <w:tcPr>
            <w:tcW w:w="1838" w:type="dxa"/>
            <w:shd w:val="clear" w:color="auto" w:fill="E67C7C"/>
            <w:tcMar>
              <w:top w:w="15" w:type="dxa"/>
              <w:left w:w="15" w:type="dxa"/>
              <w:right w:w="15" w:type="dxa"/>
            </w:tcMar>
            <w:vAlign w:val="center"/>
          </w:tcPr>
          <w:p w14:paraId="02259FA8"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15%</w:t>
            </w:r>
          </w:p>
        </w:tc>
      </w:tr>
      <w:tr w:rsidR="00F256D1" w:rsidRPr="007D3F22" w14:paraId="2115C14D" w14:textId="77777777" w:rsidTr="00877C15">
        <w:trPr>
          <w:trHeight w:val="300"/>
          <w:jc w:val="center"/>
        </w:trPr>
        <w:tc>
          <w:tcPr>
            <w:tcW w:w="1421" w:type="dxa"/>
            <w:vMerge/>
          </w:tcPr>
          <w:p w14:paraId="2E5480CC"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7ADDEC65"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Mozambique</w:t>
            </w:r>
          </w:p>
        </w:tc>
        <w:tc>
          <w:tcPr>
            <w:tcW w:w="1452" w:type="dxa"/>
            <w:shd w:val="clear" w:color="auto" w:fill="FFFFFF" w:themeFill="background1"/>
            <w:tcMar>
              <w:top w:w="15" w:type="dxa"/>
              <w:left w:w="15" w:type="dxa"/>
              <w:right w:w="15" w:type="dxa"/>
            </w:tcMar>
            <w:vAlign w:val="center"/>
          </w:tcPr>
          <w:p w14:paraId="2EC2DA2D" w14:textId="2D1C162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163,000</w:t>
            </w:r>
          </w:p>
        </w:tc>
        <w:tc>
          <w:tcPr>
            <w:tcW w:w="1464" w:type="dxa"/>
            <w:shd w:val="clear" w:color="auto" w:fill="FFFFFF" w:themeFill="background1"/>
            <w:tcMar>
              <w:top w:w="15" w:type="dxa"/>
              <w:left w:w="15" w:type="dxa"/>
              <w:right w:w="15" w:type="dxa"/>
            </w:tcMar>
            <w:vAlign w:val="center"/>
          </w:tcPr>
          <w:p w14:paraId="0438B104" w14:textId="6DAE32B4"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165,932</w:t>
            </w:r>
          </w:p>
        </w:tc>
        <w:tc>
          <w:tcPr>
            <w:tcW w:w="1838" w:type="dxa"/>
            <w:shd w:val="clear" w:color="auto" w:fill="E67C7C"/>
            <w:tcMar>
              <w:top w:w="15" w:type="dxa"/>
              <w:left w:w="15" w:type="dxa"/>
              <w:right w:w="15" w:type="dxa"/>
            </w:tcMar>
            <w:vAlign w:val="center"/>
          </w:tcPr>
          <w:p w14:paraId="0DEB9091"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98%</w:t>
            </w:r>
          </w:p>
        </w:tc>
      </w:tr>
      <w:tr w:rsidR="00F256D1" w:rsidRPr="007D3F22" w14:paraId="211CD08B"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5AA56A68"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Lithium</w:t>
            </w:r>
          </w:p>
        </w:tc>
        <w:tc>
          <w:tcPr>
            <w:tcW w:w="1528" w:type="dxa"/>
            <w:shd w:val="clear" w:color="auto" w:fill="FFFFFF" w:themeFill="background1"/>
            <w:tcMar>
              <w:top w:w="15" w:type="dxa"/>
              <w:left w:w="15" w:type="dxa"/>
              <w:right w:w="15" w:type="dxa"/>
            </w:tcMar>
            <w:vAlign w:val="center"/>
          </w:tcPr>
          <w:p w14:paraId="16F003E8"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DRC</w:t>
            </w:r>
          </w:p>
        </w:tc>
        <w:tc>
          <w:tcPr>
            <w:tcW w:w="1452" w:type="dxa"/>
            <w:shd w:val="clear" w:color="auto" w:fill="FFFFFF" w:themeFill="background1"/>
            <w:tcMar>
              <w:top w:w="15" w:type="dxa"/>
              <w:left w:w="15" w:type="dxa"/>
              <w:right w:w="15" w:type="dxa"/>
            </w:tcMar>
            <w:vAlign w:val="center"/>
          </w:tcPr>
          <w:p w14:paraId="10D292E2" w14:textId="5E2F5551"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67,100</w:t>
            </w:r>
          </w:p>
        </w:tc>
        <w:tc>
          <w:tcPr>
            <w:tcW w:w="1464" w:type="dxa"/>
            <w:shd w:val="clear" w:color="auto" w:fill="FFFFFF" w:themeFill="background1"/>
            <w:tcMar>
              <w:top w:w="15" w:type="dxa"/>
              <w:left w:w="15" w:type="dxa"/>
              <w:right w:w="15" w:type="dxa"/>
            </w:tcMar>
            <w:vAlign w:val="center"/>
          </w:tcPr>
          <w:p w14:paraId="79599308" w14:textId="77777777" w:rsidR="00F256D1" w:rsidRPr="007555C9" w:rsidRDefault="00F256D1" w:rsidP="007555C9">
            <w:pPr>
              <w:spacing w:before="40" w:after="40" w:line="240" w:lineRule="auto"/>
              <w:ind w:left="113"/>
              <w:jc w:val="center"/>
              <w:rPr>
                <w:rFonts w:ascii="Arial" w:hAnsi="Arial" w:cs="Arial"/>
                <w:sz w:val="20"/>
                <w:szCs w:val="20"/>
              </w:rPr>
            </w:pPr>
          </w:p>
        </w:tc>
        <w:tc>
          <w:tcPr>
            <w:tcW w:w="1838" w:type="dxa"/>
            <w:shd w:val="clear" w:color="auto" w:fill="E8E8E8" w:themeFill="background2"/>
            <w:tcMar>
              <w:top w:w="15" w:type="dxa"/>
              <w:left w:w="15" w:type="dxa"/>
              <w:right w:w="15" w:type="dxa"/>
            </w:tcMar>
            <w:vAlign w:val="center"/>
          </w:tcPr>
          <w:p w14:paraId="7C6A9D2D"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4C266A75" w14:textId="77777777" w:rsidTr="00877C15">
        <w:trPr>
          <w:trHeight w:val="300"/>
          <w:jc w:val="center"/>
        </w:trPr>
        <w:tc>
          <w:tcPr>
            <w:tcW w:w="1421" w:type="dxa"/>
            <w:vMerge/>
          </w:tcPr>
          <w:p w14:paraId="69792E73"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68F7D654"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Namibia</w:t>
            </w:r>
          </w:p>
        </w:tc>
        <w:tc>
          <w:tcPr>
            <w:tcW w:w="1452" w:type="dxa"/>
            <w:shd w:val="clear" w:color="auto" w:fill="FFFFFF" w:themeFill="background1"/>
            <w:tcMar>
              <w:top w:w="15" w:type="dxa"/>
              <w:left w:w="15" w:type="dxa"/>
              <w:right w:w="15" w:type="dxa"/>
            </w:tcMar>
            <w:vAlign w:val="center"/>
          </w:tcPr>
          <w:p w14:paraId="06E64B95"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4BEE384B" w14:textId="7777777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5,062</w:t>
            </w:r>
          </w:p>
        </w:tc>
        <w:tc>
          <w:tcPr>
            <w:tcW w:w="1838" w:type="dxa"/>
            <w:shd w:val="clear" w:color="auto" w:fill="E8E8E8" w:themeFill="background2"/>
            <w:tcMar>
              <w:top w:w="15" w:type="dxa"/>
              <w:left w:w="15" w:type="dxa"/>
              <w:right w:w="15" w:type="dxa"/>
            </w:tcMar>
            <w:vAlign w:val="center"/>
          </w:tcPr>
          <w:p w14:paraId="0CF272AF"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5E114042" w14:textId="77777777" w:rsidTr="00877C15">
        <w:trPr>
          <w:trHeight w:val="300"/>
          <w:jc w:val="center"/>
        </w:trPr>
        <w:tc>
          <w:tcPr>
            <w:tcW w:w="1421" w:type="dxa"/>
            <w:vMerge/>
          </w:tcPr>
          <w:p w14:paraId="78CEDDE5"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3323A0C4"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Zimbabwe</w:t>
            </w:r>
          </w:p>
        </w:tc>
        <w:tc>
          <w:tcPr>
            <w:tcW w:w="1452" w:type="dxa"/>
            <w:shd w:val="clear" w:color="auto" w:fill="FFFFFF" w:themeFill="background1"/>
            <w:tcMar>
              <w:top w:w="15" w:type="dxa"/>
              <w:left w:w="15" w:type="dxa"/>
              <w:right w:w="15" w:type="dxa"/>
            </w:tcMar>
            <w:vAlign w:val="center"/>
          </w:tcPr>
          <w:p w14:paraId="78DB3B5E" w14:textId="58E8E1DC"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12,464</w:t>
            </w:r>
          </w:p>
        </w:tc>
        <w:tc>
          <w:tcPr>
            <w:tcW w:w="1464" w:type="dxa"/>
            <w:shd w:val="clear" w:color="auto" w:fill="FFFFFF" w:themeFill="background1"/>
            <w:tcMar>
              <w:top w:w="15" w:type="dxa"/>
              <w:left w:w="15" w:type="dxa"/>
              <w:right w:w="15" w:type="dxa"/>
            </w:tcMar>
            <w:vAlign w:val="center"/>
          </w:tcPr>
          <w:p w14:paraId="0D817FE2" w14:textId="7777777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8,740</w:t>
            </w:r>
          </w:p>
        </w:tc>
        <w:tc>
          <w:tcPr>
            <w:tcW w:w="1838" w:type="dxa"/>
            <w:shd w:val="clear" w:color="auto" w:fill="8DD873" w:themeFill="accent6" w:themeFillTint="99"/>
            <w:tcMar>
              <w:top w:w="15" w:type="dxa"/>
              <w:left w:w="15" w:type="dxa"/>
              <w:right w:w="15" w:type="dxa"/>
            </w:tcMar>
            <w:vAlign w:val="center"/>
          </w:tcPr>
          <w:p w14:paraId="3C13C8F5"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143%</w:t>
            </w:r>
          </w:p>
        </w:tc>
      </w:tr>
      <w:tr w:rsidR="00F256D1" w:rsidRPr="007D3F22" w14:paraId="1AEF64A2"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56DB1B56"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Manganese</w:t>
            </w:r>
          </w:p>
        </w:tc>
        <w:tc>
          <w:tcPr>
            <w:tcW w:w="1528" w:type="dxa"/>
            <w:shd w:val="clear" w:color="auto" w:fill="FFFFFF" w:themeFill="background1"/>
            <w:tcMar>
              <w:top w:w="15" w:type="dxa"/>
              <w:left w:w="15" w:type="dxa"/>
              <w:right w:w="15" w:type="dxa"/>
            </w:tcMar>
            <w:vAlign w:val="center"/>
          </w:tcPr>
          <w:p w14:paraId="2EB499A5"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DRC</w:t>
            </w:r>
          </w:p>
        </w:tc>
        <w:tc>
          <w:tcPr>
            <w:tcW w:w="1452" w:type="dxa"/>
            <w:shd w:val="clear" w:color="auto" w:fill="FFFFFF" w:themeFill="background1"/>
            <w:tcMar>
              <w:top w:w="15" w:type="dxa"/>
              <w:left w:w="15" w:type="dxa"/>
              <w:right w:w="15" w:type="dxa"/>
            </w:tcMar>
            <w:vAlign w:val="center"/>
          </w:tcPr>
          <w:p w14:paraId="61771BE4" w14:textId="77777777" w:rsidR="00F256D1" w:rsidRPr="007555C9" w:rsidRDefault="00F256D1" w:rsidP="007555C9">
            <w:pPr>
              <w:spacing w:before="40" w:after="40" w:line="240" w:lineRule="auto"/>
              <w:ind w:left="113"/>
              <w:jc w:val="center"/>
              <w:rPr>
                <w:rFonts w:ascii="Arial" w:hAnsi="Arial" w:cs="Arial"/>
                <w:sz w:val="20"/>
                <w:szCs w:val="20"/>
              </w:rPr>
            </w:pPr>
          </w:p>
        </w:tc>
        <w:tc>
          <w:tcPr>
            <w:tcW w:w="1464" w:type="dxa"/>
            <w:shd w:val="clear" w:color="auto" w:fill="FFFFFF" w:themeFill="background1"/>
            <w:tcMar>
              <w:top w:w="15" w:type="dxa"/>
              <w:left w:w="15" w:type="dxa"/>
              <w:right w:w="15" w:type="dxa"/>
            </w:tcMar>
            <w:vAlign w:val="center"/>
          </w:tcPr>
          <w:p w14:paraId="3175E893" w14:textId="6B269461"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5,000</w:t>
            </w:r>
          </w:p>
        </w:tc>
        <w:tc>
          <w:tcPr>
            <w:tcW w:w="1838" w:type="dxa"/>
            <w:shd w:val="clear" w:color="auto" w:fill="E8E8E8" w:themeFill="background2"/>
            <w:tcMar>
              <w:top w:w="15" w:type="dxa"/>
              <w:left w:w="15" w:type="dxa"/>
              <w:right w:w="15" w:type="dxa"/>
            </w:tcMar>
            <w:vAlign w:val="center"/>
          </w:tcPr>
          <w:p w14:paraId="136814B7" w14:textId="77777777" w:rsidR="00F256D1" w:rsidRPr="007555C9" w:rsidRDefault="00F256D1" w:rsidP="00877C15">
            <w:pPr>
              <w:spacing w:before="40" w:after="40" w:line="240" w:lineRule="auto"/>
              <w:ind w:left="113"/>
              <w:rPr>
                <w:rFonts w:ascii="Arial" w:hAnsi="Arial" w:cs="Arial"/>
                <w:sz w:val="20"/>
                <w:szCs w:val="20"/>
              </w:rPr>
            </w:pPr>
          </w:p>
        </w:tc>
      </w:tr>
      <w:tr w:rsidR="00F256D1" w:rsidRPr="007D3F22" w14:paraId="414DA6DC" w14:textId="77777777" w:rsidTr="00877C15">
        <w:trPr>
          <w:trHeight w:val="300"/>
          <w:jc w:val="center"/>
        </w:trPr>
        <w:tc>
          <w:tcPr>
            <w:tcW w:w="1421" w:type="dxa"/>
            <w:vMerge/>
          </w:tcPr>
          <w:p w14:paraId="6CF45E82"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75DAA240"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Namibia</w:t>
            </w:r>
          </w:p>
        </w:tc>
        <w:tc>
          <w:tcPr>
            <w:tcW w:w="1452" w:type="dxa"/>
            <w:shd w:val="clear" w:color="auto" w:fill="FFFFFF" w:themeFill="background1"/>
            <w:tcMar>
              <w:top w:w="15" w:type="dxa"/>
              <w:left w:w="15" w:type="dxa"/>
              <w:right w:w="15" w:type="dxa"/>
            </w:tcMar>
            <w:vAlign w:val="center"/>
          </w:tcPr>
          <w:p w14:paraId="5F8F695C" w14:textId="66B31F04"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465 000</w:t>
            </w:r>
          </w:p>
        </w:tc>
        <w:tc>
          <w:tcPr>
            <w:tcW w:w="1464" w:type="dxa"/>
            <w:shd w:val="clear" w:color="auto" w:fill="FFFFFF" w:themeFill="background1"/>
            <w:tcMar>
              <w:top w:w="15" w:type="dxa"/>
              <w:left w:w="15" w:type="dxa"/>
              <w:right w:w="15" w:type="dxa"/>
            </w:tcMar>
            <w:vAlign w:val="center"/>
          </w:tcPr>
          <w:p w14:paraId="1BC9CEDB" w14:textId="1059788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23,269</w:t>
            </w:r>
          </w:p>
        </w:tc>
        <w:tc>
          <w:tcPr>
            <w:tcW w:w="1838" w:type="dxa"/>
            <w:shd w:val="clear" w:color="auto" w:fill="8DD873" w:themeFill="accent6" w:themeFillTint="99"/>
            <w:tcMar>
              <w:top w:w="15" w:type="dxa"/>
              <w:left w:w="15" w:type="dxa"/>
              <w:right w:w="15" w:type="dxa"/>
            </w:tcMar>
            <w:vAlign w:val="center"/>
          </w:tcPr>
          <w:p w14:paraId="281178A2"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1 998%</w:t>
            </w:r>
          </w:p>
        </w:tc>
      </w:tr>
      <w:tr w:rsidR="00F256D1" w:rsidRPr="007D3F22" w14:paraId="45243CC5" w14:textId="77777777" w:rsidTr="00877C15">
        <w:trPr>
          <w:trHeight w:val="300"/>
          <w:jc w:val="center"/>
        </w:trPr>
        <w:tc>
          <w:tcPr>
            <w:tcW w:w="1421" w:type="dxa"/>
            <w:vMerge/>
          </w:tcPr>
          <w:p w14:paraId="5B070EC0"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38CDCADF"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South Africa</w:t>
            </w:r>
          </w:p>
        </w:tc>
        <w:tc>
          <w:tcPr>
            <w:tcW w:w="1452" w:type="dxa"/>
            <w:shd w:val="clear" w:color="auto" w:fill="FFFFFF" w:themeFill="background1"/>
            <w:tcMar>
              <w:top w:w="15" w:type="dxa"/>
              <w:left w:w="15" w:type="dxa"/>
              <w:right w:w="15" w:type="dxa"/>
            </w:tcMar>
            <w:vAlign w:val="center"/>
          </w:tcPr>
          <w:p w14:paraId="49EC8ECC" w14:textId="708A61C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20,143,991</w:t>
            </w:r>
          </w:p>
        </w:tc>
        <w:tc>
          <w:tcPr>
            <w:tcW w:w="1464" w:type="dxa"/>
            <w:shd w:val="clear" w:color="auto" w:fill="FFFFFF" w:themeFill="background1"/>
            <w:tcMar>
              <w:top w:w="15" w:type="dxa"/>
              <w:left w:w="15" w:type="dxa"/>
              <w:right w:w="15" w:type="dxa"/>
            </w:tcMar>
            <w:vAlign w:val="center"/>
          </w:tcPr>
          <w:p w14:paraId="132F1462" w14:textId="442B9A88"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18,966,594</w:t>
            </w:r>
          </w:p>
        </w:tc>
        <w:tc>
          <w:tcPr>
            <w:tcW w:w="1838" w:type="dxa"/>
            <w:shd w:val="clear" w:color="auto" w:fill="8DD873" w:themeFill="accent6" w:themeFillTint="99"/>
            <w:tcMar>
              <w:top w:w="15" w:type="dxa"/>
              <w:left w:w="15" w:type="dxa"/>
              <w:right w:w="15" w:type="dxa"/>
            </w:tcMar>
            <w:vAlign w:val="center"/>
          </w:tcPr>
          <w:p w14:paraId="102DB923"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106%</w:t>
            </w:r>
          </w:p>
        </w:tc>
      </w:tr>
      <w:tr w:rsidR="00F256D1" w:rsidRPr="007D3F22" w14:paraId="2BFFD884" w14:textId="77777777" w:rsidTr="00877C15">
        <w:trPr>
          <w:trHeight w:val="300"/>
          <w:jc w:val="center"/>
        </w:trPr>
        <w:tc>
          <w:tcPr>
            <w:tcW w:w="1421" w:type="dxa"/>
            <w:vMerge/>
          </w:tcPr>
          <w:p w14:paraId="1A3C2F3B" w14:textId="77777777" w:rsidR="00F256D1" w:rsidRPr="00766470" w:rsidRDefault="00F256D1" w:rsidP="00877C15">
            <w:pPr>
              <w:spacing w:before="40" w:after="40" w:line="240" w:lineRule="auto"/>
              <w:ind w:left="113"/>
              <w:rPr>
                <w:rFonts w:ascii="Arial" w:hAnsi="Arial" w:cs="Arial"/>
                <w:color w:val="156082" w:themeColor="accent1"/>
              </w:rPr>
            </w:pPr>
          </w:p>
        </w:tc>
        <w:tc>
          <w:tcPr>
            <w:tcW w:w="1528" w:type="dxa"/>
            <w:shd w:val="clear" w:color="auto" w:fill="FFFFFF" w:themeFill="background1"/>
            <w:tcMar>
              <w:top w:w="15" w:type="dxa"/>
              <w:left w:w="15" w:type="dxa"/>
              <w:right w:w="15" w:type="dxa"/>
            </w:tcMar>
            <w:vAlign w:val="center"/>
          </w:tcPr>
          <w:p w14:paraId="11EC9FDC"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Zambia</w:t>
            </w:r>
          </w:p>
        </w:tc>
        <w:tc>
          <w:tcPr>
            <w:tcW w:w="1452" w:type="dxa"/>
            <w:shd w:val="clear" w:color="auto" w:fill="FFFFFF" w:themeFill="background1"/>
            <w:tcMar>
              <w:top w:w="15" w:type="dxa"/>
              <w:left w:w="15" w:type="dxa"/>
              <w:right w:w="15" w:type="dxa"/>
            </w:tcMar>
            <w:vAlign w:val="center"/>
          </w:tcPr>
          <w:p w14:paraId="3DBD81F4" w14:textId="7777777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hAnsi="Arial" w:cs="Arial"/>
                <w:sz w:val="20"/>
                <w:szCs w:val="20"/>
              </w:rPr>
              <w:t>14,098</w:t>
            </w:r>
          </w:p>
        </w:tc>
        <w:tc>
          <w:tcPr>
            <w:tcW w:w="1464" w:type="dxa"/>
            <w:shd w:val="clear" w:color="auto" w:fill="FFFFFF" w:themeFill="background1"/>
            <w:tcMar>
              <w:top w:w="15" w:type="dxa"/>
              <w:left w:w="15" w:type="dxa"/>
              <w:right w:w="15" w:type="dxa"/>
            </w:tcMar>
            <w:vAlign w:val="center"/>
          </w:tcPr>
          <w:p w14:paraId="2A2F4EF9" w14:textId="04316089"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161,611</w:t>
            </w:r>
          </w:p>
        </w:tc>
        <w:tc>
          <w:tcPr>
            <w:tcW w:w="1838" w:type="dxa"/>
            <w:shd w:val="clear" w:color="auto" w:fill="E8E8E8" w:themeFill="background2"/>
            <w:tcMar>
              <w:top w:w="15" w:type="dxa"/>
              <w:left w:w="15" w:type="dxa"/>
              <w:right w:w="15" w:type="dxa"/>
            </w:tcMar>
            <w:vAlign w:val="center"/>
          </w:tcPr>
          <w:p w14:paraId="73F57E6C" w14:textId="77777777"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hAnsi="Arial" w:cs="Arial"/>
                <w:sz w:val="20"/>
                <w:szCs w:val="20"/>
              </w:rPr>
              <w:t>9%</w:t>
            </w:r>
          </w:p>
        </w:tc>
      </w:tr>
      <w:tr w:rsidR="00F256D1" w:rsidRPr="007D3F22" w14:paraId="6589878B" w14:textId="77777777" w:rsidTr="00877C15">
        <w:trPr>
          <w:trHeight w:val="300"/>
          <w:jc w:val="center"/>
        </w:trPr>
        <w:tc>
          <w:tcPr>
            <w:tcW w:w="1421" w:type="dxa"/>
            <w:vMerge w:val="restart"/>
            <w:shd w:val="clear" w:color="auto" w:fill="FFFFFF" w:themeFill="background1"/>
            <w:tcMar>
              <w:top w:w="15" w:type="dxa"/>
              <w:left w:w="15" w:type="dxa"/>
              <w:right w:w="15" w:type="dxa"/>
            </w:tcMar>
            <w:vAlign w:val="center"/>
          </w:tcPr>
          <w:p w14:paraId="11220D5B" w14:textId="77777777" w:rsidR="00F256D1" w:rsidRPr="00766470" w:rsidRDefault="00F256D1" w:rsidP="00877C15">
            <w:pPr>
              <w:spacing w:before="40" w:after="40" w:line="240" w:lineRule="auto"/>
              <w:ind w:left="113"/>
              <w:rPr>
                <w:rFonts w:ascii="Arial" w:hAnsi="Arial" w:cs="Arial"/>
                <w:color w:val="156082" w:themeColor="accent1"/>
              </w:rPr>
            </w:pPr>
            <w:r w:rsidRPr="00766470">
              <w:rPr>
                <w:rFonts w:ascii="Arial" w:eastAsia="Aptos" w:hAnsi="Arial" w:cs="Arial"/>
                <w:b/>
                <w:bCs/>
                <w:color w:val="156082" w:themeColor="accent1"/>
                <w:sz w:val="20"/>
                <w:szCs w:val="20"/>
              </w:rPr>
              <w:t>Nickel</w:t>
            </w:r>
          </w:p>
        </w:tc>
        <w:tc>
          <w:tcPr>
            <w:tcW w:w="1528" w:type="dxa"/>
            <w:shd w:val="clear" w:color="auto" w:fill="FFFFFF" w:themeFill="background1"/>
            <w:tcMar>
              <w:top w:w="15" w:type="dxa"/>
              <w:left w:w="15" w:type="dxa"/>
              <w:right w:w="15" w:type="dxa"/>
            </w:tcMar>
            <w:vAlign w:val="center"/>
          </w:tcPr>
          <w:p w14:paraId="626727E2"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Madagascar</w:t>
            </w:r>
          </w:p>
        </w:tc>
        <w:tc>
          <w:tcPr>
            <w:tcW w:w="1452" w:type="dxa"/>
            <w:shd w:val="clear" w:color="auto" w:fill="FFFFFF" w:themeFill="background1"/>
            <w:tcMar>
              <w:top w:w="15" w:type="dxa"/>
              <w:left w:w="15" w:type="dxa"/>
              <w:right w:w="15" w:type="dxa"/>
            </w:tcMar>
            <w:vAlign w:val="center"/>
          </w:tcPr>
          <w:p w14:paraId="2A720269" w14:textId="4FAC601E"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39,780</w:t>
            </w:r>
          </w:p>
        </w:tc>
        <w:tc>
          <w:tcPr>
            <w:tcW w:w="1464" w:type="dxa"/>
            <w:shd w:val="clear" w:color="auto" w:fill="FFFFFF" w:themeFill="background1"/>
            <w:tcMar>
              <w:top w:w="15" w:type="dxa"/>
              <w:left w:w="15" w:type="dxa"/>
              <w:right w:w="15" w:type="dxa"/>
            </w:tcMar>
            <w:vAlign w:val="center"/>
          </w:tcPr>
          <w:p w14:paraId="72D352E7" w14:textId="40E5D036"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35,737</w:t>
            </w:r>
          </w:p>
        </w:tc>
        <w:tc>
          <w:tcPr>
            <w:tcW w:w="1838" w:type="dxa"/>
            <w:shd w:val="clear" w:color="auto" w:fill="8DD873" w:themeFill="accent6" w:themeFillTint="99"/>
            <w:tcMar>
              <w:top w:w="15" w:type="dxa"/>
              <w:left w:w="15" w:type="dxa"/>
              <w:right w:w="15" w:type="dxa"/>
            </w:tcMar>
            <w:vAlign w:val="center"/>
          </w:tcPr>
          <w:p w14:paraId="3020632D"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111%</w:t>
            </w:r>
          </w:p>
        </w:tc>
      </w:tr>
      <w:tr w:rsidR="00F256D1" w:rsidRPr="007D3F22" w14:paraId="50D147F6" w14:textId="77777777" w:rsidTr="00877C15">
        <w:trPr>
          <w:trHeight w:val="300"/>
          <w:jc w:val="center"/>
        </w:trPr>
        <w:tc>
          <w:tcPr>
            <w:tcW w:w="1421" w:type="dxa"/>
            <w:vMerge/>
          </w:tcPr>
          <w:p w14:paraId="6821C34C" w14:textId="77777777" w:rsidR="00F256D1" w:rsidRPr="00766470" w:rsidRDefault="00F256D1" w:rsidP="00877C15">
            <w:pPr>
              <w:spacing w:before="40" w:after="40" w:line="240" w:lineRule="auto"/>
              <w:ind w:left="113"/>
              <w:rPr>
                <w:rFonts w:ascii="Arial" w:hAnsi="Arial" w:cs="Arial"/>
              </w:rPr>
            </w:pPr>
          </w:p>
        </w:tc>
        <w:tc>
          <w:tcPr>
            <w:tcW w:w="1528" w:type="dxa"/>
            <w:shd w:val="clear" w:color="auto" w:fill="FFFFFF" w:themeFill="background1"/>
            <w:tcMar>
              <w:top w:w="15" w:type="dxa"/>
              <w:left w:w="15" w:type="dxa"/>
              <w:right w:w="15" w:type="dxa"/>
            </w:tcMar>
            <w:vAlign w:val="center"/>
          </w:tcPr>
          <w:p w14:paraId="724E38B6"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South Africa</w:t>
            </w:r>
          </w:p>
        </w:tc>
        <w:tc>
          <w:tcPr>
            <w:tcW w:w="1452" w:type="dxa"/>
            <w:shd w:val="clear" w:color="auto" w:fill="FFFFFF" w:themeFill="background1"/>
            <w:tcMar>
              <w:top w:w="15" w:type="dxa"/>
              <w:left w:w="15" w:type="dxa"/>
              <w:right w:w="15" w:type="dxa"/>
            </w:tcMar>
            <w:vAlign w:val="center"/>
          </w:tcPr>
          <w:p w14:paraId="3DE292DB" w14:textId="741F6371"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25,412</w:t>
            </w:r>
          </w:p>
        </w:tc>
        <w:tc>
          <w:tcPr>
            <w:tcW w:w="1464" w:type="dxa"/>
            <w:shd w:val="clear" w:color="auto" w:fill="FFFFFF" w:themeFill="background1"/>
            <w:tcMar>
              <w:top w:w="15" w:type="dxa"/>
              <w:left w:w="15" w:type="dxa"/>
              <w:right w:w="15" w:type="dxa"/>
            </w:tcMar>
            <w:vAlign w:val="center"/>
          </w:tcPr>
          <w:p w14:paraId="3828B566" w14:textId="59559BA5"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29,033</w:t>
            </w:r>
          </w:p>
        </w:tc>
        <w:tc>
          <w:tcPr>
            <w:tcW w:w="1838" w:type="dxa"/>
            <w:shd w:val="clear" w:color="auto" w:fill="E67C7C"/>
            <w:tcMar>
              <w:top w:w="15" w:type="dxa"/>
              <w:left w:w="15" w:type="dxa"/>
              <w:right w:w="15" w:type="dxa"/>
            </w:tcMar>
            <w:vAlign w:val="center"/>
          </w:tcPr>
          <w:p w14:paraId="0CC3DBBB"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88%</w:t>
            </w:r>
          </w:p>
        </w:tc>
      </w:tr>
      <w:tr w:rsidR="00F256D1" w:rsidRPr="007D3F22" w14:paraId="032BC973" w14:textId="77777777" w:rsidTr="00877C15">
        <w:trPr>
          <w:trHeight w:val="300"/>
          <w:jc w:val="center"/>
        </w:trPr>
        <w:tc>
          <w:tcPr>
            <w:tcW w:w="1421" w:type="dxa"/>
            <w:vMerge/>
          </w:tcPr>
          <w:p w14:paraId="07C27699" w14:textId="77777777" w:rsidR="00F256D1" w:rsidRPr="00766470" w:rsidRDefault="00F256D1" w:rsidP="00877C15">
            <w:pPr>
              <w:spacing w:before="40" w:after="40" w:line="240" w:lineRule="auto"/>
              <w:ind w:left="113"/>
              <w:rPr>
                <w:rFonts w:ascii="Arial" w:hAnsi="Arial" w:cs="Arial"/>
              </w:rPr>
            </w:pPr>
          </w:p>
        </w:tc>
        <w:tc>
          <w:tcPr>
            <w:tcW w:w="1528" w:type="dxa"/>
            <w:shd w:val="clear" w:color="auto" w:fill="FFFFFF" w:themeFill="background1"/>
            <w:tcMar>
              <w:top w:w="15" w:type="dxa"/>
              <w:left w:w="15" w:type="dxa"/>
              <w:right w:w="15" w:type="dxa"/>
            </w:tcMar>
            <w:vAlign w:val="center"/>
          </w:tcPr>
          <w:p w14:paraId="4A4C70F9"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Zambia</w:t>
            </w:r>
          </w:p>
        </w:tc>
        <w:tc>
          <w:tcPr>
            <w:tcW w:w="1452" w:type="dxa"/>
            <w:shd w:val="clear" w:color="auto" w:fill="FFFFFF" w:themeFill="background1"/>
            <w:tcMar>
              <w:top w:w="15" w:type="dxa"/>
              <w:left w:w="15" w:type="dxa"/>
              <w:right w:w="15" w:type="dxa"/>
            </w:tcMar>
            <w:vAlign w:val="center"/>
          </w:tcPr>
          <w:p w14:paraId="7196CC6E" w14:textId="1B93C44B"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3,800</w:t>
            </w:r>
          </w:p>
        </w:tc>
        <w:tc>
          <w:tcPr>
            <w:tcW w:w="1464" w:type="dxa"/>
            <w:shd w:val="clear" w:color="auto" w:fill="FFFFFF" w:themeFill="background1"/>
            <w:tcMar>
              <w:top w:w="15" w:type="dxa"/>
              <w:left w:w="15" w:type="dxa"/>
              <w:right w:w="15" w:type="dxa"/>
            </w:tcMar>
            <w:vAlign w:val="center"/>
          </w:tcPr>
          <w:p w14:paraId="412D9F35" w14:textId="09E6D1B5"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4,059</w:t>
            </w:r>
          </w:p>
        </w:tc>
        <w:tc>
          <w:tcPr>
            <w:tcW w:w="1838" w:type="dxa"/>
            <w:shd w:val="clear" w:color="auto" w:fill="E67C7C"/>
            <w:tcMar>
              <w:top w:w="15" w:type="dxa"/>
              <w:left w:w="15" w:type="dxa"/>
              <w:right w:w="15" w:type="dxa"/>
            </w:tcMar>
            <w:vAlign w:val="center"/>
          </w:tcPr>
          <w:p w14:paraId="0E4188DA"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94%</w:t>
            </w:r>
          </w:p>
        </w:tc>
      </w:tr>
      <w:tr w:rsidR="00F256D1" w:rsidRPr="007D3F22" w14:paraId="12652302" w14:textId="77777777" w:rsidTr="00877C15">
        <w:trPr>
          <w:trHeight w:val="300"/>
          <w:jc w:val="center"/>
        </w:trPr>
        <w:tc>
          <w:tcPr>
            <w:tcW w:w="1421" w:type="dxa"/>
            <w:vMerge/>
          </w:tcPr>
          <w:p w14:paraId="41DBE15F" w14:textId="77777777" w:rsidR="00F256D1" w:rsidRPr="00766470" w:rsidRDefault="00F256D1" w:rsidP="00877C15">
            <w:pPr>
              <w:spacing w:before="40" w:after="40" w:line="240" w:lineRule="auto"/>
              <w:ind w:left="113"/>
              <w:rPr>
                <w:rFonts w:ascii="Arial" w:hAnsi="Arial" w:cs="Arial"/>
              </w:rPr>
            </w:pPr>
          </w:p>
        </w:tc>
        <w:tc>
          <w:tcPr>
            <w:tcW w:w="1528" w:type="dxa"/>
            <w:shd w:val="clear" w:color="auto" w:fill="FFFFFF" w:themeFill="background1"/>
            <w:tcMar>
              <w:top w:w="15" w:type="dxa"/>
              <w:left w:w="15" w:type="dxa"/>
              <w:right w:w="15" w:type="dxa"/>
            </w:tcMar>
            <w:vAlign w:val="center"/>
          </w:tcPr>
          <w:p w14:paraId="2B61D3E1" w14:textId="77777777" w:rsidR="00F256D1" w:rsidRPr="007555C9" w:rsidRDefault="00F256D1" w:rsidP="007555C9">
            <w:pPr>
              <w:spacing w:before="40" w:after="40" w:line="240" w:lineRule="auto"/>
              <w:ind w:left="113"/>
              <w:rPr>
                <w:rFonts w:ascii="Arial" w:hAnsi="Arial" w:cs="Arial"/>
                <w:sz w:val="20"/>
                <w:szCs w:val="20"/>
              </w:rPr>
            </w:pPr>
            <w:r w:rsidRPr="007555C9">
              <w:rPr>
                <w:rFonts w:ascii="Arial" w:eastAsia="Aptos" w:hAnsi="Arial" w:cs="Arial"/>
                <w:color w:val="000000" w:themeColor="text1"/>
                <w:sz w:val="20"/>
                <w:szCs w:val="20"/>
              </w:rPr>
              <w:t>Zimbabwe</w:t>
            </w:r>
          </w:p>
        </w:tc>
        <w:tc>
          <w:tcPr>
            <w:tcW w:w="1452" w:type="dxa"/>
            <w:shd w:val="clear" w:color="auto" w:fill="FFFFFF" w:themeFill="background1"/>
            <w:tcMar>
              <w:top w:w="15" w:type="dxa"/>
              <w:left w:w="15" w:type="dxa"/>
              <w:right w:w="15" w:type="dxa"/>
            </w:tcMar>
            <w:vAlign w:val="center"/>
          </w:tcPr>
          <w:p w14:paraId="630A2B77" w14:textId="7B789BC6"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17,343</w:t>
            </w:r>
          </w:p>
        </w:tc>
        <w:tc>
          <w:tcPr>
            <w:tcW w:w="1464" w:type="dxa"/>
            <w:shd w:val="clear" w:color="auto" w:fill="FFFFFF" w:themeFill="background1"/>
            <w:tcMar>
              <w:top w:w="15" w:type="dxa"/>
              <w:left w:w="15" w:type="dxa"/>
              <w:right w:w="15" w:type="dxa"/>
            </w:tcMar>
            <w:vAlign w:val="center"/>
          </w:tcPr>
          <w:p w14:paraId="18324E12" w14:textId="026306B5" w:rsidR="00F256D1" w:rsidRPr="007555C9" w:rsidRDefault="00F256D1" w:rsidP="007555C9">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13,753</w:t>
            </w:r>
          </w:p>
        </w:tc>
        <w:tc>
          <w:tcPr>
            <w:tcW w:w="1838" w:type="dxa"/>
            <w:shd w:val="clear" w:color="auto" w:fill="8DD873" w:themeFill="accent6" w:themeFillTint="99"/>
            <w:tcMar>
              <w:top w:w="15" w:type="dxa"/>
              <w:left w:w="15" w:type="dxa"/>
              <w:right w:w="15" w:type="dxa"/>
            </w:tcMar>
            <w:vAlign w:val="center"/>
          </w:tcPr>
          <w:p w14:paraId="5CE9DA36" w14:textId="77777777" w:rsidR="00F256D1" w:rsidRPr="007555C9" w:rsidRDefault="00F256D1" w:rsidP="00877C15">
            <w:pPr>
              <w:spacing w:before="40" w:after="40" w:line="240" w:lineRule="auto"/>
              <w:ind w:left="113"/>
              <w:jc w:val="center"/>
              <w:rPr>
                <w:rFonts w:ascii="Arial" w:hAnsi="Arial" w:cs="Arial"/>
                <w:sz w:val="20"/>
                <w:szCs w:val="20"/>
              </w:rPr>
            </w:pPr>
            <w:r w:rsidRPr="007555C9">
              <w:rPr>
                <w:rFonts w:ascii="Arial" w:eastAsia="Aptos" w:hAnsi="Arial" w:cs="Arial"/>
                <w:color w:val="000000" w:themeColor="text1"/>
                <w:sz w:val="20"/>
                <w:szCs w:val="20"/>
              </w:rPr>
              <w:t>126%</w:t>
            </w:r>
          </w:p>
        </w:tc>
      </w:tr>
    </w:tbl>
    <w:p w14:paraId="4CFCD1F4" w14:textId="01BEF983" w:rsidR="00F256D1" w:rsidRPr="00766470" w:rsidRDefault="00F256D1" w:rsidP="00F256D1">
      <w:pPr>
        <w:pStyle w:val="paragraph"/>
        <w:spacing w:before="0" w:beforeAutospacing="0" w:after="0" w:afterAutospacing="0" w:line="276" w:lineRule="auto"/>
        <w:jc w:val="center"/>
        <w:rPr>
          <w:rStyle w:val="normaltextrun"/>
          <w:rFonts w:ascii="Arial" w:eastAsiaTheme="minorEastAsia" w:hAnsi="Arial" w:cs="Arial"/>
          <w:i/>
          <w:iCs/>
          <w:color w:val="7F7F7F" w:themeColor="text1" w:themeTint="80"/>
          <w:sz w:val="20"/>
          <w:szCs w:val="20"/>
        </w:rPr>
      </w:pPr>
    </w:p>
    <w:p w14:paraId="1A0F4965"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577F73AB" w14:textId="77777777" w:rsidR="00F256D1" w:rsidRPr="00B10A7E" w:rsidRDefault="00F256D1" w:rsidP="00F256D1">
      <w:pPr>
        <w:pStyle w:val="Heading3"/>
        <w:rPr>
          <w:rFonts w:ascii="Arial" w:hAnsi="Arial" w:cs="Arial"/>
          <w:b/>
          <w:bCs/>
          <w:sz w:val="24"/>
          <w:szCs w:val="24"/>
        </w:rPr>
      </w:pPr>
      <w:bookmarkStart w:id="11" w:name="_Toc211272272"/>
      <w:r w:rsidRPr="00B10A7E">
        <w:rPr>
          <w:rFonts w:ascii="Arial" w:hAnsi="Arial" w:cs="Arial"/>
          <w:b/>
          <w:bCs/>
          <w:sz w:val="24"/>
          <w:szCs w:val="24"/>
        </w:rPr>
        <w:lastRenderedPageBreak/>
        <w:t>2.1.4 An algorithm for combining information from different data sources was developed.</w:t>
      </w:r>
      <w:bookmarkEnd w:id="11"/>
      <w:r w:rsidRPr="00B10A7E">
        <w:rPr>
          <w:rFonts w:ascii="Arial" w:hAnsi="Arial" w:cs="Arial"/>
          <w:b/>
          <w:bCs/>
          <w:sz w:val="24"/>
          <w:szCs w:val="24"/>
        </w:rPr>
        <w:t xml:space="preserve"> </w:t>
      </w:r>
    </w:p>
    <w:p w14:paraId="4F854801" w14:textId="77777777" w:rsidR="00F256D1" w:rsidRPr="00B10A7E" w:rsidRDefault="00F256D1" w:rsidP="00F256D1">
      <w:pPr>
        <w:pStyle w:val="paragraph"/>
        <w:spacing w:before="0" w:beforeAutospacing="0" w:after="0" w:afterAutospacing="0" w:line="276" w:lineRule="auto"/>
        <w:rPr>
          <w:rFonts w:ascii="Arial" w:hAnsi="Arial" w:cs="Arial"/>
        </w:rPr>
      </w:pPr>
    </w:p>
    <w:p w14:paraId="472822E2" w14:textId="08BCE5D3" w:rsidR="00F256D1" w:rsidRPr="00B10A7E" w:rsidRDefault="00F256D1" w:rsidP="00F256D1">
      <w:pPr>
        <w:pStyle w:val="paragraph"/>
        <w:spacing w:before="0" w:beforeAutospacing="0" w:after="0" w:afterAutospacing="0" w:line="276" w:lineRule="auto"/>
        <w:jc w:val="both"/>
        <w:rPr>
          <w:rFonts w:ascii="Arial" w:hAnsi="Arial" w:cs="Arial"/>
        </w:rPr>
      </w:pPr>
      <w:r w:rsidRPr="00B10A7E">
        <w:rPr>
          <w:rFonts w:ascii="Arial" w:hAnsi="Arial" w:cs="Arial"/>
        </w:rPr>
        <w:t>Given the incompleteness and mutual inconsistency of the different data sources, it was necessary to develop an algorithm that would allow them to be combined in such a way as to leverage the strengths of each one and provide the most comprehensive and consistent picture possible within these limitations. The algorithm is represented in</w:t>
      </w:r>
      <w:r w:rsidR="007C1413" w:rsidRPr="00DC2A39">
        <w:rPr>
          <w:rFonts w:ascii="Arial" w:hAnsi="Arial" w:cs="Arial"/>
        </w:rPr>
        <w:t xml:space="preserve"> </w:t>
      </w:r>
      <w:r w:rsidR="007C1413" w:rsidRPr="00DC2A39">
        <w:rPr>
          <w:rFonts w:ascii="Arial" w:hAnsi="Arial" w:cs="Arial"/>
        </w:rPr>
        <w:fldChar w:fldCharType="begin"/>
      </w:r>
      <w:r w:rsidR="007C1413" w:rsidRPr="00DC2A39">
        <w:rPr>
          <w:rFonts w:ascii="Arial" w:hAnsi="Arial" w:cs="Arial"/>
        </w:rPr>
        <w:instrText xml:space="preserve"> REF _Ref214444452 \h </w:instrText>
      </w:r>
      <w:r w:rsidR="00DC2A39">
        <w:rPr>
          <w:rFonts w:ascii="Arial" w:hAnsi="Arial" w:cs="Arial"/>
        </w:rPr>
        <w:instrText xml:space="preserve"> \* MERGEFORMAT </w:instrText>
      </w:r>
      <w:r w:rsidR="007C1413" w:rsidRPr="00DC2A39">
        <w:rPr>
          <w:rFonts w:ascii="Arial" w:hAnsi="Arial" w:cs="Arial"/>
        </w:rPr>
      </w:r>
      <w:r w:rsidR="007C1413" w:rsidRPr="00DC2A39">
        <w:rPr>
          <w:rFonts w:ascii="Arial" w:hAnsi="Arial" w:cs="Arial"/>
        </w:rPr>
        <w:fldChar w:fldCharType="separate"/>
      </w:r>
      <w:r w:rsidR="007C1413" w:rsidRPr="00DC2A39">
        <w:rPr>
          <w:rFonts w:ascii="Arial" w:hAnsi="Arial" w:cs="Arial"/>
        </w:rPr>
        <w:t>Figure 1</w:t>
      </w:r>
      <w:r w:rsidR="007C1413" w:rsidRPr="00DC2A39">
        <w:rPr>
          <w:rFonts w:ascii="Arial" w:hAnsi="Arial" w:cs="Arial"/>
        </w:rPr>
        <w:fldChar w:fldCharType="end"/>
      </w:r>
      <w:r w:rsidRPr="00B10A7E">
        <w:rPr>
          <w:rFonts w:ascii="Arial" w:hAnsi="Arial" w:cs="Arial"/>
        </w:rPr>
        <w:t>. Wherever S&amp;P national aggregates exceeded those from BGS (or when BGS data were unavailable), S&amp;P data were utilised. Wherever BGS data exceeded S&amp;P national aggregates (or S&amp;P data were unavailable), S&amp;P data were complemented by remote sensing data to identify missing production sites and allocate the excess production reported by BGS over S&amp;P national aggregates geospatially.</w:t>
      </w:r>
    </w:p>
    <w:p w14:paraId="69CF0DBE" w14:textId="77777777" w:rsidR="00F256D1" w:rsidRPr="00766470" w:rsidRDefault="00F256D1" w:rsidP="00F256D1">
      <w:pPr>
        <w:pStyle w:val="paragraph"/>
        <w:spacing w:before="0" w:beforeAutospacing="0" w:after="0" w:afterAutospacing="0" w:line="276" w:lineRule="auto"/>
        <w:jc w:val="center"/>
        <w:rPr>
          <w:rFonts w:ascii="Arial" w:hAnsi="Arial" w:cs="Arial"/>
          <w:sz w:val="22"/>
          <w:szCs w:val="22"/>
        </w:rPr>
      </w:pPr>
    </w:p>
    <w:p w14:paraId="1AA77289" w14:textId="77777777" w:rsidR="009F3AF4" w:rsidRDefault="00F256D1" w:rsidP="00F256D1">
      <w:pPr>
        <w:pStyle w:val="paragraph"/>
        <w:spacing w:before="0" w:beforeAutospacing="0" w:after="0" w:afterAutospacing="0" w:line="276" w:lineRule="auto"/>
        <w:rPr>
          <w:rFonts w:ascii="Arial" w:hAnsi="Arial" w:cs="Arial"/>
        </w:rPr>
      </w:pPr>
      <w:r w:rsidRPr="00766470">
        <w:rPr>
          <w:rFonts w:ascii="Arial" w:hAnsi="Arial" w:cs="Arial"/>
          <w:noProof/>
        </w:rPr>
        <w:drawing>
          <wp:inline distT="0" distB="0" distL="0" distR="0" wp14:anchorId="55643933" wp14:editId="00F3395D">
            <wp:extent cx="5792932" cy="2946400"/>
            <wp:effectExtent l="0" t="0" r="0" b="0"/>
            <wp:docPr id="1672350025" name="Picture 49398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50025" name="Picture 493980450"/>
                    <pic:cNvPicPr/>
                  </pic:nvPicPr>
                  <pic:blipFill rotWithShape="1">
                    <a:blip r:embed="rId6"/>
                    <a:srcRect l="7087" t="10630" r="1873" b="7050"/>
                    <a:stretch/>
                  </pic:blipFill>
                  <pic:spPr bwMode="auto">
                    <a:xfrm>
                      <a:off x="0" y="0"/>
                      <a:ext cx="5808700" cy="2954420"/>
                    </a:xfrm>
                    <a:prstGeom prst="rect">
                      <a:avLst/>
                    </a:prstGeom>
                    <a:ln>
                      <a:noFill/>
                    </a:ln>
                    <a:extLst>
                      <a:ext uri="{53640926-AAD7-44D8-BBD7-CCE9431645EC}">
                        <a14:shadowObscured xmlns:a14="http://schemas.microsoft.com/office/drawing/2010/main"/>
                      </a:ext>
                    </a:extLst>
                  </pic:spPr>
                </pic:pic>
              </a:graphicData>
            </a:graphic>
          </wp:inline>
        </w:drawing>
      </w:r>
    </w:p>
    <w:p w14:paraId="7CB51393" w14:textId="7294643B" w:rsidR="009F3AF4" w:rsidRPr="007C1413" w:rsidRDefault="009F3AF4" w:rsidP="009F3AF4">
      <w:pPr>
        <w:pStyle w:val="Caption"/>
      </w:pPr>
      <w:bookmarkStart w:id="12" w:name="_Ref214444452"/>
      <w:bookmarkStart w:id="13" w:name="_Toc211272384"/>
      <w:r>
        <w:t xml:space="preserve">Figure </w:t>
      </w:r>
      <w:fldSimple w:instr=" SEQ Figure \* ARABIC ">
        <w:r w:rsidR="00E1763F">
          <w:rPr>
            <w:noProof/>
          </w:rPr>
          <w:t>1</w:t>
        </w:r>
      </w:fldSimple>
      <w:bookmarkEnd w:id="12"/>
      <w:r w:rsidRPr="007C1413">
        <w:t>: Flowchart outlining the algorithm for combining different geo-localisation data sources</w:t>
      </w:r>
      <w:bookmarkEnd w:id="13"/>
    </w:p>
    <w:p w14:paraId="42106638" w14:textId="64EAB17A" w:rsidR="00F256D1" w:rsidRPr="00766470" w:rsidRDefault="00F256D1" w:rsidP="00F256D1">
      <w:pPr>
        <w:pStyle w:val="paragraph"/>
        <w:spacing w:before="0" w:beforeAutospacing="0" w:after="0" w:afterAutospacing="0" w:line="276" w:lineRule="auto"/>
        <w:rPr>
          <w:rFonts w:ascii="Arial" w:hAnsi="Arial" w:cs="Arial"/>
        </w:rPr>
      </w:pPr>
      <w:r>
        <w:rPr>
          <w:rFonts w:ascii="Arial" w:hAnsi="Arial" w:cs="Arial"/>
        </w:rPr>
        <w:tab/>
      </w:r>
    </w:p>
    <w:p w14:paraId="0A2E51F5" w14:textId="77777777" w:rsidR="00F256D1" w:rsidRPr="00766470" w:rsidRDefault="00F256D1" w:rsidP="00F256D1">
      <w:pPr>
        <w:pStyle w:val="paragraph"/>
        <w:spacing w:before="0" w:beforeAutospacing="0" w:after="0" w:afterAutospacing="0" w:line="276" w:lineRule="auto"/>
        <w:rPr>
          <w:rFonts w:ascii="Arial" w:eastAsiaTheme="minorEastAsia" w:hAnsi="Arial" w:cs="Arial"/>
          <w:b/>
          <w:bCs/>
          <w:i/>
          <w:iCs/>
          <w:sz w:val="22"/>
          <w:szCs w:val="22"/>
        </w:rPr>
      </w:pPr>
    </w:p>
    <w:p w14:paraId="2E0ACECA" w14:textId="77777777" w:rsidR="00F256D1" w:rsidRPr="00B10A7E" w:rsidRDefault="00F256D1" w:rsidP="00F256D1">
      <w:pPr>
        <w:pStyle w:val="Heading3"/>
        <w:rPr>
          <w:rFonts w:ascii="Arial" w:hAnsi="Arial" w:cs="Arial"/>
          <w:b/>
          <w:bCs/>
          <w:sz w:val="24"/>
          <w:szCs w:val="24"/>
        </w:rPr>
      </w:pPr>
      <w:bookmarkStart w:id="14" w:name="_Toc211272273"/>
      <w:r w:rsidRPr="00B10A7E">
        <w:rPr>
          <w:rFonts w:ascii="Arial" w:hAnsi="Arial" w:cs="Arial"/>
          <w:b/>
          <w:bCs/>
          <w:sz w:val="24"/>
          <w:szCs w:val="24"/>
        </w:rPr>
        <w:t>2.1.5 An approach for estimating geo-localised production from remote sensing was developed.</w:t>
      </w:r>
      <w:bookmarkEnd w:id="14"/>
      <w:r w:rsidRPr="00B10A7E">
        <w:rPr>
          <w:rFonts w:ascii="Arial" w:hAnsi="Arial" w:cs="Arial"/>
          <w:b/>
          <w:bCs/>
          <w:sz w:val="24"/>
          <w:szCs w:val="24"/>
        </w:rPr>
        <w:t xml:space="preserve"> </w:t>
      </w:r>
    </w:p>
    <w:p w14:paraId="6FABEA5B" w14:textId="77777777" w:rsidR="00F256D1" w:rsidRPr="00B10A7E" w:rsidRDefault="00F256D1" w:rsidP="00F256D1">
      <w:pPr>
        <w:pStyle w:val="paragraph"/>
        <w:spacing w:before="0" w:beforeAutospacing="0" w:after="0" w:afterAutospacing="0" w:line="276" w:lineRule="auto"/>
        <w:rPr>
          <w:rFonts w:ascii="Arial" w:eastAsiaTheme="minorEastAsia" w:hAnsi="Arial" w:cs="Arial"/>
        </w:rPr>
      </w:pPr>
    </w:p>
    <w:p w14:paraId="314A9022" w14:textId="4874191B"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r w:rsidRPr="00B10A7E">
        <w:rPr>
          <w:rFonts w:ascii="Arial" w:eastAsiaTheme="minorEastAsia" w:hAnsi="Arial" w:cs="Arial"/>
        </w:rPr>
        <w:t>Remote sensing techniques can be used to provide a first order approximation of the spatial distribution of mineral production that is missing from the S&amp;P Database. Remote sensing data for mines typically capture the surface area associated with mines</w:t>
      </w:r>
      <w:r w:rsidR="007E07E0" w:rsidRPr="00B10A7E">
        <w:rPr>
          <w:rFonts w:ascii="Arial" w:eastAsiaTheme="minorEastAsia" w:hAnsi="Arial" w:cs="Arial"/>
        </w:rPr>
        <w:fldChar w:fldCharType="begin"/>
      </w:r>
      <w:r w:rsidR="0016542D">
        <w:rPr>
          <w:rFonts w:ascii="Arial" w:eastAsiaTheme="minorEastAsia" w:hAnsi="Arial" w:cs="Arial"/>
        </w:rPr>
        <w:instrText xml:space="preserve"> ADDIN ZOTERO_ITEM CSL_CITATION {"citationID":"VloD3NaP","properties":{"formattedCitation":"\\super 5,6\\nosupersub{}","plainCitation":"5,6","noteIndex":0},"citationItems":[{"id":2104,"uris":["http://zotero.org/users/10918866/items/M8MGQ8X5"],"itemData":{"id":2104,"type":"article-journal","abstract":"The area used for mineral extraction is a key indicator for understanding and mitigating the environmental impacts caused by the extractive sector. To date, worldwide data products on mineral extraction do not report the area used by mining activities. In this paper, we contribute to filling this gap by presenting a new data set of mining extents derived by visual interpretation of satellite images. We delineated mining areas within a 10 km buffer from the approximate geographical coordinates of more than six thousand active mining sites across the globe. The result is a global-scale data set consisting of 21,060 polygons that add up to 57,277 km2. The polygons cover all mining above-ground features that could be identified from the satellite images, including open cuts, tailings dams, waste rock dumps, water ponds, and processing infrastructure. The data set is available for download from https://doi.org/10.1594/PANGAEA.910894and visualization at www.fineprint.global/viewer.","container-title":"Scientific Data","DOI":"10.1038/s41597-020-00624-w","ISSN":"2052-4463","issue":"1","journalAbbreviation":"Sci Data","language":"en","license":"2020 The Author(s)","page":"289","publisher":"Nature Publishing Group","source":"www.nature.com","title":"A global-scale data set of mining areas","volume":"7","author":[{"family":"Maus","given":"Victor"},{"family":"Giljum","given":"Stefan"},{"family":"Gutschlhofer","given":"Jakob"},{"family":"Silva","given":"Dieison M.","non-dropping-particle":"da"},{"family":"Probst","given":"Michael"},{"family":"Gass","given":"Sidnei L. B."},{"family":"Luckeneder","given":"Sebastian"},{"family":"Lieber","given":"Mirko"},{"family":"McCallum","given":"Ian"}],"issued":{"date-parts":[["2020",9,8]]}}},{"id":2097,"uris":["http://zotero.org/users/10918866/items/HE8Z4ENQ"],"itemData":{"id":2097,"type":"article-journal","abstract":"Mining is of major economic, environmental and societal consequence, yet knowledge and understanding of its global footprint is still limited. Here, we produce a global mining land use dataset via remote sensing analysis of high-resolution, publicly available satellite imagery. The dataset comprises 74,548 polygons, covering ~66,000 km2 of features like waste rock dumps, pits, water ponds, tailings dams, heap leach pads and processing/milling infrastructure. Our polygons finely contour the edges of mine features and do not include the space between them. This distinguishes our dataset from others that employ broader definitions of mining lands. Hence, despite our database being the largest to date by number of polygons, comparisons show relatively lower global land use. Our database is made freely available to support future studies of global mining impacts. A series of spatial analyses are also presented that highlight global mine distribution patterns and broader environmental risks.","container-title":"Communications Earth &amp; Environment","DOI":"10.1038/s43247-023-00805-6","ISSN":"2662-4435","issue":"1","journalAbbreviation":"Commun Earth Environ","language":"en","license":"2023 The Author(s)","page":"1-12","publisher":"Nature Publishing Group","source":"www.nature.com","title":"Global mining footprint mapped from high-resolution satellite imagery","volume":"4","author":[{"family":"Tang","given":"Liang"},{"family":"Werner","given":"Tim T."}],"issued":{"date-parts":[["2023",4,22]]}}}],"schema":"https://github.com/citation-style-language/schema/raw/master/csl-citation.json"} </w:instrText>
      </w:r>
      <w:r w:rsidR="007E07E0" w:rsidRPr="00B10A7E">
        <w:rPr>
          <w:rFonts w:ascii="Arial" w:eastAsiaTheme="minorEastAsia" w:hAnsi="Arial" w:cs="Arial"/>
        </w:rPr>
        <w:fldChar w:fldCharType="separate"/>
      </w:r>
      <w:r w:rsidR="007E07E0" w:rsidRPr="00B10A7E">
        <w:rPr>
          <w:rFonts w:ascii="Arial" w:hAnsi="Arial" w:cs="Arial"/>
          <w:szCs w:val="28"/>
          <w:vertAlign w:val="superscript"/>
        </w:rPr>
        <w:t>5,6</w:t>
      </w:r>
      <w:r w:rsidR="007E07E0" w:rsidRPr="00B10A7E">
        <w:rPr>
          <w:rFonts w:ascii="Arial" w:eastAsiaTheme="minorEastAsia" w:hAnsi="Arial" w:cs="Arial"/>
        </w:rPr>
        <w:fldChar w:fldCharType="end"/>
      </w:r>
      <w:r w:rsidRPr="00B10A7E">
        <w:rPr>
          <w:rFonts w:ascii="Arial" w:eastAsiaTheme="minorEastAsia" w:hAnsi="Arial" w:cs="Arial"/>
        </w:rPr>
        <w:t>, but cannot distinguish whether a mine is active or inactive (see, for example,</w:t>
      </w:r>
      <w:r w:rsidR="007C1413">
        <w:rPr>
          <w:rFonts w:ascii="Arial" w:eastAsiaTheme="minorEastAsia" w:hAnsi="Arial" w:cs="Arial"/>
          <w:b/>
          <w:bCs/>
        </w:rPr>
        <w:t xml:space="preserve"> </w:t>
      </w:r>
      <w:r w:rsidR="007C1413" w:rsidRPr="00DC2A39">
        <w:rPr>
          <w:rFonts w:ascii="Arial" w:eastAsiaTheme="minorEastAsia" w:hAnsi="Arial" w:cs="Arial"/>
        </w:rPr>
        <w:fldChar w:fldCharType="begin"/>
      </w:r>
      <w:r w:rsidR="007C1413" w:rsidRPr="00DC2A39">
        <w:rPr>
          <w:rFonts w:ascii="Arial" w:eastAsiaTheme="minorEastAsia" w:hAnsi="Arial" w:cs="Arial"/>
        </w:rPr>
        <w:instrText xml:space="preserve"> REF _Ref214444480 \h </w:instrText>
      </w:r>
      <w:r w:rsidR="00DC2A39">
        <w:rPr>
          <w:rFonts w:ascii="Arial" w:eastAsiaTheme="minorEastAsia" w:hAnsi="Arial" w:cs="Arial"/>
        </w:rPr>
        <w:instrText xml:space="preserve"> \* MERGEFORMAT </w:instrText>
      </w:r>
      <w:r w:rsidR="007C1413" w:rsidRPr="00DC2A39">
        <w:rPr>
          <w:rFonts w:ascii="Arial" w:eastAsiaTheme="minorEastAsia" w:hAnsi="Arial" w:cs="Arial"/>
        </w:rPr>
      </w:r>
      <w:r w:rsidR="007C1413" w:rsidRPr="00DC2A39">
        <w:rPr>
          <w:rFonts w:ascii="Arial" w:eastAsiaTheme="minorEastAsia" w:hAnsi="Arial" w:cs="Arial"/>
        </w:rPr>
        <w:fldChar w:fldCharType="separate"/>
      </w:r>
      <w:r w:rsidR="007C1413" w:rsidRPr="00DC2A39">
        <w:rPr>
          <w:rFonts w:ascii="Arial" w:eastAsiaTheme="minorEastAsia" w:hAnsi="Arial" w:cs="Arial"/>
        </w:rPr>
        <w:t>Figure 2</w:t>
      </w:r>
      <w:r w:rsidR="007C1413" w:rsidRPr="00DC2A39">
        <w:rPr>
          <w:rFonts w:ascii="Arial" w:eastAsiaTheme="minorEastAsia" w:hAnsi="Arial" w:cs="Arial"/>
        </w:rPr>
        <w:fldChar w:fldCharType="end"/>
      </w:r>
      <w:r w:rsidRPr="00B10A7E">
        <w:rPr>
          <w:rFonts w:ascii="Arial" w:eastAsiaTheme="minorEastAsia" w:hAnsi="Arial" w:cs="Arial"/>
        </w:rPr>
        <w:t xml:space="preserve">). </w:t>
      </w:r>
    </w:p>
    <w:p w14:paraId="1488318F" w14:textId="77777777" w:rsidR="00F256D1" w:rsidRPr="00B10A7E" w:rsidRDefault="00F256D1" w:rsidP="00F256D1">
      <w:pPr>
        <w:pStyle w:val="paragraph"/>
        <w:spacing w:before="0" w:beforeAutospacing="0" w:after="0" w:afterAutospacing="0" w:line="276" w:lineRule="auto"/>
        <w:rPr>
          <w:rFonts w:ascii="Arial" w:eastAsiaTheme="minorEastAsia" w:hAnsi="Arial" w:cs="Arial"/>
        </w:rPr>
      </w:pPr>
    </w:p>
    <w:p w14:paraId="442DDE9F" w14:textId="77777777" w:rsidR="00F256D1" w:rsidRDefault="00F256D1" w:rsidP="00F256D1">
      <w:pPr>
        <w:pStyle w:val="paragraph"/>
        <w:spacing w:before="0" w:beforeAutospacing="0" w:after="0" w:afterAutospacing="0" w:line="276" w:lineRule="auto"/>
        <w:rPr>
          <w:rFonts w:ascii="Arial" w:hAnsi="Arial" w:cs="Arial"/>
        </w:rPr>
      </w:pPr>
      <w:r w:rsidRPr="00766470">
        <w:rPr>
          <w:rFonts w:ascii="Arial" w:hAnsi="Arial" w:cs="Arial"/>
          <w:noProof/>
        </w:rPr>
        <w:lastRenderedPageBreak/>
        <w:drawing>
          <wp:inline distT="0" distB="0" distL="0" distR="0" wp14:anchorId="0DEC647A" wp14:editId="40D75EEF">
            <wp:extent cx="5724524" cy="2257425"/>
            <wp:effectExtent l="0" t="0" r="0" b="0"/>
            <wp:docPr id="458005804" name="Picture 458005804" descr="An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5804" name="Picture 458005804" descr="An aerial view of a la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4524" cy="2257425"/>
                    </a:xfrm>
                    <a:prstGeom prst="rect">
                      <a:avLst/>
                    </a:prstGeom>
                  </pic:spPr>
                </pic:pic>
              </a:graphicData>
            </a:graphic>
          </wp:inline>
        </w:drawing>
      </w:r>
    </w:p>
    <w:p w14:paraId="7C5FDB43" w14:textId="1EB5A747" w:rsidR="009F3AF4" w:rsidRPr="007C1413" w:rsidRDefault="009F3AF4" w:rsidP="009F3AF4">
      <w:pPr>
        <w:pStyle w:val="Caption"/>
      </w:pPr>
      <w:bookmarkStart w:id="15" w:name="_Ref214444480"/>
      <w:bookmarkStart w:id="16" w:name="_Toc211272385"/>
      <w:r>
        <w:t xml:space="preserve">Figure </w:t>
      </w:r>
      <w:fldSimple w:instr=" SEQ Figure \* ARABIC ">
        <w:r w:rsidR="00E1763F">
          <w:rPr>
            <w:noProof/>
          </w:rPr>
          <w:t>2</w:t>
        </w:r>
      </w:fldSimple>
      <w:bookmarkEnd w:id="15"/>
      <w:r w:rsidRPr="007C1413">
        <w:t>: Remote sensing data for the Mutanda copper and cobalt mine</w:t>
      </w:r>
      <w:bookmarkEnd w:id="16"/>
    </w:p>
    <w:p w14:paraId="7CC6E39B" w14:textId="77777777" w:rsidR="009F3AF4" w:rsidRPr="00766470" w:rsidRDefault="009F3AF4" w:rsidP="00F256D1">
      <w:pPr>
        <w:pStyle w:val="paragraph"/>
        <w:spacing w:before="0" w:beforeAutospacing="0" w:after="0" w:afterAutospacing="0" w:line="276" w:lineRule="auto"/>
        <w:rPr>
          <w:rFonts w:ascii="Arial" w:hAnsi="Arial" w:cs="Arial"/>
        </w:rPr>
      </w:pPr>
    </w:p>
    <w:p w14:paraId="2EC2418B" w14:textId="77777777" w:rsidR="00F256D1" w:rsidRPr="00766470" w:rsidRDefault="00F256D1" w:rsidP="00F256D1">
      <w:pPr>
        <w:pStyle w:val="paragraph"/>
        <w:spacing w:before="0" w:beforeAutospacing="0" w:after="0" w:afterAutospacing="0" w:line="276" w:lineRule="auto"/>
        <w:rPr>
          <w:rFonts w:ascii="Arial" w:eastAsiaTheme="minorEastAsia" w:hAnsi="Arial" w:cs="Arial"/>
          <w:sz w:val="22"/>
          <w:szCs w:val="22"/>
        </w:rPr>
      </w:pPr>
    </w:p>
    <w:p w14:paraId="6D594BC8" w14:textId="77777777"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r w:rsidRPr="00B10A7E">
        <w:rPr>
          <w:rFonts w:ascii="Arial" w:eastAsiaTheme="minorEastAsia" w:hAnsi="Arial" w:cs="Arial"/>
        </w:rPr>
        <w:t>A novel approach was developed by incorporating data on remotely sensed particulate emissions around the locations of these mines. The presence of particulate emissions can be used as an indicator that the remotely sensed mining site is active. Moreover, the product of remotely sensed mine surface area and particulate emissions is used as a proxy for production volume. While there are many factors that may affect the relationship between particulate emissions and production volume (such as geology, efficiency, and mine depth), it is deemed preferable to utilise a proxy for production, rather than assuming that production is taking place. Moreover, the proxy is used as an indicator of relative production for mines with missing data, as it is used to spatially allocate the excess of national production over that reported on aggregate for specific mines. It is also necessary to know which commodities are produced at each mine. While, in principle, this could be done by cross-referencing remote sensing data with geological maps, in this case the application of this approach was limited to mines listed in S&amp;P (but without production data), as S&amp;P provides the list of commodities produced by the mine.</w:t>
      </w:r>
    </w:p>
    <w:p w14:paraId="15BD3324" w14:textId="77777777"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p>
    <w:p w14:paraId="165FACBE" w14:textId="77777777"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r w:rsidRPr="00B10A7E">
        <w:rPr>
          <w:rFonts w:ascii="Arial" w:eastAsiaTheme="minorEastAsia" w:hAnsi="Arial" w:cs="Arial"/>
        </w:rPr>
        <w:t>In sum, the following steps were followed for the incorporation of remote sensing data:</w:t>
      </w:r>
    </w:p>
    <w:p w14:paraId="6F72C57E" w14:textId="77777777" w:rsidR="00F256D1" w:rsidRPr="00B10A7E" w:rsidRDefault="00F256D1" w:rsidP="00F256D1">
      <w:pPr>
        <w:pStyle w:val="ListParagraph"/>
        <w:numPr>
          <w:ilvl w:val="0"/>
          <w:numId w:val="31"/>
        </w:numPr>
        <w:spacing w:after="0" w:line="257" w:lineRule="auto"/>
        <w:jc w:val="both"/>
        <w:rPr>
          <w:rFonts w:ascii="Arial" w:eastAsia="Aptos" w:hAnsi="Arial" w:cs="Arial"/>
        </w:rPr>
      </w:pPr>
      <w:r w:rsidRPr="00B10A7E">
        <w:rPr>
          <w:rFonts w:ascii="Arial" w:eastAsia="Aptos" w:hAnsi="Arial" w:cs="Arial"/>
        </w:rPr>
        <w:t>Remote sensing of all mines and associated particulate emissions was conducted.</w:t>
      </w:r>
    </w:p>
    <w:p w14:paraId="210F7620" w14:textId="77777777" w:rsidR="00F256D1" w:rsidRPr="00B10A7E" w:rsidRDefault="00F256D1" w:rsidP="00F256D1">
      <w:pPr>
        <w:pStyle w:val="ListParagraph"/>
        <w:numPr>
          <w:ilvl w:val="0"/>
          <w:numId w:val="31"/>
        </w:numPr>
        <w:spacing w:after="0" w:line="257" w:lineRule="auto"/>
        <w:jc w:val="both"/>
        <w:rPr>
          <w:rFonts w:ascii="Arial" w:eastAsia="Aptos" w:hAnsi="Arial" w:cs="Arial"/>
        </w:rPr>
      </w:pPr>
      <w:r w:rsidRPr="00B10A7E">
        <w:rPr>
          <w:rFonts w:ascii="Arial" w:eastAsia="Aptos" w:hAnsi="Arial" w:cs="Arial"/>
        </w:rPr>
        <w:t>Coordinates for mines in the S&amp;P Database were matched with remotely sensed mines.</w:t>
      </w:r>
    </w:p>
    <w:p w14:paraId="69336D22" w14:textId="77777777" w:rsidR="00F256D1" w:rsidRPr="00B10A7E" w:rsidRDefault="00F256D1" w:rsidP="00F256D1">
      <w:pPr>
        <w:pStyle w:val="ListParagraph"/>
        <w:numPr>
          <w:ilvl w:val="0"/>
          <w:numId w:val="31"/>
        </w:numPr>
        <w:spacing w:after="0" w:line="257" w:lineRule="auto"/>
        <w:jc w:val="both"/>
        <w:rPr>
          <w:rFonts w:ascii="Arial" w:eastAsia="Aptos" w:hAnsi="Arial" w:cs="Arial"/>
        </w:rPr>
      </w:pPr>
      <w:r w:rsidRPr="00B10A7E">
        <w:rPr>
          <w:rFonts w:ascii="Arial" w:eastAsia="Aptos" w:hAnsi="Arial" w:cs="Arial"/>
        </w:rPr>
        <w:t>The following types of mines were filtered out: those without particulate emissions; those marked as inactive by S&amp;P; and those with existing production data in S&amp;P</w:t>
      </w:r>
    </w:p>
    <w:p w14:paraId="74EEA470" w14:textId="77777777" w:rsidR="00F256D1" w:rsidRPr="00B10A7E" w:rsidRDefault="00F256D1" w:rsidP="00F256D1">
      <w:pPr>
        <w:pStyle w:val="ListParagraph"/>
        <w:numPr>
          <w:ilvl w:val="0"/>
          <w:numId w:val="31"/>
        </w:numPr>
        <w:spacing w:after="0" w:line="257" w:lineRule="auto"/>
        <w:jc w:val="both"/>
        <w:rPr>
          <w:rFonts w:ascii="Arial" w:eastAsia="Aptos" w:hAnsi="Arial" w:cs="Arial"/>
        </w:rPr>
      </w:pPr>
      <w:r w:rsidRPr="00B10A7E">
        <w:rPr>
          <w:rFonts w:ascii="Arial" w:eastAsia="Aptos" w:hAnsi="Arial" w:cs="Arial"/>
        </w:rPr>
        <w:t>For each commodity and country, the excess national production arising when BGS figures exceeded those of S&amp;P, was allocated among the remaining mines proportionally to the indicator of mine surface area multiplied by particle emissions detected in that surface area.</w:t>
      </w:r>
    </w:p>
    <w:p w14:paraId="02275CE5" w14:textId="77777777" w:rsidR="00F256D1" w:rsidRDefault="00F256D1" w:rsidP="00F256D1">
      <w:pPr>
        <w:pStyle w:val="ListParagraph"/>
        <w:spacing w:after="0" w:line="257" w:lineRule="auto"/>
        <w:ind w:hanging="360"/>
        <w:jc w:val="both"/>
        <w:rPr>
          <w:rFonts w:ascii="Arial" w:eastAsia="Aptos" w:hAnsi="Arial" w:cs="Arial"/>
        </w:rPr>
      </w:pPr>
    </w:p>
    <w:p w14:paraId="34EBCC92" w14:textId="77777777" w:rsidR="00DC2A39" w:rsidRPr="00766470" w:rsidRDefault="00DC2A39" w:rsidP="00F256D1">
      <w:pPr>
        <w:pStyle w:val="ListParagraph"/>
        <w:spacing w:after="0" w:line="257" w:lineRule="auto"/>
        <w:ind w:hanging="360"/>
        <w:jc w:val="both"/>
        <w:rPr>
          <w:rFonts w:ascii="Arial" w:eastAsia="Aptos" w:hAnsi="Arial" w:cs="Arial"/>
        </w:rPr>
      </w:pPr>
    </w:p>
    <w:p w14:paraId="3B236893" w14:textId="77777777" w:rsidR="00F256D1" w:rsidRPr="001332EB" w:rsidRDefault="00F256D1" w:rsidP="00F256D1">
      <w:pPr>
        <w:pStyle w:val="Heading2"/>
        <w:rPr>
          <w:rFonts w:ascii="Arial" w:hAnsi="Arial" w:cs="Arial"/>
          <w:b/>
          <w:bCs/>
          <w:color w:val="E97132" w:themeColor="accent2"/>
          <w:sz w:val="24"/>
          <w:szCs w:val="24"/>
        </w:rPr>
      </w:pPr>
      <w:bookmarkStart w:id="17" w:name="_Toc211272274"/>
      <w:r w:rsidRPr="001332EB">
        <w:rPr>
          <w:rFonts w:ascii="Arial" w:hAnsi="Arial" w:cs="Arial"/>
          <w:b/>
          <w:bCs/>
          <w:color w:val="E97132" w:themeColor="accent2"/>
          <w:sz w:val="24"/>
          <w:szCs w:val="24"/>
        </w:rPr>
        <w:lastRenderedPageBreak/>
        <w:t>2.2 Projection of geo-localised mineral production into the future</w:t>
      </w:r>
      <w:bookmarkEnd w:id="17"/>
    </w:p>
    <w:p w14:paraId="586FAFC3" w14:textId="77777777" w:rsidR="00F256D1" w:rsidRPr="00766470" w:rsidRDefault="00F256D1" w:rsidP="00F256D1">
      <w:pPr>
        <w:pStyle w:val="paragraph"/>
        <w:spacing w:before="0" w:beforeAutospacing="0" w:after="0" w:afterAutospacing="0" w:line="276" w:lineRule="auto"/>
        <w:rPr>
          <w:rFonts w:ascii="Arial" w:hAnsi="Arial" w:cs="Arial"/>
          <w:b/>
          <w:bCs/>
          <w:sz w:val="22"/>
          <w:szCs w:val="22"/>
        </w:rPr>
      </w:pPr>
    </w:p>
    <w:p w14:paraId="4FB6ACF2" w14:textId="77777777" w:rsidR="00F256D1" w:rsidRPr="00B10A7E" w:rsidRDefault="00F256D1" w:rsidP="00F256D1">
      <w:pPr>
        <w:pStyle w:val="Heading3"/>
        <w:rPr>
          <w:rFonts w:ascii="Arial" w:hAnsi="Arial" w:cs="Arial"/>
          <w:b/>
          <w:bCs/>
          <w:sz w:val="24"/>
          <w:szCs w:val="24"/>
        </w:rPr>
      </w:pPr>
      <w:bookmarkStart w:id="18" w:name="_Toc211272275"/>
      <w:r w:rsidRPr="00B10A7E">
        <w:rPr>
          <w:rFonts w:ascii="Arial" w:hAnsi="Arial" w:cs="Arial"/>
          <w:b/>
          <w:bCs/>
          <w:sz w:val="24"/>
          <w:szCs w:val="24"/>
        </w:rPr>
        <w:t>2.2.1 Availability of projections for mining production was assessed.</w:t>
      </w:r>
      <w:bookmarkEnd w:id="18"/>
      <w:r w:rsidRPr="00B10A7E">
        <w:rPr>
          <w:rFonts w:ascii="Arial" w:hAnsi="Arial" w:cs="Arial"/>
          <w:b/>
          <w:bCs/>
          <w:sz w:val="24"/>
          <w:szCs w:val="24"/>
        </w:rPr>
        <w:t xml:space="preserve"> </w:t>
      </w:r>
    </w:p>
    <w:p w14:paraId="2E15A957" w14:textId="77777777" w:rsidR="00F256D1" w:rsidRPr="00B10A7E" w:rsidRDefault="00F256D1" w:rsidP="00F256D1">
      <w:pPr>
        <w:pStyle w:val="paragraph"/>
        <w:spacing w:before="0" w:beforeAutospacing="0" w:after="0" w:afterAutospacing="0" w:line="276" w:lineRule="auto"/>
        <w:rPr>
          <w:rFonts w:ascii="Arial" w:hAnsi="Arial" w:cs="Arial"/>
          <w:b/>
          <w:bCs/>
        </w:rPr>
      </w:pPr>
    </w:p>
    <w:p w14:paraId="100E37E3" w14:textId="3D2A5A21" w:rsidR="00F256D1" w:rsidRPr="00B10A7E" w:rsidRDefault="00F256D1" w:rsidP="00F256D1">
      <w:pPr>
        <w:pStyle w:val="paragraph"/>
        <w:spacing w:before="0" w:beforeAutospacing="0" w:after="0" w:afterAutospacing="0" w:line="276" w:lineRule="auto"/>
        <w:jc w:val="both"/>
        <w:rPr>
          <w:rFonts w:ascii="Arial" w:hAnsi="Arial" w:cs="Arial"/>
          <w:highlight w:val="yellow"/>
        </w:rPr>
      </w:pPr>
      <w:r w:rsidRPr="00B10A7E">
        <w:rPr>
          <w:rFonts w:ascii="Arial" w:hAnsi="Arial" w:cs="Arial"/>
        </w:rPr>
        <w:t>While the S&amp;P Database contains data on mineral reserves, project development stages, and planned timelines, these data were missing for a significant percentage of the relevant mines (as shown in</w:t>
      </w:r>
      <w:r w:rsidR="007C1413">
        <w:rPr>
          <w:rFonts w:ascii="Arial" w:hAnsi="Arial" w:cs="Arial"/>
        </w:rPr>
        <w:t xml:space="preserve"> </w:t>
      </w:r>
      <w:r w:rsidR="007C1413">
        <w:rPr>
          <w:rFonts w:ascii="Arial" w:hAnsi="Arial" w:cs="Arial"/>
        </w:rPr>
        <w:fldChar w:fldCharType="begin"/>
      </w:r>
      <w:r w:rsidR="007C1413">
        <w:rPr>
          <w:rFonts w:ascii="Arial" w:hAnsi="Arial" w:cs="Arial"/>
        </w:rPr>
        <w:instrText xml:space="preserve"> REF _Ref214444416 \h </w:instrText>
      </w:r>
      <w:r w:rsidR="007C1413">
        <w:rPr>
          <w:rFonts w:ascii="Arial" w:hAnsi="Arial" w:cs="Arial"/>
        </w:rPr>
      </w:r>
      <w:r w:rsidR="007C1413">
        <w:rPr>
          <w:rFonts w:ascii="Arial" w:hAnsi="Arial" w:cs="Arial"/>
        </w:rPr>
        <w:fldChar w:fldCharType="separate"/>
      </w:r>
      <w:r w:rsidR="007C1413">
        <w:t>Table 2</w:t>
      </w:r>
      <w:r w:rsidR="007C1413">
        <w:rPr>
          <w:rFonts w:ascii="Arial" w:hAnsi="Arial" w:cs="Arial"/>
        </w:rPr>
        <w:fldChar w:fldCharType="end"/>
      </w:r>
      <w:r w:rsidRPr="00B10A7E">
        <w:rPr>
          <w:rFonts w:ascii="Arial" w:hAnsi="Arial" w:cs="Arial"/>
        </w:rPr>
        <w:t xml:space="preserve">). Moreover, different types of information were </w:t>
      </w:r>
      <w:r w:rsidRPr="00B10A7E">
        <w:rPr>
          <w:rFonts w:ascii="Arial" w:eastAsiaTheme="minorEastAsia" w:hAnsi="Arial" w:cs="Arial"/>
        </w:rPr>
        <w:t>missing in different cases. Some projects are expected to open without known production quantities, others lack opening dates, and data on future production of current mines are missing.</w:t>
      </w:r>
      <w:r w:rsidRPr="00B10A7E">
        <w:rPr>
          <w:rFonts w:ascii="Arial" w:hAnsi="Arial" w:cs="Arial"/>
        </w:rPr>
        <w:t xml:space="preserve"> This necessitated the development of statistical techniques to impute missing observations based on patterns observable in the available information. </w:t>
      </w:r>
    </w:p>
    <w:p w14:paraId="0C82CBAC" w14:textId="77777777" w:rsidR="00F256D1" w:rsidRPr="00B10A7E" w:rsidRDefault="00F256D1" w:rsidP="00F256D1">
      <w:pPr>
        <w:pStyle w:val="paragraph"/>
        <w:spacing w:before="0" w:beforeAutospacing="0" w:after="0" w:afterAutospacing="0" w:line="276" w:lineRule="auto"/>
        <w:rPr>
          <w:rFonts w:ascii="Arial" w:hAnsi="Arial" w:cs="Arial"/>
          <w:b/>
          <w:bCs/>
        </w:rPr>
      </w:pPr>
    </w:p>
    <w:p w14:paraId="10CC2E8C" w14:textId="77777777" w:rsidR="00F256D1" w:rsidRPr="00B10A7E" w:rsidRDefault="00F256D1" w:rsidP="00F256D1">
      <w:pPr>
        <w:pStyle w:val="Heading3"/>
        <w:rPr>
          <w:rFonts w:ascii="Arial" w:hAnsi="Arial" w:cs="Arial"/>
          <w:b/>
          <w:bCs/>
          <w:sz w:val="24"/>
          <w:szCs w:val="24"/>
        </w:rPr>
      </w:pPr>
      <w:bookmarkStart w:id="19" w:name="_Toc211272276"/>
      <w:r w:rsidRPr="00B10A7E">
        <w:rPr>
          <w:rFonts w:ascii="Arial" w:hAnsi="Arial" w:cs="Arial"/>
          <w:b/>
          <w:bCs/>
          <w:sz w:val="24"/>
          <w:szCs w:val="24"/>
        </w:rPr>
        <w:t>2.2.2 Production start year was estimated.</w:t>
      </w:r>
      <w:bookmarkEnd w:id="19"/>
      <w:r w:rsidRPr="00B10A7E">
        <w:rPr>
          <w:rFonts w:ascii="Arial" w:hAnsi="Arial" w:cs="Arial"/>
          <w:b/>
          <w:bCs/>
          <w:sz w:val="24"/>
          <w:szCs w:val="24"/>
        </w:rPr>
        <w:t xml:space="preserve"> </w:t>
      </w:r>
    </w:p>
    <w:p w14:paraId="04227905" w14:textId="77777777" w:rsidR="00F256D1" w:rsidRPr="00B10A7E" w:rsidRDefault="00F256D1" w:rsidP="00F256D1">
      <w:pPr>
        <w:pStyle w:val="paragraph"/>
        <w:spacing w:before="0" w:beforeAutospacing="0" w:after="0" w:afterAutospacing="0" w:line="276" w:lineRule="auto"/>
        <w:rPr>
          <w:rFonts w:ascii="Arial" w:hAnsi="Arial" w:cs="Arial"/>
          <w:b/>
          <w:bCs/>
        </w:rPr>
      </w:pPr>
    </w:p>
    <w:p w14:paraId="39896539" w14:textId="10C1EE1F" w:rsidR="00F256D1" w:rsidRPr="00B10A7E" w:rsidRDefault="00F256D1" w:rsidP="00F256D1">
      <w:pPr>
        <w:spacing w:line="257" w:lineRule="auto"/>
        <w:jc w:val="both"/>
        <w:rPr>
          <w:rFonts w:ascii="Arial" w:eastAsiaTheme="minorEastAsia" w:hAnsi="Arial" w:cs="Arial"/>
          <w:color w:val="FF0000"/>
          <w:highlight w:val="yellow"/>
        </w:rPr>
      </w:pPr>
      <w:r w:rsidRPr="00B10A7E">
        <w:rPr>
          <w:rFonts w:ascii="Arial" w:eastAsiaTheme="minorEastAsia" w:hAnsi="Arial" w:cs="Arial"/>
        </w:rPr>
        <w:t>All S&amp;P projects are assigned to one of 18 mine stages to designate their state of development, ranging from grassroots and exploration, all the way through to construction, commissioning, and closure (see</w:t>
      </w:r>
      <w:r w:rsidR="009865AA">
        <w:rPr>
          <w:rFonts w:ascii="Arial" w:eastAsiaTheme="minorEastAsia" w:hAnsi="Arial" w:cs="Arial"/>
        </w:rPr>
        <w:t xml:space="preserve"> </w:t>
      </w:r>
      <w:r w:rsidR="009865AA">
        <w:rPr>
          <w:rFonts w:ascii="Arial" w:eastAsiaTheme="minorEastAsia" w:hAnsi="Arial" w:cs="Arial"/>
        </w:rPr>
        <w:fldChar w:fldCharType="begin"/>
      </w:r>
      <w:r w:rsidR="009865AA">
        <w:rPr>
          <w:rFonts w:ascii="Arial" w:eastAsiaTheme="minorEastAsia" w:hAnsi="Arial" w:cs="Arial"/>
        </w:rPr>
        <w:instrText xml:space="preserve"> REF _Ref214444524 \h </w:instrText>
      </w:r>
      <w:r w:rsidR="009865AA">
        <w:rPr>
          <w:rFonts w:ascii="Arial" w:eastAsiaTheme="minorEastAsia" w:hAnsi="Arial" w:cs="Arial"/>
        </w:rPr>
      </w:r>
      <w:r w:rsidR="009865AA">
        <w:rPr>
          <w:rFonts w:ascii="Arial" w:eastAsiaTheme="minorEastAsia" w:hAnsi="Arial" w:cs="Arial"/>
        </w:rPr>
        <w:fldChar w:fldCharType="separate"/>
      </w:r>
      <w:r w:rsidR="009865AA">
        <w:t xml:space="preserve">Table </w:t>
      </w:r>
      <w:r w:rsidR="009865AA">
        <w:rPr>
          <w:noProof/>
        </w:rPr>
        <w:t>3</w:t>
      </w:r>
      <w:r w:rsidR="009865AA">
        <w:rPr>
          <w:rFonts w:ascii="Arial" w:eastAsiaTheme="minorEastAsia" w:hAnsi="Arial" w:cs="Arial"/>
        </w:rPr>
        <w:fldChar w:fldCharType="end"/>
      </w:r>
      <w:r w:rsidR="009865AA">
        <w:rPr>
          <w:rFonts w:ascii="Arial" w:eastAsiaTheme="minorEastAsia" w:hAnsi="Arial" w:cs="Arial"/>
        </w:rPr>
        <w:t xml:space="preserve">). </w:t>
      </w:r>
      <w:r w:rsidRPr="00B10A7E">
        <w:rPr>
          <w:rFonts w:ascii="Arial" w:eastAsiaTheme="minorEastAsia" w:hAnsi="Arial" w:cs="Arial"/>
        </w:rPr>
        <w:t>However, only some non-producing projects have a projected start year. For those without a start year, we assume the mine can open between the lower and upper bounds listed in</w:t>
      </w:r>
      <w:r w:rsidR="008330B5">
        <w:rPr>
          <w:rFonts w:ascii="Arial" w:eastAsiaTheme="minorEastAsia" w:hAnsi="Arial" w:cs="Arial"/>
        </w:rPr>
        <w:t xml:space="preserve"> </w:t>
      </w:r>
      <w:r w:rsidR="008330B5">
        <w:rPr>
          <w:rFonts w:ascii="Arial" w:eastAsiaTheme="minorEastAsia" w:hAnsi="Arial" w:cs="Arial"/>
        </w:rPr>
        <w:fldChar w:fldCharType="begin"/>
      </w:r>
      <w:r w:rsidR="008330B5">
        <w:rPr>
          <w:rFonts w:ascii="Arial" w:eastAsiaTheme="minorEastAsia" w:hAnsi="Arial" w:cs="Arial"/>
        </w:rPr>
        <w:instrText xml:space="preserve"> REF _Ref214444524 \h </w:instrText>
      </w:r>
      <w:r w:rsidR="008330B5">
        <w:rPr>
          <w:rFonts w:ascii="Arial" w:eastAsiaTheme="minorEastAsia" w:hAnsi="Arial" w:cs="Arial"/>
        </w:rPr>
      </w:r>
      <w:r w:rsidR="008330B5">
        <w:rPr>
          <w:rFonts w:ascii="Arial" w:eastAsiaTheme="minorEastAsia" w:hAnsi="Arial" w:cs="Arial"/>
        </w:rPr>
        <w:fldChar w:fldCharType="separate"/>
      </w:r>
      <w:r w:rsidR="008330B5">
        <w:t xml:space="preserve">Table </w:t>
      </w:r>
      <w:r w:rsidR="008330B5">
        <w:rPr>
          <w:noProof/>
        </w:rPr>
        <w:t>3</w:t>
      </w:r>
      <w:r w:rsidR="008330B5">
        <w:rPr>
          <w:rFonts w:ascii="Arial" w:eastAsiaTheme="minorEastAsia" w:hAnsi="Arial" w:cs="Arial"/>
        </w:rPr>
        <w:fldChar w:fldCharType="end"/>
      </w:r>
      <w:r w:rsidRPr="00B10A7E">
        <w:rPr>
          <w:rFonts w:ascii="Arial" w:eastAsiaTheme="minorEastAsia" w:hAnsi="Arial" w:cs="Arial"/>
        </w:rPr>
        <w:t xml:space="preserve"> depending on the current mine stage – such that the earlier the mine stage, the longer the anticipated delay until the start year. The ranges were defined based on the authors’ expertise. In reality, the uncertainty on determining mine exact opening time is high. We therefore set all mines to begin production at the lower bound (eg 11 years from now for an exploration-stage mine) with 0 production and then ramp up production linearly to 100% at the upper bound. While this approach has limitations, it allows for production to be spread out across all possible projects.</w:t>
      </w:r>
      <w:r w:rsidRPr="00B10A7E">
        <w:rPr>
          <w:rFonts w:ascii="Arial" w:eastAsia="Times New Roman" w:hAnsi="Arial" w:cs="Arial"/>
        </w:rPr>
        <w:t xml:space="preserve">   </w:t>
      </w:r>
    </w:p>
    <w:p w14:paraId="66FCFC38" w14:textId="77777777" w:rsidR="00F256D1" w:rsidRPr="00766470" w:rsidRDefault="00F256D1" w:rsidP="00F256D1">
      <w:pPr>
        <w:pStyle w:val="paragraph"/>
        <w:spacing w:before="0" w:beforeAutospacing="0" w:after="0" w:afterAutospacing="0" w:line="276" w:lineRule="auto"/>
        <w:rPr>
          <w:rFonts w:ascii="Arial" w:eastAsiaTheme="minorEastAsia" w:hAnsi="Arial" w:cs="Arial"/>
          <w:sz w:val="22"/>
          <w:szCs w:val="22"/>
        </w:rPr>
      </w:pPr>
    </w:p>
    <w:p w14:paraId="1264D93F" w14:textId="1CD8E8FD" w:rsidR="00F256D1" w:rsidRPr="007C1413" w:rsidRDefault="007C1413" w:rsidP="007C1413">
      <w:pPr>
        <w:pStyle w:val="Caption"/>
      </w:pPr>
      <w:bookmarkStart w:id="20" w:name="_Ref214444524"/>
      <w:bookmarkStart w:id="21" w:name="_Toc211509398"/>
      <w:r>
        <w:t xml:space="preserve">Table </w:t>
      </w:r>
      <w:fldSimple w:instr=" SEQ Table \* ARABIC ">
        <w:r w:rsidR="00615C28">
          <w:rPr>
            <w:noProof/>
          </w:rPr>
          <w:t>3</w:t>
        </w:r>
      </w:fldSimple>
      <w:bookmarkEnd w:id="20"/>
      <w:r w:rsidR="00F256D1" w:rsidRPr="007C1413">
        <w:t>: List of lower and upper bounds for expected start years to mine start for different mine stages.</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78"/>
        <w:gridCol w:w="2326"/>
        <w:gridCol w:w="2242"/>
      </w:tblGrid>
      <w:tr w:rsidR="00F256D1" w:rsidRPr="007D3F22" w14:paraId="5FC1DF46" w14:textId="77777777" w:rsidTr="00877C15">
        <w:trPr>
          <w:trHeight w:val="317"/>
        </w:trPr>
        <w:tc>
          <w:tcPr>
            <w:tcW w:w="2978" w:type="dxa"/>
            <w:vMerge w:val="restart"/>
            <w:shd w:val="clear" w:color="auto" w:fill="B7D4EF" w:themeFill="text2" w:themeFillTint="33"/>
            <w:tcMar>
              <w:top w:w="15" w:type="dxa"/>
              <w:left w:w="15" w:type="dxa"/>
              <w:right w:w="15" w:type="dxa"/>
            </w:tcMar>
            <w:vAlign w:val="center"/>
          </w:tcPr>
          <w:p w14:paraId="41EF04C0"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b/>
                <w:bCs/>
                <w:color w:val="156082" w:themeColor="accent1"/>
                <w:sz w:val="20"/>
                <w:szCs w:val="20"/>
              </w:rPr>
              <w:t>Mine stage</w:t>
            </w:r>
          </w:p>
        </w:tc>
        <w:tc>
          <w:tcPr>
            <w:tcW w:w="4568" w:type="dxa"/>
            <w:gridSpan w:val="2"/>
            <w:shd w:val="clear" w:color="auto" w:fill="B7D4EF" w:themeFill="text2" w:themeFillTint="33"/>
            <w:tcMar>
              <w:top w:w="15" w:type="dxa"/>
              <w:left w:w="15" w:type="dxa"/>
              <w:right w:w="15" w:type="dxa"/>
            </w:tcMar>
            <w:vAlign w:val="center"/>
          </w:tcPr>
          <w:p w14:paraId="099622CE" w14:textId="77777777" w:rsidR="00F256D1" w:rsidRPr="00766470" w:rsidRDefault="00F256D1" w:rsidP="00877C15">
            <w:pPr>
              <w:spacing w:after="0" w:line="240" w:lineRule="auto"/>
              <w:ind w:left="113"/>
              <w:jc w:val="center"/>
              <w:rPr>
                <w:rFonts w:ascii="Arial" w:eastAsia="Aptos" w:hAnsi="Arial" w:cs="Arial"/>
                <w:b/>
                <w:bCs/>
                <w:color w:val="156082" w:themeColor="accent1"/>
                <w:sz w:val="20"/>
                <w:szCs w:val="20"/>
              </w:rPr>
            </w:pPr>
            <w:r w:rsidRPr="00766470">
              <w:rPr>
                <w:rFonts w:ascii="Arial" w:eastAsia="Aptos" w:hAnsi="Arial" w:cs="Arial"/>
                <w:b/>
                <w:bCs/>
                <w:color w:val="156082" w:themeColor="accent1"/>
                <w:sz w:val="20"/>
                <w:szCs w:val="20"/>
              </w:rPr>
              <w:t xml:space="preserve">Expected years to mine start date </w:t>
            </w:r>
          </w:p>
        </w:tc>
      </w:tr>
      <w:tr w:rsidR="00F256D1" w:rsidRPr="007D3F22" w14:paraId="046809CF" w14:textId="77777777" w:rsidTr="00877C15">
        <w:trPr>
          <w:trHeight w:val="317"/>
        </w:trPr>
        <w:tc>
          <w:tcPr>
            <w:tcW w:w="2978" w:type="dxa"/>
            <w:vMerge/>
            <w:shd w:val="clear" w:color="auto" w:fill="B7D4EF" w:themeFill="text2" w:themeFillTint="33"/>
            <w:tcMar>
              <w:top w:w="15" w:type="dxa"/>
              <w:left w:w="15" w:type="dxa"/>
              <w:right w:w="15" w:type="dxa"/>
            </w:tcMar>
            <w:vAlign w:val="center"/>
          </w:tcPr>
          <w:p w14:paraId="2B9F613D" w14:textId="77777777" w:rsidR="00F256D1" w:rsidRPr="00766470" w:rsidRDefault="00F256D1" w:rsidP="00877C15">
            <w:pPr>
              <w:spacing w:after="0" w:line="240" w:lineRule="auto"/>
              <w:ind w:left="113"/>
              <w:rPr>
                <w:rFonts w:ascii="Arial" w:hAnsi="Arial" w:cs="Arial"/>
                <w:color w:val="156082" w:themeColor="accent1"/>
              </w:rPr>
            </w:pPr>
          </w:p>
        </w:tc>
        <w:tc>
          <w:tcPr>
            <w:tcW w:w="2326" w:type="dxa"/>
            <w:shd w:val="clear" w:color="auto" w:fill="B7D4EF" w:themeFill="text2" w:themeFillTint="33"/>
            <w:tcMar>
              <w:top w:w="15" w:type="dxa"/>
              <w:left w:w="15" w:type="dxa"/>
              <w:right w:w="15" w:type="dxa"/>
            </w:tcMar>
            <w:vAlign w:val="center"/>
          </w:tcPr>
          <w:p w14:paraId="1C622EB7" w14:textId="77777777" w:rsidR="00F256D1" w:rsidRPr="00766470" w:rsidRDefault="00F256D1" w:rsidP="00877C15">
            <w:pPr>
              <w:spacing w:after="0" w:line="240" w:lineRule="auto"/>
              <w:ind w:left="113"/>
              <w:jc w:val="center"/>
              <w:rPr>
                <w:rFonts w:ascii="Arial" w:hAnsi="Arial" w:cs="Arial"/>
                <w:color w:val="156082" w:themeColor="accent1"/>
              </w:rPr>
            </w:pPr>
            <w:r w:rsidRPr="00766470">
              <w:rPr>
                <w:rFonts w:ascii="Arial" w:eastAsia="Aptos" w:hAnsi="Arial" w:cs="Arial"/>
                <w:b/>
                <w:bCs/>
                <w:color w:val="156082" w:themeColor="accent1"/>
                <w:sz w:val="20"/>
                <w:szCs w:val="20"/>
              </w:rPr>
              <w:t xml:space="preserve">Lower bound </w:t>
            </w:r>
          </w:p>
        </w:tc>
        <w:tc>
          <w:tcPr>
            <w:tcW w:w="2242" w:type="dxa"/>
            <w:shd w:val="clear" w:color="auto" w:fill="B7D4EF" w:themeFill="text2" w:themeFillTint="33"/>
            <w:tcMar>
              <w:top w:w="15" w:type="dxa"/>
              <w:left w:w="15" w:type="dxa"/>
              <w:right w:w="15" w:type="dxa"/>
            </w:tcMar>
            <w:vAlign w:val="center"/>
          </w:tcPr>
          <w:p w14:paraId="7DA6D5E1" w14:textId="77777777" w:rsidR="00F256D1" w:rsidRPr="00766470" w:rsidRDefault="00F256D1" w:rsidP="00877C15">
            <w:pPr>
              <w:spacing w:after="0" w:line="240" w:lineRule="auto"/>
              <w:ind w:left="113"/>
              <w:jc w:val="center"/>
              <w:rPr>
                <w:rFonts w:ascii="Arial" w:hAnsi="Arial" w:cs="Arial"/>
                <w:color w:val="156082" w:themeColor="accent1"/>
              </w:rPr>
            </w:pPr>
            <w:r w:rsidRPr="00766470">
              <w:rPr>
                <w:rFonts w:ascii="Arial" w:eastAsia="Aptos" w:hAnsi="Arial" w:cs="Arial"/>
                <w:b/>
                <w:bCs/>
                <w:color w:val="156082" w:themeColor="accent1"/>
                <w:sz w:val="20"/>
                <w:szCs w:val="20"/>
              </w:rPr>
              <w:t>Upper bound</w:t>
            </w:r>
          </w:p>
        </w:tc>
      </w:tr>
      <w:tr w:rsidR="00F256D1" w:rsidRPr="007D3F22" w14:paraId="125C0232" w14:textId="77777777" w:rsidTr="00877C15">
        <w:trPr>
          <w:trHeight w:val="317"/>
        </w:trPr>
        <w:tc>
          <w:tcPr>
            <w:tcW w:w="2978" w:type="dxa"/>
            <w:tcMar>
              <w:top w:w="15" w:type="dxa"/>
              <w:left w:w="15" w:type="dxa"/>
              <w:right w:w="15" w:type="dxa"/>
            </w:tcMar>
            <w:vAlign w:val="center"/>
          </w:tcPr>
          <w:p w14:paraId="264D016C"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Grassroots</w:t>
            </w:r>
          </w:p>
        </w:tc>
        <w:tc>
          <w:tcPr>
            <w:tcW w:w="2326" w:type="dxa"/>
            <w:tcMar>
              <w:top w:w="15" w:type="dxa"/>
              <w:left w:w="15" w:type="dxa"/>
              <w:right w:w="15" w:type="dxa"/>
            </w:tcMar>
            <w:vAlign w:val="center"/>
          </w:tcPr>
          <w:p w14:paraId="733C610D"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14</w:t>
            </w:r>
          </w:p>
        </w:tc>
        <w:tc>
          <w:tcPr>
            <w:tcW w:w="2242" w:type="dxa"/>
            <w:tcMar>
              <w:top w:w="15" w:type="dxa"/>
              <w:left w:w="15" w:type="dxa"/>
              <w:right w:w="15" w:type="dxa"/>
            </w:tcMar>
            <w:vAlign w:val="center"/>
          </w:tcPr>
          <w:p w14:paraId="6E64213D"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60</w:t>
            </w:r>
          </w:p>
        </w:tc>
      </w:tr>
      <w:tr w:rsidR="00F256D1" w:rsidRPr="007D3F22" w14:paraId="7F0C0D10" w14:textId="77777777" w:rsidTr="00877C15">
        <w:trPr>
          <w:trHeight w:val="317"/>
        </w:trPr>
        <w:tc>
          <w:tcPr>
            <w:tcW w:w="2978" w:type="dxa"/>
            <w:tcMar>
              <w:top w:w="15" w:type="dxa"/>
              <w:left w:w="15" w:type="dxa"/>
              <w:right w:w="15" w:type="dxa"/>
            </w:tcMar>
            <w:vAlign w:val="center"/>
          </w:tcPr>
          <w:p w14:paraId="6ECCF454"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Exploration</w:t>
            </w:r>
          </w:p>
        </w:tc>
        <w:tc>
          <w:tcPr>
            <w:tcW w:w="2326" w:type="dxa"/>
            <w:tcMar>
              <w:top w:w="15" w:type="dxa"/>
              <w:left w:w="15" w:type="dxa"/>
              <w:right w:w="15" w:type="dxa"/>
            </w:tcMar>
            <w:vAlign w:val="center"/>
          </w:tcPr>
          <w:p w14:paraId="47C6353F"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11</w:t>
            </w:r>
          </w:p>
        </w:tc>
        <w:tc>
          <w:tcPr>
            <w:tcW w:w="2242" w:type="dxa"/>
            <w:tcMar>
              <w:top w:w="15" w:type="dxa"/>
              <w:left w:w="15" w:type="dxa"/>
              <w:right w:w="15" w:type="dxa"/>
            </w:tcMar>
            <w:vAlign w:val="center"/>
          </w:tcPr>
          <w:p w14:paraId="19F5A01C"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40</w:t>
            </w:r>
          </w:p>
        </w:tc>
      </w:tr>
      <w:tr w:rsidR="00F256D1" w:rsidRPr="007D3F22" w14:paraId="45A468A4" w14:textId="77777777" w:rsidTr="00877C15">
        <w:trPr>
          <w:trHeight w:val="317"/>
        </w:trPr>
        <w:tc>
          <w:tcPr>
            <w:tcW w:w="2978" w:type="dxa"/>
            <w:tcMar>
              <w:top w:w="15" w:type="dxa"/>
              <w:left w:w="15" w:type="dxa"/>
              <w:right w:w="15" w:type="dxa"/>
            </w:tcMar>
            <w:vAlign w:val="center"/>
          </w:tcPr>
          <w:p w14:paraId="0C5E162D"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Target Outline</w:t>
            </w:r>
          </w:p>
        </w:tc>
        <w:tc>
          <w:tcPr>
            <w:tcW w:w="2326" w:type="dxa"/>
            <w:tcMar>
              <w:top w:w="15" w:type="dxa"/>
              <w:left w:w="15" w:type="dxa"/>
              <w:right w:w="15" w:type="dxa"/>
            </w:tcMar>
            <w:vAlign w:val="center"/>
          </w:tcPr>
          <w:p w14:paraId="10857D77"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9</w:t>
            </w:r>
          </w:p>
        </w:tc>
        <w:tc>
          <w:tcPr>
            <w:tcW w:w="2242" w:type="dxa"/>
            <w:tcMar>
              <w:top w:w="15" w:type="dxa"/>
              <w:left w:w="15" w:type="dxa"/>
              <w:right w:w="15" w:type="dxa"/>
            </w:tcMar>
            <w:vAlign w:val="center"/>
          </w:tcPr>
          <w:p w14:paraId="6C2AEBC9"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20</w:t>
            </w:r>
          </w:p>
        </w:tc>
      </w:tr>
      <w:tr w:rsidR="00F256D1" w:rsidRPr="007D3F22" w14:paraId="7462502A" w14:textId="77777777" w:rsidTr="00877C15">
        <w:trPr>
          <w:trHeight w:val="317"/>
        </w:trPr>
        <w:tc>
          <w:tcPr>
            <w:tcW w:w="2978" w:type="dxa"/>
            <w:tcMar>
              <w:top w:w="15" w:type="dxa"/>
              <w:left w:w="15" w:type="dxa"/>
              <w:right w:w="15" w:type="dxa"/>
            </w:tcMar>
            <w:vAlign w:val="center"/>
          </w:tcPr>
          <w:p w14:paraId="4F4F47B3"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Advanced Exploration</w:t>
            </w:r>
          </w:p>
        </w:tc>
        <w:tc>
          <w:tcPr>
            <w:tcW w:w="2326" w:type="dxa"/>
            <w:tcMar>
              <w:top w:w="15" w:type="dxa"/>
              <w:left w:w="15" w:type="dxa"/>
              <w:right w:w="15" w:type="dxa"/>
            </w:tcMar>
            <w:vAlign w:val="center"/>
          </w:tcPr>
          <w:p w14:paraId="2F7E7BFD"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8</w:t>
            </w:r>
          </w:p>
        </w:tc>
        <w:tc>
          <w:tcPr>
            <w:tcW w:w="2242" w:type="dxa"/>
            <w:tcMar>
              <w:top w:w="15" w:type="dxa"/>
              <w:left w:w="15" w:type="dxa"/>
              <w:right w:w="15" w:type="dxa"/>
            </w:tcMar>
            <w:vAlign w:val="center"/>
          </w:tcPr>
          <w:p w14:paraId="22676A36"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16</w:t>
            </w:r>
          </w:p>
        </w:tc>
      </w:tr>
      <w:tr w:rsidR="00F256D1" w:rsidRPr="007D3F22" w14:paraId="1EA5AF42" w14:textId="77777777" w:rsidTr="00877C15">
        <w:trPr>
          <w:trHeight w:val="317"/>
        </w:trPr>
        <w:tc>
          <w:tcPr>
            <w:tcW w:w="2978" w:type="dxa"/>
            <w:tcMar>
              <w:top w:w="15" w:type="dxa"/>
              <w:left w:w="15" w:type="dxa"/>
              <w:right w:w="15" w:type="dxa"/>
            </w:tcMar>
            <w:vAlign w:val="center"/>
          </w:tcPr>
          <w:p w14:paraId="7AAA3E16"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Prefeas</w:t>
            </w:r>
            <w:r>
              <w:rPr>
                <w:rFonts w:ascii="Arial" w:eastAsia="Aptos" w:hAnsi="Arial" w:cs="Arial"/>
                <w:color w:val="156082" w:themeColor="accent1"/>
                <w:sz w:val="20"/>
                <w:szCs w:val="20"/>
              </w:rPr>
              <w:t>ibility</w:t>
            </w:r>
            <w:r w:rsidRPr="00766470">
              <w:rPr>
                <w:rFonts w:ascii="Arial" w:eastAsia="Aptos" w:hAnsi="Arial" w:cs="Arial"/>
                <w:color w:val="156082" w:themeColor="accent1"/>
                <w:sz w:val="20"/>
                <w:szCs w:val="20"/>
              </w:rPr>
              <w:t>/Scoping</w:t>
            </w:r>
          </w:p>
        </w:tc>
        <w:tc>
          <w:tcPr>
            <w:tcW w:w="2326" w:type="dxa"/>
            <w:tcMar>
              <w:top w:w="15" w:type="dxa"/>
              <w:left w:w="15" w:type="dxa"/>
              <w:right w:w="15" w:type="dxa"/>
            </w:tcMar>
            <w:vAlign w:val="center"/>
          </w:tcPr>
          <w:p w14:paraId="701CC24F"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7</w:t>
            </w:r>
          </w:p>
        </w:tc>
        <w:tc>
          <w:tcPr>
            <w:tcW w:w="2242" w:type="dxa"/>
            <w:tcMar>
              <w:top w:w="15" w:type="dxa"/>
              <w:left w:w="15" w:type="dxa"/>
              <w:right w:w="15" w:type="dxa"/>
            </w:tcMar>
            <w:vAlign w:val="center"/>
          </w:tcPr>
          <w:p w14:paraId="1A573555"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11</w:t>
            </w:r>
          </w:p>
        </w:tc>
      </w:tr>
      <w:tr w:rsidR="00F256D1" w:rsidRPr="007D3F22" w14:paraId="773E28A8" w14:textId="77777777" w:rsidTr="00877C15">
        <w:trPr>
          <w:trHeight w:val="317"/>
        </w:trPr>
        <w:tc>
          <w:tcPr>
            <w:tcW w:w="2978" w:type="dxa"/>
            <w:tcMar>
              <w:top w:w="15" w:type="dxa"/>
              <w:left w:w="15" w:type="dxa"/>
              <w:right w:w="15" w:type="dxa"/>
            </w:tcMar>
            <w:vAlign w:val="center"/>
          </w:tcPr>
          <w:p w14:paraId="5541455A"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Feasibility Started</w:t>
            </w:r>
          </w:p>
        </w:tc>
        <w:tc>
          <w:tcPr>
            <w:tcW w:w="2326" w:type="dxa"/>
            <w:tcMar>
              <w:top w:w="15" w:type="dxa"/>
              <w:left w:w="15" w:type="dxa"/>
              <w:right w:w="15" w:type="dxa"/>
            </w:tcMar>
            <w:vAlign w:val="center"/>
          </w:tcPr>
          <w:p w14:paraId="440E6762"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w:t>
            </w:r>
          </w:p>
        </w:tc>
        <w:tc>
          <w:tcPr>
            <w:tcW w:w="2242" w:type="dxa"/>
            <w:tcMar>
              <w:top w:w="15" w:type="dxa"/>
              <w:left w:w="15" w:type="dxa"/>
              <w:right w:w="15" w:type="dxa"/>
            </w:tcMar>
            <w:vAlign w:val="center"/>
          </w:tcPr>
          <w:p w14:paraId="77A104B2"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10</w:t>
            </w:r>
          </w:p>
        </w:tc>
      </w:tr>
      <w:tr w:rsidR="00F256D1" w:rsidRPr="007D3F22" w14:paraId="76F0AE8E" w14:textId="77777777" w:rsidTr="00877C15">
        <w:trPr>
          <w:trHeight w:val="317"/>
        </w:trPr>
        <w:tc>
          <w:tcPr>
            <w:tcW w:w="2978" w:type="dxa"/>
            <w:tcMar>
              <w:top w:w="15" w:type="dxa"/>
              <w:left w:w="15" w:type="dxa"/>
              <w:right w:w="15" w:type="dxa"/>
            </w:tcMar>
            <w:vAlign w:val="center"/>
          </w:tcPr>
          <w:p w14:paraId="26AAA8F2"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Feasibility</w:t>
            </w:r>
          </w:p>
        </w:tc>
        <w:tc>
          <w:tcPr>
            <w:tcW w:w="2326" w:type="dxa"/>
            <w:tcMar>
              <w:top w:w="15" w:type="dxa"/>
              <w:left w:w="15" w:type="dxa"/>
              <w:right w:w="15" w:type="dxa"/>
            </w:tcMar>
            <w:vAlign w:val="center"/>
          </w:tcPr>
          <w:p w14:paraId="7C2025C0"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w:t>
            </w:r>
          </w:p>
        </w:tc>
        <w:tc>
          <w:tcPr>
            <w:tcW w:w="2242" w:type="dxa"/>
            <w:tcMar>
              <w:top w:w="15" w:type="dxa"/>
              <w:left w:w="15" w:type="dxa"/>
              <w:right w:w="15" w:type="dxa"/>
            </w:tcMar>
            <w:vAlign w:val="center"/>
          </w:tcPr>
          <w:p w14:paraId="78552EC8"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10</w:t>
            </w:r>
          </w:p>
        </w:tc>
      </w:tr>
      <w:tr w:rsidR="00F256D1" w:rsidRPr="007D3F22" w14:paraId="51BCF113" w14:textId="77777777" w:rsidTr="00877C15">
        <w:trPr>
          <w:trHeight w:val="317"/>
        </w:trPr>
        <w:tc>
          <w:tcPr>
            <w:tcW w:w="2978" w:type="dxa"/>
            <w:tcMar>
              <w:top w:w="15" w:type="dxa"/>
              <w:left w:w="15" w:type="dxa"/>
              <w:right w:w="15" w:type="dxa"/>
            </w:tcMar>
            <w:vAlign w:val="center"/>
          </w:tcPr>
          <w:p w14:paraId="0A658031"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Feasibility Complete</w:t>
            </w:r>
          </w:p>
        </w:tc>
        <w:tc>
          <w:tcPr>
            <w:tcW w:w="2326" w:type="dxa"/>
            <w:tcMar>
              <w:top w:w="15" w:type="dxa"/>
              <w:left w:w="15" w:type="dxa"/>
              <w:right w:w="15" w:type="dxa"/>
            </w:tcMar>
            <w:vAlign w:val="center"/>
          </w:tcPr>
          <w:p w14:paraId="72F37BFD"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5</w:t>
            </w:r>
          </w:p>
        </w:tc>
        <w:tc>
          <w:tcPr>
            <w:tcW w:w="2242" w:type="dxa"/>
            <w:tcMar>
              <w:top w:w="15" w:type="dxa"/>
              <w:left w:w="15" w:type="dxa"/>
              <w:right w:w="15" w:type="dxa"/>
            </w:tcMar>
            <w:vAlign w:val="center"/>
          </w:tcPr>
          <w:p w14:paraId="01E88EDA"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9</w:t>
            </w:r>
          </w:p>
        </w:tc>
      </w:tr>
      <w:tr w:rsidR="00F256D1" w:rsidRPr="007D3F22" w14:paraId="6DD1DDD7" w14:textId="77777777" w:rsidTr="00877C15">
        <w:trPr>
          <w:trHeight w:val="317"/>
        </w:trPr>
        <w:tc>
          <w:tcPr>
            <w:tcW w:w="2978" w:type="dxa"/>
            <w:tcMar>
              <w:top w:w="15" w:type="dxa"/>
              <w:left w:w="15" w:type="dxa"/>
              <w:right w:w="15" w:type="dxa"/>
            </w:tcMar>
            <w:vAlign w:val="center"/>
          </w:tcPr>
          <w:p w14:paraId="5879425D"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Reserves Development</w:t>
            </w:r>
          </w:p>
        </w:tc>
        <w:tc>
          <w:tcPr>
            <w:tcW w:w="2326" w:type="dxa"/>
            <w:tcMar>
              <w:top w:w="15" w:type="dxa"/>
              <w:left w:w="15" w:type="dxa"/>
              <w:right w:w="15" w:type="dxa"/>
            </w:tcMar>
            <w:vAlign w:val="center"/>
          </w:tcPr>
          <w:p w14:paraId="3EF3E02C"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4</w:t>
            </w:r>
          </w:p>
        </w:tc>
        <w:tc>
          <w:tcPr>
            <w:tcW w:w="2242" w:type="dxa"/>
            <w:tcMar>
              <w:top w:w="15" w:type="dxa"/>
              <w:left w:w="15" w:type="dxa"/>
              <w:right w:w="15" w:type="dxa"/>
            </w:tcMar>
            <w:vAlign w:val="center"/>
          </w:tcPr>
          <w:p w14:paraId="2CEBD186"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8</w:t>
            </w:r>
          </w:p>
        </w:tc>
      </w:tr>
      <w:tr w:rsidR="00F256D1" w:rsidRPr="007D3F22" w14:paraId="1EDB879D" w14:textId="77777777" w:rsidTr="00877C15">
        <w:trPr>
          <w:trHeight w:val="317"/>
        </w:trPr>
        <w:tc>
          <w:tcPr>
            <w:tcW w:w="2978" w:type="dxa"/>
            <w:tcMar>
              <w:top w:w="15" w:type="dxa"/>
              <w:left w:w="15" w:type="dxa"/>
              <w:right w:w="15" w:type="dxa"/>
            </w:tcMar>
            <w:vAlign w:val="center"/>
          </w:tcPr>
          <w:p w14:paraId="27386AFB"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Construction Planned</w:t>
            </w:r>
          </w:p>
        </w:tc>
        <w:tc>
          <w:tcPr>
            <w:tcW w:w="2326" w:type="dxa"/>
            <w:tcMar>
              <w:top w:w="15" w:type="dxa"/>
              <w:left w:w="15" w:type="dxa"/>
              <w:right w:w="15" w:type="dxa"/>
            </w:tcMar>
            <w:vAlign w:val="center"/>
          </w:tcPr>
          <w:p w14:paraId="3A6CEBFC"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3</w:t>
            </w:r>
          </w:p>
        </w:tc>
        <w:tc>
          <w:tcPr>
            <w:tcW w:w="2242" w:type="dxa"/>
            <w:tcMar>
              <w:top w:w="15" w:type="dxa"/>
              <w:left w:w="15" w:type="dxa"/>
              <w:right w:w="15" w:type="dxa"/>
            </w:tcMar>
            <w:vAlign w:val="center"/>
          </w:tcPr>
          <w:p w14:paraId="7FA6035A"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7</w:t>
            </w:r>
          </w:p>
        </w:tc>
      </w:tr>
      <w:tr w:rsidR="00F256D1" w:rsidRPr="007D3F22" w14:paraId="6E1BEF28" w14:textId="77777777" w:rsidTr="00877C15">
        <w:trPr>
          <w:trHeight w:val="317"/>
        </w:trPr>
        <w:tc>
          <w:tcPr>
            <w:tcW w:w="2978" w:type="dxa"/>
            <w:tcMar>
              <w:top w:w="15" w:type="dxa"/>
              <w:left w:w="15" w:type="dxa"/>
              <w:right w:w="15" w:type="dxa"/>
            </w:tcMar>
            <w:vAlign w:val="center"/>
          </w:tcPr>
          <w:p w14:paraId="66EE4582"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lastRenderedPageBreak/>
              <w:t>Construction Started</w:t>
            </w:r>
          </w:p>
        </w:tc>
        <w:tc>
          <w:tcPr>
            <w:tcW w:w="2326" w:type="dxa"/>
            <w:tcMar>
              <w:top w:w="15" w:type="dxa"/>
              <w:left w:w="15" w:type="dxa"/>
              <w:right w:w="15" w:type="dxa"/>
            </w:tcMar>
            <w:vAlign w:val="center"/>
          </w:tcPr>
          <w:p w14:paraId="5DED8443"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2</w:t>
            </w:r>
          </w:p>
        </w:tc>
        <w:tc>
          <w:tcPr>
            <w:tcW w:w="2242" w:type="dxa"/>
            <w:tcMar>
              <w:top w:w="15" w:type="dxa"/>
              <w:left w:w="15" w:type="dxa"/>
              <w:right w:w="15" w:type="dxa"/>
            </w:tcMar>
            <w:vAlign w:val="center"/>
          </w:tcPr>
          <w:p w14:paraId="7BF7D7BA"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w:t>
            </w:r>
          </w:p>
        </w:tc>
      </w:tr>
      <w:tr w:rsidR="00F256D1" w:rsidRPr="007D3F22" w14:paraId="7DB5B80A" w14:textId="77777777" w:rsidTr="00877C15">
        <w:trPr>
          <w:trHeight w:val="317"/>
        </w:trPr>
        <w:tc>
          <w:tcPr>
            <w:tcW w:w="2978" w:type="dxa"/>
            <w:tcMar>
              <w:top w:w="15" w:type="dxa"/>
              <w:left w:w="15" w:type="dxa"/>
              <w:right w:w="15" w:type="dxa"/>
            </w:tcMar>
            <w:vAlign w:val="center"/>
          </w:tcPr>
          <w:p w14:paraId="40B2C3A6"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Preproduction</w:t>
            </w:r>
          </w:p>
        </w:tc>
        <w:tc>
          <w:tcPr>
            <w:tcW w:w="2326" w:type="dxa"/>
            <w:tcMar>
              <w:top w:w="15" w:type="dxa"/>
              <w:left w:w="15" w:type="dxa"/>
              <w:right w:w="15" w:type="dxa"/>
            </w:tcMar>
            <w:vAlign w:val="center"/>
          </w:tcPr>
          <w:p w14:paraId="2508835C"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2</w:t>
            </w:r>
          </w:p>
        </w:tc>
        <w:tc>
          <w:tcPr>
            <w:tcW w:w="2242" w:type="dxa"/>
            <w:tcMar>
              <w:top w:w="15" w:type="dxa"/>
              <w:left w:w="15" w:type="dxa"/>
              <w:right w:w="15" w:type="dxa"/>
            </w:tcMar>
            <w:vAlign w:val="center"/>
          </w:tcPr>
          <w:p w14:paraId="52A421E9"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w:t>
            </w:r>
          </w:p>
        </w:tc>
      </w:tr>
      <w:tr w:rsidR="00F256D1" w:rsidRPr="007D3F22" w14:paraId="2CE62871" w14:textId="77777777" w:rsidTr="00877C15">
        <w:trPr>
          <w:trHeight w:val="317"/>
        </w:trPr>
        <w:tc>
          <w:tcPr>
            <w:tcW w:w="2978" w:type="dxa"/>
            <w:tcMar>
              <w:top w:w="15" w:type="dxa"/>
              <w:left w:w="15" w:type="dxa"/>
              <w:right w:w="15" w:type="dxa"/>
            </w:tcMar>
            <w:vAlign w:val="center"/>
          </w:tcPr>
          <w:p w14:paraId="3F625404"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Commissioning</w:t>
            </w:r>
          </w:p>
        </w:tc>
        <w:tc>
          <w:tcPr>
            <w:tcW w:w="2326" w:type="dxa"/>
            <w:tcMar>
              <w:top w:w="15" w:type="dxa"/>
              <w:left w:w="15" w:type="dxa"/>
              <w:right w:w="15" w:type="dxa"/>
            </w:tcMar>
            <w:vAlign w:val="center"/>
          </w:tcPr>
          <w:p w14:paraId="3A3DE503"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2</w:t>
            </w:r>
          </w:p>
        </w:tc>
        <w:tc>
          <w:tcPr>
            <w:tcW w:w="2242" w:type="dxa"/>
            <w:tcMar>
              <w:top w:w="15" w:type="dxa"/>
              <w:left w:w="15" w:type="dxa"/>
              <w:right w:w="15" w:type="dxa"/>
            </w:tcMar>
            <w:vAlign w:val="center"/>
          </w:tcPr>
          <w:p w14:paraId="73876978"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6</w:t>
            </w:r>
          </w:p>
        </w:tc>
      </w:tr>
      <w:tr w:rsidR="00F256D1" w:rsidRPr="007D3F22" w14:paraId="26494916" w14:textId="77777777" w:rsidTr="00877C15">
        <w:trPr>
          <w:trHeight w:val="317"/>
        </w:trPr>
        <w:tc>
          <w:tcPr>
            <w:tcW w:w="2978" w:type="dxa"/>
            <w:tcMar>
              <w:top w:w="15" w:type="dxa"/>
              <w:left w:w="15" w:type="dxa"/>
              <w:right w:w="15" w:type="dxa"/>
            </w:tcMar>
            <w:vAlign w:val="center"/>
          </w:tcPr>
          <w:p w14:paraId="14AA36AB"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Limited Production</w:t>
            </w:r>
          </w:p>
        </w:tc>
        <w:tc>
          <w:tcPr>
            <w:tcW w:w="2326" w:type="dxa"/>
            <w:tcMar>
              <w:top w:w="15" w:type="dxa"/>
              <w:left w:w="15" w:type="dxa"/>
              <w:right w:w="15" w:type="dxa"/>
            </w:tcMar>
            <w:vAlign w:val="center"/>
          </w:tcPr>
          <w:p w14:paraId="60FFF9C3"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1</w:t>
            </w:r>
          </w:p>
        </w:tc>
        <w:tc>
          <w:tcPr>
            <w:tcW w:w="2242" w:type="dxa"/>
            <w:tcMar>
              <w:top w:w="15" w:type="dxa"/>
              <w:left w:w="15" w:type="dxa"/>
              <w:right w:w="15" w:type="dxa"/>
            </w:tcMar>
            <w:vAlign w:val="center"/>
          </w:tcPr>
          <w:p w14:paraId="571D9E28"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5</w:t>
            </w:r>
          </w:p>
        </w:tc>
      </w:tr>
      <w:tr w:rsidR="00F256D1" w:rsidRPr="007D3F22" w14:paraId="7170C118" w14:textId="77777777" w:rsidTr="00877C15">
        <w:trPr>
          <w:trHeight w:val="317"/>
        </w:trPr>
        <w:tc>
          <w:tcPr>
            <w:tcW w:w="2978" w:type="dxa"/>
            <w:tcMar>
              <w:top w:w="15" w:type="dxa"/>
              <w:left w:w="15" w:type="dxa"/>
              <w:right w:w="15" w:type="dxa"/>
            </w:tcMar>
            <w:vAlign w:val="center"/>
          </w:tcPr>
          <w:p w14:paraId="6485A1B0"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Operating</w:t>
            </w:r>
          </w:p>
        </w:tc>
        <w:tc>
          <w:tcPr>
            <w:tcW w:w="2326" w:type="dxa"/>
            <w:tcMar>
              <w:top w:w="15" w:type="dxa"/>
              <w:left w:w="15" w:type="dxa"/>
              <w:right w:w="15" w:type="dxa"/>
            </w:tcMar>
            <w:vAlign w:val="center"/>
          </w:tcPr>
          <w:p w14:paraId="7598CED3"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0</w:t>
            </w:r>
          </w:p>
        </w:tc>
        <w:tc>
          <w:tcPr>
            <w:tcW w:w="2242" w:type="dxa"/>
            <w:tcMar>
              <w:top w:w="15" w:type="dxa"/>
              <w:left w:w="15" w:type="dxa"/>
              <w:right w:w="15" w:type="dxa"/>
            </w:tcMar>
            <w:vAlign w:val="center"/>
          </w:tcPr>
          <w:p w14:paraId="02437875"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5</w:t>
            </w:r>
          </w:p>
        </w:tc>
      </w:tr>
      <w:tr w:rsidR="00F256D1" w:rsidRPr="007D3F22" w14:paraId="4DFEC0F4" w14:textId="77777777" w:rsidTr="00877C15">
        <w:trPr>
          <w:trHeight w:val="317"/>
        </w:trPr>
        <w:tc>
          <w:tcPr>
            <w:tcW w:w="2978" w:type="dxa"/>
            <w:tcMar>
              <w:top w:w="15" w:type="dxa"/>
              <w:left w:w="15" w:type="dxa"/>
              <w:right w:w="15" w:type="dxa"/>
            </w:tcMar>
            <w:vAlign w:val="center"/>
          </w:tcPr>
          <w:p w14:paraId="0DACB674"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Satellite</w:t>
            </w:r>
          </w:p>
        </w:tc>
        <w:tc>
          <w:tcPr>
            <w:tcW w:w="2326" w:type="dxa"/>
            <w:tcMar>
              <w:top w:w="15" w:type="dxa"/>
              <w:left w:w="15" w:type="dxa"/>
              <w:right w:w="15" w:type="dxa"/>
            </w:tcMar>
            <w:vAlign w:val="center"/>
          </w:tcPr>
          <w:p w14:paraId="35E02694"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0</w:t>
            </w:r>
          </w:p>
        </w:tc>
        <w:tc>
          <w:tcPr>
            <w:tcW w:w="2242" w:type="dxa"/>
            <w:tcMar>
              <w:top w:w="15" w:type="dxa"/>
              <w:left w:w="15" w:type="dxa"/>
              <w:right w:w="15" w:type="dxa"/>
            </w:tcMar>
            <w:vAlign w:val="center"/>
          </w:tcPr>
          <w:p w14:paraId="7334DC92"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5</w:t>
            </w:r>
          </w:p>
        </w:tc>
      </w:tr>
      <w:tr w:rsidR="00F256D1" w:rsidRPr="007D3F22" w14:paraId="2CF02801" w14:textId="77777777" w:rsidTr="00877C15">
        <w:trPr>
          <w:trHeight w:val="317"/>
        </w:trPr>
        <w:tc>
          <w:tcPr>
            <w:tcW w:w="2978" w:type="dxa"/>
            <w:tcMar>
              <w:top w:w="15" w:type="dxa"/>
              <w:left w:w="15" w:type="dxa"/>
              <w:right w:w="15" w:type="dxa"/>
            </w:tcMar>
            <w:vAlign w:val="center"/>
          </w:tcPr>
          <w:p w14:paraId="413D2A7B"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Expansion</w:t>
            </w:r>
          </w:p>
        </w:tc>
        <w:tc>
          <w:tcPr>
            <w:tcW w:w="2326" w:type="dxa"/>
            <w:tcMar>
              <w:top w:w="15" w:type="dxa"/>
              <w:left w:w="15" w:type="dxa"/>
              <w:right w:w="15" w:type="dxa"/>
            </w:tcMar>
            <w:vAlign w:val="center"/>
          </w:tcPr>
          <w:p w14:paraId="6293825B"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0</w:t>
            </w:r>
          </w:p>
        </w:tc>
        <w:tc>
          <w:tcPr>
            <w:tcW w:w="2242" w:type="dxa"/>
            <w:tcMar>
              <w:top w:w="15" w:type="dxa"/>
              <w:left w:w="15" w:type="dxa"/>
              <w:right w:w="15" w:type="dxa"/>
            </w:tcMar>
            <w:vAlign w:val="center"/>
          </w:tcPr>
          <w:p w14:paraId="4FFCB673"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5</w:t>
            </w:r>
          </w:p>
        </w:tc>
      </w:tr>
      <w:tr w:rsidR="00F256D1" w:rsidRPr="007D3F22" w14:paraId="04909E80" w14:textId="77777777" w:rsidTr="00877C15">
        <w:trPr>
          <w:trHeight w:val="317"/>
        </w:trPr>
        <w:tc>
          <w:tcPr>
            <w:tcW w:w="2978" w:type="dxa"/>
            <w:tcMar>
              <w:top w:w="15" w:type="dxa"/>
              <w:left w:w="15" w:type="dxa"/>
              <w:right w:w="15" w:type="dxa"/>
            </w:tcMar>
            <w:vAlign w:val="center"/>
          </w:tcPr>
          <w:p w14:paraId="143B7A1E" w14:textId="77777777" w:rsidR="00F256D1" w:rsidRPr="00766470" w:rsidRDefault="00F256D1" w:rsidP="00877C15">
            <w:pPr>
              <w:spacing w:after="0" w:line="240" w:lineRule="auto"/>
              <w:ind w:left="113"/>
              <w:jc w:val="both"/>
              <w:rPr>
                <w:rFonts w:ascii="Arial" w:hAnsi="Arial" w:cs="Arial"/>
                <w:color w:val="156082" w:themeColor="accent1"/>
              </w:rPr>
            </w:pPr>
            <w:r w:rsidRPr="00766470">
              <w:rPr>
                <w:rFonts w:ascii="Arial" w:eastAsia="Aptos" w:hAnsi="Arial" w:cs="Arial"/>
                <w:color w:val="156082" w:themeColor="accent1"/>
                <w:sz w:val="20"/>
                <w:szCs w:val="20"/>
              </w:rPr>
              <w:t>Closed</w:t>
            </w:r>
          </w:p>
        </w:tc>
        <w:tc>
          <w:tcPr>
            <w:tcW w:w="2326" w:type="dxa"/>
            <w:tcMar>
              <w:top w:w="15" w:type="dxa"/>
              <w:left w:w="15" w:type="dxa"/>
              <w:right w:w="15" w:type="dxa"/>
            </w:tcMar>
            <w:vAlign w:val="center"/>
          </w:tcPr>
          <w:p w14:paraId="48C89CE0"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0</w:t>
            </w:r>
          </w:p>
        </w:tc>
        <w:tc>
          <w:tcPr>
            <w:tcW w:w="2242" w:type="dxa"/>
            <w:tcMar>
              <w:top w:w="15" w:type="dxa"/>
              <w:left w:w="15" w:type="dxa"/>
              <w:right w:w="15" w:type="dxa"/>
            </w:tcMar>
            <w:vAlign w:val="center"/>
          </w:tcPr>
          <w:p w14:paraId="53371E42" w14:textId="77777777" w:rsidR="00F256D1" w:rsidRPr="00766470" w:rsidRDefault="00F256D1" w:rsidP="00877C15">
            <w:pPr>
              <w:spacing w:after="0" w:line="240" w:lineRule="auto"/>
              <w:ind w:left="113"/>
              <w:jc w:val="center"/>
              <w:rPr>
                <w:rFonts w:ascii="Arial" w:hAnsi="Arial" w:cs="Arial"/>
              </w:rPr>
            </w:pPr>
            <w:r w:rsidRPr="00766470">
              <w:rPr>
                <w:rFonts w:ascii="Arial" w:eastAsia="Aptos" w:hAnsi="Arial" w:cs="Arial"/>
                <w:sz w:val="20"/>
                <w:szCs w:val="20"/>
              </w:rPr>
              <w:t>0</w:t>
            </w:r>
          </w:p>
        </w:tc>
      </w:tr>
    </w:tbl>
    <w:p w14:paraId="3B1D43C8" w14:textId="77777777" w:rsidR="00F256D1" w:rsidRPr="00766470" w:rsidRDefault="00F256D1" w:rsidP="00F256D1">
      <w:pPr>
        <w:spacing w:line="257" w:lineRule="auto"/>
        <w:rPr>
          <w:rFonts w:ascii="Arial" w:eastAsia="Aptos" w:hAnsi="Arial" w:cs="Arial"/>
          <w:b/>
          <w:bCs/>
        </w:rPr>
      </w:pPr>
    </w:p>
    <w:p w14:paraId="6CBE1ABB" w14:textId="77777777" w:rsidR="00F256D1" w:rsidRPr="00B10A7E" w:rsidRDefault="00F256D1" w:rsidP="00F256D1">
      <w:pPr>
        <w:pStyle w:val="Heading3"/>
        <w:rPr>
          <w:rFonts w:ascii="Arial" w:hAnsi="Arial" w:cs="Arial"/>
          <w:b/>
          <w:bCs/>
          <w:sz w:val="24"/>
          <w:szCs w:val="24"/>
        </w:rPr>
      </w:pPr>
      <w:bookmarkStart w:id="22" w:name="_Toc211272277"/>
      <w:r w:rsidRPr="00B10A7E">
        <w:rPr>
          <w:rFonts w:ascii="Arial" w:hAnsi="Arial" w:cs="Arial"/>
          <w:b/>
          <w:bCs/>
          <w:sz w:val="24"/>
          <w:szCs w:val="24"/>
        </w:rPr>
        <w:t>2.2.3 Mine closure year was estimated.</w:t>
      </w:r>
      <w:bookmarkEnd w:id="22"/>
      <w:r w:rsidRPr="00B10A7E">
        <w:rPr>
          <w:rFonts w:ascii="Arial" w:hAnsi="Arial" w:cs="Arial"/>
          <w:b/>
          <w:bCs/>
          <w:sz w:val="24"/>
          <w:szCs w:val="24"/>
        </w:rPr>
        <w:t xml:space="preserve"> </w:t>
      </w:r>
    </w:p>
    <w:p w14:paraId="54147849" w14:textId="77777777" w:rsidR="00F256D1" w:rsidRPr="00B10A7E" w:rsidRDefault="00F256D1" w:rsidP="00F256D1">
      <w:pPr>
        <w:pStyle w:val="paragraph"/>
        <w:spacing w:before="0" w:beforeAutospacing="0" w:after="0" w:afterAutospacing="0" w:line="276" w:lineRule="auto"/>
        <w:rPr>
          <w:rFonts w:ascii="Arial" w:hAnsi="Arial" w:cs="Arial"/>
          <w:b/>
          <w:bCs/>
        </w:rPr>
      </w:pPr>
    </w:p>
    <w:p w14:paraId="30576834" w14:textId="77777777"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r w:rsidRPr="00B10A7E">
        <w:rPr>
          <w:rFonts w:ascii="Arial" w:hAnsi="Arial" w:cs="Arial"/>
        </w:rPr>
        <w:t>For existing mines where S&amp;P does not</w:t>
      </w:r>
      <w:r w:rsidRPr="00B10A7E">
        <w:rPr>
          <w:rFonts w:ascii="Arial" w:eastAsiaTheme="minorEastAsia" w:hAnsi="Arial" w:cs="Arial"/>
        </w:rPr>
        <w:t xml:space="preserve"> provide a closing year, there are two possibilities. Either, production projections stop before 2040, in which case the latest value is taken to be the closure year. Otherwise, existing mines start closing in 2030 and are all closed by 2040. Mines opening in the future without a planned closure year are assumed to still be producing in 2040, which is the time horizon for the study. S&amp;P projects that a few mines will open after 2022 and close before 2040. </w:t>
      </w:r>
    </w:p>
    <w:p w14:paraId="24456B02" w14:textId="77777777" w:rsidR="00F256D1" w:rsidRPr="00B10A7E" w:rsidRDefault="00F256D1" w:rsidP="00F256D1">
      <w:pPr>
        <w:pStyle w:val="paragraph"/>
        <w:spacing w:before="0" w:beforeAutospacing="0" w:after="0" w:afterAutospacing="0" w:line="276" w:lineRule="auto"/>
        <w:rPr>
          <w:rFonts w:ascii="Arial" w:hAnsi="Arial" w:cs="Arial"/>
          <w:b/>
          <w:bCs/>
        </w:rPr>
      </w:pPr>
    </w:p>
    <w:p w14:paraId="1626F695" w14:textId="77777777" w:rsidR="00F256D1" w:rsidRPr="00B10A7E" w:rsidRDefault="00F256D1" w:rsidP="00F256D1">
      <w:pPr>
        <w:pStyle w:val="Heading3"/>
        <w:rPr>
          <w:rFonts w:ascii="Arial" w:hAnsi="Arial" w:cs="Arial"/>
          <w:b/>
          <w:bCs/>
          <w:sz w:val="24"/>
          <w:szCs w:val="24"/>
        </w:rPr>
      </w:pPr>
      <w:bookmarkStart w:id="23" w:name="_Toc211272278"/>
      <w:r w:rsidRPr="00B10A7E">
        <w:rPr>
          <w:rFonts w:ascii="Arial" w:hAnsi="Arial" w:cs="Arial"/>
          <w:b/>
          <w:bCs/>
          <w:sz w:val="24"/>
          <w:szCs w:val="24"/>
        </w:rPr>
        <w:t>2.2.4 Future production was estimated from reserves where available.</w:t>
      </w:r>
      <w:bookmarkEnd w:id="23"/>
      <w:r w:rsidRPr="00B10A7E">
        <w:rPr>
          <w:rFonts w:ascii="Arial" w:hAnsi="Arial" w:cs="Arial"/>
          <w:b/>
          <w:bCs/>
          <w:sz w:val="24"/>
          <w:szCs w:val="24"/>
        </w:rPr>
        <w:t xml:space="preserve"> </w:t>
      </w:r>
    </w:p>
    <w:p w14:paraId="6FCE7736" w14:textId="77777777" w:rsidR="00F256D1" w:rsidRPr="00B10A7E" w:rsidRDefault="00F256D1" w:rsidP="00F256D1">
      <w:pPr>
        <w:pStyle w:val="paragraph"/>
        <w:spacing w:before="0" w:beforeAutospacing="0" w:after="0" w:afterAutospacing="0" w:line="276" w:lineRule="auto"/>
        <w:rPr>
          <w:rFonts w:ascii="Arial" w:eastAsiaTheme="minorEastAsia" w:hAnsi="Arial" w:cs="Arial"/>
          <w:b/>
          <w:bCs/>
        </w:rPr>
      </w:pPr>
    </w:p>
    <w:p w14:paraId="5EC03E96" w14:textId="36A1CD17" w:rsidR="00F256D1" w:rsidRPr="00B10A7E" w:rsidRDefault="00F256D1" w:rsidP="00F256D1">
      <w:pPr>
        <w:pStyle w:val="paragraph"/>
        <w:spacing w:before="0" w:beforeAutospacing="0" w:after="0" w:afterAutospacing="0" w:line="276" w:lineRule="auto"/>
        <w:jc w:val="both"/>
        <w:rPr>
          <w:rFonts w:ascii="Arial" w:eastAsiaTheme="minorEastAsia" w:hAnsi="Arial" w:cs="Arial"/>
        </w:rPr>
      </w:pPr>
      <w:r w:rsidRPr="00B10A7E">
        <w:rPr>
          <w:rFonts w:ascii="Arial" w:eastAsiaTheme="minorEastAsia" w:hAnsi="Arial" w:cs="Arial"/>
        </w:rPr>
        <w:t>Once start and closure years are defined, it is necessary to project yearly production tonnages. For some mines, S&amp;P predicts production. In other cases, production is not projected, but there is information on either current production or future reserves. In either case, Taylor’s Law can be used to provide missing projections of production. Taylor’s Law is an empirical observation that there exists a log-log linear relationship between daily metal production and reserves</w:t>
      </w:r>
      <w:r w:rsidR="007E07E0" w:rsidRPr="00B10A7E">
        <w:rPr>
          <w:rFonts w:ascii="Arial" w:eastAsiaTheme="minorEastAsia" w:hAnsi="Arial" w:cs="Arial"/>
        </w:rPr>
        <w:fldChar w:fldCharType="begin"/>
      </w:r>
      <w:r w:rsidR="007E07E0" w:rsidRPr="00B10A7E">
        <w:rPr>
          <w:rFonts w:ascii="Arial" w:eastAsiaTheme="minorEastAsia" w:hAnsi="Arial" w:cs="Arial"/>
        </w:rPr>
        <w:instrText xml:space="preserve"> ADDIN ZOTERO_ITEM CSL_CITATION {"citationID":"Kl5ssd6Z","properties":{"formattedCitation":"\\super 8\\nosupersub{}","plainCitation":"8","noteIndex":0},"citationItems":[{"id":2013,"uris":["http://zotero.org/users/10918866/items/YB89FYPQ"],"itemData":{"id":2013,"type":"article-journal","abstract":"Taylor explains his rule for predicting the life of a mine as proportional to the fourth root of the expected ore tonnage. Although the rule is only a rough guide, the formula is suited to large output mines and is not valid for very deep, flat mines. There are some other exceptions, which are discussed in the chapter. The formula has been tested and concluded to be a valid indicator, especially relevant to mines shallower than 400 m.-S.King","archive":"Scopus","container-title":"Transactions - Institution of Mining &amp; Metallurgy, Section A","issue":"October","page":"A203-A204","source":"Scopus","title":"Rates of working of mines-a simple rule of thumb.","volume":"95","author":[{"family":"Taylor","given":"H.K."}],"issued":{"date-parts":[["1986"]]}}}],"schema":"https://github.com/citation-style-language/schema/raw/master/csl-citation.json"} </w:instrText>
      </w:r>
      <w:r w:rsidR="007E07E0" w:rsidRPr="00B10A7E">
        <w:rPr>
          <w:rFonts w:ascii="Arial" w:eastAsiaTheme="minorEastAsia" w:hAnsi="Arial" w:cs="Arial"/>
        </w:rPr>
        <w:fldChar w:fldCharType="separate"/>
      </w:r>
      <w:r w:rsidR="007E07E0" w:rsidRPr="00B10A7E">
        <w:rPr>
          <w:rFonts w:ascii="Arial" w:hAnsi="Arial" w:cs="Arial"/>
          <w:vertAlign w:val="superscript"/>
        </w:rPr>
        <w:t>8</w:t>
      </w:r>
      <w:r w:rsidR="007E07E0" w:rsidRPr="00B10A7E">
        <w:rPr>
          <w:rFonts w:ascii="Arial" w:eastAsiaTheme="minorEastAsia" w:hAnsi="Arial" w:cs="Arial"/>
        </w:rPr>
        <w:fldChar w:fldCharType="end"/>
      </w:r>
      <w:r w:rsidRPr="00B10A7E">
        <w:rPr>
          <w:rFonts w:ascii="Arial" w:eastAsiaTheme="minorEastAsia" w:hAnsi="Arial" w:cs="Arial"/>
        </w:rPr>
        <w:t>. This relationship is confirmed for all six commodities of interest using S&amp;P data, as shown in</w:t>
      </w:r>
      <w:r w:rsidR="00D00E3E">
        <w:rPr>
          <w:rFonts w:ascii="Arial" w:eastAsiaTheme="minorEastAsia" w:hAnsi="Arial" w:cs="Arial"/>
        </w:rPr>
        <w:t xml:space="preserve"> </w:t>
      </w:r>
      <w:r w:rsidR="00D00E3E">
        <w:rPr>
          <w:rFonts w:ascii="Arial" w:eastAsiaTheme="minorEastAsia" w:hAnsi="Arial" w:cs="Arial"/>
        </w:rPr>
        <w:fldChar w:fldCharType="begin"/>
      </w:r>
      <w:r w:rsidR="00D00E3E">
        <w:rPr>
          <w:rFonts w:ascii="Arial" w:eastAsiaTheme="minorEastAsia" w:hAnsi="Arial" w:cs="Arial"/>
        </w:rPr>
        <w:instrText xml:space="preserve"> REF _Ref214444549 \h </w:instrText>
      </w:r>
      <w:r w:rsidR="00D00E3E">
        <w:rPr>
          <w:rFonts w:ascii="Arial" w:eastAsiaTheme="minorEastAsia" w:hAnsi="Arial" w:cs="Arial"/>
        </w:rPr>
      </w:r>
      <w:r w:rsidR="00D00E3E">
        <w:rPr>
          <w:rFonts w:ascii="Arial" w:eastAsiaTheme="minorEastAsia" w:hAnsi="Arial" w:cs="Arial"/>
        </w:rPr>
        <w:fldChar w:fldCharType="separate"/>
      </w:r>
      <w:r w:rsidR="00D00E3E">
        <w:t xml:space="preserve">Figure </w:t>
      </w:r>
      <w:r w:rsidR="00D00E3E">
        <w:rPr>
          <w:noProof/>
        </w:rPr>
        <w:t>3</w:t>
      </w:r>
      <w:r w:rsidR="00D00E3E">
        <w:rPr>
          <w:rFonts w:ascii="Arial" w:eastAsiaTheme="minorEastAsia" w:hAnsi="Arial" w:cs="Arial"/>
        </w:rPr>
        <w:fldChar w:fldCharType="end"/>
      </w:r>
      <w:r w:rsidR="00D00E3E">
        <w:rPr>
          <w:rFonts w:ascii="Arial" w:eastAsiaTheme="minorEastAsia" w:hAnsi="Arial" w:cs="Arial"/>
        </w:rPr>
        <w:t xml:space="preserve">. </w:t>
      </w:r>
      <w:r w:rsidRPr="00B10A7E">
        <w:rPr>
          <w:rFonts w:ascii="Arial" w:eastAsiaTheme="minorEastAsia" w:hAnsi="Arial" w:cs="Arial"/>
        </w:rPr>
        <w:t>For copper, the equation fitted on the S&amp;P Database is consistent with earlier literature</w:t>
      </w:r>
      <w:r w:rsidRPr="00B10A7E">
        <w:rPr>
          <w:rFonts w:ascii="Arial" w:eastAsiaTheme="minorEastAsia" w:hAnsi="Arial" w:cs="Arial"/>
        </w:rPr>
        <w:fldChar w:fldCharType="begin"/>
      </w:r>
      <w:r w:rsidR="0016542D">
        <w:rPr>
          <w:rFonts w:ascii="Arial" w:eastAsiaTheme="minorEastAsia" w:hAnsi="Arial" w:cs="Arial"/>
        </w:rPr>
        <w:instrText xml:space="preserve"> ADDIN ZOTERO_ITEM CSL_CITATION {"citationID":"Skxj3ukn","properties":{"formattedCitation":"\\super 9\\uc0\\u8211{}12\\nosupersub{}","plainCitation":"9–12","noteIndex":0},"citationItems":[{"id":1998,"uris":["http://zotero.org/users/10918866/items/Z85JHGUT"],"itemData":{"id":1998,"type":"article-journal","abstract":"In 1977, Taylor proposed a constant elasticity model relating capacity choice in mines to reserves. A test of this model using a very large (n = 1,195) dataset confirms its validity but obtains significantly different estimated values for the model coefficients. Capacity is somewhat inelastic with respect to reserves, with an elasticity of 0.65 estimated for open-pit plus block-cave underground mines and 0.56 for all other underground mines. These new estimates should be useful for capacity determinations as scoping studies and as a starting point for feasibility studies. The results are robust over a wide range of deposit types, deposit sizes, and time, consistent with physical constraints on mine capacity that are largely independent of technology.","container-title":"Natural Resources Research","DOI":"10.1007/s11053-009-9088-y","ISSN":"1573-8981","issue":"1","journalAbbreviation":"Nat Resour Res","language":"en","page":"57-63","source":"Springer Link","title":"A Test and Re-Estimation of Taylor’s Empirical Capacity–Reserve Relationship","volume":"18","author":[{"family":"Long","given":"Keith R."}],"issued":{"date-parts":[["2009",3,1]]}}},{"id":1999,"uris":["http://zotero.org/users/10918866/items/F63EHFKV"],"itemData":{"id":1999,"type":"report","number":"01-218","publisher":"USGS","title":"A Simplified Economic Filter for Open-Pit Mining and Heap-Leach Recovery of Copper in the United States","URL":"https://pubs.usgs.gov/of/2001/0218/pdf/of01-218.pdf","author":[{"family":"Long","given":"Keith R"},{"family":"Singer","given":"D. A."}],"issued":{"date-parts":[["2001"]]}}},{"id":2003,"uris":["http://zotero.org/users/10918866/items/68BIQCL5"],"itemData":{"id":2003,"type":"report","number":"98-207","title":"A Simplified Economic Filter for Open-Pit Gold-Silver Mining in the United States","URL":"https://pubs.usgs.gov/of/1998/0207/","author":[{"family":"Singer","given":"Donald"},{"family":"Menzie","given":"W. David"},{"family":"Long","given":"Keith R"}],"accessed":{"date-parts":[["2025",3,6]]},"issued":{"date-parts":[["1998"]]}}},{"id":2002,"uris":["http://zotero.org/users/10918866/items/4UUIHTNB"],"itemData":{"id":2002,"type":"report","DOI":"10.3133/ofr00349","ISSN":"2331-1258","language":"en","note":"container-title: Open-File Report","number":"2000-349","publisher":"U.S. Department of the Interior, U.S. Geological Survey,","source":"pubs.usgs.gov","title":"A simplified economic filter for underground mining of massive sulfide deposits","URL":"https://pubs.usgs.gov/publication/ofr00349","author":[{"family":"Singer","given":"D. A."},{"family":"Menzie","given":"W. D."},{"family":"Long","given":"Keith R."}],"accessed":{"date-parts":[["2025",3,6]]},"issued":{"date-parts":[["2000"]]}}}],"schema":"https://github.com/citation-style-language/schema/raw/master/csl-citation.json"} </w:instrText>
      </w:r>
      <w:r w:rsidRPr="00B10A7E">
        <w:rPr>
          <w:rFonts w:ascii="Arial" w:eastAsiaTheme="minorEastAsia" w:hAnsi="Arial" w:cs="Arial"/>
        </w:rPr>
        <w:fldChar w:fldCharType="separate"/>
      </w:r>
      <w:r w:rsidR="007E07E0" w:rsidRPr="00B10A7E">
        <w:rPr>
          <w:rFonts w:ascii="Arial" w:hAnsi="Arial" w:cs="Arial"/>
          <w:vertAlign w:val="superscript"/>
        </w:rPr>
        <w:t>9–12</w:t>
      </w:r>
      <w:r w:rsidRPr="00B10A7E">
        <w:rPr>
          <w:rFonts w:ascii="Arial" w:eastAsiaTheme="minorEastAsia" w:hAnsi="Arial" w:cs="Arial"/>
        </w:rPr>
        <w:fldChar w:fldCharType="end"/>
      </w:r>
      <w:r w:rsidRPr="00B10A7E">
        <w:rPr>
          <w:rFonts w:ascii="Arial" w:eastAsiaTheme="minorEastAsia" w:hAnsi="Arial" w:cs="Arial"/>
        </w:rPr>
        <w:t>. If reserves were not available, resources were transformed into reserves using a linear regression and Taylor’s law was used to transform these calculated reserves into production.</w:t>
      </w:r>
    </w:p>
    <w:p w14:paraId="102DF6F5" w14:textId="77777777" w:rsidR="00F256D1" w:rsidRPr="00E805E2" w:rsidRDefault="00F256D1" w:rsidP="00F256D1">
      <w:pPr>
        <w:pStyle w:val="paragraph"/>
        <w:spacing w:before="0" w:beforeAutospacing="0" w:after="0" w:afterAutospacing="0" w:line="276" w:lineRule="auto"/>
        <w:rPr>
          <w:rFonts w:ascii="Arial" w:eastAsiaTheme="minorEastAsia" w:hAnsi="Arial" w:cs="Arial"/>
          <w:color w:val="A02B93" w:themeColor="accent5"/>
          <w:sz w:val="20"/>
          <w:szCs w:val="20"/>
        </w:rPr>
      </w:pPr>
    </w:p>
    <w:p w14:paraId="7F82BCD8" w14:textId="77777777" w:rsidR="00F256D1" w:rsidRPr="00766470" w:rsidRDefault="00F256D1" w:rsidP="00F256D1">
      <w:pPr>
        <w:spacing w:line="257" w:lineRule="auto"/>
        <w:jc w:val="both"/>
        <w:rPr>
          <w:rFonts w:ascii="Arial" w:eastAsia="Aptos" w:hAnsi="Arial" w:cs="Arial"/>
          <w:b/>
          <w:bCs/>
          <w:sz w:val="20"/>
          <w:szCs w:val="20"/>
        </w:rPr>
      </w:pPr>
      <w:r w:rsidRPr="00766470">
        <w:rPr>
          <w:rFonts w:ascii="Arial" w:hAnsi="Arial" w:cs="Arial"/>
          <w:noProof/>
        </w:rPr>
        <w:lastRenderedPageBreak/>
        <w:drawing>
          <wp:inline distT="0" distB="0" distL="0" distR="0" wp14:anchorId="2161C829" wp14:editId="3F489A12">
            <wp:extent cx="5724524" cy="2352675"/>
            <wp:effectExtent l="0" t="0" r="0" b="0"/>
            <wp:docPr id="933292989" name="Picture 255925389" descr="A diagram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92989" name="Picture 255925389" descr="A diagram of different colored line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24524" cy="2352675"/>
                    </a:xfrm>
                    <a:prstGeom prst="rect">
                      <a:avLst/>
                    </a:prstGeom>
                  </pic:spPr>
                </pic:pic>
              </a:graphicData>
            </a:graphic>
          </wp:inline>
        </w:drawing>
      </w:r>
    </w:p>
    <w:p w14:paraId="559394B7" w14:textId="77777777" w:rsidR="00F256D1" w:rsidRDefault="00F256D1" w:rsidP="00F256D1">
      <w:pPr>
        <w:spacing w:line="257" w:lineRule="auto"/>
        <w:rPr>
          <w:rFonts w:ascii="Arial" w:eastAsia="Aptos" w:hAnsi="Arial" w:cs="Arial"/>
          <w:b/>
          <w:bCs/>
          <w:sz w:val="20"/>
          <w:szCs w:val="20"/>
        </w:rPr>
      </w:pPr>
      <w:r w:rsidRPr="00766470">
        <w:rPr>
          <w:rFonts w:ascii="Arial" w:hAnsi="Arial" w:cs="Arial"/>
          <w:noProof/>
        </w:rPr>
        <w:drawing>
          <wp:inline distT="0" distB="0" distL="0" distR="0" wp14:anchorId="5F4B81D3" wp14:editId="6EC05AF5">
            <wp:extent cx="5724524" cy="2352675"/>
            <wp:effectExtent l="0" t="0" r="0" b="0"/>
            <wp:docPr id="1646177603" name="Picture 1135595170" descr="A graph of different types of log sca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77603" name="Picture 1135595170" descr="A graph of different types of log sca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24524" cy="2352675"/>
                    </a:xfrm>
                    <a:prstGeom prst="rect">
                      <a:avLst/>
                    </a:prstGeom>
                  </pic:spPr>
                </pic:pic>
              </a:graphicData>
            </a:graphic>
          </wp:inline>
        </w:drawing>
      </w:r>
      <w:r w:rsidRPr="00766470">
        <w:rPr>
          <w:rFonts w:ascii="Arial" w:hAnsi="Arial" w:cs="Arial"/>
          <w:noProof/>
        </w:rPr>
        <w:drawing>
          <wp:inline distT="0" distB="0" distL="0" distR="0" wp14:anchorId="646E6B01" wp14:editId="7B0BE4E5">
            <wp:extent cx="5724524" cy="2352675"/>
            <wp:effectExtent l="0" t="0" r="0" b="0"/>
            <wp:docPr id="597016883" name="Picture 484185960" descr="A comparison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16883" name="Picture 484185960" descr="A comparison of a line graph&#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24524" cy="2352675"/>
                    </a:xfrm>
                    <a:prstGeom prst="rect">
                      <a:avLst/>
                    </a:prstGeom>
                  </pic:spPr>
                </pic:pic>
              </a:graphicData>
            </a:graphic>
          </wp:inline>
        </w:drawing>
      </w:r>
      <w:r w:rsidRPr="00766470">
        <w:rPr>
          <w:rFonts w:ascii="Arial" w:hAnsi="Arial" w:cs="Arial"/>
          <w:noProof/>
        </w:rPr>
        <w:lastRenderedPageBreak/>
        <w:drawing>
          <wp:inline distT="0" distB="0" distL="0" distR="0" wp14:anchorId="125915BD" wp14:editId="7EA3A08A">
            <wp:extent cx="5724524" cy="2352675"/>
            <wp:effectExtent l="0" t="0" r="0" b="0"/>
            <wp:docPr id="652642292" name="Picture 1538460295" descr="A graph of a number of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2292" name="Picture 1538460295" descr="A graph of a number of blue dot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24524" cy="2352675"/>
                    </a:xfrm>
                    <a:prstGeom prst="rect">
                      <a:avLst/>
                    </a:prstGeom>
                  </pic:spPr>
                </pic:pic>
              </a:graphicData>
            </a:graphic>
          </wp:inline>
        </w:drawing>
      </w:r>
      <w:r w:rsidRPr="00766470">
        <w:rPr>
          <w:rFonts w:ascii="Arial" w:hAnsi="Arial" w:cs="Arial"/>
          <w:noProof/>
        </w:rPr>
        <w:drawing>
          <wp:inline distT="0" distB="0" distL="0" distR="0" wp14:anchorId="6652C6C4" wp14:editId="10A03821">
            <wp:extent cx="5724524" cy="2343150"/>
            <wp:effectExtent l="0" t="0" r="0" b="0"/>
            <wp:docPr id="11508278" name="Picture 1482356946"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78" name="Picture 1482356946" descr="A graph of a line and a lin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r w:rsidRPr="00766470">
        <w:rPr>
          <w:rFonts w:ascii="Arial" w:hAnsi="Arial" w:cs="Arial"/>
          <w:noProof/>
        </w:rPr>
        <w:drawing>
          <wp:inline distT="0" distB="0" distL="0" distR="0" wp14:anchorId="6D96052E" wp14:editId="2F51A295">
            <wp:extent cx="5724524" cy="2343150"/>
            <wp:effectExtent l="0" t="0" r="0" b="0"/>
            <wp:docPr id="1544736764" name="Picture 654759194"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6764" name="Picture 654759194" descr="A comparison of a graph&#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14:paraId="7BD55C2D" w14:textId="38AD1450" w:rsidR="009F3AF4" w:rsidRPr="009F3AF4" w:rsidRDefault="009F3AF4" w:rsidP="009F3AF4">
      <w:pPr>
        <w:pStyle w:val="Caption"/>
      </w:pPr>
      <w:bookmarkStart w:id="24" w:name="_Ref214444549"/>
      <w:bookmarkStart w:id="25" w:name="_Toc211272386"/>
      <w:r>
        <w:t xml:space="preserve">Figure </w:t>
      </w:r>
      <w:fldSimple w:instr=" SEQ Figure \* ARABIC ">
        <w:r w:rsidR="00E1763F">
          <w:rPr>
            <w:noProof/>
          </w:rPr>
          <w:t>3</w:t>
        </w:r>
      </w:fldSimple>
      <w:bookmarkEnd w:id="24"/>
      <w:r w:rsidRPr="009F3AF4">
        <w:t>: Illustration of Taylor’s law for copper, lithium, cobalt, nickel, graphite, and manganese mines globally</w:t>
      </w:r>
      <w:bookmarkEnd w:id="25"/>
    </w:p>
    <w:p w14:paraId="168B5F57" w14:textId="77777777" w:rsidR="009F3AF4" w:rsidRPr="00766470" w:rsidRDefault="009F3AF4" w:rsidP="00F256D1">
      <w:pPr>
        <w:spacing w:line="257" w:lineRule="auto"/>
        <w:rPr>
          <w:rFonts w:ascii="Arial" w:eastAsia="Aptos" w:hAnsi="Arial" w:cs="Arial"/>
          <w:b/>
          <w:bCs/>
          <w:sz w:val="20"/>
          <w:szCs w:val="20"/>
        </w:rPr>
      </w:pPr>
    </w:p>
    <w:p w14:paraId="19BD2034"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078917B4" w14:textId="77777777" w:rsidR="00F256D1" w:rsidRPr="00B10A7E" w:rsidRDefault="00F256D1" w:rsidP="00F256D1">
      <w:pPr>
        <w:pStyle w:val="Heading3"/>
        <w:rPr>
          <w:rFonts w:ascii="Arial" w:hAnsi="Arial" w:cs="Arial"/>
          <w:b/>
          <w:bCs/>
          <w:color w:val="000000" w:themeColor="text1"/>
          <w:sz w:val="32"/>
          <w:szCs w:val="32"/>
        </w:rPr>
      </w:pPr>
      <w:bookmarkStart w:id="26" w:name="_Toc211272279"/>
      <w:r w:rsidRPr="00B10A7E">
        <w:rPr>
          <w:rFonts w:ascii="Arial" w:hAnsi="Arial" w:cs="Arial"/>
          <w:b/>
          <w:bCs/>
          <w:color w:val="000000" w:themeColor="text1"/>
          <w:sz w:val="24"/>
          <w:szCs w:val="24"/>
        </w:rPr>
        <w:t>2.2.5 Calibrating to future demand</w:t>
      </w:r>
      <w:bookmarkEnd w:id="26"/>
    </w:p>
    <w:p w14:paraId="315EF955" w14:textId="3376CE23" w:rsidR="00F256D1" w:rsidRPr="00A037CF" w:rsidRDefault="00F256D1" w:rsidP="00F256D1">
      <w:pPr>
        <w:jc w:val="both"/>
        <w:rPr>
          <w:rFonts w:ascii="Arial" w:hAnsi="Arial" w:cs="Arial"/>
        </w:rPr>
      </w:pPr>
      <w:r>
        <w:br/>
      </w:r>
      <w:r w:rsidRPr="00A037CF">
        <w:rPr>
          <w:rFonts w:ascii="Arial" w:hAnsi="Arial" w:cs="Arial"/>
        </w:rPr>
        <w:t xml:space="preserve">The primary goal of this report is not to precisely forecast mine-level future production but rather to identify optimal processing locations under various scenarios. Given the </w:t>
      </w:r>
      <w:r w:rsidRPr="00A037CF">
        <w:rPr>
          <w:rFonts w:ascii="Arial" w:hAnsi="Arial" w:cs="Arial"/>
        </w:rPr>
        <w:lastRenderedPageBreak/>
        <w:t>considerable uncertainty in future production estimates derived using Taylor’s Law and opening timelines, projected values for mines without initial S&amp;P data were adjusted to ensure the total production—combining S&amp;P-provided production values and those with imputed production based on hypothetical timelines and Taylor’s Law—aligns with demand projections from the International Energy Agency. The Announced Pledges Scenario was adopted as the medium case, the Stated Policies Scenario as the low case, and the Net Zero Emissions by 2050 Scenario as the high case</w:t>
      </w:r>
      <w:r w:rsidRPr="00A037CF">
        <w:rPr>
          <w:rFonts w:ascii="Arial" w:hAnsi="Arial" w:cs="Arial"/>
        </w:rPr>
        <w:fldChar w:fldCharType="begin"/>
      </w:r>
      <w:r w:rsidR="007E07E0">
        <w:rPr>
          <w:rFonts w:ascii="Arial" w:hAnsi="Arial" w:cs="Arial"/>
        </w:rPr>
        <w:instrText xml:space="preserve"> ADDIN ZOTERO_ITEM CSL_CITATION {"citationID":"MNgtb2nl","properties":{"formattedCitation":"\\super 13\\nosupersub{}","plainCitation":"13","noteIndex":0},"citationItems":[{"id":6366,"uris":["http://zotero.org/users/10918866/items/73VRX9VH"],"itemData":{"id":6366,"type":"report","abstract":"Abstract Critical minerals, which are essential for a range of energy technologies and for the broader economy, have become a major focus in global policy and trade discussions. Price volatility, supply chain bottlenecks and geopolitical concerns make the regular monitoring of their supply and demand extremely vital.","language":"en","publisher":"International Energy Agency","source":"Zotero","title":"Global Critical Minerals Outlook 2025","URL":"https://www.iea.org/reports/global-critical-minerals-outlook-2025","author":[{"family":"IEA","given":""}],"accessed":{"date-parts":[["2025",6,19]]},"issued":{"date-parts":[["2025"]]}}}],"schema":"https://github.com/citation-style-language/schema/raw/master/csl-citation.json"} </w:instrText>
      </w:r>
      <w:r w:rsidRPr="00A037CF">
        <w:rPr>
          <w:rFonts w:ascii="Arial" w:hAnsi="Arial" w:cs="Arial"/>
        </w:rPr>
        <w:fldChar w:fldCharType="separate"/>
      </w:r>
      <w:r w:rsidR="007E07E0" w:rsidRPr="007E07E0">
        <w:rPr>
          <w:rFonts w:ascii="Arial" w:hAnsi="Arial" w:cs="Arial"/>
          <w:kern w:val="0"/>
          <w:vertAlign w:val="superscript"/>
        </w:rPr>
        <w:t>13</w:t>
      </w:r>
      <w:r w:rsidRPr="00A037CF">
        <w:rPr>
          <w:rFonts w:ascii="Arial" w:hAnsi="Arial" w:cs="Arial"/>
        </w:rPr>
        <w:fldChar w:fldCharType="end"/>
      </w:r>
      <w:r w:rsidRPr="00A037CF">
        <w:rPr>
          <w:rFonts w:ascii="Arial" w:hAnsi="Arial" w:cs="Arial"/>
        </w:rPr>
        <w:t>. The adjustment shares applied to align production with demand projections are detailed in</w:t>
      </w:r>
      <w:r w:rsidR="007C1413">
        <w:rPr>
          <w:rFonts w:ascii="Arial" w:hAnsi="Arial" w:cs="Arial"/>
        </w:rPr>
        <w:t xml:space="preserve"> </w:t>
      </w:r>
      <w:r w:rsidR="007C1413">
        <w:rPr>
          <w:rFonts w:ascii="Arial" w:hAnsi="Arial" w:cs="Arial"/>
        </w:rPr>
        <w:fldChar w:fldCharType="begin"/>
      </w:r>
      <w:r w:rsidR="007C1413">
        <w:rPr>
          <w:rFonts w:ascii="Arial" w:hAnsi="Arial" w:cs="Arial"/>
        </w:rPr>
        <w:instrText xml:space="preserve"> REF _Ref214444574 \h </w:instrText>
      </w:r>
      <w:r w:rsidR="007C1413">
        <w:rPr>
          <w:rFonts w:ascii="Arial" w:hAnsi="Arial" w:cs="Arial"/>
        </w:rPr>
      </w:r>
      <w:r w:rsidR="007C1413">
        <w:rPr>
          <w:rFonts w:ascii="Arial" w:hAnsi="Arial" w:cs="Arial"/>
        </w:rPr>
        <w:fldChar w:fldCharType="separate"/>
      </w:r>
      <w:r w:rsidR="007C1413">
        <w:t xml:space="preserve">Table </w:t>
      </w:r>
      <w:r w:rsidR="007C1413">
        <w:rPr>
          <w:noProof/>
        </w:rPr>
        <w:t>4</w:t>
      </w:r>
      <w:r w:rsidR="007C1413">
        <w:rPr>
          <w:rFonts w:ascii="Arial" w:hAnsi="Arial" w:cs="Arial"/>
        </w:rPr>
        <w:fldChar w:fldCharType="end"/>
      </w:r>
      <w:r w:rsidRPr="00A037CF">
        <w:rPr>
          <w:rFonts w:ascii="Arial" w:hAnsi="Arial" w:cs="Arial"/>
        </w:rPr>
        <w:t>.</w:t>
      </w:r>
    </w:p>
    <w:p w14:paraId="238FFA69" w14:textId="77777777" w:rsidR="00F256D1" w:rsidRDefault="00F256D1" w:rsidP="00F256D1">
      <w:pPr>
        <w:pStyle w:val="paragraph"/>
        <w:spacing w:before="0" w:beforeAutospacing="0" w:after="0" w:afterAutospacing="0" w:line="276" w:lineRule="auto"/>
        <w:rPr>
          <w:rFonts w:ascii="Arial" w:hAnsi="Arial" w:cs="Arial"/>
          <w:b/>
          <w:bCs/>
          <w:sz w:val="22"/>
          <w:szCs w:val="22"/>
        </w:rPr>
      </w:pPr>
    </w:p>
    <w:p w14:paraId="6D1E6ED4" w14:textId="77777777" w:rsidR="00F256D1" w:rsidRPr="00766470" w:rsidRDefault="00F256D1" w:rsidP="00F256D1">
      <w:pPr>
        <w:pStyle w:val="paragraph"/>
        <w:spacing w:before="0" w:beforeAutospacing="0" w:after="0" w:afterAutospacing="0" w:line="276" w:lineRule="auto"/>
        <w:rPr>
          <w:rFonts w:ascii="Arial" w:hAnsi="Arial" w:cs="Arial"/>
          <w:b/>
          <w:bCs/>
          <w:sz w:val="22"/>
          <w:szCs w:val="22"/>
        </w:rPr>
      </w:pPr>
    </w:p>
    <w:p w14:paraId="438EB36D" w14:textId="1E683D9D" w:rsidR="00F256D1" w:rsidRPr="009F3AF4" w:rsidRDefault="007C1413" w:rsidP="007C1413">
      <w:pPr>
        <w:pStyle w:val="Caption"/>
      </w:pPr>
      <w:bookmarkStart w:id="27" w:name="_Ref214444574"/>
      <w:bookmarkStart w:id="28" w:name="_Toc211509399"/>
      <w:r>
        <w:t xml:space="preserve">Table </w:t>
      </w:r>
      <w:fldSimple w:instr=" SEQ Table \* ARABIC ">
        <w:r w:rsidR="00615C28">
          <w:t>4</w:t>
        </w:r>
      </w:fldSimple>
      <w:bookmarkEnd w:id="27"/>
      <w:r w:rsidR="00F256D1" w:rsidRPr="009F3AF4">
        <w:t>: Correction factors on calculated future production in order to match future demand</w:t>
      </w:r>
      <w:bookmarkEnd w:id="28"/>
    </w:p>
    <w:tbl>
      <w:tblPr>
        <w:tblW w:w="0" w:type="auto"/>
        <w:jc w:val="center"/>
        <w:tblLook w:val="04A0" w:firstRow="1" w:lastRow="0" w:firstColumn="1" w:lastColumn="0" w:noHBand="0" w:noVBand="1"/>
      </w:tblPr>
      <w:tblGrid>
        <w:gridCol w:w="1476"/>
        <w:gridCol w:w="831"/>
        <w:gridCol w:w="831"/>
        <w:gridCol w:w="872"/>
      </w:tblGrid>
      <w:tr w:rsidR="00F256D1" w:rsidRPr="00C352EA" w14:paraId="4F2210F2" w14:textId="77777777" w:rsidTr="00877C15">
        <w:trPr>
          <w:trHeight w:val="300"/>
          <w:jc w:val="center"/>
        </w:trPr>
        <w:tc>
          <w:tcPr>
            <w:tcW w:w="1476" w:type="dxa"/>
            <w:tcBorders>
              <w:top w:val="single" w:sz="4" w:space="0" w:color="auto"/>
              <w:left w:val="single" w:sz="4" w:space="0" w:color="000000"/>
              <w:bottom w:val="single" w:sz="4" w:space="0" w:color="auto"/>
              <w:right w:val="single" w:sz="4" w:space="0" w:color="000000"/>
            </w:tcBorders>
            <w:shd w:val="clear" w:color="auto" w:fill="B7D4EF" w:themeFill="text2" w:themeFillTint="33"/>
          </w:tcPr>
          <w:p w14:paraId="5486328A"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shd w:val="clear" w:color="auto" w:fill="B7D4EF" w:themeFill="text2" w:themeFillTint="33"/>
          </w:tcPr>
          <w:p w14:paraId="3B4DBF16"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shd w:val="clear" w:color="auto" w:fill="B7D4EF" w:themeFill="text2" w:themeFillTint="33"/>
          </w:tcPr>
          <w:p w14:paraId="30A87880"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2030</w:t>
            </w:r>
          </w:p>
        </w:tc>
        <w:tc>
          <w:tcPr>
            <w:tcW w:w="872" w:type="dxa"/>
            <w:tcBorders>
              <w:top w:val="single" w:sz="4" w:space="0" w:color="auto"/>
              <w:left w:val="single" w:sz="4" w:space="0" w:color="000000"/>
              <w:bottom w:val="single" w:sz="4" w:space="0" w:color="auto"/>
              <w:right w:val="single" w:sz="4" w:space="0" w:color="000000"/>
            </w:tcBorders>
            <w:shd w:val="clear" w:color="auto" w:fill="B7D4EF" w:themeFill="text2" w:themeFillTint="33"/>
          </w:tcPr>
          <w:p w14:paraId="4A23813E"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2040</w:t>
            </w:r>
          </w:p>
        </w:tc>
      </w:tr>
      <w:tr w:rsidR="00F256D1" w:rsidRPr="00C352EA" w14:paraId="7623EC24"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68F1038E"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Lithium</w:t>
            </w:r>
          </w:p>
        </w:tc>
        <w:tc>
          <w:tcPr>
            <w:tcW w:w="831" w:type="dxa"/>
            <w:tcBorders>
              <w:top w:val="single" w:sz="4" w:space="0" w:color="auto"/>
              <w:left w:val="single" w:sz="4" w:space="0" w:color="000000"/>
              <w:bottom w:val="single" w:sz="4" w:space="0" w:color="auto"/>
              <w:right w:val="single" w:sz="4" w:space="0" w:color="000000"/>
            </w:tcBorders>
          </w:tcPr>
          <w:p w14:paraId="01225128"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1C901498"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0.04</w:t>
            </w:r>
          </w:p>
        </w:tc>
        <w:tc>
          <w:tcPr>
            <w:tcW w:w="872" w:type="dxa"/>
            <w:tcBorders>
              <w:top w:val="single" w:sz="4" w:space="0" w:color="auto"/>
              <w:left w:val="single" w:sz="4" w:space="0" w:color="000000"/>
              <w:bottom w:val="single" w:sz="4" w:space="0" w:color="auto"/>
              <w:right w:val="single" w:sz="4" w:space="0" w:color="000000"/>
            </w:tcBorders>
          </w:tcPr>
          <w:p w14:paraId="5E72D36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4.22</w:t>
            </w:r>
          </w:p>
        </w:tc>
      </w:tr>
      <w:tr w:rsidR="00F256D1" w:rsidRPr="00C352EA" w14:paraId="22D224CA"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5B271690"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05998B53"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6E82B00A"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0.46</w:t>
            </w:r>
          </w:p>
        </w:tc>
        <w:tc>
          <w:tcPr>
            <w:tcW w:w="872" w:type="dxa"/>
            <w:tcBorders>
              <w:top w:val="single" w:sz="4" w:space="0" w:color="auto"/>
              <w:left w:val="single" w:sz="4" w:space="0" w:color="000000"/>
              <w:bottom w:val="single" w:sz="4" w:space="0" w:color="auto"/>
              <w:right w:val="single" w:sz="4" w:space="0" w:color="000000"/>
            </w:tcBorders>
          </w:tcPr>
          <w:p w14:paraId="26A85503"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6.27</w:t>
            </w:r>
          </w:p>
        </w:tc>
      </w:tr>
      <w:tr w:rsidR="00F256D1" w:rsidRPr="00C352EA" w14:paraId="06F9C9A6"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72DA24E8"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35C6DC1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28F5D896"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2.08</w:t>
            </w:r>
          </w:p>
        </w:tc>
        <w:tc>
          <w:tcPr>
            <w:tcW w:w="872" w:type="dxa"/>
            <w:tcBorders>
              <w:top w:val="single" w:sz="4" w:space="0" w:color="auto"/>
              <w:left w:val="single" w:sz="4" w:space="0" w:color="000000"/>
              <w:bottom w:val="single" w:sz="4" w:space="0" w:color="auto"/>
              <w:right w:val="single" w:sz="4" w:space="0" w:color="000000"/>
            </w:tcBorders>
          </w:tcPr>
          <w:p w14:paraId="7A82CCDA"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8.73</w:t>
            </w:r>
          </w:p>
        </w:tc>
      </w:tr>
      <w:tr w:rsidR="00F256D1" w:rsidRPr="00C352EA" w14:paraId="30F924FF"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37B9A1EC"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Cobalt</w:t>
            </w:r>
          </w:p>
        </w:tc>
        <w:tc>
          <w:tcPr>
            <w:tcW w:w="831" w:type="dxa"/>
            <w:tcBorders>
              <w:top w:val="single" w:sz="4" w:space="0" w:color="auto"/>
              <w:left w:val="single" w:sz="4" w:space="0" w:color="000000"/>
              <w:bottom w:val="single" w:sz="4" w:space="0" w:color="auto"/>
              <w:right w:val="single" w:sz="4" w:space="0" w:color="000000"/>
            </w:tcBorders>
          </w:tcPr>
          <w:p w14:paraId="6785B28C"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0F1FA092"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0.2</w:t>
            </w:r>
          </w:p>
        </w:tc>
        <w:tc>
          <w:tcPr>
            <w:tcW w:w="872" w:type="dxa"/>
            <w:tcBorders>
              <w:top w:val="single" w:sz="4" w:space="0" w:color="auto"/>
              <w:left w:val="single" w:sz="4" w:space="0" w:color="000000"/>
              <w:bottom w:val="single" w:sz="4" w:space="0" w:color="auto"/>
              <w:right w:val="single" w:sz="4" w:space="0" w:color="000000"/>
            </w:tcBorders>
          </w:tcPr>
          <w:p w14:paraId="4B5FB03E"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0.87</w:t>
            </w:r>
          </w:p>
        </w:tc>
      </w:tr>
      <w:tr w:rsidR="00F256D1" w:rsidRPr="00C352EA" w14:paraId="5BCC2055"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610D28BF"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50E1069F"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63C7D66E"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0.3</w:t>
            </w:r>
          </w:p>
        </w:tc>
        <w:tc>
          <w:tcPr>
            <w:tcW w:w="872" w:type="dxa"/>
            <w:tcBorders>
              <w:top w:val="single" w:sz="4" w:space="0" w:color="auto"/>
              <w:left w:val="single" w:sz="4" w:space="0" w:color="000000"/>
              <w:bottom w:val="single" w:sz="4" w:space="0" w:color="auto"/>
              <w:right w:val="single" w:sz="4" w:space="0" w:color="000000"/>
            </w:tcBorders>
          </w:tcPr>
          <w:p w14:paraId="047A1D8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1.06</w:t>
            </w:r>
          </w:p>
        </w:tc>
      </w:tr>
      <w:tr w:rsidR="00F256D1" w:rsidRPr="00C352EA" w14:paraId="71E01B58"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4101379E"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66BF80F6"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5BC35207"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0.88</w:t>
            </w:r>
          </w:p>
        </w:tc>
        <w:tc>
          <w:tcPr>
            <w:tcW w:w="872" w:type="dxa"/>
            <w:tcBorders>
              <w:top w:val="single" w:sz="4" w:space="0" w:color="auto"/>
              <w:left w:val="single" w:sz="4" w:space="0" w:color="000000"/>
              <w:bottom w:val="single" w:sz="4" w:space="0" w:color="auto"/>
              <w:right w:val="single" w:sz="4" w:space="0" w:color="000000"/>
            </w:tcBorders>
          </w:tcPr>
          <w:p w14:paraId="6F2ECFA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1.31</w:t>
            </w:r>
          </w:p>
        </w:tc>
      </w:tr>
      <w:tr w:rsidR="00F256D1" w:rsidRPr="00C352EA" w14:paraId="385609CC"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3D85E04D"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Copper</w:t>
            </w:r>
          </w:p>
        </w:tc>
        <w:tc>
          <w:tcPr>
            <w:tcW w:w="831" w:type="dxa"/>
            <w:tcBorders>
              <w:top w:val="single" w:sz="4" w:space="0" w:color="auto"/>
              <w:left w:val="single" w:sz="4" w:space="0" w:color="000000"/>
              <w:bottom w:val="single" w:sz="4" w:space="0" w:color="auto"/>
              <w:right w:val="single" w:sz="4" w:space="0" w:color="000000"/>
            </w:tcBorders>
          </w:tcPr>
          <w:p w14:paraId="53FAC203"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55F1D756"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0.11</w:t>
            </w:r>
          </w:p>
        </w:tc>
        <w:tc>
          <w:tcPr>
            <w:tcW w:w="872" w:type="dxa"/>
            <w:tcBorders>
              <w:top w:val="single" w:sz="4" w:space="0" w:color="auto"/>
              <w:left w:val="single" w:sz="4" w:space="0" w:color="000000"/>
              <w:bottom w:val="single" w:sz="4" w:space="0" w:color="auto"/>
              <w:right w:val="single" w:sz="4" w:space="0" w:color="000000"/>
            </w:tcBorders>
          </w:tcPr>
          <w:p w14:paraId="39DEEDD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0.67</w:t>
            </w:r>
          </w:p>
        </w:tc>
      </w:tr>
      <w:tr w:rsidR="00F256D1" w:rsidRPr="00C352EA" w14:paraId="4E91DF17"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57C2AAA7"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6219B6D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0F8723D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0.18</w:t>
            </w:r>
          </w:p>
        </w:tc>
        <w:tc>
          <w:tcPr>
            <w:tcW w:w="872" w:type="dxa"/>
            <w:tcBorders>
              <w:top w:val="single" w:sz="4" w:space="0" w:color="auto"/>
              <w:left w:val="single" w:sz="4" w:space="0" w:color="000000"/>
              <w:bottom w:val="single" w:sz="4" w:space="0" w:color="auto"/>
              <w:right w:val="single" w:sz="4" w:space="0" w:color="000000"/>
            </w:tcBorders>
          </w:tcPr>
          <w:p w14:paraId="4E77375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0.76</w:t>
            </w:r>
          </w:p>
        </w:tc>
      </w:tr>
      <w:tr w:rsidR="00F256D1" w:rsidRPr="00C352EA" w14:paraId="48D0EB65"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4D2845D4"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1D0BB301"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64DEF0CC"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0.32</w:t>
            </w:r>
          </w:p>
        </w:tc>
        <w:tc>
          <w:tcPr>
            <w:tcW w:w="872" w:type="dxa"/>
            <w:tcBorders>
              <w:top w:val="single" w:sz="4" w:space="0" w:color="auto"/>
              <w:left w:val="single" w:sz="4" w:space="0" w:color="000000"/>
              <w:bottom w:val="single" w:sz="4" w:space="0" w:color="auto"/>
              <w:right w:val="single" w:sz="4" w:space="0" w:color="000000"/>
            </w:tcBorders>
          </w:tcPr>
          <w:p w14:paraId="57C8AE3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0.93</w:t>
            </w:r>
          </w:p>
        </w:tc>
      </w:tr>
      <w:tr w:rsidR="00F256D1" w:rsidRPr="00C352EA" w14:paraId="3625D8AA"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11E352FE"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Graphite</w:t>
            </w:r>
          </w:p>
        </w:tc>
        <w:tc>
          <w:tcPr>
            <w:tcW w:w="831" w:type="dxa"/>
            <w:tcBorders>
              <w:top w:val="single" w:sz="4" w:space="0" w:color="auto"/>
              <w:left w:val="single" w:sz="4" w:space="0" w:color="000000"/>
              <w:bottom w:val="single" w:sz="4" w:space="0" w:color="auto"/>
              <w:right w:val="single" w:sz="4" w:space="0" w:color="000000"/>
            </w:tcBorders>
          </w:tcPr>
          <w:p w14:paraId="58F390D2"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1307AB1F"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5.1</w:t>
            </w:r>
          </w:p>
        </w:tc>
        <w:tc>
          <w:tcPr>
            <w:tcW w:w="872" w:type="dxa"/>
            <w:tcBorders>
              <w:top w:val="single" w:sz="4" w:space="0" w:color="auto"/>
              <w:left w:val="single" w:sz="4" w:space="0" w:color="000000"/>
              <w:bottom w:val="single" w:sz="4" w:space="0" w:color="auto"/>
              <w:right w:val="single" w:sz="4" w:space="0" w:color="000000"/>
            </w:tcBorders>
          </w:tcPr>
          <w:p w14:paraId="283C8E2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8.14</w:t>
            </w:r>
          </w:p>
        </w:tc>
      </w:tr>
      <w:tr w:rsidR="00F256D1" w:rsidRPr="00C352EA" w14:paraId="4D71B7E3"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64F5C693"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43CFE6E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19DAA65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5.5</w:t>
            </w:r>
          </w:p>
        </w:tc>
        <w:tc>
          <w:tcPr>
            <w:tcW w:w="872" w:type="dxa"/>
            <w:tcBorders>
              <w:top w:val="single" w:sz="4" w:space="0" w:color="auto"/>
              <w:left w:val="single" w:sz="4" w:space="0" w:color="000000"/>
              <w:bottom w:val="single" w:sz="4" w:space="0" w:color="auto"/>
              <w:right w:val="single" w:sz="4" w:space="0" w:color="000000"/>
            </w:tcBorders>
          </w:tcPr>
          <w:p w14:paraId="742BC000"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9.61</w:t>
            </w:r>
          </w:p>
        </w:tc>
      </w:tr>
      <w:tr w:rsidR="00F256D1" w:rsidRPr="00C352EA" w14:paraId="0BD21289"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1EA84AEC"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394EEFD7"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2453D61C"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7.03</w:t>
            </w:r>
          </w:p>
        </w:tc>
        <w:tc>
          <w:tcPr>
            <w:tcW w:w="872" w:type="dxa"/>
            <w:tcBorders>
              <w:top w:val="single" w:sz="4" w:space="0" w:color="auto"/>
              <w:left w:val="single" w:sz="4" w:space="0" w:color="000000"/>
              <w:bottom w:val="single" w:sz="4" w:space="0" w:color="auto"/>
              <w:right w:val="single" w:sz="4" w:space="0" w:color="000000"/>
            </w:tcBorders>
          </w:tcPr>
          <w:p w14:paraId="3F49C331"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11.61</w:t>
            </w:r>
          </w:p>
        </w:tc>
      </w:tr>
      <w:tr w:rsidR="00F256D1" w:rsidRPr="00C352EA" w14:paraId="6558E47B"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151DBC2F"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Nickel</w:t>
            </w:r>
          </w:p>
        </w:tc>
        <w:tc>
          <w:tcPr>
            <w:tcW w:w="831" w:type="dxa"/>
            <w:tcBorders>
              <w:top w:val="single" w:sz="4" w:space="0" w:color="auto"/>
              <w:left w:val="single" w:sz="4" w:space="0" w:color="000000"/>
              <w:bottom w:val="single" w:sz="4" w:space="0" w:color="auto"/>
              <w:right w:val="single" w:sz="4" w:space="0" w:color="000000"/>
            </w:tcBorders>
          </w:tcPr>
          <w:p w14:paraId="30C9033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2A8CE192"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0.46</w:t>
            </w:r>
          </w:p>
        </w:tc>
        <w:tc>
          <w:tcPr>
            <w:tcW w:w="872" w:type="dxa"/>
            <w:tcBorders>
              <w:top w:val="single" w:sz="4" w:space="0" w:color="auto"/>
              <w:left w:val="single" w:sz="4" w:space="0" w:color="000000"/>
              <w:bottom w:val="single" w:sz="4" w:space="0" w:color="auto"/>
              <w:right w:val="single" w:sz="4" w:space="0" w:color="000000"/>
            </w:tcBorders>
          </w:tcPr>
          <w:p w14:paraId="79B6654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1.52</w:t>
            </w:r>
          </w:p>
        </w:tc>
      </w:tr>
      <w:tr w:rsidR="00F256D1" w:rsidRPr="00C352EA" w14:paraId="351AF586"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1E4234CD"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6CF06873"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5DE3E4A8"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0.54</w:t>
            </w:r>
          </w:p>
        </w:tc>
        <w:tc>
          <w:tcPr>
            <w:tcW w:w="872" w:type="dxa"/>
            <w:tcBorders>
              <w:top w:val="single" w:sz="4" w:space="0" w:color="auto"/>
              <w:left w:val="single" w:sz="4" w:space="0" w:color="000000"/>
              <w:bottom w:val="single" w:sz="4" w:space="0" w:color="auto"/>
              <w:right w:val="single" w:sz="4" w:space="0" w:color="000000"/>
            </w:tcBorders>
          </w:tcPr>
          <w:p w14:paraId="0AC7FBFE"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1.64</w:t>
            </w:r>
          </w:p>
        </w:tc>
      </w:tr>
      <w:tr w:rsidR="00F256D1" w:rsidRPr="00C352EA" w14:paraId="06DB5C4C"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6649DCA3"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3AA23394"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7BA190D9"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0.81</w:t>
            </w:r>
          </w:p>
        </w:tc>
        <w:tc>
          <w:tcPr>
            <w:tcW w:w="872" w:type="dxa"/>
            <w:tcBorders>
              <w:top w:val="single" w:sz="4" w:space="0" w:color="auto"/>
              <w:left w:val="single" w:sz="4" w:space="0" w:color="000000"/>
              <w:bottom w:val="single" w:sz="4" w:space="0" w:color="auto"/>
              <w:right w:val="single" w:sz="4" w:space="0" w:color="000000"/>
            </w:tcBorders>
          </w:tcPr>
          <w:p w14:paraId="003EDE1B"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1.87</w:t>
            </w:r>
          </w:p>
        </w:tc>
      </w:tr>
      <w:tr w:rsidR="00F256D1" w:rsidRPr="00C352EA" w14:paraId="7C28B2C2" w14:textId="77777777" w:rsidTr="00877C15">
        <w:trPr>
          <w:trHeight w:val="300"/>
          <w:jc w:val="center"/>
        </w:trPr>
        <w:tc>
          <w:tcPr>
            <w:tcW w:w="1476" w:type="dxa"/>
            <w:vMerge w:val="restart"/>
            <w:tcBorders>
              <w:top w:val="single" w:sz="4" w:space="0" w:color="auto"/>
              <w:left w:val="single" w:sz="4" w:space="0" w:color="000000"/>
              <w:right w:val="single" w:sz="4" w:space="0" w:color="000000"/>
            </w:tcBorders>
            <w:shd w:val="clear" w:color="auto" w:fill="B7D4EF" w:themeFill="text2" w:themeFillTint="33"/>
            <w:vAlign w:val="center"/>
          </w:tcPr>
          <w:p w14:paraId="287082B7"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r w:rsidRPr="00E805E2">
              <w:rPr>
                <w:rFonts w:ascii="Arial" w:eastAsia="Arial" w:hAnsi="Arial" w:cs="Arial"/>
                <w:b/>
                <w:bCs/>
                <w:color w:val="156082" w:themeColor="accent1"/>
                <w:sz w:val="20"/>
                <w:szCs w:val="20"/>
                <w:lang w:val="en-US"/>
              </w:rPr>
              <w:t>Manganese</w:t>
            </w:r>
          </w:p>
        </w:tc>
        <w:tc>
          <w:tcPr>
            <w:tcW w:w="831" w:type="dxa"/>
            <w:tcBorders>
              <w:top w:val="single" w:sz="4" w:space="0" w:color="auto"/>
              <w:left w:val="single" w:sz="4" w:space="0" w:color="000000"/>
              <w:bottom w:val="single" w:sz="4" w:space="0" w:color="auto"/>
              <w:right w:val="single" w:sz="4" w:space="0" w:color="000000"/>
            </w:tcBorders>
          </w:tcPr>
          <w:p w14:paraId="7F5363AF"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Low</w:t>
            </w:r>
          </w:p>
        </w:tc>
        <w:tc>
          <w:tcPr>
            <w:tcW w:w="831" w:type="dxa"/>
            <w:tcBorders>
              <w:top w:val="single" w:sz="4" w:space="0" w:color="auto"/>
              <w:left w:val="single" w:sz="4" w:space="0" w:color="000000"/>
              <w:bottom w:val="single" w:sz="4" w:space="0" w:color="auto"/>
              <w:right w:val="single" w:sz="4" w:space="0" w:color="000000"/>
            </w:tcBorders>
          </w:tcPr>
          <w:p w14:paraId="3D2430E4"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0.37</w:t>
            </w:r>
          </w:p>
        </w:tc>
        <w:tc>
          <w:tcPr>
            <w:tcW w:w="872" w:type="dxa"/>
            <w:tcBorders>
              <w:top w:val="single" w:sz="4" w:space="0" w:color="auto"/>
              <w:left w:val="single" w:sz="4" w:space="0" w:color="000000"/>
              <w:bottom w:val="single" w:sz="4" w:space="0" w:color="auto"/>
              <w:right w:val="single" w:sz="4" w:space="0" w:color="000000"/>
            </w:tcBorders>
          </w:tcPr>
          <w:p w14:paraId="307463E2"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0.82</w:t>
            </w:r>
          </w:p>
        </w:tc>
      </w:tr>
      <w:tr w:rsidR="00F256D1" w:rsidRPr="00C352EA" w14:paraId="37F88A8D" w14:textId="77777777" w:rsidTr="00877C15">
        <w:trPr>
          <w:trHeight w:val="300"/>
          <w:jc w:val="center"/>
        </w:trPr>
        <w:tc>
          <w:tcPr>
            <w:tcW w:w="1476" w:type="dxa"/>
            <w:vMerge/>
            <w:tcBorders>
              <w:left w:val="single" w:sz="4" w:space="0" w:color="000000"/>
              <w:right w:val="single" w:sz="4" w:space="0" w:color="000000"/>
            </w:tcBorders>
            <w:shd w:val="clear" w:color="auto" w:fill="B7D4EF" w:themeFill="text2" w:themeFillTint="33"/>
          </w:tcPr>
          <w:p w14:paraId="405EBEA1"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0DC3ED99"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Mid</w:t>
            </w:r>
          </w:p>
        </w:tc>
        <w:tc>
          <w:tcPr>
            <w:tcW w:w="831" w:type="dxa"/>
            <w:tcBorders>
              <w:top w:val="single" w:sz="4" w:space="0" w:color="auto"/>
              <w:left w:val="single" w:sz="4" w:space="0" w:color="000000"/>
              <w:bottom w:val="single" w:sz="4" w:space="0" w:color="auto"/>
              <w:right w:val="single" w:sz="4" w:space="0" w:color="000000"/>
            </w:tcBorders>
          </w:tcPr>
          <w:p w14:paraId="307EC88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0.37</w:t>
            </w:r>
          </w:p>
        </w:tc>
        <w:tc>
          <w:tcPr>
            <w:tcW w:w="872" w:type="dxa"/>
            <w:tcBorders>
              <w:top w:val="single" w:sz="4" w:space="0" w:color="auto"/>
              <w:left w:val="single" w:sz="4" w:space="0" w:color="000000"/>
              <w:bottom w:val="single" w:sz="4" w:space="0" w:color="auto"/>
              <w:right w:val="single" w:sz="4" w:space="0" w:color="000000"/>
            </w:tcBorders>
          </w:tcPr>
          <w:p w14:paraId="0ADF6A2A"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0.82</w:t>
            </w:r>
          </w:p>
        </w:tc>
      </w:tr>
      <w:tr w:rsidR="00F256D1" w:rsidRPr="00C352EA" w14:paraId="75116FCB" w14:textId="77777777" w:rsidTr="00877C15">
        <w:trPr>
          <w:trHeight w:val="300"/>
          <w:jc w:val="center"/>
        </w:trPr>
        <w:tc>
          <w:tcPr>
            <w:tcW w:w="1476" w:type="dxa"/>
            <w:vMerge/>
            <w:tcBorders>
              <w:left w:val="single" w:sz="4" w:space="0" w:color="000000"/>
              <w:bottom w:val="single" w:sz="4" w:space="0" w:color="auto"/>
              <w:right w:val="single" w:sz="4" w:space="0" w:color="000000"/>
            </w:tcBorders>
            <w:shd w:val="clear" w:color="auto" w:fill="B7D4EF" w:themeFill="text2" w:themeFillTint="33"/>
          </w:tcPr>
          <w:p w14:paraId="54E80D07" w14:textId="77777777" w:rsidR="00F256D1" w:rsidRPr="00E805E2" w:rsidRDefault="00F256D1" w:rsidP="00877C15">
            <w:pPr>
              <w:spacing w:before="40" w:after="40" w:line="240" w:lineRule="exact"/>
              <w:ind w:left="113" w:right="57"/>
              <w:rPr>
                <w:rFonts w:ascii="Arial" w:eastAsia="Arial" w:hAnsi="Arial" w:cs="Arial"/>
                <w:b/>
                <w:bCs/>
                <w:color w:val="156082" w:themeColor="accent1"/>
                <w:sz w:val="20"/>
                <w:szCs w:val="20"/>
                <w:lang w:val="en-US"/>
              </w:rPr>
            </w:pPr>
          </w:p>
        </w:tc>
        <w:tc>
          <w:tcPr>
            <w:tcW w:w="831" w:type="dxa"/>
            <w:tcBorders>
              <w:top w:val="single" w:sz="4" w:space="0" w:color="auto"/>
              <w:left w:val="single" w:sz="4" w:space="0" w:color="000000"/>
              <w:bottom w:val="single" w:sz="4" w:space="0" w:color="auto"/>
              <w:right w:val="single" w:sz="4" w:space="0" w:color="000000"/>
            </w:tcBorders>
          </w:tcPr>
          <w:p w14:paraId="65489C28"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High</w:t>
            </w:r>
          </w:p>
        </w:tc>
        <w:tc>
          <w:tcPr>
            <w:tcW w:w="831" w:type="dxa"/>
            <w:tcBorders>
              <w:top w:val="single" w:sz="4" w:space="0" w:color="auto"/>
              <w:left w:val="single" w:sz="4" w:space="0" w:color="000000"/>
              <w:bottom w:val="single" w:sz="4" w:space="0" w:color="auto"/>
              <w:right w:val="single" w:sz="4" w:space="0" w:color="000000"/>
            </w:tcBorders>
          </w:tcPr>
          <w:p w14:paraId="2D9BA9D6"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0.37</w:t>
            </w:r>
          </w:p>
        </w:tc>
        <w:tc>
          <w:tcPr>
            <w:tcW w:w="872" w:type="dxa"/>
            <w:tcBorders>
              <w:top w:val="single" w:sz="4" w:space="0" w:color="auto"/>
              <w:left w:val="single" w:sz="4" w:space="0" w:color="000000"/>
              <w:bottom w:val="single" w:sz="4" w:space="0" w:color="auto"/>
              <w:right w:val="single" w:sz="4" w:space="0" w:color="000000"/>
            </w:tcBorders>
          </w:tcPr>
          <w:p w14:paraId="47CF4185" w14:textId="77777777" w:rsidR="00F256D1" w:rsidRPr="00134A07" w:rsidRDefault="00F256D1" w:rsidP="00877C15">
            <w:pPr>
              <w:spacing w:before="40" w:after="40" w:line="240" w:lineRule="exact"/>
              <w:ind w:left="113" w:right="57"/>
              <w:rPr>
                <w:rFonts w:ascii="Arial" w:eastAsia="Arial" w:hAnsi="Arial" w:cs="Arial"/>
                <w:sz w:val="20"/>
                <w:szCs w:val="20"/>
                <w:lang w:val="en-US"/>
              </w:rPr>
            </w:pPr>
            <w:r w:rsidRPr="00134A07">
              <w:rPr>
                <w:rFonts w:ascii="Arial" w:eastAsia="Arial" w:hAnsi="Arial" w:cs="Arial"/>
                <w:sz w:val="20"/>
                <w:szCs w:val="20"/>
                <w:lang w:val="en-US"/>
              </w:rPr>
              <w:t>0.82</w:t>
            </w:r>
          </w:p>
        </w:tc>
      </w:tr>
    </w:tbl>
    <w:p w14:paraId="38FAAED7"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p w14:paraId="04123DC2" w14:textId="77777777" w:rsidR="00F256D1" w:rsidRPr="00766470" w:rsidRDefault="00F256D1" w:rsidP="00F256D1">
      <w:pPr>
        <w:pStyle w:val="paragraph"/>
        <w:spacing w:before="0" w:beforeAutospacing="0" w:after="0" w:afterAutospacing="0" w:line="276" w:lineRule="auto"/>
        <w:rPr>
          <w:rFonts w:ascii="Arial" w:hAnsi="Arial" w:cs="Arial"/>
          <w:sz w:val="22"/>
          <w:szCs w:val="22"/>
        </w:rPr>
      </w:pPr>
    </w:p>
    <w:bookmarkStart w:id="29" w:name="_Hlk201230103"/>
    <w:p w14:paraId="4AD7F22D" w14:textId="06124BF8" w:rsidR="00F256D1" w:rsidRDefault="007C1413" w:rsidP="00F256D1">
      <w:pPr>
        <w:spacing w:line="257" w:lineRule="auto"/>
        <w:jc w:val="both"/>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REF _Ref214444601 \h </w:instrText>
      </w:r>
      <w:r>
        <w:rPr>
          <w:rFonts w:ascii="Arial" w:eastAsiaTheme="minorEastAsia" w:hAnsi="Arial" w:cs="Arial"/>
        </w:rPr>
      </w:r>
      <w:r>
        <w:rPr>
          <w:rFonts w:ascii="Arial" w:eastAsiaTheme="minorEastAsia" w:hAnsi="Arial" w:cs="Arial"/>
        </w:rPr>
        <w:fldChar w:fldCharType="separate"/>
      </w:r>
      <w:r>
        <w:t xml:space="preserve">Figure </w:t>
      </w:r>
      <w:r>
        <w:rPr>
          <w:noProof/>
        </w:rPr>
        <w:t>4</w:t>
      </w:r>
      <w:r>
        <w:rPr>
          <w:rFonts w:ascii="Arial" w:eastAsiaTheme="minorEastAsia" w:hAnsi="Arial" w:cs="Arial"/>
        </w:rPr>
        <w:fldChar w:fldCharType="end"/>
      </w:r>
      <w:r>
        <w:rPr>
          <w:rFonts w:ascii="Arial" w:eastAsiaTheme="minorEastAsia" w:hAnsi="Arial" w:cs="Arial"/>
        </w:rPr>
        <w:t xml:space="preserve"> </w:t>
      </w:r>
      <w:r w:rsidR="00F256D1" w:rsidRPr="00766470">
        <w:rPr>
          <w:rFonts w:ascii="Arial" w:eastAsiaTheme="minorEastAsia" w:hAnsi="Arial" w:cs="Arial"/>
        </w:rPr>
        <w:t xml:space="preserve">illustrates resulting global production projections for each mineral on this basis, together with regional production projections for Southern Africa, based on the assumption that the region’s market share remains constant and simply grows in line with the global market. </w:t>
      </w:r>
    </w:p>
    <w:p w14:paraId="597272C0" w14:textId="77777777" w:rsidR="00F256D1" w:rsidRDefault="00F256D1" w:rsidP="00F256D1">
      <w:pPr>
        <w:spacing w:line="257" w:lineRule="auto"/>
        <w:jc w:val="both"/>
        <w:rPr>
          <w:rFonts w:ascii="Arial" w:eastAsiaTheme="minorEastAsia" w:hAnsi="Arial" w:cs="Arial"/>
        </w:rPr>
      </w:pPr>
    </w:p>
    <w:p w14:paraId="16A917C1" w14:textId="77777777" w:rsidR="00F256D1" w:rsidRPr="00766470" w:rsidRDefault="00F256D1" w:rsidP="00F256D1">
      <w:pPr>
        <w:spacing w:line="257" w:lineRule="auto"/>
        <w:jc w:val="both"/>
        <w:rPr>
          <w:rFonts w:ascii="Arial" w:eastAsia="Cambria Math" w:hAnsi="Arial" w:cs="Arial"/>
        </w:rPr>
      </w:pPr>
    </w:p>
    <w:bookmarkEnd w:id="29"/>
    <w:p w14:paraId="7146BCC4" w14:textId="77777777" w:rsidR="00F256D1" w:rsidRDefault="00F256D1" w:rsidP="00F256D1">
      <w:r w:rsidRPr="007022A5">
        <w:rPr>
          <w:noProof/>
        </w:rPr>
        <w:lastRenderedPageBreak/>
        <w:drawing>
          <wp:inline distT="0" distB="0" distL="0" distR="0" wp14:anchorId="69D7051E" wp14:editId="78EC4BAD">
            <wp:extent cx="5731510" cy="2626360"/>
            <wp:effectExtent l="0" t="0" r="2540" b="2540"/>
            <wp:docPr id="97601899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899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2626360"/>
                    </a:xfrm>
                    <a:prstGeom prst="rect">
                      <a:avLst/>
                    </a:prstGeom>
                  </pic:spPr>
                </pic:pic>
              </a:graphicData>
            </a:graphic>
          </wp:inline>
        </w:drawing>
      </w:r>
      <w:r w:rsidRPr="007022A5">
        <w:rPr>
          <w:noProof/>
        </w:rPr>
        <w:drawing>
          <wp:inline distT="0" distB="0" distL="0" distR="0" wp14:anchorId="1C202EC0" wp14:editId="19AE3BD1">
            <wp:extent cx="5731510" cy="2626360"/>
            <wp:effectExtent l="0" t="0" r="2540" b="2540"/>
            <wp:docPr id="106434136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4136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2626360"/>
                    </a:xfrm>
                    <a:prstGeom prst="rect">
                      <a:avLst/>
                    </a:prstGeom>
                  </pic:spPr>
                </pic:pic>
              </a:graphicData>
            </a:graphic>
          </wp:inline>
        </w:drawing>
      </w:r>
    </w:p>
    <w:p w14:paraId="41C49A06" w14:textId="77777777" w:rsidR="00F256D1" w:rsidRDefault="00F256D1" w:rsidP="00F256D1">
      <w:r w:rsidRPr="007022A5">
        <w:rPr>
          <w:noProof/>
        </w:rPr>
        <w:drawing>
          <wp:inline distT="0" distB="0" distL="0" distR="0" wp14:anchorId="4C398004" wp14:editId="54F0F10B">
            <wp:extent cx="5731510" cy="2626360"/>
            <wp:effectExtent l="0" t="0" r="2540" b="2540"/>
            <wp:docPr id="71081857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8579"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2626360"/>
                    </a:xfrm>
                    <a:prstGeom prst="rect">
                      <a:avLst/>
                    </a:prstGeom>
                  </pic:spPr>
                </pic:pic>
              </a:graphicData>
            </a:graphic>
          </wp:inline>
        </w:drawing>
      </w:r>
    </w:p>
    <w:p w14:paraId="2E55A488" w14:textId="77777777" w:rsidR="00F256D1" w:rsidRDefault="00F256D1" w:rsidP="00F256D1">
      <w:r w:rsidRPr="007022A5">
        <w:rPr>
          <w:noProof/>
        </w:rPr>
        <w:lastRenderedPageBreak/>
        <w:drawing>
          <wp:inline distT="0" distB="0" distL="0" distR="0" wp14:anchorId="3A5C19CC" wp14:editId="7A56890A">
            <wp:extent cx="5731510" cy="2626360"/>
            <wp:effectExtent l="0" t="0" r="2540" b="2540"/>
            <wp:docPr id="193667307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307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2626360"/>
                    </a:xfrm>
                    <a:prstGeom prst="rect">
                      <a:avLst/>
                    </a:prstGeom>
                  </pic:spPr>
                </pic:pic>
              </a:graphicData>
            </a:graphic>
          </wp:inline>
        </w:drawing>
      </w:r>
    </w:p>
    <w:p w14:paraId="2695D2C5" w14:textId="77777777" w:rsidR="00F256D1" w:rsidRDefault="00F256D1" w:rsidP="00F256D1">
      <w:r w:rsidRPr="007022A5">
        <w:rPr>
          <w:noProof/>
        </w:rPr>
        <w:drawing>
          <wp:inline distT="0" distB="0" distL="0" distR="0" wp14:anchorId="64D42DFB" wp14:editId="3AF4DF02">
            <wp:extent cx="5731510" cy="2626360"/>
            <wp:effectExtent l="0" t="0" r="2540" b="2540"/>
            <wp:docPr id="14227655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655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626360"/>
                    </a:xfrm>
                    <a:prstGeom prst="rect">
                      <a:avLst/>
                    </a:prstGeom>
                  </pic:spPr>
                </pic:pic>
              </a:graphicData>
            </a:graphic>
          </wp:inline>
        </w:drawing>
      </w:r>
    </w:p>
    <w:p w14:paraId="5CC38F7B" w14:textId="2B618E73" w:rsidR="00F256D1" w:rsidRDefault="00F256D1" w:rsidP="00F256D1">
      <w:pPr>
        <w:rPr>
          <w:rFonts w:ascii="Arial" w:hAnsi="Arial" w:cs="Arial"/>
        </w:rPr>
      </w:pPr>
      <w:r w:rsidRPr="007022A5">
        <w:rPr>
          <w:noProof/>
        </w:rPr>
        <w:drawing>
          <wp:inline distT="0" distB="0" distL="0" distR="0" wp14:anchorId="5F1C2DFC" wp14:editId="571D09B7">
            <wp:extent cx="5731510" cy="2626360"/>
            <wp:effectExtent l="0" t="0" r="2540" b="2540"/>
            <wp:docPr id="34101838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1838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2626360"/>
                    </a:xfrm>
                    <a:prstGeom prst="rect">
                      <a:avLst/>
                    </a:prstGeom>
                  </pic:spPr>
                </pic:pic>
              </a:graphicData>
            </a:graphic>
          </wp:inline>
        </w:drawing>
      </w:r>
    </w:p>
    <w:p w14:paraId="23FFD44B" w14:textId="0B3608B2" w:rsidR="009F3AF4" w:rsidRPr="009F3AF4" w:rsidRDefault="009F3AF4" w:rsidP="009F3AF4">
      <w:pPr>
        <w:pStyle w:val="Caption"/>
      </w:pPr>
      <w:bookmarkStart w:id="30" w:name="_Ref214444601"/>
      <w:bookmarkStart w:id="31" w:name="_Toc211272387"/>
      <w:r>
        <w:t xml:space="preserve">Figure </w:t>
      </w:r>
      <w:fldSimple w:instr=" SEQ Figure \* ARABIC ">
        <w:r w:rsidR="00E1763F">
          <w:rPr>
            <w:noProof/>
          </w:rPr>
          <w:t>4</w:t>
        </w:r>
      </w:fldSimple>
      <w:bookmarkEnd w:id="30"/>
      <w:r w:rsidRPr="009F3AF4">
        <w:t>: Primary production projections globally and in Southern Africa. Note the y-axis has different ranges depending on the location and unit multipliers are shown in the top left corner of each graph.</w:t>
      </w:r>
      <w:bookmarkEnd w:id="31"/>
      <w:r w:rsidRPr="009F3AF4">
        <w:t xml:space="preserve"> </w:t>
      </w:r>
    </w:p>
    <w:p w14:paraId="7C1021EC" w14:textId="5BF5ED82" w:rsidR="00BE51B1" w:rsidRPr="00766470" w:rsidRDefault="00BE51B1" w:rsidP="00BE51B1">
      <w:pPr>
        <w:rPr>
          <w:rFonts w:ascii="Arial" w:hAnsi="Arial" w:cs="Arial"/>
        </w:rPr>
      </w:pPr>
      <w:r w:rsidRPr="00766470">
        <w:rPr>
          <w:rFonts w:ascii="Arial" w:hAnsi="Arial" w:cs="Arial"/>
        </w:rPr>
        <w:br w:type="page"/>
      </w:r>
    </w:p>
    <w:p w14:paraId="11F25F10" w14:textId="351A49B1" w:rsidR="00BE51B1" w:rsidRPr="00766470" w:rsidRDefault="00BE51B1" w:rsidP="00512EE5">
      <w:pPr>
        <w:pStyle w:val="Heading1"/>
        <w:numPr>
          <w:ilvl w:val="0"/>
          <w:numId w:val="60"/>
        </w:numPr>
        <w:rPr>
          <w:rFonts w:ascii="Arial" w:hAnsi="Arial" w:cs="Arial"/>
        </w:rPr>
      </w:pPr>
      <w:bookmarkStart w:id="32" w:name="_Toc211272280"/>
      <w:r w:rsidRPr="00766470">
        <w:rPr>
          <w:rFonts w:ascii="Arial" w:hAnsi="Arial" w:cs="Arial"/>
        </w:rPr>
        <w:lastRenderedPageBreak/>
        <w:t>Modelling Value Addition Along the Critical Minerals Supply Chain</w:t>
      </w:r>
      <w:bookmarkEnd w:id="32"/>
    </w:p>
    <w:p w14:paraId="1A3593E6" w14:textId="77777777" w:rsidR="00BE51B1" w:rsidRPr="00766470" w:rsidRDefault="00BE51B1" w:rsidP="00BE51B1">
      <w:pPr>
        <w:spacing w:line="276" w:lineRule="auto"/>
        <w:jc w:val="both"/>
        <w:rPr>
          <w:rFonts w:ascii="Arial" w:eastAsia="Calibri" w:hAnsi="Arial" w:cs="Arial"/>
        </w:rPr>
      </w:pPr>
      <w:r w:rsidRPr="00766470">
        <w:rPr>
          <w:rFonts w:ascii="Arial" w:hAnsi="Arial" w:cs="Arial"/>
        </w:rPr>
        <w:t>This Annex documents the detailed methodological steps used to model physical flows, as well as financial costs and revenues along the different stages of critical minerals value chains.</w:t>
      </w:r>
    </w:p>
    <w:p w14:paraId="1477A30B" w14:textId="77777777" w:rsidR="00BE51B1" w:rsidRPr="00134A07" w:rsidRDefault="00BE51B1" w:rsidP="00BE51B1">
      <w:pPr>
        <w:pStyle w:val="Heading2"/>
        <w:spacing w:after="40"/>
        <w:rPr>
          <w:rFonts w:ascii="Arial" w:hAnsi="Arial" w:cs="Arial"/>
          <w:b/>
          <w:bCs/>
          <w:color w:val="E97132" w:themeColor="accent2"/>
          <w:sz w:val="24"/>
          <w:szCs w:val="24"/>
        </w:rPr>
      </w:pPr>
      <w:bookmarkStart w:id="33" w:name="_Toc211272281"/>
      <w:r w:rsidRPr="00134A07">
        <w:rPr>
          <w:rFonts w:ascii="Arial" w:hAnsi="Arial" w:cs="Arial"/>
          <w:b/>
          <w:bCs/>
          <w:color w:val="E97132" w:themeColor="accent2"/>
          <w:sz w:val="24"/>
          <w:szCs w:val="24"/>
        </w:rPr>
        <w:t>3.1</w:t>
      </w:r>
      <w:r w:rsidRPr="00134A07">
        <w:rPr>
          <w:rFonts w:ascii="Arial" w:hAnsi="Arial" w:cs="Arial"/>
          <w:b/>
          <w:bCs/>
          <w:color w:val="E97132" w:themeColor="accent2"/>
          <w:sz w:val="24"/>
          <w:szCs w:val="24"/>
        </w:rPr>
        <w:tab/>
        <w:t>Physical modelling of critical minerals supply chains</w:t>
      </w:r>
      <w:bookmarkEnd w:id="33"/>
    </w:p>
    <w:p w14:paraId="4CB69138" w14:textId="77777777" w:rsidR="00BE51B1" w:rsidRPr="00AD40F3" w:rsidRDefault="00BE51B1" w:rsidP="00BE51B1">
      <w:pPr>
        <w:pStyle w:val="Heading3"/>
        <w:rPr>
          <w:rFonts w:ascii="Arial" w:hAnsi="Arial" w:cs="Arial"/>
          <w:b/>
          <w:bCs/>
          <w:sz w:val="24"/>
          <w:szCs w:val="24"/>
        </w:rPr>
      </w:pPr>
      <w:r w:rsidRPr="00766470">
        <w:rPr>
          <w:rFonts w:ascii="Arial" w:hAnsi="Arial" w:cs="Arial"/>
          <w:b/>
          <w:bCs/>
          <w:sz w:val="22"/>
          <w:szCs w:val="22"/>
        </w:rPr>
        <w:br/>
      </w:r>
      <w:bookmarkStart w:id="34" w:name="_Toc211272282"/>
      <w:r w:rsidRPr="00AD40F3">
        <w:rPr>
          <w:rFonts w:ascii="Arial" w:hAnsi="Arial" w:cs="Arial"/>
          <w:b/>
          <w:bCs/>
          <w:sz w:val="24"/>
          <w:szCs w:val="24"/>
        </w:rPr>
        <w:t>3.1.1</w:t>
      </w:r>
      <w:r w:rsidRPr="00AD40F3">
        <w:rPr>
          <w:rFonts w:ascii="Arial" w:hAnsi="Arial" w:cs="Arial"/>
          <w:b/>
          <w:bCs/>
          <w:sz w:val="24"/>
          <w:szCs w:val="24"/>
        </w:rPr>
        <w:tab/>
        <w:t>Relevant processing stages along the supply chain were identified.</w:t>
      </w:r>
      <w:bookmarkEnd w:id="34"/>
      <w:r w:rsidRPr="00AD40F3">
        <w:rPr>
          <w:rFonts w:ascii="Arial" w:hAnsi="Arial" w:cs="Arial"/>
          <w:b/>
          <w:bCs/>
          <w:sz w:val="24"/>
          <w:szCs w:val="24"/>
        </w:rPr>
        <w:t xml:space="preserve"> </w:t>
      </w:r>
    </w:p>
    <w:p w14:paraId="12EE0257" w14:textId="2A49BCE0" w:rsidR="00BE51B1" w:rsidRDefault="00BE51B1" w:rsidP="00BE51B1">
      <w:pPr>
        <w:spacing w:line="276" w:lineRule="auto"/>
        <w:jc w:val="both"/>
        <w:rPr>
          <w:rFonts w:ascii="Arial" w:eastAsia="Calibri" w:hAnsi="Arial" w:cs="Arial"/>
        </w:rPr>
      </w:pPr>
      <w:r>
        <w:rPr>
          <w:rFonts w:ascii="Arial" w:eastAsia="Calibri" w:hAnsi="Arial" w:cs="Arial"/>
        </w:rPr>
        <w:br/>
      </w:r>
      <w:r w:rsidRPr="009C2D67">
        <w:rPr>
          <w:rFonts w:ascii="Arial" w:eastAsia="Calibri" w:hAnsi="Arial" w:cs="Arial"/>
        </w:rPr>
        <w:t xml:space="preserve">For each of the six minerals covered, products are identified which are useful for battery precursor manufacturing. The target products for the 2040 scenarios with increasing processing ambition were carefully selected due to the steps required in the battery value chain. </w:t>
      </w:r>
      <w:r w:rsidR="007C1413">
        <w:rPr>
          <w:rFonts w:ascii="Arial" w:eastAsia="Calibri" w:hAnsi="Arial" w:cs="Arial"/>
        </w:rPr>
        <w:fldChar w:fldCharType="begin"/>
      </w:r>
      <w:r w:rsidR="007C1413">
        <w:rPr>
          <w:rFonts w:ascii="Arial" w:eastAsia="Calibri" w:hAnsi="Arial" w:cs="Arial"/>
        </w:rPr>
        <w:instrText xml:space="preserve"> REF _Ref214444632 \h </w:instrText>
      </w:r>
      <w:r w:rsidR="007C1413">
        <w:rPr>
          <w:rFonts w:ascii="Arial" w:eastAsia="Calibri" w:hAnsi="Arial" w:cs="Arial"/>
        </w:rPr>
      </w:r>
      <w:r w:rsidR="007C1413">
        <w:rPr>
          <w:rFonts w:ascii="Arial" w:eastAsia="Calibri" w:hAnsi="Arial" w:cs="Arial"/>
        </w:rPr>
        <w:fldChar w:fldCharType="separate"/>
      </w:r>
      <w:r w:rsidR="007C1413">
        <w:t xml:space="preserve">Table </w:t>
      </w:r>
      <w:r w:rsidR="007C1413">
        <w:rPr>
          <w:noProof/>
        </w:rPr>
        <w:t>5</w:t>
      </w:r>
      <w:r w:rsidR="007C1413">
        <w:rPr>
          <w:rFonts w:ascii="Arial" w:eastAsia="Calibri" w:hAnsi="Arial" w:cs="Arial"/>
        </w:rPr>
        <w:fldChar w:fldCharType="end"/>
      </w:r>
      <w:r w:rsidR="007C1413">
        <w:rPr>
          <w:rFonts w:ascii="Arial" w:eastAsia="Calibri" w:hAnsi="Arial" w:cs="Arial"/>
        </w:rPr>
        <w:t xml:space="preserve"> </w:t>
      </w:r>
      <w:r w:rsidRPr="009C2D67">
        <w:rPr>
          <w:rFonts w:ascii="Arial" w:eastAsia="Calibri" w:hAnsi="Arial" w:cs="Arial"/>
        </w:rPr>
        <w:t>shows the role of each target stage in battery value chains highlighting that high-density battery applications were prioiritised. Refined minerals such as copper cathodes have a wide range of applications outside of batteries and are a fundamental product for subsequent transformations. In turn, some products are very specific to battery applications such as graphite in spherical purified form which is as such to improve battery functioning.</w:t>
      </w:r>
      <w:r>
        <w:rPr>
          <w:rFonts w:ascii="Arial" w:eastAsia="Calibri" w:hAnsi="Arial" w:cs="Arial"/>
        </w:rPr>
        <w:t xml:space="preserve"> </w:t>
      </w:r>
    </w:p>
    <w:p w14:paraId="4FDC73C9" w14:textId="6A33FB89" w:rsidR="00BE51B1" w:rsidRPr="009F3AF4" w:rsidRDefault="007C1413" w:rsidP="007C1413">
      <w:pPr>
        <w:pStyle w:val="Caption"/>
      </w:pPr>
      <w:bookmarkStart w:id="35" w:name="_Ref214444632"/>
      <w:bookmarkStart w:id="36" w:name="_Toc211509400"/>
      <w:r>
        <w:t xml:space="preserve">Table </w:t>
      </w:r>
      <w:fldSimple w:instr=" SEQ Table \* ARABIC ">
        <w:r w:rsidR="00615C28">
          <w:t>5</w:t>
        </w:r>
      </w:fldSimple>
      <w:bookmarkEnd w:id="35"/>
      <w:r w:rsidR="00BE51B1" w:rsidRPr="009F3AF4">
        <w:t>: Overview of the role in battery value chains of the two focus stages assumed to be reached in critical minerals processing scenarios in this study.</w:t>
      </w:r>
      <w:bookmarkEnd w:id="36"/>
    </w:p>
    <w:tbl>
      <w:tblPr>
        <w:tblStyle w:val="TableGrid"/>
        <w:tblW w:w="9018" w:type="dxa"/>
        <w:tblLayout w:type="fixed"/>
        <w:tblLook w:val="06A0" w:firstRow="1" w:lastRow="0" w:firstColumn="1" w:lastColumn="0" w:noHBand="1" w:noVBand="1"/>
      </w:tblPr>
      <w:tblGrid>
        <w:gridCol w:w="1413"/>
        <w:gridCol w:w="2126"/>
        <w:gridCol w:w="2552"/>
        <w:gridCol w:w="2927"/>
      </w:tblGrid>
      <w:tr w:rsidR="00BE51B1" w:rsidRPr="007D3F22" w14:paraId="079C1F91" w14:textId="77777777" w:rsidTr="00877C15">
        <w:trPr>
          <w:trHeight w:val="310"/>
        </w:trPr>
        <w:tc>
          <w:tcPr>
            <w:tcW w:w="1413" w:type="dxa"/>
            <w:shd w:val="clear" w:color="auto" w:fill="B7D4EF" w:themeFill="text2" w:themeFillTint="33"/>
          </w:tcPr>
          <w:p w14:paraId="5752B7FD" w14:textId="77777777" w:rsidR="00BE51B1" w:rsidRPr="009E6108" w:rsidRDefault="00BE51B1" w:rsidP="00877C15">
            <w:pPr>
              <w:spacing w:before="120" w:after="120"/>
              <w:rPr>
                <w:rFonts w:ascii="Arial" w:eastAsia="Calibri" w:hAnsi="Arial" w:cs="Arial"/>
                <w:b/>
                <w:bCs/>
                <w:color w:val="156082" w:themeColor="accent1"/>
                <w:sz w:val="20"/>
                <w:szCs w:val="20"/>
              </w:rPr>
            </w:pPr>
            <w:r w:rsidRPr="00F12A74">
              <w:rPr>
                <w:rFonts w:ascii="Arial" w:eastAsia="Calibri" w:hAnsi="Arial" w:cs="Arial"/>
                <w:b/>
                <w:bCs/>
                <w:color w:val="156082" w:themeColor="accent1"/>
              </w:rPr>
              <w:t>Mineral</w:t>
            </w:r>
          </w:p>
        </w:tc>
        <w:tc>
          <w:tcPr>
            <w:tcW w:w="2126" w:type="dxa"/>
            <w:shd w:val="clear" w:color="auto" w:fill="B7D4EF" w:themeFill="text2" w:themeFillTint="33"/>
          </w:tcPr>
          <w:p w14:paraId="1B695A2D" w14:textId="77777777" w:rsidR="00BE51B1" w:rsidRPr="009E6108" w:rsidRDefault="00BE51B1" w:rsidP="00877C15">
            <w:pPr>
              <w:spacing w:before="120" w:after="120"/>
              <w:rPr>
                <w:rFonts w:ascii="Arial" w:hAnsi="Arial" w:cs="Arial"/>
                <w:b/>
                <w:bCs/>
                <w:color w:val="156082" w:themeColor="accent1"/>
              </w:rPr>
            </w:pPr>
            <w:r>
              <w:rPr>
                <w:rFonts w:ascii="Arial" w:hAnsi="Arial" w:cs="Arial"/>
                <w:b/>
                <w:bCs/>
                <w:color w:val="156082" w:themeColor="accent1"/>
              </w:rPr>
              <w:t>Selected products for refining targets</w:t>
            </w:r>
          </w:p>
        </w:tc>
        <w:tc>
          <w:tcPr>
            <w:tcW w:w="2552" w:type="dxa"/>
            <w:shd w:val="clear" w:color="auto" w:fill="B7D4EF" w:themeFill="text2" w:themeFillTint="33"/>
          </w:tcPr>
          <w:p w14:paraId="33B52E17" w14:textId="77777777" w:rsidR="00BE51B1" w:rsidRPr="009E6108" w:rsidRDefault="00BE51B1" w:rsidP="00877C15">
            <w:pPr>
              <w:spacing w:before="120" w:after="120"/>
              <w:rPr>
                <w:rFonts w:ascii="Arial" w:hAnsi="Arial" w:cs="Arial"/>
                <w:b/>
                <w:bCs/>
                <w:color w:val="156082" w:themeColor="accent1"/>
              </w:rPr>
            </w:pPr>
            <w:r>
              <w:rPr>
                <w:rFonts w:ascii="Arial" w:hAnsi="Arial" w:cs="Arial"/>
                <w:b/>
                <w:bCs/>
                <w:color w:val="156082" w:themeColor="accent1"/>
              </w:rPr>
              <w:t>Role in battery precursor application</w:t>
            </w:r>
          </w:p>
        </w:tc>
        <w:tc>
          <w:tcPr>
            <w:tcW w:w="2927" w:type="dxa"/>
            <w:shd w:val="clear" w:color="auto" w:fill="B7D4EF" w:themeFill="text2" w:themeFillTint="33"/>
          </w:tcPr>
          <w:p w14:paraId="48B5F59B" w14:textId="77777777" w:rsidR="00BE51B1" w:rsidRPr="009E6108" w:rsidRDefault="00BE51B1" w:rsidP="00877C15">
            <w:pPr>
              <w:spacing w:before="120" w:after="120"/>
              <w:rPr>
                <w:rFonts w:ascii="Arial" w:hAnsi="Arial" w:cs="Arial"/>
                <w:b/>
                <w:bCs/>
                <w:color w:val="156082" w:themeColor="accent1"/>
              </w:rPr>
            </w:pPr>
            <w:r>
              <w:rPr>
                <w:rFonts w:ascii="Arial" w:hAnsi="Arial" w:cs="Arial"/>
                <w:b/>
                <w:bCs/>
                <w:color w:val="156082" w:themeColor="accent1"/>
              </w:rPr>
              <w:t>Use in battery precursor application</w:t>
            </w:r>
          </w:p>
        </w:tc>
      </w:tr>
      <w:tr w:rsidR="00BE51B1" w:rsidRPr="007D3F22" w14:paraId="5DC0A520" w14:textId="77777777" w:rsidTr="00877C15">
        <w:trPr>
          <w:trHeight w:val="310"/>
        </w:trPr>
        <w:tc>
          <w:tcPr>
            <w:tcW w:w="1413" w:type="dxa"/>
            <w:vMerge w:val="restart"/>
            <w:vAlign w:val="center"/>
          </w:tcPr>
          <w:p w14:paraId="0B73B281"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t>Cobalt (Co)</w:t>
            </w:r>
          </w:p>
        </w:tc>
        <w:tc>
          <w:tcPr>
            <w:tcW w:w="2126" w:type="dxa"/>
          </w:tcPr>
          <w:p w14:paraId="7093B482"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 xml:space="preserve">Cobalt hydroxide </w:t>
            </w:r>
            <w:r w:rsidRPr="00AC1546">
              <w:rPr>
                <w:rFonts w:ascii="Arial" w:eastAsia="Calibri" w:hAnsi="Arial" w:cs="Arial"/>
                <w:sz w:val="20"/>
                <w:szCs w:val="20"/>
              </w:rPr>
              <w:t>(Co(OH)</w:t>
            </w:r>
            <w:r w:rsidRPr="00AC1546">
              <w:rPr>
                <w:rFonts w:ascii="Cambria Math" w:eastAsia="Calibri" w:hAnsi="Cambria Math" w:cs="Cambria Math"/>
                <w:sz w:val="20"/>
                <w:szCs w:val="20"/>
              </w:rPr>
              <w:t>₂</w:t>
            </w:r>
            <w:r w:rsidRPr="00AC1546">
              <w:rPr>
                <w:rFonts w:ascii="Arial" w:eastAsia="Calibri" w:hAnsi="Arial" w:cs="Arial"/>
                <w:sz w:val="20"/>
                <w:szCs w:val="20"/>
              </w:rPr>
              <w:t>)</w:t>
            </w:r>
          </w:p>
        </w:tc>
        <w:tc>
          <w:tcPr>
            <w:tcW w:w="2552" w:type="dxa"/>
          </w:tcPr>
          <w:p w14:paraId="6D80E186" w14:textId="77777777" w:rsidR="00BE51B1" w:rsidRPr="00766470" w:rsidRDefault="00BE51B1" w:rsidP="00877C15">
            <w:pPr>
              <w:spacing w:before="120" w:after="120"/>
              <w:rPr>
                <w:rFonts w:ascii="Arial" w:eastAsia="Calibri" w:hAnsi="Arial" w:cs="Arial"/>
                <w:sz w:val="20"/>
                <w:szCs w:val="20"/>
              </w:rPr>
            </w:pPr>
            <w:r w:rsidRPr="00B325E2">
              <w:rPr>
                <w:rFonts w:ascii="Arial" w:eastAsia="Calibri" w:hAnsi="Arial" w:cs="Arial"/>
                <w:sz w:val="20"/>
                <w:szCs w:val="20"/>
              </w:rPr>
              <w:t>An intermediate from cobalt ore refining (often a by-product of copper or nickel mining)</w:t>
            </w:r>
          </w:p>
        </w:tc>
        <w:tc>
          <w:tcPr>
            <w:tcW w:w="2927" w:type="dxa"/>
          </w:tcPr>
          <w:p w14:paraId="0458CD17"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 xml:space="preserve">Co hydroxide is </w:t>
            </w:r>
            <w:r w:rsidRPr="00B325E2">
              <w:rPr>
                <w:rFonts w:ascii="Arial" w:eastAsia="Calibri" w:hAnsi="Arial" w:cs="Arial"/>
                <w:sz w:val="20"/>
                <w:szCs w:val="20"/>
              </w:rPr>
              <w:t>stable</w:t>
            </w:r>
            <w:r>
              <w:rPr>
                <w:rFonts w:ascii="Arial" w:eastAsia="Calibri" w:hAnsi="Arial" w:cs="Arial"/>
                <w:sz w:val="20"/>
                <w:szCs w:val="20"/>
              </w:rPr>
              <w:t xml:space="preserve"> and </w:t>
            </w:r>
            <w:r w:rsidRPr="00B325E2">
              <w:rPr>
                <w:rFonts w:ascii="Arial" w:eastAsia="Calibri" w:hAnsi="Arial" w:cs="Arial"/>
                <w:sz w:val="20"/>
                <w:szCs w:val="20"/>
              </w:rPr>
              <w:t>transportable</w:t>
            </w:r>
            <w:r>
              <w:rPr>
                <w:rFonts w:ascii="Arial" w:eastAsia="Calibri" w:hAnsi="Arial" w:cs="Arial"/>
                <w:sz w:val="20"/>
                <w:szCs w:val="20"/>
              </w:rPr>
              <w:t xml:space="preserve"> but needs to be f</w:t>
            </w:r>
            <w:r w:rsidRPr="00B325E2">
              <w:rPr>
                <w:rFonts w:ascii="Arial" w:eastAsia="Calibri" w:hAnsi="Arial" w:cs="Arial"/>
                <w:sz w:val="20"/>
                <w:szCs w:val="20"/>
              </w:rPr>
              <w:t xml:space="preserve">urther refined and converted into </w:t>
            </w:r>
            <w:r w:rsidRPr="00AC1546">
              <w:rPr>
                <w:rFonts w:ascii="Arial" w:eastAsia="Calibri" w:hAnsi="Arial" w:cs="Arial"/>
                <w:sz w:val="20"/>
                <w:szCs w:val="20"/>
              </w:rPr>
              <w:t xml:space="preserve">cobalt sulphate </w:t>
            </w:r>
            <w:r>
              <w:rPr>
                <w:rFonts w:ascii="Arial" w:eastAsia="Calibri" w:hAnsi="Arial" w:cs="Arial"/>
                <w:sz w:val="20"/>
                <w:szCs w:val="20"/>
              </w:rPr>
              <w:t>to be used in battery applications</w:t>
            </w:r>
          </w:p>
        </w:tc>
      </w:tr>
      <w:tr w:rsidR="00BE51B1" w:rsidRPr="007D3F22" w14:paraId="68A76EB9" w14:textId="77777777" w:rsidTr="00877C15">
        <w:trPr>
          <w:trHeight w:val="310"/>
        </w:trPr>
        <w:tc>
          <w:tcPr>
            <w:tcW w:w="1413" w:type="dxa"/>
            <w:vMerge/>
          </w:tcPr>
          <w:p w14:paraId="428B9830"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005A41EF" w14:textId="77777777" w:rsidR="00BE51B1"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Cobalt sulphate</w:t>
            </w:r>
            <w:r>
              <w:rPr>
                <w:rFonts w:ascii="Arial" w:eastAsia="Calibri" w:hAnsi="Arial" w:cs="Arial"/>
                <w:sz w:val="20"/>
                <w:szCs w:val="20"/>
              </w:rPr>
              <w:t xml:space="preserve"> </w:t>
            </w:r>
            <w:r w:rsidRPr="00AC1546">
              <w:rPr>
                <w:rFonts w:ascii="Arial" w:eastAsia="Calibri" w:hAnsi="Arial" w:cs="Arial"/>
                <w:sz w:val="20"/>
                <w:szCs w:val="20"/>
              </w:rPr>
              <w:t>(CoSO</w:t>
            </w:r>
            <w:r w:rsidRPr="00AC1546">
              <w:rPr>
                <w:rFonts w:ascii="Cambria Math" w:eastAsia="Calibri" w:hAnsi="Cambria Math" w:cs="Cambria Math"/>
                <w:sz w:val="20"/>
                <w:szCs w:val="20"/>
              </w:rPr>
              <w:t>₄</w:t>
            </w:r>
            <w:r w:rsidRPr="00AC1546">
              <w:rPr>
                <w:rFonts w:ascii="Arial" w:eastAsia="Calibri" w:hAnsi="Arial" w:cs="Arial"/>
                <w:sz w:val="20"/>
                <w:szCs w:val="20"/>
              </w:rPr>
              <w:t>)</w:t>
            </w:r>
          </w:p>
        </w:tc>
        <w:tc>
          <w:tcPr>
            <w:tcW w:w="2552" w:type="dxa"/>
          </w:tcPr>
          <w:p w14:paraId="21A00ECB"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A critical precursor for making </w:t>
            </w:r>
            <w:r w:rsidRPr="00AC1546">
              <w:rPr>
                <w:rFonts w:ascii="Arial" w:eastAsia="Calibri" w:hAnsi="Arial" w:cs="Arial"/>
                <w:sz w:val="20"/>
                <w:szCs w:val="20"/>
              </w:rPr>
              <w:t>cathode active materials (CAMs)</w:t>
            </w:r>
          </w:p>
        </w:tc>
        <w:tc>
          <w:tcPr>
            <w:tcW w:w="2927" w:type="dxa"/>
          </w:tcPr>
          <w:p w14:paraId="14645898"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Co sulphate is c</w:t>
            </w:r>
            <w:r w:rsidRPr="007D6549">
              <w:rPr>
                <w:rFonts w:ascii="Arial" w:eastAsia="Calibri" w:hAnsi="Arial" w:cs="Arial"/>
                <w:sz w:val="20"/>
                <w:szCs w:val="20"/>
              </w:rPr>
              <w:t>ombined with nickel and manganese sulphates to form</w:t>
            </w:r>
            <w:r w:rsidRPr="00AC1546">
              <w:rPr>
                <w:rFonts w:ascii="Arial" w:eastAsia="Calibri" w:hAnsi="Arial" w:cs="Arial"/>
                <w:sz w:val="20"/>
                <w:szCs w:val="20"/>
              </w:rPr>
              <w:t xml:space="preserve"> NMC or NCA cathode</w:t>
            </w:r>
            <w:r w:rsidRPr="007D6549">
              <w:rPr>
                <w:rFonts w:ascii="Arial" w:eastAsia="Calibri" w:hAnsi="Arial" w:cs="Arial"/>
                <w:sz w:val="20"/>
                <w:szCs w:val="20"/>
              </w:rPr>
              <w:t xml:space="preserve"> chemistries. Cobalt helps improve thermal stability, cycle life, and safety of the cathode</w:t>
            </w:r>
          </w:p>
        </w:tc>
      </w:tr>
      <w:tr w:rsidR="00BE51B1" w:rsidRPr="007D3F22" w14:paraId="626C01C0" w14:textId="77777777" w:rsidTr="00877C15">
        <w:trPr>
          <w:trHeight w:val="310"/>
        </w:trPr>
        <w:tc>
          <w:tcPr>
            <w:tcW w:w="1413" w:type="dxa"/>
            <w:vMerge w:val="restart"/>
            <w:vAlign w:val="center"/>
          </w:tcPr>
          <w:p w14:paraId="7A4F8F30"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t>Copper (Cu)</w:t>
            </w:r>
          </w:p>
        </w:tc>
        <w:tc>
          <w:tcPr>
            <w:tcW w:w="2126" w:type="dxa"/>
          </w:tcPr>
          <w:p w14:paraId="5935186D"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Copper c</w:t>
            </w:r>
            <w:r w:rsidRPr="00766470">
              <w:rPr>
                <w:rFonts w:ascii="Arial" w:eastAsia="Calibri" w:hAnsi="Arial" w:cs="Arial"/>
                <w:sz w:val="20"/>
                <w:szCs w:val="20"/>
              </w:rPr>
              <w:t>athode</w:t>
            </w:r>
          </w:p>
        </w:tc>
        <w:tc>
          <w:tcPr>
            <w:tcW w:w="2552" w:type="dxa"/>
          </w:tcPr>
          <w:p w14:paraId="64F6EE54" w14:textId="77777777" w:rsidR="00BE51B1" w:rsidRPr="00766470" w:rsidRDefault="00BE51B1" w:rsidP="00877C15">
            <w:pPr>
              <w:spacing w:before="120" w:after="120"/>
              <w:rPr>
                <w:rFonts w:ascii="Arial" w:eastAsia="Calibri" w:hAnsi="Arial" w:cs="Arial"/>
                <w:sz w:val="20"/>
                <w:szCs w:val="20"/>
              </w:rPr>
            </w:pPr>
            <w:r w:rsidRPr="00B325E2">
              <w:rPr>
                <w:rFonts w:ascii="Arial" w:eastAsia="Calibri" w:hAnsi="Arial" w:cs="Arial"/>
                <w:sz w:val="20"/>
                <w:szCs w:val="20"/>
              </w:rPr>
              <w:t>The refined form of copper metal, produced via electrorefining or solvent extraction/electrowinning</w:t>
            </w:r>
          </w:p>
        </w:tc>
        <w:tc>
          <w:tcPr>
            <w:tcW w:w="2927" w:type="dxa"/>
          </w:tcPr>
          <w:p w14:paraId="7021F975"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It needs to be further transformed into copper sulphate and copper foil to be used in battery applications</w:t>
            </w:r>
          </w:p>
        </w:tc>
      </w:tr>
      <w:tr w:rsidR="00BE51B1" w:rsidRPr="007D3F22" w14:paraId="7BE295C1" w14:textId="77777777" w:rsidTr="00877C15">
        <w:trPr>
          <w:trHeight w:val="310"/>
        </w:trPr>
        <w:tc>
          <w:tcPr>
            <w:tcW w:w="1413" w:type="dxa"/>
            <w:vMerge/>
          </w:tcPr>
          <w:p w14:paraId="648C1384"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6CD596F4" w14:textId="77777777" w:rsidR="00BE51B1"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Copper sulphate</w:t>
            </w:r>
            <w:r>
              <w:rPr>
                <w:rFonts w:ascii="Arial" w:eastAsia="Calibri" w:hAnsi="Arial" w:cs="Arial"/>
                <w:sz w:val="20"/>
                <w:szCs w:val="20"/>
              </w:rPr>
              <w:t xml:space="preserve"> </w:t>
            </w:r>
            <w:r w:rsidRPr="00712037">
              <w:rPr>
                <w:rFonts w:ascii="Arial" w:eastAsia="Calibri" w:hAnsi="Arial" w:cs="Arial"/>
                <w:sz w:val="20"/>
                <w:szCs w:val="20"/>
              </w:rPr>
              <w:t>(CuSO</w:t>
            </w:r>
            <w:r w:rsidRPr="00712037">
              <w:rPr>
                <w:rFonts w:ascii="Cambria Math" w:eastAsia="Calibri" w:hAnsi="Cambria Math" w:cs="Cambria Math"/>
                <w:sz w:val="20"/>
                <w:szCs w:val="20"/>
              </w:rPr>
              <w:t>₄</w:t>
            </w:r>
            <w:r w:rsidRPr="00712037">
              <w:rPr>
                <w:rFonts w:ascii="Arial" w:eastAsia="Calibri" w:hAnsi="Arial" w:cs="Arial"/>
                <w:sz w:val="20"/>
                <w:szCs w:val="20"/>
              </w:rPr>
              <w:t>)</w:t>
            </w:r>
          </w:p>
        </w:tc>
        <w:tc>
          <w:tcPr>
            <w:tcW w:w="2552" w:type="dxa"/>
          </w:tcPr>
          <w:p w14:paraId="590CECF9"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Used to produce </w:t>
            </w:r>
            <w:r w:rsidRPr="007F6486">
              <w:rPr>
                <w:rFonts w:ascii="Arial" w:eastAsia="Calibri" w:hAnsi="Arial" w:cs="Arial"/>
                <w:sz w:val="20"/>
                <w:szCs w:val="20"/>
              </w:rPr>
              <w:t>copper foil</w:t>
            </w:r>
            <w:r w:rsidRPr="007D6549">
              <w:rPr>
                <w:rFonts w:ascii="Arial" w:eastAsia="Calibri" w:hAnsi="Arial" w:cs="Arial"/>
                <w:sz w:val="20"/>
                <w:szCs w:val="20"/>
              </w:rPr>
              <w:t xml:space="preserve"> via electroplating.</w:t>
            </w:r>
          </w:p>
        </w:tc>
        <w:tc>
          <w:tcPr>
            <w:tcW w:w="2927" w:type="dxa"/>
          </w:tcPr>
          <w:p w14:paraId="5FEC00AB"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Copper foil serves as the </w:t>
            </w:r>
            <w:r w:rsidRPr="007F6486">
              <w:rPr>
                <w:rFonts w:ascii="Arial" w:eastAsia="Calibri" w:hAnsi="Arial" w:cs="Arial"/>
                <w:sz w:val="20"/>
                <w:szCs w:val="20"/>
              </w:rPr>
              <w:t>current collector for the anode</w:t>
            </w:r>
            <w:r w:rsidRPr="007D6549">
              <w:rPr>
                <w:rFonts w:ascii="Arial" w:eastAsia="Calibri" w:hAnsi="Arial" w:cs="Arial"/>
                <w:sz w:val="20"/>
                <w:szCs w:val="20"/>
              </w:rPr>
              <w:t xml:space="preserve"> in LIBs. It provides the </w:t>
            </w:r>
            <w:r w:rsidRPr="007D6549">
              <w:rPr>
                <w:rFonts w:ascii="Arial" w:eastAsia="Calibri" w:hAnsi="Arial" w:cs="Arial"/>
                <w:sz w:val="20"/>
                <w:szCs w:val="20"/>
              </w:rPr>
              <w:lastRenderedPageBreak/>
              <w:t>conductive base onto which active anode materials (like graphite) are coated</w:t>
            </w:r>
          </w:p>
        </w:tc>
      </w:tr>
      <w:tr w:rsidR="00BE51B1" w:rsidRPr="007D3F22" w14:paraId="128A21F2" w14:textId="77777777" w:rsidTr="00877C15">
        <w:trPr>
          <w:trHeight w:val="310"/>
        </w:trPr>
        <w:tc>
          <w:tcPr>
            <w:tcW w:w="1413" w:type="dxa"/>
            <w:vMerge w:val="restart"/>
            <w:vAlign w:val="center"/>
          </w:tcPr>
          <w:p w14:paraId="3E98140F"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lastRenderedPageBreak/>
              <w:t>Graphite (Gr)</w:t>
            </w:r>
          </w:p>
        </w:tc>
        <w:tc>
          <w:tcPr>
            <w:tcW w:w="2126" w:type="dxa"/>
          </w:tcPr>
          <w:p w14:paraId="6B466288"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Spherical graphite</w:t>
            </w:r>
          </w:p>
        </w:tc>
        <w:tc>
          <w:tcPr>
            <w:tcW w:w="2552" w:type="dxa"/>
          </w:tcPr>
          <w:p w14:paraId="063EE881"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First step towards producing an anode-relevant graphite product</w:t>
            </w:r>
          </w:p>
        </w:tc>
        <w:tc>
          <w:tcPr>
            <w:tcW w:w="2927" w:type="dxa"/>
          </w:tcPr>
          <w:p w14:paraId="366A6253" w14:textId="77777777" w:rsidR="00BE51B1" w:rsidRPr="007D6549" w:rsidRDefault="00BE51B1" w:rsidP="00877C15">
            <w:pPr>
              <w:spacing w:before="120" w:after="120"/>
              <w:rPr>
                <w:rFonts w:ascii="Arial" w:eastAsia="Calibri" w:hAnsi="Arial" w:cs="Arial"/>
                <w:sz w:val="20"/>
                <w:szCs w:val="20"/>
              </w:rPr>
            </w:pPr>
            <w:r>
              <w:rPr>
                <w:rFonts w:ascii="Arial" w:eastAsia="Calibri" w:hAnsi="Arial" w:cs="Arial"/>
                <w:sz w:val="20"/>
                <w:szCs w:val="20"/>
              </w:rPr>
              <w:t xml:space="preserve">The </w:t>
            </w:r>
            <w:r w:rsidRPr="007D6549">
              <w:rPr>
                <w:rFonts w:ascii="Arial" w:eastAsia="Calibri" w:hAnsi="Arial" w:cs="Arial"/>
                <w:sz w:val="20"/>
                <w:szCs w:val="20"/>
              </w:rPr>
              <w:t>spherical form</w:t>
            </w:r>
            <w:r>
              <w:rPr>
                <w:rFonts w:ascii="Arial" w:eastAsia="Calibri" w:hAnsi="Arial" w:cs="Arial"/>
                <w:sz w:val="20"/>
                <w:szCs w:val="20"/>
              </w:rPr>
              <w:t xml:space="preserve"> </w:t>
            </w:r>
            <w:r w:rsidRPr="007D6549">
              <w:rPr>
                <w:rFonts w:ascii="Arial" w:eastAsia="Calibri" w:hAnsi="Arial" w:cs="Arial"/>
                <w:sz w:val="20"/>
                <w:szCs w:val="20"/>
              </w:rPr>
              <w:t>improves packing density, cycle life, and electrical conductivity</w:t>
            </w:r>
            <w:r>
              <w:rPr>
                <w:rFonts w:ascii="Arial" w:eastAsia="Calibri" w:hAnsi="Arial" w:cs="Arial"/>
                <w:sz w:val="20"/>
                <w:szCs w:val="20"/>
              </w:rPr>
              <w:t xml:space="preserve"> of the anode active material</w:t>
            </w:r>
          </w:p>
          <w:p w14:paraId="2A4ACC3E" w14:textId="77777777" w:rsidR="00BE51B1" w:rsidRPr="00766470" w:rsidRDefault="00BE51B1" w:rsidP="00877C15">
            <w:pPr>
              <w:spacing w:before="120" w:after="120"/>
              <w:rPr>
                <w:rFonts w:ascii="Arial" w:eastAsia="Calibri" w:hAnsi="Arial" w:cs="Arial"/>
                <w:sz w:val="20"/>
                <w:szCs w:val="20"/>
              </w:rPr>
            </w:pPr>
          </w:p>
        </w:tc>
      </w:tr>
      <w:tr w:rsidR="00BE51B1" w:rsidRPr="007D3F22" w14:paraId="2907229F" w14:textId="77777777" w:rsidTr="00877C15">
        <w:trPr>
          <w:trHeight w:val="310"/>
        </w:trPr>
        <w:tc>
          <w:tcPr>
            <w:tcW w:w="1413" w:type="dxa"/>
            <w:vMerge/>
          </w:tcPr>
          <w:p w14:paraId="5844F5F6"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689CCF48"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Spherical purified graphite</w:t>
            </w:r>
          </w:p>
        </w:tc>
        <w:tc>
          <w:tcPr>
            <w:tcW w:w="2552" w:type="dxa"/>
          </w:tcPr>
          <w:p w14:paraId="62C8F317"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The </w:t>
            </w:r>
            <w:r>
              <w:rPr>
                <w:rFonts w:ascii="Arial" w:eastAsia="Calibri" w:hAnsi="Arial" w:cs="Arial"/>
                <w:sz w:val="20"/>
                <w:szCs w:val="20"/>
              </w:rPr>
              <w:t xml:space="preserve">second step towards producing an </w:t>
            </w:r>
            <w:r w:rsidRPr="007F6486">
              <w:rPr>
                <w:rFonts w:ascii="Arial" w:eastAsia="Calibri" w:hAnsi="Arial" w:cs="Arial"/>
                <w:sz w:val="20"/>
                <w:szCs w:val="20"/>
              </w:rPr>
              <w:t>anode-relevant product.</w:t>
            </w:r>
            <w:r>
              <w:rPr>
                <w:rFonts w:ascii="Arial" w:eastAsia="Calibri" w:hAnsi="Arial" w:cs="Arial"/>
                <w:sz w:val="20"/>
                <w:szCs w:val="20"/>
              </w:rPr>
              <w:t xml:space="preserve"> The final step involves coating the spherical purified graphite to become the anode-active material (AAM)</w:t>
            </w:r>
          </w:p>
        </w:tc>
        <w:tc>
          <w:tcPr>
            <w:tcW w:w="2927" w:type="dxa"/>
          </w:tcPr>
          <w:p w14:paraId="5222B5D0" w14:textId="77777777" w:rsidR="00BE51B1" w:rsidRPr="007D6549" w:rsidRDefault="00BE51B1" w:rsidP="00877C15">
            <w:pPr>
              <w:spacing w:before="120" w:after="120"/>
              <w:rPr>
                <w:rFonts w:ascii="Arial" w:eastAsia="Calibri" w:hAnsi="Arial" w:cs="Arial"/>
                <w:sz w:val="20"/>
                <w:szCs w:val="20"/>
              </w:rPr>
            </w:pPr>
            <w:r>
              <w:rPr>
                <w:rFonts w:ascii="Arial" w:eastAsia="Calibri" w:hAnsi="Arial" w:cs="Arial"/>
                <w:sz w:val="20"/>
                <w:szCs w:val="20"/>
              </w:rPr>
              <w:t>The AAM s</w:t>
            </w:r>
            <w:r w:rsidRPr="007D6549">
              <w:rPr>
                <w:rFonts w:ascii="Arial" w:eastAsia="Calibri" w:hAnsi="Arial" w:cs="Arial"/>
                <w:sz w:val="20"/>
                <w:szCs w:val="20"/>
              </w:rPr>
              <w:t>erves as the host material into which lithium ions intercalate during charging</w:t>
            </w:r>
          </w:p>
          <w:p w14:paraId="18A5BB17" w14:textId="77777777" w:rsidR="00BE51B1" w:rsidRPr="00766470" w:rsidRDefault="00BE51B1" w:rsidP="00877C15">
            <w:pPr>
              <w:spacing w:before="120" w:after="120"/>
              <w:rPr>
                <w:rFonts w:ascii="Arial" w:eastAsia="Calibri" w:hAnsi="Arial" w:cs="Arial"/>
                <w:sz w:val="20"/>
                <w:szCs w:val="20"/>
              </w:rPr>
            </w:pPr>
          </w:p>
        </w:tc>
      </w:tr>
      <w:tr w:rsidR="00BE51B1" w:rsidRPr="007D3F22" w14:paraId="74043D77" w14:textId="77777777" w:rsidTr="00877C15">
        <w:trPr>
          <w:trHeight w:val="310"/>
        </w:trPr>
        <w:tc>
          <w:tcPr>
            <w:tcW w:w="1413" w:type="dxa"/>
            <w:vMerge w:val="restart"/>
            <w:vAlign w:val="center"/>
          </w:tcPr>
          <w:p w14:paraId="11C7E942"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t>Lithium (Li)</w:t>
            </w:r>
          </w:p>
        </w:tc>
        <w:tc>
          <w:tcPr>
            <w:tcW w:w="2126" w:type="dxa"/>
          </w:tcPr>
          <w:p w14:paraId="3D4C44FF"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Lithium carbonate</w:t>
            </w:r>
            <w:r>
              <w:rPr>
                <w:rFonts w:ascii="Arial" w:eastAsia="Calibri" w:hAnsi="Arial" w:cs="Arial"/>
                <w:sz w:val="20"/>
                <w:szCs w:val="20"/>
              </w:rPr>
              <w:t xml:space="preserve"> </w:t>
            </w:r>
            <w:r w:rsidRPr="00712037">
              <w:rPr>
                <w:rFonts w:ascii="Arial" w:eastAsia="Calibri" w:hAnsi="Arial" w:cs="Arial"/>
                <w:sz w:val="20"/>
                <w:szCs w:val="20"/>
              </w:rPr>
              <w:t>(Li</w:t>
            </w:r>
            <w:r w:rsidRPr="00712037">
              <w:rPr>
                <w:rFonts w:ascii="Cambria Math" w:eastAsia="Calibri" w:hAnsi="Cambria Math" w:cs="Cambria Math"/>
                <w:sz w:val="20"/>
                <w:szCs w:val="20"/>
              </w:rPr>
              <w:t>₂</w:t>
            </w:r>
            <w:r w:rsidRPr="00712037">
              <w:rPr>
                <w:rFonts w:ascii="Arial" w:eastAsia="Calibri" w:hAnsi="Arial" w:cs="Arial"/>
                <w:sz w:val="20"/>
                <w:szCs w:val="20"/>
              </w:rPr>
              <w:t>CO</w:t>
            </w:r>
            <w:r w:rsidRPr="00712037">
              <w:rPr>
                <w:rFonts w:ascii="Cambria Math" w:eastAsia="Calibri" w:hAnsi="Cambria Math" w:cs="Cambria Math"/>
                <w:sz w:val="20"/>
                <w:szCs w:val="20"/>
              </w:rPr>
              <w:t>₃</w:t>
            </w:r>
            <w:r w:rsidRPr="00712037">
              <w:rPr>
                <w:rFonts w:ascii="Arial" w:eastAsia="Calibri" w:hAnsi="Arial" w:cs="Arial"/>
                <w:sz w:val="20"/>
                <w:szCs w:val="20"/>
              </w:rPr>
              <w:t>)</w:t>
            </w:r>
          </w:p>
        </w:tc>
        <w:tc>
          <w:tcPr>
            <w:tcW w:w="2552" w:type="dxa"/>
          </w:tcPr>
          <w:p w14:paraId="31FFB112"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A primary lithium source for cathode production</w:t>
            </w:r>
            <w:r>
              <w:rPr>
                <w:rFonts w:ascii="Arial" w:eastAsia="Calibri" w:hAnsi="Arial" w:cs="Arial"/>
                <w:sz w:val="20"/>
                <w:szCs w:val="20"/>
              </w:rPr>
              <w:t xml:space="preserve"> but mainly for low-density applications</w:t>
            </w:r>
          </w:p>
        </w:tc>
        <w:tc>
          <w:tcPr>
            <w:tcW w:w="2927" w:type="dxa"/>
          </w:tcPr>
          <w:p w14:paraId="3938CF7D" w14:textId="77777777" w:rsidR="00BE51B1" w:rsidRPr="007D6549"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Used in LFP</w:t>
            </w:r>
            <w:r w:rsidRPr="007D6549">
              <w:rPr>
                <w:rFonts w:ascii="Arial" w:eastAsia="Calibri" w:hAnsi="Arial" w:cs="Arial"/>
                <w:b/>
                <w:bCs/>
                <w:sz w:val="20"/>
                <w:szCs w:val="20"/>
              </w:rPr>
              <w:t xml:space="preserve"> </w:t>
            </w:r>
            <w:r w:rsidRPr="007D6549">
              <w:rPr>
                <w:rFonts w:ascii="Arial" w:eastAsia="Calibri" w:hAnsi="Arial" w:cs="Arial"/>
                <w:sz w:val="20"/>
                <w:szCs w:val="20"/>
              </w:rPr>
              <w:t>cathodes, some NMC formulations, and for solid-state electrolytes.</w:t>
            </w:r>
          </w:p>
          <w:p w14:paraId="537CC0FB"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Lithium carbonate is often preferred in phosphate-based or lower-Ni chemistries.</w:t>
            </w:r>
          </w:p>
        </w:tc>
      </w:tr>
      <w:tr w:rsidR="00BE51B1" w:rsidRPr="007D3F22" w14:paraId="1C19C784" w14:textId="77777777" w:rsidTr="00877C15">
        <w:trPr>
          <w:trHeight w:val="310"/>
        </w:trPr>
        <w:tc>
          <w:tcPr>
            <w:tcW w:w="1413" w:type="dxa"/>
            <w:vMerge/>
          </w:tcPr>
          <w:p w14:paraId="61B6E7BA"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40E4C12F"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Lithium hydroxide</w:t>
            </w:r>
            <w:r>
              <w:rPr>
                <w:rFonts w:ascii="Arial" w:eastAsia="Calibri" w:hAnsi="Arial" w:cs="Arial"/>
                <w:sz w:val="20"/>
                <w:szCs w:val="20"/>
              </w:rPr>
              <w:t xml:space="preserve"> </w:t>
            </w:r>
            <w:r w:rsidRPr="00712037">
              <w:rPr>
                <w:rFonts w:ascii="Arial" w:eastAsia="Calibri" w:hAnsi="Arial" w:cs="Arial"/>
                <w:sz w:val="20"/>
                <w:szCs w:val="20"/>
              </w:rPr>
              <w:t>(LiOH·H</w:t>
            </w:r>
            <w:r w:rsidRPr="00712037">
              <w:rPr>
                <w:rFonts w:ascii="Cambria Math" w:eastAsia="Calibri" w:hAnsi="Cambria Math" w:cs="Cambria Math"/>
                <w:sz w:val="20"/>
                <w:szCs w:val="20"/>
              </w:rPr>
              <w:t>₂</w:t>
            </w:r>
            <w:r w:rsidRPr="00712037">
              <w:rPr>
                <w:rFonts w:ascii="Arial" w:eastAsia="Calibri" w:hAnsi="Arial" w:cs="Arial"/>
                <w:sz w:val="20"/>
                <w:szCs w:val="20"/>
              </w:rPr>
              <w:t>O)</w:t>
            </w:r>
          </w:p>
        </w:tc>
        <w:tc>
          <w:tcPr>
            <w:tcW w:w="2552" w:type="dxa"/>
          </w:tcPr>
          <w:p w14:paraId="22D3F028"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A key lithium precursor, but </w:t>
            </w:r>
            <w:r>
              <w:rPr>
                <w:rFonts w:ascii="Arial" w:eastAsia="Calibri" w:hAnsi="Arial" w:cs="Arial"/>
                <w:sz w:val="20"/>
                <w:szCs w:val="20"/>
              </w:rPr>
              <w:t>for high-density applications</w:t>
            </w:r>
          </w:p>
        </w:tc>
        <w:tc>
          <w:tcPr>
            <w:tcW w:w="2927" w:type="dxa"/>
          </w:tcPr>
          <w:p w14:paraId="37B0FE55"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Used to mak</w:t>
            </w:r>
            <w:r w:rsidRPr="00712037">
              <w:rPr>
                <w:rFonts w:ascii="Arial" w:eastAsia="Calibri" w:hAnsi="Arial" w:cs="Arial"/>
                <w:sz w:val="20"/>
                <w:szCs w:val="20"/>
              </w:rPr>
              <w:t>e high-nickel cathodes (NMC</w:t>
            </w:r>
            <w:r>
              <w:rPr>
                <w:rFonts w:ascii="Arial" w:eastAsia="Calibri" w:hAnsi="Arial" w:cs="Arial"/>
                <w:sz w:val="20"/>
                <w:szCs w:val="20"/>
              </w:rPr>
              <w:t>,</w:t>
            </w:r>
            <w:r w:rsidRPr="00712037">
              <w:rPr>
                <w:rFonts w:ascii="Arial" w:eastAsia="Calibri" w:hAnsi="Arial" w:cs="Arial"/>
                <w:sz w:val="20"/>
                <w:szCs w:val="20"/>
              </w:rPr>
              <w:t xml:space="preserve"> NCA) because</w:t>
            </w:r>
            <w:r w:rsidRPr="007D6549">
              <w:rPr>
                <w:rFonts w:ascii="Arial" w:eastAsia="Calibri" w:hAnsi="Arial" w:cs="Arial"/>
                <w:sz w:val="20"/>
                <w:szCs w:val="20"/>
              </w:rPr>
              <w:t xml:space="preserve"> lithium hydroxide reacts more efficiently at lower temperatures during synthesis of these high-energy materials</w:t>
            </w:r>
          </w:p>
        </w:tc>
      </w:tr>
      <w:tr w:rsidR="00BE51B1" w:rsidRPr="007D3F22" w14:paraId="136874D4" w14:textId="77777777" w:rsidTr="00877C15">
        <w:trPr>
          <w:trHeight w:val="310"/>
        </w:trPr>
        <w:tc>
          <w:tcPr>
            <w:tcW w:w="1413" w:type="dxa"/>
            <w:vMerge w:val="restart"/>
            <w:vAlign w:val="center"/>
          </w:tcPr>
          <w:p w14:paraId="2407D51E"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t>Manganese (Mn)</w:t>
            </w:r>
          </w:p>
        </w:tc>
        <w:tc>
          <w:tcPr>
            <w:tcW w:w="2126" w:type="dxa"/>
          </w:tcPr>
          <w:p w14:paraId="5B87A249"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Manganese oxide</w:t>
            </w:r>
            <w:r>
              <w:rPr>
                <w:rFonts w:ascii="Arial" w:eastAsia="Calibri" w:hAnsi="Arial" w:cs="Arial"/>
                <w:sz w:val="20"/>
                <w:szCs w:val="20"/>
              </w:rPr>
              <w:t xml:space="preserve"> (MnO)</w:t>
            </w:r>
          </w:p>
        </w:tc>
        <w:tc>
          <w:tcPr>
            <w:tcW w:w="2552" w:type="dxa"/>
          </w:tcPr>
          <w:p w14:paraId="7D69A1CF" w14:textId="77777777" w:rsidR="00BE51B1" w:rsidRPr="00766470" w:rsidRDefault="00BE51B1" w:rsidP="00877C15">
            <w:pPr>
              <w:spacing w:before="120" w:after="120"/>
              <w:rPr>
                <w:rFonts w:ascii="Arial" w:eastAsia="Calibri" w:hAnsi="Arial" w:cs="Arial"/>
                <w:sz w:val="20"/>
                <w:szCs w:val="20"/>
              </w:rPr>
            </w:pPr>
            <w:r w:rsidRPr="00712037">
              <w:rPr>
                <w:rFonts w:ascii="Arial" w:eastAsia="Calibri" w:hAnsi="Arial" w:cs="Arial"/>
                <w:sz w:val="20"/>
                <w:szCs w:val="20"/>
              </w:rPr>
              <w:t>A manganese intermediate, often produced by refining manganese ores</w:t>
            </w:r>
          </w:p>
        </w:tc>
        <w:tc>
          <w:tcPr>
            <w:tcW w:w="2927" w:type="dxa"/>
          </w:tcPr>
          <w:p w14:paraId="5871737D" w14:textId="77777777" w:rsidR="00BE51B1" w:rsidRPr="00766470" w:rsidRDefault="00BE51B1" w:rsidP="00877C15">
            <w:pPr>
              <w:spacing w:before="115" w:after="120"/>
              <w:rPr>
                <w:rFonts w:ascii="Arial" w:eastAsia="Calibri" w:hAnsi="Arial" w:cs="Arial"/>
                <w:sz w:val="20"/>
                <w:szCs w:val="20"/>
              </w:rPr>
            </w:pPr>
            <w:r>
              <w:rPr>
                <w:rFonts w:ascii="Arial" w:eastAsia="Calibri" w:hAnsi="Arial" w:cs="Arial"/>
                <w:sz w:val="20"/>
                <w:szCs w:val="20"/>
              </w:rPr>
              <w:t>It needs to be further transformed into manganese sulphate to be used in battery applications</w:t>
            </w:r>
          </w:p>
        </w:tc>
      </w:tr>
      <w:tr w:rsidR="00BE51B1" w:rsidRPr="007D3F22" w14:paraId="2F3E1592" w14:textId="77777777" w:rsidTr="00877C15">
        <w:trPr>
          <w:trHeight w:val="310"/>
        </w:trPr>
        <w:tc>
          <w:tcPr>
            <w:tcW w:w="1413" w:type="dxa"/>
            <w:vMerge/>
          </w:tcPr>
          <w:p w14:paraId="2956AA81"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7CD7E742"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Manganese sulphate</w:t>
            </w:r>
            <w:r>
              <w:rPr>
                <w:rFonts w:ascii="Arial" w:eastAsia="Calibri" w:hAnsi="Arial" w:cs="Arial"/>
                <w:sz w:val="20"/>
                <w:szCs w:val="20"/>
              </w:rPr>
              <w:t xml:space="preserve"> </w:t>
            </w:r>
            <w:r w:rsidRPr="00712037">
              <w:rPr>
                <w:rFonts w:ascii="Arial" w:eastAsia="Calibri" w:hAnsi="Arial" w:cs="Arial"/>
                <w:sz w:val="20"/>
                <w:szCs w:val="20"/>
              </w:rPr>
              <w:t>(MnSO</w:t>
            </w:r>
            <w:r w:rsidRPr="00712037">
              <w:rPr>
                <w:rFonts w:ascii="Cambria Math" w:eastAsia="Calibri" w:hAnsi="Cambria Math" w:cs="Cambria Math"/>
                <w:sz w:val="20"/>
                <w:szCs w:val="20"/>
              </w:rPr>
              <w:t>₄</w:t>
            </w:r>
            <w:r w:rsidRPr="00712037">
              <w:rPr>
                <w:rFonts w:ascii="Arial" w:eastAsia="Calibri" w:hAnsi="Arial" w:cs="Arial"/>
                <w:sz w:val="20"/>
                <w:szCs w:val="20"/>
              </w:rPr>
              <w:t>)</w:t>
            </w:r>
          </w:p>
        </w:tc>
        <w:tc>
          <w:tcPr>
            <w:tcW w:w="2552" w:type="dxa"/>
          </w:tcPr>
          <w:p w14:paraId="01CFCB5D" w14:textId="77777777" w:rsidR="00BE51B1" w:rsidRPr="00766470" w:rsidRDefault="00BE51B1" w:rsidP="00877C15">
            <w:pPr>
              <w:spacing w:before="120" w:after="120"/>
              <w:rPr>
                <w:rFonts w:ascii="Arial" w:eastAsia="Calibri" w:hAnsi="Arial" w:cs="Arial"/>
                <w:sz w:val="20"/>
                <w:szCs w:val="20"/>
              </w:rPr>
            </w:pPr>
            <w:r>
              <w:rPr>
                <w:rFonts w:ascii="Arial" w:eastAsia="Calibri" w:hAnsi="Arial" w:cs="Arial"/>
                <w:sz w:val="20"/>
                <w:szCs w:val="20"/>
              </w:rPr>
              <w:t>P</w:t>
            </w:r>
            <w:r w:rsidRPr="007D6549">
              <w:rPr>
                <w:rFonts w:ascii="Arial" w:eastAsia="Calibri" w:hAnsi="Arial" w:cs="Arial"/>
                <w:sz w:val="20"/>
                <w:szCs w:val="20"/>
              </w:rPr>
              <w:t>recursor for cathode active material</w:t>
            </w:r>
          </w:p>
        </w:tc>
        <w:tc>
          <w:tcPr>
            <w:tcW w:w="2927" w:type="dxa"/>
          </w:tcPr>
          <w:p w14:paraId="1BB94FFB"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Used in NMC cathodes and also in LMO cathodes</w:t>
            </w:r>
          </w:p>
        </w:tc>
      </w:tr>
      <w:tr w:rsidR="00BE51B1" w:rsidRPr="007D3F22" w14:paraId="02F49B6D" w14:textId="77777777" w:rsidTr="00877C15">
        <w:trPr>
          <w:trHeight w:val="310"/>
        </w:trPr>
        <w:tc>
          <w:tcPr>
            <w:tcW w:w="1413" w:type="dxa"/>
            <w:vMerge w:val="restart"/>
            <w:vAlign w:val="center"/>
          </w:tcPr>
          <w:p w14:paraId="7BCE5428" w14:textId="77777777" w:rsidR="00BE51B1" w:rsidRPr="009E6108" w:rsidRDefault="00BE51B1" w:rsidP="00877C15">
            <w:pPr>
              <w:spacing w:before="120" w:after="120"/>
              <w:rPr>
                <w:rFonts w:ascii="Arial" w:eastAsia="Calibri" w:hAnsi="Arial" w:cs="Arial"/>
                <w:b/>
                <w:bCs/>
                <w:color w:val="156082" w:themeColor="accent1"/>
                <w:sz w:val="20"/>
                <w:szCs w:val="20"/>
              </w:rPr>
            </w:pPr>
            <w:r w:rsidRPr="009E6108">
              <w:rPr>
                <w:rFonts w:ascii="Arial" w:eastAsia="Calibri" w:hAnsi="Arial" w:cs="Arial"/>
                <w:b/>
                <w:bCs/>
                <w:color w:val="156082" w:themeColor="accent1"/>
                <w:sz w:val="20"/>
                <w:szCs w:val="20"/>
              </w:rPr>
              <w:t>Nickel (Ni)</w:t>
            </w:r>
          </w:p>
        </w:tc>
        <w:tc>
          <w:tcPr>
            <w:tcW w:w="2126" w:type="dxa"/>
          </w:tcPr>
          <w:p w14:paraId="357F85BB"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 xml:space="preserve">Nickel </w:t>
            </w:r>
            <w:r>
              <w:rPr>
                <w:rFonts w:ascii="Arial" w:eastAsia="Calibri" w:hAnsi="Arial" w:cs="Arial"/>
                <w:sz w:val="20"/>
                <w:szCs w:val="20"/>
              </w:rPr>
              <w:t>matte</w:t>
            </w:r>
          </w:p>
        </w:tc>
        <w:tc>
          <w:tcPr>
            <w:tcW w:w="2552" w:type="dxa"/>
          </w:tcPr>
          <w:p w14:paraId="783A32DE" w14:textId="77777777" w:rsidR="00BE51B1" w:rsidRPr="00766470" w:rsidRDefault="00BE51B1" w:rsidP="00877C15">
            <w:pPr>
              <w:spacing w:before="120" w:after="120"/>
              <w:rPr>
                <w:rFonts w:ascii="Arial" w:eastAsia="Calibri" w:hAnsi="Arial" w:cs="Arial"/>
                <w:sz w:val="20"/>
                <w:szCs w:val="20"/>
              </w:rPr>
            </w:pPr>
            <w:r w:rsidRPr="00B325E2">
              <w:rPr>
                <w:rFonts w:ascii="Arial" w:eastAsia="Calibri" w:hAnsi="Arial" w:cs="Arial"/>
                <w:sz w:val="20"/>
                <w:szCs w:val="20"/>
              </w:rPr>
              <w:t>An intermediate product (~70% Ni, plus sulphur and iron) obtained by smelting nickel ores</w:t>
            </w:r>
          </w:p>
        </w:tc>
        <w:tc>
          <w:tcPr>
            <w:tcW w:w="2927" w:type="dxa"/>
          </w:tcPr>
          <w:p w14:paraId="6BBE69FA" w14:textId="77777777" w:rsidR="00BE51B1" w:rsidRPr="00766470" w:rsidRDefault="00BE51B1" w:rsidP="00877C15">
            <w:pPr>
              <w:spacing w:before="120" w:after="120"/>
              <w:rPr>
                <w:rFonts w:ascii="Arial" w:eastAsia="Calibri" w:hAnsi="Arial" w:cs="Arial"/>
                <w:sz w:val="20"/>
                <w:szCs w:val="20"/>
              </w:rPr>
            </w:pPr>
            <w:r w:rsidRPr="00B325E2">
              <w:rPr>
                <w:rFonts w:ascii="Arial" w:eastAsia="Calibri" w:hAnsi="Arial" w:cs="Arial"/>
                <w:sz w:val="20"/>
                <w:szCs w:val="20"/>
              </w:rPr>
              <w:t xml:space="preserve">Processed further through </w:t>
            </w:r>
            <w:r w:rsidRPr="00712037">
              <w:rPr>
                <w:rFonts w:ascii="Arial" w:eastAsia="Calibri" w:hAnsi="Arial" w:cs="Arial"/>
                <w:sz w:val="20"/>
                <w:szCs w:val="20"/>
              </w:rPr>
              <w:t>hydrometallurgy to make nickel sulphate</w:t>
            </w:r>
          </w:p>
        </w:tc>
      </w:tr>
      <w:tr w:rsidR="00BE51B1" w:rsidRPr="007D3F22" w14:paraId="3E9EF500" w14:textId="77777777" w:rsidTr="00877C15">
        <w:trPr>
          <w:trHeight w:val="310"/>
        </w:trPr>
        <w:tc>
          <w:tcPr>
            <w:tcW w:w="1413" w:type="dxa"/>
            <w:vMerge/>
          </w:tcPr>
          <w:p w14:paraId="7CFB64F5" w14:textId="77777777" w:rsidR="00BE51B1" w:rsidRPr="009E6108" w:rsidRDefault="00BE51B1" w:rsidP="00877C15">
            <w:pPr>
              <w:spacing w:before="120" w:after="120"/>
              <w:rPr>
                <w:rFonts w:ascii="Arial" w:eastAsia="Calibri" w:hAnsi="Arial" w:cs="Arial"/>
                <w:b/>
                <w:bCs/>
                <w:color w:val="156082" w:themeColor="accent1"/>
                <w:sz w:val="20"/>
                <w:szCs w:val="20"/>
              </w:rPr>
            </w:pPr>
          </w:p>
        </w:tc>
        <w:tc>
          <w:tcPr>
            <w:tcW w:w="2126" w:type="dxa"/>
          </w:tcPr>
          <w:p w14:paraId="535D0C55" w14:textId="77777777" w:rsidR="00BE51B1" w:rsidRPr="00766470" w:rsidRDefault="00BE51B1" w:rsidP="00877C15">
            <w:pPr>
              <w:spacing w:before="120" w:after="120"/>
              <w:rPr>
                <w:rFonts w:ascii="Arial" w:eastAsia="Calibri" w:hAnsi="Arial" w:cs="Arial"/>
                <w:sz w:val="20"/>
                <w:szCs w:val="20"/>
              </w:rPr>
            </w:pPr>
            <w:r w:rsidRPr="00766470">
              <w:rPr>
                <w:rFonts w:ascii="Arial" w:eastAsia="Calibri" w:hAnsi="Arial" w:cs="Arial"/>
                <w:sz w:val="20"/>
                <w:szCs w:val="20"/>
              </w:rPr>
              <w:t>Nickel sulphate</w:t>
            </w:r>
            <w:r>
              <w:rPr>
                <w:rFonts w:ascii="Arial" w:eastAsia="Calibri" w:hAnsi="Arial" w:cs="Arial"/>
                <w:sz w:val="20"/>
                <w:szCs w:val="20"/>
              </w:rPr>
              <w:t xml:space="preserve"> </w:t>
            </w:r>
            <w:r w:rsidRPr="00712037">
              <w:rPr>
                <w:rFonts w:ascii="Arial" w:eastAsia="Calibri" w:hAnsi="Arial" w:cs="Arial"/>
                <w:sz w:val="20"/>
                <w:szCs w:val="20"/>
              </w:rPr>
              <w:t>(NiSO</w:t>
            </w:r>
            <w:r w:rsidRPr="00712037">
              <w:rPr>
                <w:rFonts w:ascii="Cambria Math" w:eastAsia="Calibri" w:hAnsi="Cambria Math" w:cs="Cambria Math"/>
                <w:sz w:val="20"/>
                <w:szCs w:val="20"/>
              </w:rPr>
              <w:t>₄</w:t>
            </w:r>
            <w:r w:rsidRPr="00712037">
              <w:rPr>
                <w:rFonts w:ascii="Arial" w:eastAsia="Calibri" w:hAnsi="Arial" w:cs="Arial"/>
                <w:sz w:val="20"/>
                <w:szCs w:val="20"/>
              </w:rPr>
              <w:t>)</w:t>
            </w:r>
          </w:p>
        </w:tc>
        <w:tc>
          <w:tcPr>
            <w:tcW w:w="2552" w:type="dxa"/>
          </w:tcPr>
          <w:p w14:paraId="33AEF711" w14:textId="77777777" w:rsidR="00BE51B1" w:rsidRPr="00766470" w:rsidRDefault="00BE51B1" w:rsidP="00877C15">
            <w:pPr>
              <w:spacing w:before="120" w:after="120"/>
              <w:rPr>
                <w:rFonts w:ascii="Arial" w:eastAsia="Calibri" w:hAnsi="Arial" w:cs="Arial"/>
                <w:sz w:val="20"/>
                <w:szCs w:val="20"/>
              </w:rPr>
            </w:pPr>
            <w:r w:rsidRPr="007D6549">
              <w:rPr>
                <w:rFonts w:ascii="Arial" w:eastAsia="Calibri" w:hAnsi="Arial" w:cs="Arial"/>
                <w:sz w:val="20"/>
                <w:szCs w:val="20"/>
              </w:rPr>
              <w:t xml:space="preserve">One of the most important precursors for </w:t>
            </w:r>
            <w:r w:rsidRPr="00712037">
              <w:rPr>
                <w:rFonts w:ascii="Arial" w:eastAsia="Calibri" w:hAnsi="Arial" w:cs="Arial"/>
                <w:sz w:val="20"/>
                <w:szCs w:val="20"/>
              </w:rPr>
              <w:t>high-</w:t>
            </w:r>
            <w:r>
              <w:rPr>
                <w:rFonts w:ascii="Arial" w:eastAsia="Calibri" w:hAnsi="Arial" w:cs="Arial"/>
                <w:sz w:val="20"/>
                <w:szCs w:val="20"/>
              </w:rPr>
              <w:t>density</w:t>
            </w:r>
            <w:r w:rsidRPr="00712037">
              <w:rPr>
                <w:rFonts w:ascii="Arial" w:eastAsia="Calibri" w:hAnsi="Arial" w:cs="Arial"/>
                <w:sz w:val="20"/>
                <w:szCs w:val="20"/>
              </w:rPr>
              <w:t xml:space="preserve"> cathodes</w:t>
            </w:r>
          </w:p>
        </w:tc>
        <w:tc>
          <w:tcPr>
            <w:tcW w:w="2927" w:type="dxa"/>
          </w:tcPr>
          <w:p w14:paraId="5A490703" w14:textId="77777777" w:rsidR="00BE51B1" w:rsidRPr="00766470" w:rsidRDefault="00BE51B1" w:rsidP="00877C15">
            <w:pPr>
              <w:spacing w:before="120" w:after="120"/>
              <w:rPr>
                <w:rFonts w:ascii="Arial" w:eastAsia="Calibri" w:hAnsi="Arial" w:cs="Arial"/>
                <w:sz w:val="20"/>
                <w:szCs w:val="20"/>
              </w:rPr>
            </w:pPr>
            <w:r w:rsidRPr="00C01735">
              <w:rPr>
                <w:rFonts w:ascii="Arial" w:eastAsia="Calibri" w:hAnsi="Arial" w:cs="Arial"/>
                <w:sz w:val="20"/>
                <w:szCs w:val="20"/>
              </w:rPr>
              <w:t>Provides the nickel for NMC and NCA cathodes. Nickel increases energy density of the</w:t>
            </w:r>
            <w:r w:rsidRPr="007D6549">
              <w:rPr>
                <w:rFonts w:ascii="Arial" w:eastAsia="Calibri" w:hAnsi="Arial" w:cs="Arial"/>
                <w:sz w:val="20"/>
                <w:szCs w:val="20"/>
              </w:rPr>
              <w:t xml:space="preserve"> battery</w:t>
            </w:r>
          </w:p>
        </w:tc>
      </w:tr>
    </w:tbl>
    <w:p w14:paraId="7329E4F4" w14:textId="77777777" w:rsidR="00BE51B1" w:rsidRDefault="00BE51B1" w:rsidP="00BE51B1">
      <w:pPr>
        <w:jc w:val="both"/>
        <w:rPr>
          <w:rFonts w:ascii="Arial" w:eastAsia="Calibri" w:hAnsi="Arial" w:cs="Arial"/>
        </w:rPr>
      </w:pPr>
    </w:p>
    <w:p w14:paraId="29414A52" w14:textId="0AA3A440" w:rsidR="00BE51B1" w:rsidRPr="00766470" w:rsidRDefault="00BE51B1" w:rsidP="00BE51B1">
      <w:pPr>
        <w:spacing w:line="276" w:lineRule="auto"/>
        <w:jc w:val="both"/>
        <w:rPr>
          <w:rFonts w:ascii="Arial" w:eastAsia="Calibri" w:hAnsi="Arial" w:cs="Arial"/>
        </w:rPr>
      </w:pPr>
      <w:r w:rsidRPr="00766470">
        <w:rPr>
          <w:rFonts w:ascii="Arial" w:eastAsia="Calibri" w:hAnsi="Arial" w:cs="Arial"/>
        </w:rPr>
        <w:t>For each of the six minerals covered</w:t>
      </w:r>
      <w:r>
        <w:rPr>
          <w:rFonts w:ascii="Arial" w:eastAsia="Calibri" w:hAnsi="Arial" w:cs="Arial"/>
        </w:rPr>
        <w:t xml:space="preserve"> and the target products </w:t>
      </w:r>
      <w:r w:rsidRPr="00766470">
        <w:rPr>
          <w:rFonts w:ascii="Arial" w:eastAsia="Calibri" w:hAnsi="Arial" w:cs="Arial"/>
        </w:rPr>
        <w:t xml:space="preserve">useful for battery precursor manufacturing, processing stages are identified which relate to mining and refining up to </w:t>
      </w:r>
      <w:r>
        <w:rPr>
          <w:rFonts w:ascii="Arial" w:eastAsia="Calibri" w:hAnsi="Arial" w:cs="Arial"/>
        </w:rPr>
        <w:t xml:space="preserve">the target </w:t>
      </w:r>
      <w:r w:rsidRPr="00766470">
        <w:rPr>
          <w:rFonts w:ascii="Arial" w:eastAsia="Calibri" w:hAnsi="Arial" w:cs="Arial"/>
        </w:rPr>
        <w:t>compounds. The stages include mineral extraction</w:t>
      </w:r>
      <w:r>
        <w:rPr>
          <w:rFonts w:ascii="Arial" w:eastAsia="Calibri" w:hAnsi="Arial" w:cs="Arial"/>
        </w:rPr>
        <w:t>, concentration (called beneficiation in our study and other sources)</w:t>
      </w:r>
      <w:r w:rsidRPr="00766470">
        <w:rPr>
          <w:rFonts w:ascii="Arial" w:eastAsia="Calibri" w:hAnsi="Arial" w:cs="Arial"/>
        </w:rPr>
        <w:t>,</w:t>
      </w:r>
      <w:r>
        <w:rPr>
          <w:rFonts w:ascii="Arial" w:eastAsia="Calibri" w:hAnsi="Arial" w:cs="Arial"/>
        </w:rPr>
        <w:t xml:space="preserve"> smelting (if applicable),</w:t>
      </w:r>
      <w:r w:rsidRPr="00766470">
        <w:rPr>
          <w:rFonts w:ascii="Arial" w:eastAsia="Calibri" w:hAnsi="Arial" w:cs="Arial"/>
        </w:rPr>
        <w:t xml:space="preserve"> refining, and manufacturing of compounds that are used in the preparation </w:t>
      </w:r>
      <w:r w:rsidRPr="00766470">
        <w:rPr>
          <w:rFonts w:ascii="Arial" w:eastAsia="Calibri" w:hAnsi="Arial" w:cs="Arial"/>
        </w:rPr>
        <w:lastRenderedPageBreak/>
        <w:t xml:space="preserve">of Cathode Active Materials (CAM) and Anode Active Materials (AAM) for lithium-ion batteries. </w:t>
      </w:r>
      <w:r w:rsidR="007C1413">
        <w:rPr>
          <w:rFonts w:ascii="Arial" w:eastAsia="Calibri" w:hAnsi="Arial" w:cs="Arial"/>
        </w:rPr>
        <w:fldChar w:fldCharType="begin"/>
      </w:r>
      <w:r w:rsidR="007C1413">
        <w:rPr>
          <w:rFonts w:ascii="Arial" w:eastAsia="Calibri" w:hAnsi="Arial" w:cs="Arial"/>
        </w:rPr>
        <w:instrText xml:space="preserve"> REF _Ref214444647 \h </w:instrText>
      </w:r>
      <w:r w:rsidR="007C1413">
        <w:rPr>
          <w:rFonts w:ascii="Arial" w:eastAsia="Calibri" w:hAnsi="Arial" w:cs="Arial"/>
        </w:rPr>
      </w:r>
      <w:r w:rsidR="007C1413">
        <w:rPr>
          <w:rFonts w:ascii="Arial" w:eastAsia="Calibri" w:hAnsi="Arial" w:cs="Arial"/>
        </w:rPr>
        <w:fldChar w:fldCharType="separate"/>
      </w:r>
      <w:r w:rsidR="007C1413">
        <w:t xml:space="preserve">Table </w:t>
      </w:r>
      <w:r w:rsidR="007C1413">
        <w:rPr>
          <w:noProof/>
        </w:rPr>
        <w:t>6</w:t>
      </w:r>
      <w:r w:rsidR="007C1413">
        <w:rPr>
          <w:rFonts w:ascii="Arial" w:eastAsia="Calibri" w:hAnsi="Arial" w:cs="Arial"/>
        </w:rPr>
        <w:fldChar w:fldCharType="end"/>
      </w:r>
      <w:r w:rsidR="007C1413">
        <w:rPr>
          <w:rFonts w:ascii="Arial" w:eastAsia="Calibri" w:hAnsi="Arial" w:cs="Arial"/>
        </w:rPr>
        <w:t xml:space="preserve"> </w:t>
      </w:r>
      <w:r w:rsidRPr="00766470">
        <w:rPr>
          <w:rFonts w:ascii="Arial" w:eastAsia="Calibri" w:hAnsi="Arial" w:cs="Arial"/>
        </w:rPr>
        <w:t>shows the stages considered, the relevant data sources, and assumptions mad</w:t>
      </w:r>
      <w:r>
        <w:rPr>
          <w:rFonts w:ascii="Arial" w:eastAsia="Calibri" w:hAnsi="Arial" w:cs="Arial"/>
        </w:rPr>
        <w:t>e</w:t>
      </w:r>
      <w:r w:rsidRPr="00766470">
        <w:rPr>
          <w:rFonts w:ascii="Arial" w:eastAsia="Calibri" w:hAnsi="Arial" w:cs="Arial"/>
        </w:rPr>
        <w:t>.</w:t>
      </w:r>
      <w:r>
        <w:rPr>
          <w:rFonts w:ascii="Arial" w:eastAsia="Calibri" w:hAnsi="Arial" w:cs="Arial"/>
        </w:rPr>
        <w:t xml:space="preserve"> </w:t>
      </w:r>
    </w:p>
    <w:p w14:paraId="48CCF1FF" w14:textId="5D53B6D0" w:rsidR="00BE51B1" w:rsidRPr="009F3AF4" w:rsidRDefault="007C1413" w:rsidP="007C1413">
      <w:pPr>
        <w:pStyle w:val="Caption"/>
      </w:pPr>
      <w:bookmarkStart w:id="37" w:name="_Ref214444647"/>
      <w:bookmarkStart w:id="38" w:name="_Toc211509401"/>
      <w:r>
        <w:t xml:space="preserve">Table </w:t>
      </w:r>
      <w:fldSimple w:instr=" SEQ Table \* ARABIC ">
        <w:r w:rsidR="00615C28">
          <w:t>6</w:t>
        </w:r>
      </w:fldSimple>
      <w:bookmarkEnd w:id="37"/>
      <w:r w:rsidR="00BE51B1" w:rsidRPr="009F3AF4">
        <w:t>: Relevant processing stages, data sources and assumptions for each critical mineral supply chain</w:t>
      </w:r>
      <w:bookmarkEnd w:id="38"/>
      <w:r w:rsidR="005B13B2">
        <w:t xml:space="preserve">. </w:t>
      </w:r>
      <w:r w:rsidR="005B13B2" w:rsidRPr="005B13B2">
        <w:t>Source: Authors’ elaboration, based on literature review.</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1234"/>
        <w:gridCol w:w="2500"/>
        <w:gridCol w:w="5286"/>
      </w:tblGrid>
      <w:tr w:rsidR="00BE51B1" w:rsidRPr="007D3F22" w14:paraId="61002355" w14:textId="77777777" w:rsidTr="00877C15">
        <w:trPr>
          <w:trHeight w:val="300"/>
        </w:trPr>
        <w:tc>
          <w:tcPr>
            <w:tcW w:w="971" w:type="dxa"/>
            <w:shd w:val="clear" w:color="auto" w:fill="B7D4EF" w:themeFill="text2" w:themeFillTint="33"/>
            <w:tcMar>
              <w:top w:w="15" w:type="dxa"/>
              <w:left w:w="15" w:type="dxa"/>
              <w:right w:w="15" w:type="dxa"/>
            </w:tcMar>
            <w:vAlign w:val="bottom"/>
          </w:tcPr>
          <w:p w14:paraId="796CA50A" w14:textId="77777777" w:rsidR="00BE51B1" w:rsidRPr="00766470" w:rsidRDefault="00BE51B1" w:rsidP="00877C15">
            <w:pPr>
              <w:spacing w:before="40" w:after="40" w:line="240" w:lineRule="exact"/>
              <w:ind w:left="57" w:right="57"/>
              <w:rPr>
                <w:rFonts w:ascii="Arial" w:eastAsia="Arial" w:hAnsi="Arial" w:cs="Arial"/>
                <w:color w:val="156082" w:themeColor="accent1"/>
                <w:sz w:val="20"/>
                <w:szCs w:val="20"/>
                <w:lang w:val="en-US"/>
              </w:rPr>
            </w:pPr>
            <w:r w:rsidRPr="00766470">
              <w:rPr>
                <w:rFonts w:ascii="Arial" w:eastAsia="Arial" w:hAnsi="Arial" w:cs="Arial"/>
                <w:b/>
                <w:bCs/>
                <w:color w:val="156082" w:themeColor="accent1"/>
                <w:sz w:val="20"/>
                <w:szCs w:val="20"/>
                <w:lang w:val="en-US"/>
              </w:rPr>
              <w:t>Mineral</w:t>
            </w:r>
          </w:p>
        </w:tc>
        <w:tc>
          <w:tcPr>
            <w:tcW w:w="2552" w:type="dxa"/>
            <w:shd w:val="clear" w:color="auto" w:fill="B7D4EF" w:themeFill="text2" w:themeFillTint="33"/>
            <w:tcMar>
              <w:top w:w="15" w:type="dxa"/>
              <w:left w:w="15" w:type="dxa"/>
              <w:right w:w="15" w:type="dxa"/>
            </w:tcMar>
            <w:vAlign w:val="bottom"/>
          </w:tcPr>
          <w:p w14:paraId="580475EE" w14:textId="77777777" w:rsidR="00BE51B1" w:rsidRPr="00766470" w:rsidRDefault="00BE51B1" w:rsidP="00877C15">
            <w:pPr>
              <w:spacing w:before="40" w:after="40" w:line="240" w:lineRule="exact"/>
              <w:ind w:left="57" w:right="57"/>
              <w:jc w:val="center"/>
              <w:rPr>
                <w:rFonts w:ascii="Arial" w:eastAsia="Arial" w:hAnsi="Arial" w:cs="Arial"/>
                <w:color w:val="156082" w:themeColor="accent1"/>
                <w:sz w:val="20"/>
                <w:szCs w:val="20"/>
                <w:lang w:val="en-US"/>
              </w:rPr>
            </w:pPr>
            <w:r w:rsidRPr="00766470">
              <w:rPr>
                <w:rFonts w:ascii="Arial" w:eastAsia="Arial" w:hAnsi="Arial" w:cs="Arial"/>
                <w:b/>
                <w:bCs/>
                <w:color w:val="156082" w:themeColor="accent1"/>
                <w:sz w:val="20"/>
                <w:szCs w:val="20"/>
                <w:lang w:val="en-US"/>
              </w:rPr>
              <w:t>Stages considered</w:t>
            </w:r>
          </w:p>
        </w:tc>
        <w:tc>
          <w:tcPr>
            <w:tcW w:w="5473" w:type="dxa"/>
            <w:shd w:val="clear" w:color="auto" w:fill="B7D4EF" w:themeFill="text2" w:themeFillTint="33"/>
          </w:tcPr>
          <w:p w14:paraId="3E2D0AB2" w14:textId="77777777" w:rsidR="00BE51B1" w:rsidRPr="00766470" w:rsidRDefault="00BE51B1" w:rsidP="00877C15">
            <w:pPr>
              <w:spacing w:before="40" w:after="40" w:line="240" w:lineRule="exact"/>
              <w:ind w:left="57" w:right="57"/>
              <w:jc w:val="center"/>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Source(s)</w:t>
            </w:r>
            <w:r>
              <w:rPr>
                <w:rFonts w:ascii="Arial" w:eastAsia="Arial" w:hAnsi="Arial" w:cs="Arial"/>
                <w:b/>
                <w:bCs/>
                <w:color w:val="156082" w:themeColor="accent1"/>
                <w:sz w:val="20"/>
                <w:szCs w:val="20"/>
                <w:lang w:val="en-US"/>
              </w:rPr>
              <w:t xml:space="preserve"> and assumption(s)</w:t>
            </w:r>
          </w:p>
        </w:tc>
      </w:tr>
      <w:tr w:rsidR="00BE51B1" w:rsidRPr="007D3F22" w14:paraId="702D022F" w14:textId="77777777" w:rsidTr="00877C15">
        <w:trPr>
          <w:trHeight w:val="300"/>
        </w:trPr>
        <w:tc>
          <w:tcPr>
            <w:tcW w:w="971" w:type="dxa"/>
            <w:tcMar>
              <w:top w:w="15" w:type="dxa"/>
              <w:left w:w="15" w:type="dxa"/>
              <w:right w:w="15" w:type="dxa"/>
            </w:tcMar>
            <w:vAlign w:val="center"/>
          </w:tcPr>
          <w:p w14:paraId="5D585775"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Copper (Cu)</w:t>
            </w:r>
          </w:p>
        </w:tc>
        <w:tc>
          <w:tcPr>
            <w:tcW w:w="2552" w:type="dxa"/>
            <w:tcMar>
              <w:top w:w="15" w:type="dxa"/>
              <w:left w:w="15" w:type="dxa"/>
              <w:right w:w="15" w:type="dxa"/>
            </w:tcMar>
            <w:vAlign w:val="bottom"/>
          </w:tcPr>
          <w:p w14:paraId="21200CB5"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lang w:val="en-US"/>
              </w:rPr>
              <w:t>Mining and Beneficiation, Smelting, Electrorefining or Solvent extraction and electrowinning (SX-EW), Cu oxide production, Cu sulphate production</w:t>
            </w:r>
          </w:p>
          <w:p w14:paraId="65943020" w14:textId="77777777" w:rsidR="00BE51B1" w:rsidRPr="00766470" w:rsidRDefault="00BE51B1" w:rsidP="00877C15">
            <w:pPr>
              <w:spacing w:before="40" w:after="40" w:line="240" w:lineRule="exact"/>
              <w:ind w:left="57" w:right="57"/>
              <w:rPr>
                <w:rFonts w:ascii="Arial" w:eastAsia="Arial" w:hAnsi="Arial" w:cs="Arial"/>
                <w:sz w:val="20"/>
                <w:szCs w:val="20"/>
                <w:lang w:val="en-US"/>
              </w:rPr>
            </w:pPr>
          </w:p>
        </w:tc>
        <w:tc>
          <w:tcPr>
            <w:tcW w:w="5473" w:type="dxa"/>
          </w:tcPr>
          <w:p w14:paraId="01073A8F" w14:textId="167ED014" w:rsidR="00BE51B1" w:rsidRPr="00104886" w:rsidRDefault="00BE51B1" w:rsidP="00877C15">
            <w:pPr>
              <w:spacing w:before="40" w:after="40" w:line="240" w:lineRule="exact"/>
              <w:ind w:right="57"/>
              <w:rPr>
                <w:rFonts w:ascii="Arial" w:eastAsia="Arial" w:hAnsi="Arial" w:cs="Arial"/>
                <w:sz w:val="20"/>
                <w:szCs w:val="20"/>
                <w:lang w:val="en-US"/>
              </w:rPr>
            </w:pPr>
            <w:r w:rsidRPr="00104886">
              <w:rPr>
                <w:rFonts w:ascii="Arial" w:hAnsi="Arial" w:cs="Arial"/>
                <w:sz w:val="20"/>
                <w:szCs w:val="20"/>
              </w:rPr>
              <w:t xml:space="preserve">Mining material intensity estimated per country depending on grade and recovery rates from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{"citationID":"MYsUlNgn","properties":{"formattedCitation":"\\super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hAnsi="Arial" w:cs="Arial"/>
                <w:sz w:val="20"/>
                <w:szCs w:val="20"/>
              </w:rPr>
              <w:t xml:space="preserve">. </w:t>
            </w:r>
            <w:r w:rsidRPr="00104886">
              <w:rPr>
                <w:rFonts w:ascii="Arial" w:hAnsi="Arial" w:cs="Arial"/>
                <w:sz w:val="20"/>
                <w:szCs w:val="20"/>
                <w:lang w:val="fr-FR"/>
              </w:rPr>
              <w:fldChar w:fldCharType="begin"/>
            </w:r>
            <w:r w:rsidR="0016542D">
              <w:rPr>
                <w:rFonts w:ascii="Arial" w:hAnsi="Arial" w:cs="Arial"/>
                <w:sz w:val="20"/>
                <w:szCs w:val="20"/>
              </w:rPr>
              <w:instrText xml:space="preserve"> ADDIN ZOTERO_ITEM CSL_CITATION {"citationID":"OVBAmxIH","properties":{"formattedCitation":"(Wernet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104886">
              <w:rPr>
                <w:rFonts w:ascii="Arial" w:hAnsi="Arial" w:cs="Arial"/>
                <w:sz w:val="20"/>
                <w:szCs w:val="20"/>
              </w:rPr>
              <w:t xml:space="preserve">Wernet </w:t>
            </w:r>
            <w:r w:rsidRPr="00104886">
              <w:rPr>
                <w:rFonts w:ascii="Arial" w:hAnsi="Arial" w:cs="Arial"/>
                <w:i/>
                <w:iCs/>
                <w:sz w:val="20"/>
                <w:szCs w:val="20"/>
              </w:rPr>
              <w:t>et al</w:t>
            </w:r>
            <w:r w:rsidRPr="00104886">
              <w:rPr>
                <w:rFonts w:ascii="Arial" w:hAnsi="Arial" w:cs="Arial"/>
                <w:sz w:val="20"/>
                <w:szCs w:val="20"/>
              </w:rPr>
              <w:t>. (2016)</w:t>
            </w:r>
            <w:r w:rsidRPr="00104886">
              <w:rPr>
                <w:rFonts w:ascii="Arial" w:hAnsi="Arial" w:cs="Arial"/>
                <w:sz w:val="20"/>
                <w:szCs w:val="20"/>
                <w:lang w:val="fr-FR"/>
              </w:rPr>
              <w:fldChar w:fldCharType="end"/>
            </w:r>
            <w:r w:rsidRPr="00104886">
              <w:rPr>
                <w:rFonts w:ascii="Arial" w:hAnsi="Arial" w:cs="Arial"/>
                <w:sz w:val="20"/>
                <w:szCs w:val="20"/>
              </w:rPr>
              <w:t xml:space="preserve"> </w:t>
            </w:r>
            <w:r w:rsidRPr="00104886">
              <w:rPr>
                <w:rFonts w:ascii="Arial" w:eastAsia="Arial" w:hAnsi="Arial" w:cs="Arial"/>
                <w:sz w:val="20"/>
                <w:szCs w:val="20"/>
                <w:lang w:val="en-US"/>
              </w:rPr>
              <w:t>version 3.9.1. Activity names: copper mine operation and beneficiation, sulphide ore, copper oxide production, copper production, cathode, SX-EW process, copper sulphate production, smelting of copper concentrate, sulphide ore, electrorefining of copper, anode.</w:t>
            </w:r>
          </w:p>
          <w:p w14:paraId="0D5E27E4" w14:textId="77777777" w:rsidR="00BE51B1" w:rsidRPr="00104886" w:rsidRDefault="00BE51B1" w:rsidP="00877C15">
            <w:pPr>
              <w:spacing w:before="40" w:after="40" w:line="240" w:lineRule="exact"/>
              <w:ind w:left="57" w:right="57"/>
              <w:rPr>
                <w:rFonts w:ascii="Arial" w:eastAsia="Arial" w:hAnsi="Arial" w:cs="Arial"/>
                <w:sz w:val="20"/>
                <w:szCs w:val="20"/>
                <w:lang w:val="en-US"/>
              </w:rPr>
            </w:pPr>
          </w:p>
        </w:tc>
      </w:tr>
      <w:tr w:rsidR="00BE51B1" w:rsidRPr="008330B5" w14:paraId="4B57A1A0" w14:textId="77777777" w:rsidTr="00877C15">
        <w:trPr>
          <w:trHeight w:val="300"/>
        </w:trPr>
        <w:tc>
          <w:tcPr>
            <w:tcW w:w="971" w:type="dxa"/>
            <w:tcMar>
              <w:top w:w="15" w:type="dxa"/>
              <w:left w:w="15" w:type="dxa"/>
              <w:right w:w="15" w:type="dxa"/>
            </w:tcMar>
            <w:vAlign w:val="center"/>
          </w:tcPr>
          <w:p w14:paraId="09B9BECD"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Cobalt (Co)</w:t>
            </w:r>
          </w:p>
        </w:tc>
        <w:tc>
          <w:tcPr>
            <w:tcW w:w="2552" w:type="dxa"/>
            <w:tcMar>
              <w:top w:w="15" w:type="dxa"/>
              <w:left w:w="15" w:type="dxa"/>
              <w:right w:w="15" w:type="dxa"/>
            </w:tcMar>
            <w:vAlign w:val="bottom"/>
          </w:tcPr>
          <w:p w14:paraId="35D961C4"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lang w:val="en-US"/>
              </w:rPr>
              <w:t>Mining and Beneficiation, Smelting and refining, Cathode production, Co hydroxide production to Co sulphate production</w:t>
            </w:r>
          </w:p>
          <w:p w14:paraId="6F8864E2" w14:textId="77777777" w:rsidR="00BE51B1" w:rsidRPr="00766470" w:rsidRDefault="00BE51B1" w:rsidP="00877C15">
            <w:pPr>
              <w:spacing w:before="40" w:after="40" w:line="240" w:lineRule="exact"/>
              <w:ind w:left="57" w:right="57"/>
              <w:rPr>
                <w:rFonts w:ascii="Arial" w:eastAsia="Arial" w:hAnsi="Arial" w:cs="Arial"/>
                <w:sz w:val="20"/>
                <w:szCs w:val="20"/>
                <w:lang w:val="en-US"/>
              </w:rPr>
            </w:pPr>
          </w:p>
        </w:tc>
        <w:tc>
          <w:tcPr>
            <w:tcW w:w="5473" w:type="dxa"/>
          </w:tcPr>
          <w:p w14:paraId="5E931348" w14:textId="5E46C546" w:rsidR="00BE51B1" w:rsidRPr="00FB10BB" w:rsidRDefault="00BE51B1" w:rsidP="00877C15">
            <w:pPr>
              <w:spacing w:before="40" w:after="40" w:line="240" w:lineRule="exact"/>
              <w:ind w:right="57"/>
              <w:rPr>
                <w:rFonts w:ascii="Arial" w:eastAsia="Arial" w:hAnsi="Arial" w:cs="Arial"/>
                <w:sz w:val="20"/>
                <w:szCs w:val="20"/>
                <w:lang w:val="fr-FR"/>
              </w:rPr>
            </w:pPr>
            <w:r w:rsidRPr="00104886">
              <w:rPr>
                <w:rFonts w:ascii="Arial" w:hAnsi="Arial" w:cs="Arial"/>
                <w:sz w:val="20"/>
                <w:szCs w:val="20"/>
              </w:rPr>
              <w:t xml:space="preserve">Mining material intensity estimated per country depending on ore grades from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{"citationID":"iZC3MUve","properties":{"formattedCitation":"\\super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eastAsiaTheme="minorEastAsia" w:hAnsi="Arial" w:cs="Arial"/>
                <w:sz w:val="20"/>
                <w:szCs w:val="20"/>
              </w:rPr>
              <w:t xml:space="preserve"> </w:t>
            </w:r>
            <w:r w:rsidRPr="00104886">
              <w:rPr>
                <w:rFonts w:ascii="Arial" w:hAnsi="Arial" w:cs="Arial"/>
                <w:sz w:val="20"/>
                <w:szCs w:val="20"/>
              </w:rPr>
              <w:t xml:space="preserve">and estimated concentrate grade higher in DRC owning to it having the largest mines with the highest ore grades in the region. </w:t>
            </w:r>
            <w:r w:rsidRPr="00104886">
              <w:rPr>
                <w:rFonts w:ascii="Arial" w:hAnsi="Arial" w:cs="Arial"/>
                <w:sz w:val="20"/>
                <w:szCs w:val="20"/>
                <w:lang w:val="fr-FR"/>
              </w:rPr>
              <w:fldChar w:fldCharType="begin"/>
            </w:r>
            <w:r w:rsidR="0016542D">
              <w:rPr>
                <w:rFonts w:ascii="Arial" w:hAnsi="Arial" w:cs="Arial"/>
                <w:sz w:val="20"/>
                <w:szCs w:val="20"/>
              </w:rPr>
              <w:instrText xml:space="preserve"> ADDIN ZOTERO_ITEM CSL_CITATION {"citationID":"XL3r922L","properties":{"formattedCitation":"(Wernet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FB10BB">
              <w:rPr>
                <w:rFonts w:ascii="Arial" w:hAnsi="Arial" w:cs="Arial"/>
                <w:sz w:val="20"/>
                <w:szCs w:val="20"/>
                <w:lang w:val="fr-FR"/>
              </w:rPr>
              <w:t xml:space="preserve">Wernet </w:t>
            </w:r>
            <w:r w:rsidRPr="00FB10BB">
              <w:rPr>
                <w:rFonts w:ascii="Arial" w:hAnsi="Arial" w:cs="Arial"/>
                <w:i/>
                <w:iCs/>
                <w:sz w:val="20"/>
                <w:szCs w:val="20"/>
                <w:lang w:val="fr-FR"/>
              </w:rPr>
              <w:t>et al</w:t>
            </w:r>
            <w:r w:rsidRPr="00FB10BB">
              <w:rPr>
                <w:rFonts w:ascii="Arial" w:hAnsi="Arial" w:cs="Arial"/>
                <w:sz w:val="20"/>
                <w:szCs w:val="20"/>
                <w:lang w:val="fr-FR"/>
              </w:rPr>
              <w:t xml:space="preserve">. </w:t>
            </w:r>
            <w:r w:rsidRPr="00104886">
              <w:rPr>
                <w:rFonts w:ascii="Arial" w:hAnsi="Arial" w:cs="Arial"/>
                <w:sz w:val="20"/>
                <w:szCs w:val="20"/>
                <w:lang w:val="fr-FR"/>
              </w:rPr>
              <w:t>(2016)</w:t>
            </w:r>
            <w:r w:rsidRPr="00104886">
              <w:rPr>
                <w:rFonts w:ascii="Arial" w:hAnsi="Arial" w:cs="Arial"/>
                <w:sz w:val="20"/>
                <w:szCs w:val="20"/>
                <w:lang w:val="fr-FR"/>
              </w:rPr>
              <w:fldChar w:fldCharType="end"/>
            </w:r>
            <w:r w:rsidRPr="00104886">
              <w:rPr>
                <w:rFonts w:ascii="Arial" w:eastAsia="Arial" w:hAnsi="Arial" w:cs="Arial"/>
                <w:sz w:val="20"/>
                <w:szCs w:val="20"/>
                <w:lang w:val="fr-FR"/>
              </w:rPr>
              <w:t xml:space="preserve"> version 3.9.1. Activity names: cobalt production, cobalt sulphate production; cobalt production, copper concentrate, sulfide ore. </w:t>
            </w:r>
            <w:r w:rsidRPr="00104886">
              <w:rPr>
                <w:rFonts w:ascii="Arial" w:eastAsia="Arial" w:hAnsi="Arial" w:cs="Arial"/>
                <w:sz w:val="20"/>
                <w:szCs w:val="20"/>
                <w:lang w:val="fr-FR"/>
              </w:rPr>
              <w:fldChar w:fldCharType="begin"/>
            </w:r>
            <w:r w:rsidR="0016542D">
              <w:rPr>
                <w:rFonts w:ascii="Arial" w:eastAsia="Arial" w:hAnsi="Arial" w:cs="Arial"/>
                <w:sz w:val="20"/>
                <w:szCs w:val="20"/>
                <w:lang w:val="fr-FR"/>
              </w:rPr>
              <w:instrText xml:space="preserve"> ADDIN ZOTERO_ITEM CSL_CITATION {"citationID":"VdbEwYti","properties":{"formattedCitation":"\\super 15\\nosupersub{}","plainCitation":"15","noteIndex":0},"citationItems":[{"id":1611,"uris":["http://zotero.org/users/10918866/items/L8HKJY9T"],"itemData":{"id":1611,"type":"article-journal","abstract":"We have assembled extensive information on the cradle-to-gate environmental burdens of 63 metals in their major use forms, and illustrated the interconnectedness of metal production systems. Related cumulative energy use, global warming potential, human health implications and ecosystem damage are estimated by metal life cycle stage (i.e., mining, purification, and refining). For some elements, these are the first life cycle estimates of environmental impacts reported in the literature. We show that, if compared on a per kilogram basis, the platinum group metals and gold display the highest environmental burdens, while many of the major industrial metals (e.g., iron, manganese, titanium) are found at the lower end of the environmental impacts scale. If compared on the basis of their global annual production in 2008, iron and aluminum display the largest impacts, and thallium and tellurium the lowest. With the exception of a few metals, environmental impacts of the majority of elements are dominated by the purification and refining stages in which metals are transformed from a concentrate into their metallic form. Out of the 63 metals investigated, 42 metals are obtained as coproducts in multi output processes. We test the sensitivity of varying allocation rationales, in which the environmental burden are allocated to the various metal and mineral products, on the overall results. Monte-Carlo simulation is applied to further investigate the stability of our results. This analysis is the most comprehensive life cycle comparison of metals to date and allows for the first time a complete bottom-up estimate of life cycle impacts of the metals and mining sector globally. We estimate global direct and indirect greenhouse gas emissions in 2008 at 3.4 Gt CO2-eq per year and primary energy use at 49 EJ per year (9.5% of global use), and report the shares for all metals to both impact categories. © 2014 Nuss, Eckelman.","citation-key":"Nuss2014","container-title":"PLoS ONE","DOI":"10.1371/journal.pone.0101298","ISSN":"19326203","issue":"7","PMID":"24999810","publisher":"Public Library of Science","title":"Life cycle assessment of metals: A scientific synthesis","volume":"9","author":[{"family":"Nuss","given":"Philip"},{"family":"Eckelman","given":"Matthew J."}],"issued":{"date-parts":[["2014",7,7]]}}}],"schema":"https://github.com/citation-style-language/schema/raw/master/csl-citation.json"} </w:instrText>
            </w:r>
            <w:r w:rsidRPr="00104886">
              <w:rPr>
                <w:rFonts w:ascii="Arial" w:eastAsia="Arial" w:hAnsi="Arial" w:cs="Arial"/>
                <w:sz w:val="20"/>
                <w:szCs w:val="20"/>
                <w:lang w:val="fr-FR"/>
              </w:rPr>
              <w:fldChar w:fldCharType="separate"/>
            </w:r>
            <w:r w:rsidR="007E07E0" w:rsidRPr="007E07E0">
              <w:rPr>
                <w:rFonts w:ascii="Arial" w:hAnsi="Arial" w:cs="Arial"/>
                <w:kern w:val="0"/>
                <w:sz w:val="20"/>
                <w:vertAlign w:val="superscript"/>
                <w:lang w:val="fr-FR"/>
              </w:rPr>
              <w:t>15</w:t>
            </w:r>
            <w:r w:rsidRPr="00104886">
              <w:rPr>
                <w:rFonts w:ascii="Arial" w:eastAsia="Arial" w:hAnsi="Arial" w:cs="Arial"/>
                <w:sz w:val="20"/>
                <w:szCs w:val="20"/>
                <w:lang w:val="fr-FR"/>
              </w:rPr>
              <w:fldChar w:fldCharType="end"/>
            </w:r>
            <w:r w:rsidRPr="00104886">
              <w:rPr>
                <w:rFonts w:ascii="Arial" w:eastAsia="Arial" w:hAnsi="Arial" w:cs="Arial"/>
                <w:sz w:val="20"/>
                <w:szCs w:val="20"/>
                <w:lang w:val="fr-FR"/>
              </w:rPr>
              <w:t xml:space="preserve">. </w:t>
            </w:r>
            <w:r w:rsidRPr="00104886">
              <w:rPr>
                <w:rFonts w:ascii="Arial" w:eastAsia="Arial" w:hAnsi="Arial" w:cs="Arial"/>
                <w:sz w:val="20"/>
                <w:szCs w:val="20"/>
              </w:rPr>
              <w:fldChar w:fldCharType="begin"/>
            </w:r>
            <w:r w:rsidR="007E07E0">
              <w:rPr>
                <w:rFonts w:ascii="Arial" w:eastAsia="Arial" w:hAnsi="Arial" w:cs="Arial"/>
                <w:sz w:val="20"/>
                <w:szCs w:val="20"/>
                <w:lang w:val="fr-FR"/>
              </w:rPr>
              <w:instrText xml:space="preserve"> ADDIN ZOTERO_ITEM CSL_CITATION {"citationID":"3x62cpbe","properties":{"formattedCitation":"\\super 16\\nosupersub{}","plainCitation":"16","noteIndex":0},"citationItems":[{"id":1904,"uris":["http://zotero.org/users/10918866/items/3J6NRHEC"],"itemData":{"id":1904,"type":"report","publisher":"Argonne National Laboratory","title":"Cobalt Life Cycle Analysis Update for the GREET Model","URL":"https://greet.anl.gov/files/update_cobalt","author":[{"family":"Dai","given":"Q"},{"family":"Kelly","given":"J.C."},{"family":"Elgowainy","given":"A."}],"accessed":{"date-parts":[["2024",9,8]]},"issued":{"date-parts":[["2018",9]]}}}],"schema":"https://github.com/citation-style-language/schema/raw/master/csl-citation.json"} </w:instrText>
            </w:r>
            <w:r w:rsidRPr="00104886">
              <w:rPr>
                <w:rFonts w:ascii="Arial" w:eastAsia="Arial" w:hAnsi="Arial" w:cs="Arial"/>
                <w:sz w:val="20"/>
                <w:szCs w:val="20"/>
              </w:rPr>
              <w:fldChar w:fldCharType="separate"/>
            </w:r>
            <w:r w:rsidR="007E07E0" w:rsidRPr="007E07E0">
              <w:rPr>
                <w:rFonts w:ascii="Arial" w:hAnsi="Arial" w:cs="Arial"/>
                <w:kern w:val="0"/>
                <w:sz w:val="20"/>
                <w:vertAlign w:val="superscript"/>
                <w:lang w:val="fr-FR"/>
              </w:rPr>
              <w:t>16</w:t>
            </w:r>
            <w:r w:rsidRPr="00104886">
              <w:rPr>
                <w:rFonts w:ascii="Arial" w:eastAsia="Arial" w:hAnsi="Arial" w:cs="Arial"/>
                <w:sz w:val="20"/>
                <w:szCs w:val="20"/>
              </w:rPr>
              <w:fldChar w:fldCharType="end"/>
            </w:r>
            <w:r w:rsidRPr="00FB10BB">
              <w:rPr>
                <w:rFonts w:ascii="Arial" w:eastAsia="Arial" w:hAnsi="Arial" w:cs="Arial"/>
                <w:sz w:val="20"/>
                <w:szCs w:val="20"/>
                <w:lang w:val="fr-FR"/>
              </w:rPr>
              <w:t xml:space="preserve"> </w:t>
            </w:r>
            <w:r w:rsidRPr="00104886">
              <w:rPr>
                <w:rFonts w:ascii="Arial" w:eastAsia="Arial" w:hAnsi="Arial" w:cs="Arial"/>
                <w:sz w:val="20"/>
                <w:szCs w:val="20"/>
              </w:rPr>
              <w:fldChar w:fldCharType="begin"/>
            </w:r>
            <w:r w:rsidR="007E07E0">
              <w:rPr>
                <w:rFonts w:ascii="Arial" w:eastAsia="Arial" w:hAnsi="Arial" w:cs="Arial"/>
                <w:sz w:val="20"/>
                <w:szCs w:val="20"/>
                <w:lang w:val="fr-FR"/>
              </w:rPr>
              <w:instrText xml:space="preserve"> ADDIN ZOTERO_ITEM CSL_CITATION {"citationID":"bNJKPlz7","properties":{"formattedCitation":"\\super 17\\uc0\\u8211{}19\\nosupersub{}","plainCitation":"17–19","noteIndex":0},"citationItems":[{"id":6396,"uris":["http://zotero.org/users/10918866/items/YCUF47KJ"],"itemData":{"id":6396,"type":"webpage","title":"Process data set overview page - Cobalt Institute LCA Data Data set: Cobalt, refined (metal)","URL":"https://lca-data.cobaltinstitute.org/showProcess.xhtml?uuid=071d5149-b91b-4f4d-b245-ad620f51e795&amp;version=00.00.000&amp;stock=default","author":[{"family":"Cobalt Institute","given":""}],"accessed":{"date-parts":[["2025",8,5]]},"issued":{"date-parts":[["2012"]]}}},{"id":6394,"uris":["http://zotero.org/users/10918866/items/Z47RN83Q"],"itemData":{"id":6394,"type":"webpage","title":"Process Data set: Crude cobalt hydroxide (Co(OH)2); mining, beneficiation, primary extraction, refining, transport; production mix, at plant; 30- 40% cobalt (en) - Cobalt Institute LCA Data","URL":"https://lca-data.cobaltinstitute.org/datasetdetail/process.xhtml?uuid=121e9553-953f-4e7d-9bb8-46b34a1531a3&amp;version=00.00.001&amp;stock=default","author":[{"family":"Cobalt Institute","given":""}],"accessed":{"date-parts":[["2025",8,5]]},"issued":{"date-parts":[["2019"]]}}},{"id":6397,"uris":["http://zotero.org/users/10918866/items/VQ57D59J"],"itemData":{"id":6397,"type":"webpage","title":"Process data set overview page - Cobalt Institute LCA Data Cobalt, refined (metal); mining, beneficiation, primary extraction, refining, transport; production mix, at plant; 99.8% cobalt","URL":"https://lca-data.cobaltinstitute.org/showProcess.xhtml?uuid=935f46f9-1bd3-4412-84b8-09416221a0e3&amp;version=00.00.001&amp;stock=default","author":[{"family":"Cobalt Institute","given":""}],"accessed":{"date-parts":[["2025",8,5]]},"issued":{"date-parts":[["2019"]]}}}],"schema":"https://github.com/citation-style-language/schema/raw/master/csl-citation.json"} </w:instrText>
            </w:r>
            <w:r w:rsidRPr="00104886">
              <w:rPr>
                <w:rFonts w:ascii="Arial" w:eastAsia="Arial" w:hAnsi="Arial" w:cs="Arial"/>
                <w:sz w:val="20"/>
                <w:szCs w:val="20"/>
              </w:rPr>
              <w:fldChar w:fldCharType="separate"/>
            </w:r>
            <w:r w:rsidR="007E07E0" w:rsidRPr="007E07E0">
              <w:rPr>
                <w:rFonts w:ascii="Arial" w:hAnsi="Arial" w:cs="Arial"/>
                <w:kern w:val="0"/>
                <w:sz w:val="20"/>
                <w:vertAlign w:val="superscript"/>
                <w:lang w:val="fr-FR"/>
              </w:rPr>
              <w:t>17–19</w:t>
            </w:r>
            <w:r w:rsidRPr="00104886">
              <w:rPr>
                <w:rFonts w:ascii="Arial" w:eastAsia="Arial" w:hAnsi="Arial" w:cs="Arial"/>
                <w:sz w:val="20"/>
                <w:szCs w:val="20"/>
              </w:rPr>
              <w:fldChar w:fldCharType="end"/>
            </w:r>
            <w:r w:rsidRPr="00FB10BB">
              <w:rPr>
                <w:rFonts w:ascii="Arial" w:eastAsia="Arial" w:hAnsi="Arial" w:cs="Arial"/>
                <w:sz w:val="20"/>
                <w:szCs w:val="20"/>
                <w:lang w:val="fr-FR"/>
              </w:rPr>
              <w:t xml:space="preserve"> Activity names: Cobalt, refined (metal); hydro- and pyrometallurgical processes; production mix, at plant; &gt;99% Co, Cobalt, refined (metal); mining, beneficiation, primary extraction, refining, transport; production mix, at plant; 99.8% cobalt, Crude cobalt hydroxide (Co(OH)2); mining, beneficiation, primary extraction, refining, transport; production mix, at plant; 30- 40% cobalt.</w:t>
            </w:r>
          </w:p>
        </w:tc>
      </w:tr>
      <w:tr w:rsidR="00BE51B1" w:rsidRPr="007D3F22" w14:paraId="76B63EB6" w14:textId="77777777" w:rsidTr="00877C15">
        <w:trPr>
          <w:trHeight w:val="300"/>
        </w:trPr>
        <w:tc>
          <w:tcPr>
            <w:tcW w:w="971" w:type="dxa"/>
            <w:tcMar>
              <w:top w:w="15" w:type="dxa"/>
              <w:left w:w="15" w:type="dxa"/>
              <w:right w:w="15" w:type="dxa"/>
            </w:tcMar>
            <w:vAlign w:val="center"/>
          </w:tcPr>
          <w:p w14:paraId="7BE04340"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rPr>
            </w:pPr>
            <w:r w:rsidRPr="00766470">
              <w:rPr>
                <w:rFonts w:ascii="Arial" w:eastAsia="Arial" w:hAnsi="Arial" w:cs="Arial"/>
                <w:b/>
                <w:bCs/>
                <w:color w:val="156082" w:themeColor="accent1"/>
                <w:sz w:val="20"/>
                <w:szCs w:val="20"/>
              </w:rPr>
              <w:t>Nickel (Ni)</w:t>
            </w:r>
          </w:p>
        </w:tc>
        <w:tc>
          <w:tcPr>
            <w:tcW w:w="2552" w:type="dxa"/>
            <w:tcMar>
              <w:top w:w="15" w:type="dxa"/>
              <w:left w:w="15" w:type="dxa"/>
              <w:right w:w="15" w:type="dxa"/>
            </w:tcMar>
            <w:vAlign w:val="bottom"/>
          </w:tcPr>
          <w:p w14:paraId="6580DD11"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rPr>
              <w:t>Mining and Beneficiation, Smelting, Electrorefining, Ni class 1 product</w:t>
            </w:r>
            <w:r w:rsidRPr="00766470">
              <w:rPr>
                <w:rFonts w:ascii="Arial" w:eastAsia="Arial" w:hAnsi="Arial" w:cs="Arial"/>
                <w:sz w:val="20"/>
                <w:szCs w:val="20"/>
                <w:lang w:val="en-US"/>
              </w:rPr>
              <w:t>ion, Ni sulphate production</w:t>
            </w:r>
          </w:p>
          <w:p w14:paraId="1BADC7E5" w14:textId="77777777" w:rsidR="00BE51B1" w:rsidRPr="00766470" w:rsidRDefault="00BE51B1" w:rsidP="00877C15">
            <w:pPr>
              <w:spacing w:before="40" w:after="40" w:line="240" w:lineRule="exact"/>
              <w:ind w:left="57" w:right="57"/>
              <w:rPr>
                <w:rFonts w:ascii="Arial" w:eastAsia="Arial" w:hAnsi="Arial" w:cs="Arial"/>
                <w:sz w:val="20"/>
                <w:szCs w:val="20"/>
                <w:lang w:val="en-US"/>
              </w:rPr>
            </w:pPr>
          </w:p>
        </w:tc>
        <w:tc>
          <w:tcPr>
            <w:tcW w:w="5473" w:type="dxa"/>
          </w:tcPr>
          <w:p w14:paraId="74DA5330" w14:textId="79BAB6BE" w:rsidR="00BE51B1" w:rsidRPr="00104886" w:rsidRDefault="00BE51B1" w:rsidP="00877C15">
            <w:pPr>
              <w:spacing w:before="40" w:after="40" w:line="240" w:lineRule="exact"/>
              <w:ind w:right="57"/>
              <w:rPr>
                <w:rFonts w:ascii="Arial" w:eastAsia="Arial" w:hAnsi="Arial" w:cs="Arial"/>
                <w:sz w:val="20"/>
                <w:szCs w:val="20"/>
              </w:rPr>
            </w:pPr>
            <w:r w:rsidRPr="00104886">
              <w:rPr>
                <w:rFonts w:ascii="Arial" w:hAnsi="Arial" w:cs="Arial"/>
                <w:sz w:val="20"/>
                <w:szCs w:val="20"/>
              </w:rPr>
              <w:t xml:space="preserve">Mining material intensity estimated per country depending on grade and recovery rates from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{"citationID":"BfbOMcvf","properties":{"formattedCitation":"\\super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hAnsi="Arial" w:cs="Arial"/>
                <w:sz w:val="20"/>
                <w:szCs w:val="20"/>
              </w:rPr>
              <w:t xml:space="preserve">. </w:t>
            </w:r>
            <w:r w:rsidRPr="00104886">
              <w:rPr>
                <w:rFonts w:ascii="Arial" w:hAnsi="Arial" w:cs="Arial"/>
                <w:sz w:val="20"/>
                <w:szCs w:val="20"/>
                <w:lang w:val="fr-FR"/>
              </w:rPr>
              <w:fldChar w:fldCharType="begin"/>
            </w:r>
            <w:r w:rsidR="0016542D">
              <w:rPr>
                <w:rFonts w:ascii="Arial" w:hAnsi="Arial" w:cs="Arial"/>
                <w:sz w:val="20"/>
                <w:szCs w:val="20"/>
              </w:rPr>
              <w:instrText xml:space="preserve"> ADDIN ZOTERO_ITEM CSL_CITATION {"citationID":"orL8Ku5j","properties":{"formattedCitation":"(Wernet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104886">
              <w:rPr>
                <w:rFonts w:ascii="Arial" w:hAnsi="Arial" w:cs="Arial"/>
                <w:sz w:val="20"/>
                <w:szCs w:val="20"/>
              </w:rPr>
              <w:t xml:space="preserve">Wernet </w:t>
            </w:r>
            <w:r w:rsidRPr="00104886">
              <w:rPr>
                <w:rFonts w:ascii="Arial" w:hAnsi="Arial" w:cs="Arial"/>
                <w:i/>
                <w:iCs/>
                <w:sz w:val="20"/>
                <w:szCs w:val="20"/>
              </w:rPr>
              <w:t>et al</w:t>
            </w:r>
            <w:r w:rsidRPr="00104886">
              <w:rPr>
                <w:rFonts w:ascii="Arial" w:hAnsi="Arial" w:cs="Arial"/>
                <w:sz w:val="20"/>
                <w:szCs w:val="20"/>
              </w:rPr>
              <w:t>. (2016)</w:t>
            </w:r>
            <w:r w:rsidRPr="00104886">
              <w:rPr>
                <w:rFonts w:ascii="Arial" w:hAnsi="Arial" w:cs="Arial"/>
                <w:sz w:val="20"/>
                <w:szCs w:val="20"/>
                <w:lang w:val="fr-FR"/>
              </w:rPr>
              <w:fldChar w:fldCharType="end"/>
            </w:r>
            <w:r w:rsidRPr="00104886">
              <w:rPr>
                <w:rFonts w:ascii="Arial" w:hAnsi="Arial" w:cs="Arial"/>
                <w:sz w:val="20"/>
                <w:szCs w:val="20"/>
              </w:rPr>
              <w:t xml:space="preserve"> </w:t>
            </w:r>
            <w:r w:rsidRPr="00104886">
              <w:rPr>
                <w:rFonts w:ascii="Arial" w:eastAsia="Arial" w:hAnsi="Arial" w:cs="Arial"/>
                <w:sz w:val="20"/>
                <w:szCs w:val="20"/>
              </w:rPr>
              <w:t>version 3.9.1. Activity names: nickel mine operation and beneficiation to nickel concentrate, 16% Ni, nickel mine operation and beneficiation to nickel concentrate, 7% Ni, smelting and refining of nickel concentrate, 16% Ni, nickel sulphate production, processing of nickel-rich materials</w:t>
            </w:r>
          </w:p>
        </w:tc>
      </w:tr>
      <w:tr w:rsidR="00BE51B1" w:rsidRPr="007D3F22" w14:paraId="40732EC7" w14:textId="77777777" w:rsidTr="00877C15">
        <w:trPr>
          <w:trHeight w:val="300"/>
        </w:trPr>
        <w:tc>
          <w:tcPr>
            <w:tcW w:w="971" w:type="dxa"/>
            <w:tcMar>
              <w:top w:w="15" w:type="dxa"/>
              <w:left w:w="15" w:type="dxa"/>
              <w:right w:w="15" w:type="dxa"/>
            </w:tcMar>
            <w:vAlign w:val="center"/>
          </w:tcPr>
          <w:p w14:paraId="4890CA12"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Graphite</w:t>
            </w:r>
          </w:p>
        </w:tc>
        <w:tc>
          <w:tcPr>
            <w:tcW w:w="2552" w:type="dxa"/>
            <w:tcMar>
              <w:top w:w="15" w:type="dxa"/>
              <w:left w:w="15" w:type="dxa"/>
              <w:right w:w="15" w:type="dxa"/>
            </w:tcMar>
            <w:vAlign w:val="bottom"/>
          </w:tcPr>
          <w:p w14:paraId="75A4FB6A"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lang w:val="en-US"/>
              </w:rPr>
              <w:t>Mining, Flotation, Spheronisation, Purification, Coating</w:t>
            </w:r>
          </w:p>
          <w:p w14:paraId="554DFA68" w14:textId="77777777" w:rsidR="00BE51B1" w:rsidRPr="00766470" w:rsidRDefault="00BE51B1" w:rsidP="00877C15">
            <w:pPr>
              <w:spacing w:before="40" w:after="40" w:line="240" w:lineRule="exact"/>
              <w:ind w:left="57" w:right="57"/>
              <w:rPr>
                <w:rFonts w:ascii="Arial" w:eastAsia="Arial" w:hAnsi="Arial" w:cs="Arial"/>
                <w:sz w:val="20"/>
                <w:szCs w:val="20"/>
                <w:lang w:val="en-US"/>
              </w:rPr>
            </w:pPr>
          </w:p>
        </w:tc>
        <w:tc>
          <w:tcPr>
            <w:tcW w:w="5473" w:type="dxa"/>
          </w:tcPr>
          <w:p w14:paraId="2B8C4D03" w14:textId="75ACF20A" w:rsidR="00BE51B1" w:rsidRPr="00104886" w:rsidRDefault="00BE51B1" w:rsidP="00877C15">
            <w:pPr>
              <w:spacing w:before="40" w:after="40" w:line="240" w:lineRule="exact"/>
              <w:ind w:right="57"/>
              <w:rPr>
                <w:rFonts w:ascii="Arial" w:eastAsia="Arial" w:hAnsi="Arial" w:cs="Arial"/>
                <w:sz w:val="20"/>
                <w:szCs w:val="20"/>
                <w:lang w:val="fr-FR"/>
              </w:rPr>
            </w:pPr>
            <w:r w:rsidRPr="00104886">
              <w:rPr>
                <w:rFonts w:ascii="Arial" w:hAnsi="Arial" w:cs="Arial"/>
                <w:sz w:val="20"/>
                <w:szCs w:val="20"/>
              </w:rPr>
              <w:t xml:space="preserve">Mining material intensity estimated per country depending on grade and recovery rates from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{"citationID":"BYjzgTZk","properties":{"formattedCitation":"\\super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hAnsi="Arial" w:cs="Arial"/>
                <w:sz w:val="20"/>
                <w:szCs w:val="20"/>
              </w:rPr>
              <w:t xml:space="preserve">. </w:t>
            </w:r>
            <w:r w:rsidRPr="00104886">
              <w:rPr>
                <w:rFonts w:ascii="Arial" w:hAnsi="Arial" w:cs="Arial"/>
                <w:sz w:val="20"/>
                <w:szCs w:val="20"/>
                <w:lang w:val="fr-FR"/>
              </w:rPr>
              <w:fldChar w:fldCharType="begin"/>
            </w:r>
            <w:r w:rsidR="0016542D">
              <w:rPr>
                <w:rFonts w:ascii="Arial" w:hAnsi="Arial" w:cs="Arial"/>
                <w:sz w:val="20"/>
                <w:szCs w:val="20"/>
              </w:rPr>
              <w:instrText xml:space="preserve"> ADDIN ZOTERO_ITEM CSL_CITATION {"citationID":"eMHXLas5","properties":{"formattedCitation":"(Wernet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FB10BB">
              <w:rPr>
                <w:rFonts w:ascii="Arial" w:hAnsi="Arial" w:cs="Arial"/>
                <w:sz w:val="20"/>
                <w:szCs w:val="20"/>
                <w:lang w:val="fr-FR"/>
              </w:rPr>
              <w:t xml:space="preserve">Wernet </w:t>
            </w:r>
            <w:r w:rsidRPr="00FB10BB">
              <w:rPr>
                <w:rFonts w:ascii="Arial" w:hAnsi="Arial" w:cs="Arial"/>
                <w:i/>
                <w:iCs/>
                <w:sz w:val="20"/>
                <w:szCs w:val="20"/>
                <w:lang w:val="fr-FR"/>
              </w:rPr>
              <w:t>et al</w:t>
            </w:r>
            <w:r w:rsidRPr="00FB10BB">
              <w:rPr>
                <w:rFonts w:ascii="Arial" w:hAnsi="Arial" w:cs="Arial"/>
                <w:sz w:val="20"/>
                <w:szCs w:val="20"/>
                <w:lang w:val="fr-FR"/>
              </w:rPr>
              <w:t xml:space="preserve">. </w:t>
            </w:r>
            <w:r w:rsidRPr="00104886">
              <w:rPr>
                <w:rFonts w:ascii="Arial" w:hAnsi="Arial" w:cs="Arial"/>
                <w:sz w:val="20"/>
                <w:szCs w:val="20"/>
                <w:lang w:val="fr-FR"/>
              </w:rPr>
              <w:t>(2016)</w:t>
            </w:r>
            <w:r w:rsidRPr="00104886">
              <w:rPr>
                <w:rFonts w:ascii="Arial" w:hAnsi="Arial" w:cs="Arial"/>
                <w:sz w:val="20"/>
                <w:szCs w:val="20"/>
                <w:lang w:val="fr-FR"/>
              </w:rPr>
              <w:fldChar w:fldCharType="end"/>
            </w:r>
            <w:r w:rsidRPr="00104886">
              <w:rPr>
                <w:rFonts w:ascii="Arial" w:hAnsi="Arial" w:cs="Arial"/>
                <w:sz w:val="20"/>
                <w:szCs w:val="20"/>
                <w:lang w:val="fr-FR"/>
              </w:rPr>
              <w:t xml:space="preserve"> </w:t>
            </w:r>
            <w:r w:rsidRPr="00104886">
              <w:rPr>
                <w:rFonts w:ascii="Arial" w:eastAsia="Arial" w:hAnsi="Arial" w:cs="Arial"/>
                <w:sz w:val="20"/>
                <w:szCs w:val="20"/>
                <w:lang w:val="fr-FR"/>
              </w:rPr>
              <w:t xml:space="preserve">version 3.9.1. Activity names: graphite production, battery grade, graphite production. Additional information from </w:t>
            </w:r>
            <w:r w:rsidRPr="00104886">
              <w:rPr>
                <w:rFonts w:ascii="Arial" w:eastAsia="Arial" w:hAnsi="Arial" w:cs="Arial"/>
                <w:sz w:val="20"/>
                <w:szCs w:val="20"/>
                <w:lang w:val="fr-FR"/>
              </w:rPr>
              <w:fldChar w:fldCharType="begin"/>
            </w:r>
            <w:r w:rsidRPr="00104886">
              <w:rPr>
                <w:rFonts w:ascii="Arial" w:eastAsia="Arial" w:hAnsi="Arial" w:cs="Arial"/>
                <w:sz w:val="20"/>
                <w:szCs w:val="20"/>
                <w:lang w:val="fr-FR"/>
              </w:rPr>
              <w:instrText xml:space="preserve"> ADDIN ZOTERO_ITEM CSL_CITATION {"citationID":"WlToGgQj","properties":{"formattedCitation":"(Engels et al., 2022)","plainCitation":"(Engels et al., 2022)","dontUpdate":true,"noteIndex":0},"citationItems":[{"id":5992,"uris":["http://zotero.org/groups/4913217/items/E38IVVAY"],"itemData":{"id":5992,"type":"article-journal","abstract":"The production of battery materials has been identified as the main contributor to the greenhouse gas (GHG) emissions of lithium-ion batteries for automotive applications. Graphite manufacturing is characterized by en­ ergy intense production processes (including extraction), mainly being operated in China with low energy prices and a relatively high GHG emission intensity of electricity generation.","container-title":"Journal of Cleaner Production","DOI":"10.1016/j.jclepro.2022.130474","ISSN":"09596526","journalAbbreviation":"Journal of Cleaner Production","language":"en","page":"130474","source":"DOI.org (Crossref)","title":"Life cycle assessment of natural graphite production for lithium-ion battery anodes based on industrial primary data","volume":"336","author":[{"family":"Engels","given":"Philipp"},{"family":"Cerdas","given":"Felipe"},{"family":"Dettmer","given":"Tina"},{"family":"Frey","given":"Christoph"},{"family":"Hentschel","given":"Jan"},{"family":"Herrmann","given":"Christoph"},{"family":"Mirfabrikikar","given":"Tina"},{"family":"Schueler","given":"Maximilian"}],"issued":{"date-parts":[["2022",2]]}}}],"schema":"https://github.com/citation-style-language/schema/raw/master/csl-citation.json"} </w:instrText>
            </w:r>
            <w:r w:rsidRPr="00104886">
              <w:rPr>
                <w:rFonts w:ascii="Arial" w:eastAsia="Arial" w:hAnsi="Arial" w:cs="Arial"/>
                <w:sz w:val="20"/>
                <w:szCs w:val="20"/>
                <w:lang w:val="fr-FR"/>
              </w:rPr>
              <w:fldChar w:fldCharType="separate"/>
            </w:r>
            <w:r w:rsidRPr="00104886">
              <w:rPr>
                <w:rFonts w:ascii="Arial" w:hAnsi="Arial" w:cs="Arial"/>
                <w:sz w:val="20"/>
                <w:szCs w:val="20"/>
              </w:rPr>
              <w:t xml:space="preserve">Engels </w:t>
            </w:r>
            <w:r w:rsidRPr="00104886">
              <w:rPr>
                <w:rFonts w:ascii="Arial" w:hAnsi="Arial" w:cs="Arial"/>
                <w:i/>
                <w:iCs/>
                <w:sz w:val="20"/>
                <w:szCs w:val="20"/>
              </w:rPr>
              <w:t>et al</w:t>
            </w:r>
            <w:r w:rsidRPr="00104886">
              <w:rPr>
                <w:rFonts w:ascii="Arial" w:hAnsi="Arial" w:cs="Arial"/>
                <w:sz w:val="20"/>
                <w:szCs w:val="20"/>
              </w:rPr>
              <w:t>. (2022)</w:t>
            </w:r>
            <w:r w:rsidRPr="00104886">
              <w:rPr>
                <w:rFonts w:ascii="Arial" w:eastAsia="Arial" w:hAnsi="Arial" w:cs="Arial"/>
                <w:sz w:val="20"/>
                <w:szCs w:val="20"/>
                <w:lang w:val="fr-FR"/>
              </w:rPr>
              <w:fldChar w:fldCharType="end"/>
            </w:r>
            <w:r w:rsidRPr="00104886">
              <w:rPr>
                <w:rFonts w:ascii="Arial" w:eastAsia="Arial" w:hAnsi="Arial" w:cs="Arial"/>
                <w:sz w:val="20"/>
                <w:szCs w:val="20"/>
                <w:lang w:val="fr-FR"/>
              </w:rPr>
              <w:t xml:space="preserve">. </w:t>
            </w:r>
          </w:p>
        </w:tc>
      </w:tr>
      <w:tr w:rsidR="00BE51B1" w:rsidRPr="007D3F22" w14:paraId="41C3B867" w14:textId="77777777" w:rsidTr="00877C15">
        <w:trPr>
          <w:trHeight w:val="300"/>
        </w:trPr>
        <w:tc>
          <w:tcPr>
            <w:tcW w:w="971" w:type="dxa"/>
            <w:tcMar>
              <w:top w:w="15" w:type="dxa"/>
              <w:left w:w="15" w:type="dxa"/>
              <w:right w:w="15" w:type="dxa"/>
            </w:tcMar>
            <w:vAlign w:val="center"/>
          </w:tcPr>
          <w:p w14:paraId="1DD65519"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Manganese (Mn)</w:t>
            </w:r>
          </w:p>
        </w:tc>
        <w:tc>
          <w:tcPr>
            <w:tcW w:w="2552" w:type="dxa"/>
            <w:tcMar>
              <w:top w:w="15" w:type="dxa"/>
              <w:left w:w="15" w:type="dxa"/>
              <w:right w:w="15" w:type="dxa"/>
            </w:tcMar>
            <w:vAlign w:val="bottom"/>
          </w:tcPr>
          <w:p w14:paraId="428B5A87"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lang w:val="en-US"/>
              </w:rPr>
              <w:t>Mining and Beneficiation, Roasting, Mn sulphate production</w:t>
            </w:r>
          </w:p>
          <w:p w14:paraId="771CBA97" w14:textId="77777777" w:rsidR="00BE51B1" w:rsidRPr="00766470" w:rsidRDefault="00BE51B1" w:rsidP="00877C15">
            <w:pPr>
              <w:spacing w:before="40" w:after="40" w:line="240" w:lineRule="exact"/>
              <w:ind w:left="57" w:right="57"/>
              <w:rPr>
                <w:rFonts w:ascii="Arial" w:eastAsia="Arial" w:hAnsi="Arial" w:cs="Arial"/>
                <w:sz w:val="20"/>
                <w:szCs w:val="20"/>
                <w:lang w:val="en-US"/>
              </w:rPr>
            </w:pPr>
          </w:p>
        </w:tc>
        <w:tc>
          <w:tcPr>
            <w:tcW w:w="5473" w:type="dxa"/>
          </w:tcPr>
          <w:p w14:paraId="242F32FC" w14:textId="318C74B6" w:rsidR="00BE51B1" w:rsidRPr="00104886" w:rsidRDefault="00BE51B1" w:rsidP="00877C15">
            <w:pPr>
              <w:spacing w:before="40" w:after="40" w:line="240" w:lineRule="exact"/>
              <w:ind w:right="57"/>
              <w:rPr>
                <w:rFonts w:ascii="Arial" w:eastAsia="Arial" w:hAnsi="Arial" w:cs="Arial"/>
                <w:sz w:val="20"/>
                <w:szCs w:val="20"/>
              </w:rPr>
            </w:pPr>
            <w:r w:rsidRPr="00104886">
              <w:rPr>
                <w:rFonts w:ascii="Arial" w:hAnsi="Arial" w:cs="Arial"/>
                <w:sz w:val="20"/>
                <w:szCs w:val="20"/>
              </w:rPr>
              <w:t xml:space="preserve">Mining material intensity estimated per country depending on grade and recovery rates from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{"citationID":"fkZTUsZ5","properties":{"formattedCitation":"\\super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hAnsi="Arial" w:cs="Arial"/>
                <w:sz w:val="20"/>
                <w:szCs w:val="20"/>
              </w:rPr>
              <w:t xml:space="preserve">. </w:t>
            </w:r>
            <w:r w:rsidRPr="00104886">
              <w:rPr>
                <w:rFonts w:ascii="Arial" w:hAnsi="Arial" w:cs="Arial"/>
                <w:sz w:val="20"/>
                <w:szCs w:val="20"/>
                <w:lang w:val="fr-FR"/>
              </w:rPr>
              <w:fldChar w:fldCharType="begin"/>
            </w:r>
            <w:r w:rsidR="0016542D">
              <w:rPr>
                <w:rFonts w:ascii="Arial" w:hAnsi="Arial" w:cs="Arial"/>
                <w:sz w:val="20"/>
                <w:szCs w:val="20"/>
                <w:lang w:val="en-US"/>
              </w:rPr>
              <w:instrText xml:space="preserve"> ADDIN ZOTERO_ITEM CSL_CITATION {"citationID":"uoIrn6SL","properties":{"formattedCitation":"(Wernet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104886">
              <w:rPr>
                <w:rFonts w:ascii="Arial" w:hAnsi="Arial" w:cs="Arial"/>
                <w:sz w:val="20"/>
                <w:szCs w:val="20"/>
                <w:lang w:val="en-US"/>
              </w:rPr>
              <w:t xml:space="preserve">Wernet </w:t>
            </w:r>
            <w:r w:rsidRPr="00104886">
              <w:rPr>
                <w:rFonts w:ascii="Arial" w:hAnsi="Arial" w:cs="Arial"/>
                <w:i/>
                <w:iCs/>
                <w:sz w:val="20"/>
                <w:szCs w:val="20"/>
                <w:lang w:val="en-US"/>
              </w:rPr>
              <w:t>et al</w:t>
            </w:r>
            <w:r w:rsidRPr="00104886">
              <w:rPr>
                <w:rFonts w:ascii="Arial" w:hAnsi="Arial" w:cs="Arial"/>
                <w:sz w:val="20"/>
                <w:szCs w:val="20"/>
                <w:lang w:val="en-US"/>
              </w:rPr>
              <w:t xml:space="preserve">. </w:t>
            </w:r>
            <w:r w:rsidRPr="00104886">
              <w:rPr>
                <w:rFonts w:ascii="Arial" w:hAnsi="Arial" w:cs="Arial"/>
                <w:sz w:val="20"/>
                <w:szCs w:val="20"/>
              </w:rPr>
              <w:t>(2016)</w:t>
            </w:r>
            <w:r w:rsidRPr="00104886">
              <w:rPr>
                <w:rFonts w:ascii="Arial" w:hAnsi="Arial" w:cs="Arial"/>
                <w:sz w:val="20"/>
                <w:szCs w:val="20"/>
                <w:lang w:val="fr-FR"/>
              </w:rPr>
              <w:fldChar w:fldCharType="end"/>
            </w:r>
            <w:r w:rsidRPr="00104886">
              <w:rPr>
                <w:rFonts w:ascii="Arial" w:hAnsi="Arial" w:cs="Arial"/>
                <w:sz w:val="20"/>
                <w:szCs w:val="20"/>
              </w:rPr>
              <w:t xml:space="preserve"> </w:t>
            </w:r>
            <w:r w:rsidRPr="00104886">
              <w:rPr>
                <w:rFonts w:ascii="Arial" w:eastAsia="Arial" w:hAnsi="Arial" w:cs="Arial"/>
                <w:sz w:val="20"/>
                <w:szCs w:val="20"/>
              </w:rPr>
              <w:t xml:space="preserve">version 3.9.1 from which activity names: manganese concentrate production, manganese sulphate production. </w:t>
            </w:r>
            <w:r w:rsidRPr="00104886">
              <w:rPr>
                <w:rFonts w:ascii="Arial" w:eastAsia="Arial" w:hAnsi="Arial" w:cs="Arial"/>
                <w:sz w:val="20"/>
                <w:szCs w:val="20"/>
                <w:lang w:val="fr-FR"/>
              </w:rPr>
              <w:fldChar w:fldCharType="begin"/>
            </w:r>
            <w:r w:rsidRPr="00104886">
              <w:rPr>
                <w:rFonts w:ascii="Arial" w:eastAsia="Arial" w:hAnsi="Arial" w:cs="Arial"/>
                <w:sz w:val="20"/>
                <w:szCs w:val="20"/>
              </w:rPr>
              <w:instrText xml:space="preserve"> ADDIN ZOTERO_ITEM CSL_CITATION {"citationID":"AgrRVGi8","properties":{"formattedCitation":"(Farjana et al., 2019)","plainCitation":"(Farjana et al., 2019)","dontUpdate":true,"noteIndex":0},"citationItems":[{"id":126,"uris":["http://zotero.org/users/10918866/items/LZFH7CCM"],"itemData":{"id":126,"type":"article-journal","abstract":"This paper presents the life cycle assessment (LCA) carried out on the manganese beneficiation and refining process. This cradle-to-gate analysis is carried out using SimaPro software version 8.5. The considered case is the manganese beneficiation and refining process, and the final product is 1 kg of refined manganese. The global average dataset is collected from the EcoInvent and AusLCI database, which are originated from literature source. The analysis methodologies considered in this study are the International Life Cycle Reference Data System (ILCD) method and Cumulative Energy Demand (CED) method. A comparative analysis is also presented which compared among ILCD, Australian Indicator, and Tool for Reduction and Assessment of Chemicals and Other Environmental Impacts (TRACI) methods to identify the best practice method for global analysis of mining processes. A detailed sensitivity analysis has been carried out considering different scenarios, to suggest possible solutions to reduce the environmental impacts associated with manganese beneficiation and refining processes. The analysis results reveal that particulate matter, climate change, categories of eutrophication, human toxicity (cancer and non-cancer effects), and acidification are some of the noteworthy impact categories. The analysis results also showed that coal consumption is significantly higher than other types of renewables and non-renewable energy consumption in manganese beneficiation and refining processes. The analysis results further reveal that using the chromium steel in manganese beneficiation process and ferromanganese consumption in the refining process has a significant effect over other materials involved in manganese beneficiation and refining operations. The obvious reason behind this result is ferromanganese utilization as an energy-intensive process, which in turn increases the environmental emissions. The analysis results also showed that, between the beneficiation and refining process, manganese refining has a much greater impact on the environment rather than the beneficiation process due to the fossil fuel and electricity consumption in refining operations.","container-title":"Science of The Total Environment","DOI":"10.1016/j.scitotenv.2019.06.184","ISSN":"0048-9697","journalAbbreviation":"Science of The Total Environment","page":"1102-1111","source":"ScienceDirect","title":"A global life cycle assessment of manganese mining processes based on EcoInvent database","volume":"688","author":[{"family":"Farjana","given":"Shahjadi Hisan"},{"family":"Huda","given":"Nazmul"},{"family":"Mahmud","given":"M. A. Parvez"},{"family":"Lang","given":"Candace"}],"issued":{"date-parts":[["2019",10,20]]}}}],"schema":"https://github.com/citation-style-language/schema/raw/master/csl-citation.json"} </w:instrText>
            </w:r>
            <w:r w:rsidRPr="00104886">
              <w:rPr>
                <w:rFonts w:ascii="Arial" w:eastAsia="Arial" w:hAnsi="Arial" w:cs="Arial"/>
                <w:sz w:val="20"/>
                <w:szCs w:val="20"/>
                <w:lang w:val="fr-FR"/>
              </w:rPr>
              <w:fldChar w:fldCharType="separate"/>
            </w:r>
            <w:r w:rsidRPr="00104886">
              <w:rPr>
                <w:rFonts w:ascii="Arial" w:hAnsi="Arial" w:cs="Arial"/>
                <w:sz w:val="20"/>
                <w:szCs w:val="20"/>
              </w:rPr>
              <w:t xml:space="preserve">Farjana </w:t>
            </w:r>
            <w:r w:rsidRPr="00104886">
              <w:rPr>
                <w:rFonts w:ascii="Arial" w:hAnsi="Arial" w:cs="Arial"/>
                <w:i/>
                <w:iCs/>
                <w:sz w:val="20"/>
                <w:szCs w:val="20"/>
              </w:rPr>
              <w:t>et al</w:t>
            </w:r>
            <w:r w:rsidRPr="00104886">
              <w:rPr>
                <w:rFonts w:ascii="Arial" w:hAnsi="Arial" w:cs="Arial"/>
                <w:sz w:val="20"/>
                <w:szCs w:val="20"/>
              </w:rPr>
              <w:t>. (2019)</w:t>
            </w:r>
            <w:r w:rsidRPr="00104886">
              <w:rPr>
                <w:rFonts w:ascii="Arial" w:eastAsia="Arial" w:hAnsi="Arial" w:cs="Arial"/>
                <w:sz w:val="20"/>
                <w:szCs w:val="20"/>
                <w:lang w:val="fr-FR"/>
              </w:rPr>
              <w:fldChar w:fldCharType="end"/>
            </w:r>
            <w:r w:rsidRPr="00104886">
              <w:rPr>
                <w:rFonts w:ascii="Arial" w:eastAsia="Arial" w:hAnsi="Arial" w:cs="Arial"/>
                <w:sz w:val="20"/>
                <w:szCs w:val="20"/>
                <w:lang w:val="en-US"/>
              </w:rPr>
              <w:t>, from which a</w:t>
            </w:r>
            <w:r w:rsidRPr="00104886">
              <w:rPr>
                <w:rFonts w:ascii="Arial" w:eastAsia="Arial" w:hAnsi="Arial" w:cs="Arial"/>
                <w:sz w:val="20"/>
                <w:szCs w:val="20"/>
              </w:rPr>
              <w:t>ctivity name: manganese production.</w:t>
            </w:r>
          </w:p>
        </w:tc>
      </w:tr>
      <w:tr w:rsidR="00BE51B1" w:rsidRPr="007D3F22" w14:paraId="1E6DFA72" w14:textId="77777777" w:rsidTr="00877C15">
        <w:trPr>
          <w:trHeight w:val="300"/>
        </w:trPr>
        <w:tc>
          <w:tcPr>
            <w:tcW w:w="971" w:type="dxa"/>
            <w:tcMar>
              <w:top w:w="15" w:type="dxa"/>
              <w:left w:w="15" w:type="dxa"/>
              <w:right w:w="15" w:type="dxa"/>
            </w:tcMar>
            <w:vAlign w:val="center"/>
          </w:tcPr>
          <w:p w14:paraId="0C860C81" w14:textId="77777777" w:rsidR="00BE51B1" w:rsidRPr="00766470" w:rsidRDefault="00BE51B1" w:rsidP="00877C15">
            <w:pPr>
              <w:spacing w:before="40" w:after="40" w:line="240" w:lineRule="exact"/>
              <w:ind w:left="57" w:right="57"/>
              <w:rPr>
                <w:rFonts w:ascii="Arial" w:eastAsia="Arial" w:hAnsi="Arial" w:cs="Arial"/>
                <w:b/>
                <w:bCs/>
                <w:color w:val="156082" w:themeColor="accent1"/>
                <w:sz w:val="20"/>
                <w:szCs w:val="20"/>
                <w:lang w:val="en-US"/>
              </w:rPr>
            </w:pPr>
            <w:r w:rsidRPr="00766470">
              <w:rPr>
                <w:rFonts w:ascii="Arial" w:eastAsia="Arial" w:hAnsi="Arial" w:cs="Arial"/>
                <w:b/>
                <w:bCs/>
                <w:color w:val="156082" w:themeColor="accent1"/>
                <w:sz w:val="20"/>
                <w:szCs w:val="20"/>
                <w:lang w:val="en-US"/>
              </w:rPr>
              <w:t>Lithium (Li)</w:t>
            </w:r>
          </w:p>
        </w:tc>
        <w:tc>
          <w:tcPr>
            <w:tcW w:w="2552" w:type="dxa"/>
            <w:tcMar>
              <w:top w:w="15" w:type="dxa"/>
              <w:left w:w="15" w:type="dxa"/>
              <w:right w:w="15" w:type="dxa"/>
            </w:tcMar>
          </w:tcPr>
          <w:p w14:paraId="0D9A767A" w14:textId="77777777" w:rsidR="00BE51B1" w:rsidRPr="00766470" w:rsidRDefault="00BE51B1" w:rsidP="00877C15">
            <w:pPr>
              <w:spacing w:before="40" w:after="40" w:line="240" w:lineRule="exact"/>
              <w:ind w:left="57" w:right="57"/>
              <w:rPr>
                <w:rFonts w:ascii="Arial" w:eastAsia="Arial" w:hAnsi="Arial" w:cs="Arial"/>
                <w:sz w:val="20"/>
                <w:szCs w:val="20"/>
                <w:lang w:val="en-US"/>
              </w:rPr>
            </w:pPr>
            <w:r w:rsidRPr="00766470">
              <w:rPr>
                <w:rFonts w:ascii="Arial" w:eastAsia="Arial" w:hAnsi="Arial" w:cs="Arial"/>
                <w:sz w:val="20"/>
                <w:szCs w:val="20"/>
                <w:lang w:val="en-US"/>
              </w:rPr>
              <w:t>Mining and Beneficiation, Li carbonate production, Li hydroxide production</w:t>
            </w:r>
          </w:p>
        </w:tc>
        <w:tc>
          <w:tcPr>
            <w:tcW w:w="5473" w:type="dxa"/>
          </w:tcPr>
          <w:p w14:paraId="79BFCFFA" w14:textId="11F94B78" w:rsidR="00BE51B1" w:rsidRPr="00104886" w:rsidRDefault="00BE51B1" w:rsidP="00877C15">
            <w:pPr>
              <w:spacing w:before="40" w:after="40" w:line="240" w:lineRule="exact"/>
              <w:ind w:right="57"/>
              <w:rPr>
                <w:rFonts w:ascii="Arial" w:eastAsia="Arial" w:hAnsi="Arial" w:cs="Arial"/>
                <w:sz w:val="20"/>
                <w:szCs w:val="20"/>
              </w:rPr>
            </w:pPr>
            <w:r w:rsidRPr="00104886">
              <w:rPr>
                <w:rFonts w:ascii="Arial" w:eastAsia="Arial" w:hAnsi="Arial" w:cs="Arial"/>
                <w:sz w:val="20"/>
                <w:szCs w:val="20"/>
              </w:rPr>
              <w:t xml:space="preserve">For concentrate, an average of petalite and lepidolite material intensities are estimated which depend on ore grades form S&amp;P </w:t>
            </w:r>
            <w:r w:rsidRPr="00104886">
              <w:rPr>
                <w:rFonts w:ascii="Arial" w:eastAsiaTheme="minorEastAsia" w:hAnsi="Arial" w:cs="Arial"/>
                <w:sz w:val="20"/>
                <w:szCs w:val="20"/>
              </w:rPr>
              <w:fldChar w:fldCharType="begin"/>
            </w:r>
            <w:r w:rsidR="00F256D1">
              <w:rPr>
                <w:rFonts w:ascii="Arial" w:eastAsiaTheme="minorEastAsia" w:hAnsi="Arial" w:cs="Arial"/>
                <w:sz w:val="20"/>
                <w:szCs w:val="20"/>
              </w:rPr>
              <w:instrText xml:space="preserve"> ADDIN ZOTERO_ITEM CSL_CITATION {"citationID":"ozcYIkpq","properties":{"formattedCitation":"\\super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104886">
              <w:rPr>
                <w:rFonts w:ascii="Arial" w:eastAsiaTheme="minorEastAsia" w:hAnsi="Arial" w:cs="Arial"/>
                <w:sz w:val="20"/>
                <w:szCs w:val="20"/>
              </w:rPr>
              <w:fldChar w:fldCharType="separate"/>
            </w:r>
            <w:r w:rsidR="00F256D1" w:rsidRPr="00F256D1">
              <w:rPr>
                <w:rFonts w:ascii="Arial" w:hAnsi="Arial" w:cs="Arial"/>
                <w:kern w:val="0"/>
                <w:sz w:val="20"/>
                <w:vertAlign w:val="superscript"/>
              </w:rPr>
              <w:t>1</w:t>
            </w:r>
            <w:r w:rsidRPr="00104886">
              <w:rPr>
                <w:rFonts w:ascii="Arial" w:eastAsiaTheme="minorEastAsia" w:hAnsi="Arial" w:cs="Arial"/>
                <w:sz w:val="20"/>
                <w:szCs w:val="20"/>
              </w:rPr>
              <w:fldChar w:fldCharType="end"/>
            </w:r>
            <w:r w:rsidRPr="00104886">
              <w:rPr>
                <w:rFonts w:ascii="Arial" w:eastAsia="Arial" w:hAnsi="Arial" w:cs="Arial"/>
                <w:sz w:val="20"/>
                <w:szCs w:val="20"/>
              </w:rPr>
              <w:t xml:space="preserve"> and recovery ratios from </w:t>
            </w:r>
            <w:r w:rsidRPr="00104886">
              <w:rPr>
                <w:rFonts w:ascii="Arial" w:eastAsia="Arial" w:hAnsi="Arial" w:cs="Arial"/>
                <w:sz w:val="20"/>
                <w:szCs w:val="20"/>
              </w:rPr>
              <w:fldChar w:fldCharType="begin"/>
            </w:r>
            <w:r w:rsidR="007E07E0">
              <w:rPr>
                <w:rFonts w:ascii="Arial" w:eastAsia="Arial" w:hAnsi="Arial" w:cs="Arial"/>
                <w:sz w:val="20"/>
                <w:szCs w:val="20"/>
              </w:rPr>
              <w:instrText xml:space="preserve"> ADDIN ZOTERO_ITEM CSL_CITATION {"citationID":"G9i72zTR","properties":{"formattedCitation":"\\super 22\\uc0\\u8211{}24\\nosupersub{}","plainCitation":"22–24","noteIndex":0},"citationItems":[{"id":6403,"uris":["http://zotero.org/users/10918866/items/LPB37I7D"],"itemData":{"id":6403,"type":"report","publisher":"Lepidico","title":"Karibib Mineral Resource Expanded","URL":"https://cdn.lepidico.com/production/LPD_210312_Karibib_Mineral_Resource_Expanded_5f229723d6.pdf#:~:text=concentrate%20containing%201.25,lithium%20muscovite","author":[{"family":"Lepidico Ltd","given":""}],"accessed":{"date-parts":[["2025",8,5]]},"issued":{"date-parts":[["2021",12,3]]}}},{"id":6401,"uris":["http://zotero.org/users/10918866/items/C4C3DEBL"],"itemData":{"id":6401,"type":"report","publisher":"Cantor Fitzgerald","title":"AVZ MINERALS LIMITED Developing a World Class Lithium Deposit with Near-Term Production","URL":"https://static1.squarespace.com/static/5934d2ae6b8f5beeb5ba23f3/t/622a9e7547c61c69c318265f/1646960251512/20220217+-+Cantor+Initial+Coverage.pdf#:~:text=using%20conventional%20blasting%2C%20truck%20and,Flowsheet%20Source%3A%20AVZ%20Minerals%20Ltd","author":[{"family":"O'Keefe","given":"Mathew"}],"accessed":{"date-parts":[["2025",8,5]]},"issued":{"date-parts":[["2022",2,17]]}}},{"id":6405,"uris":["http://zotero.org/users/10918866/items/JXD8GIBY"],"itemData":{"id":6405,"type":"report","language":"eng","title":"Lycopodium completes Direct OFS for Arcadia Project","URL":"https://prospectresources.com.au/wp-content/uploads/2022/07/61068491.pdf#:~:text=Recovery%20Spodumene%20,27.0","author":[{"family":"Prospect Resources","given":""}],"accessed":{"date-parts":[["2025",8,5]]},"issued":{"date-parts":[["2021",12,14]]}}}],"schema":"https://github.com/citation-style-language/schema/raw/master/csl-citation.json"} </w:instrText>
            </w:r>
            <w:r w:rsidRPr="00104886">
              <w:rPr>
                <w:rFonts w:ascii="Arial" w:eastAsia="Arial" w:hAnsi="Arial" w:cs="Arial"/>
                <w:sz w:val="20"/>
                <w:szCs w:val="20"/>
              </w:rPr>
              <w:fldChar w:fldCharType="separate"/>
            </w:r>
            <w:r w:rsidR="007E07E0" w:rsidRPr="007E07E0">
              <w:rPr>
                <w:rFonts w:ascii="Arial" w:hAnsi="Arial" w:cs="Arial"/>
                <w:kern w:val="0"/>
                <w:sz w:val="20"/>
                <w:vertAlign w:val="superscript"/>
              </w:rPr>
              <w:t>22–24</w:t>
            </w:r>
            <w:r w:rsidRPr="00104886">
              <w:rPr>
                <w:rFonts w:ascii="Arial" w:eastAsia="Arial" w:hAnsi="Arial" w:cs="Arial"/>
                <w:sz w:val="20"/>
                <w:szCs w:val="20"/>
              </w:rPr>
              <w:fldChar w:fldCharType="end"/>
            </w:r>
            <w:r w:rsidRPr="00104886">
              <w:rPr>
                <w:rFonts w:ascii="Arial" w:eastAsia="Arial" w:hAnsi="Arial" w:cs="Arial"/>
                <w:sz w:val="20"/>
                <w:szCs w:val="20"/>
              </w:rPr>
              <w:t>.</w:t>
            </w:r>
          </w:p>
          <w:p w14:paraId="4E9AA9B9" w14:textId="3E7BE085" w:rsidR="00BE51B1" w:rsidRPr="00104886" w:rsidRDefault="00BE51B1" w:rsidP="00877C15">
            <w:pPr>
              <w:spacing w:before="40" w:after="40" w:line="240" w:lineRule="exact"/>
              <w:ind w:right="57"/>
              <w:rPr>
                <w:rFonts w:ascii="Arial" w:eastAsia="Arial" w:hAnsi="Arial" w:cs="Arial"/>
                <w:sz w:val="20"/>
                <w:szCs w:val="20"/>
              </w:rPr>
            </w:pPr>
            <w:r w:rsidRPr="00104886">
              <w:rPr>
                <w:rFonts w:ascii="Arial" w:hAnsi="Arial" w:cs="Arial"/>
                <w:sz w:val="20"/>
                <w:szCs w:val="20"/>
                <w:lang w:val="fr-FR"/>
              </w:rPr>
              <w:lastRenderedPageBreak/>
              <w:fldChar w:fldCharType="begin"/>
            </w:r>
            <w:r w:rsidR="0016542D">
              <w:rPr>
                <w:rFonts w:ascii="Arial" w:hAnsi="Arial" w:cs="Arial"/>
                <w:sz w:val="20"/>
                <w:szCs w:val="20"/>
                <w:lang w:val="en-US"/>
              </w:rPr>
              <w:instrText xml:space="preserve"> ADDIN ZOTERO_ITEM CSL_CITATION {"citationID":"OkaDRKHx","properties":{"formattedCitation":"(Wernet et al., 2016)","plainCitation":"(Wernet et al., 2016)","dontUpdate":true,"noteIndex":0},"citationItems":[{"id":1447,"uris":["http://zotero.org/users/10918866/items/ZU3IZZBV"],"itemData":{"id":1447,"type":"article-journal","citation-key":"Ecoinvent2021","container-title":"The International Journal of Life Cycle Assessment","issue":"9","page":"1218-1230","title":"The ecoinvent database version 3 (part I): overview and methodology","volume":"21","author":[{"family":"Wernet","given":"G"},{"family":"Bauer","given":"C"},{"family":"Steubig","given":"B"},{"family":"Reinhard","given":"J"},{"family":"Moreno-Ruiz","given":"E"},{"family":"Weidma","given":"B"}],"issued":{"date-parts":[["2016"]]}}}],"schema":"https://github.com/citation-style-language/schema/raw/master/csl-citation.json"} </w:instrText>
            </w:r>
            <w:r w:rsidRPr="00104886">
              <w:rPr>
                <w:rFonts w:ascii="Arial" w:hAnsi="Arial" w:cs="Arial"/>
                <w:sz w:val="20"/>
                <w:szCs w:val="20"/>
                <w:lang w:val="fr-FR"/>
              </w:rPr>
              <w:fldChar w:fldCharType="separate"/>
            </w:r>
            <w:r w:rsidRPr="00104886">
              <w:rPr>
                <w:rFonts w:ascii="Arial" w:hAnsi="Arial" w:cs="Arial"/>
                <w:sz w:val="20"/>
                <w:szCs w:val="20"/>
                <w:lang w:val="en-US"/>
              </w:rPr>
              <w:t xml:space="preserve">Wernet </w:t>
            </w:r>
            <w:r w:rsidRPr="00104886">
              <w:rPr>
                <w:rFonts w:ascii="Arial" w:hAnsi="Arial" w:cs="Arial"/>
                <w:i/>
                <w:iCs/>
                <w:sz w:val="20"/>
                <w:szCs w:val="20"/>
                <w:lang w:val="en-US"/>
              </w:rPr>
              <w:t>et al</w:t>
            </w:r>
            <w:r w:rsidRPr="00104886">
              <w:rPr>
                <w:rFonts w:ascii="Arial" w:hAnsi="Arial" w:cs="Arial"/>
                <w:sz w:val="20"/>
                <w:szCs w:val="20"/>
                <w:lang w:val="en-US"/>
              </w:rPr>
              <w:t>. (2016)</w:t>
            </w:r>
            <w:r w:rsidRPr="00104886">
              <w:rPr>
                <w:rFonts w:ascii="Arial" w:hAnsi="Arial" w:cs="Arial"/>
                <w:sz w:val="20"/>
                <w:szCs w:val="20"/>
                <w:lang w:val="fr-FR"/>
              </w:rPr>
              <w:fldChar w:fldCharType="end"/>
            </w:r>
            <w:r w:rsidRPr="00104886">
              <w:rPr>
                <w:rFonts w:ascii="Arial" w:hAnsi="Arial" w:cs="Arial"/>
                <w:sz w:val="20"/>
                <w:szCs w:val="20"/>
                <w:lang w:val="en-US"/>
              </w:rPr>
              <w:t xml:space="preserve"> </w:t>
            </w:r>
            <w:r w:rsidRPr="00104886">
              <w:rPr>
                <w:rFonts w:ascii="Arial" w:eastAsia="Arial" w:hAnsi="Arial" w:cs="Arial"/>
                <w:sz w:val="20"/>
                <w:szCs w:val="20"/>
              </w:rPr>
              <w:t xml:space="preserve">version 3.9.1. Activity names: lithium carbonate production, from spodumene, lithium hydroxide production, lithium sulphate production. </w:t>
            </w:r>
            <w:r w:rsidRPr="00104886">
              <w:rPr>
                <w:rFonts w:ascii="Arial" w:eastAsia="Arial" w:hAnsi="Arial" w:cs="Arial"/>
                <w:sz w:val="20"/>
                <w:szCs w:val="20"/>
              </w:rPr>
              <w:fldChar w:fldCharType="begin"/>
            </w:r>
            <w:r w:rsidRPr="00104886">
              <w:rPr>
                <w:rFonts w:ascii="Arial" w:eastAsia="Arial" w:hAnsi="Arial" w:cs="Arial"/>
                <w:sz w:val="20"/>
                <w:szCs w:val="20"/>
              </w:rPr>
              <w:instrText xml:space="preserve"> ADDIN ZOTERO_ITEM CSL_CITATION {"citationID":"M4aTvPDu","properties":{"formattedCitation":"(Yin et al., 2019)","plainCitation":"(Yin et al., 2019)","dontUpdate":true,"noteIndex":0},"citationItems":[{"id":123,"uris":["http://zotero.org/users/10918866/items/8MJKS6J5"],"itemData":{"id":123,"type":"article-journal","abstract":"With the fast growing of the electric vehicle (EV) market and soaring production of the EV lithium-ion batteries (LiBs) in China, more and more life cycle assessment (LCA) studies has been focused on their impacts towards resources, energy and environment in recent years. As the indispensable background data, the life cycle inventories (LCIs) of the cradle-to-gate stage of the commonly used materials for the production of LiBs play an important role in the related LCA studies, since their accuracy and reliability can affect the results and conclusions greatly. However, LCIs of the LiB materials produced in China are in scarcity nowadays, which has become an obstacle for the further understanding of the eco-performances of EVs and LiBs. In this study, a general unit-process model was established firstly, and then a variety of foreground data were collected from the representative manufacturers of LiB materials in China. With a sequential calculation procedure carried out step by step, the targeted LCIs of the materials were obtained, along with the corresponding 95% confidential intervals through Monte-Carlo simulations. According to the inventories analysis, it was found that among the materials studied, the polyethylene separator made by wet drawing process, lithium hexafluorophosphate, carbon nanotubes, lithium nickel manganese cobalt oxide and nickel cobalt aluminum are with relatively higher primary energy demands and greenhouse gas emissions in their cradle-to-gate stage. Besides, among the cathode materials studied, lithium iron phosphate consumes the lowest non renewable mineral resources. In addition, through a comparison with GREET, we found that the energy consumptions and greenhouse gas emissions of the LiB materials in this study are significantly higher than that drawn from GREET. This will lead to 62–91% more greenhouse gas emissions from materials made in China than those in the United States in order to produce LiB cells of the same capacity. However, it was also found the discrepancies may be stemmed from many difference in the processes of modeling and data acquisition between this study and the supportive studies for GREET.","container-title":"Journal of Cleaner Production","DOI":"10.1016/j.jclepro.2019.04.186","ISSN":"0959-6526","journalAbbreviation":"Journal of Cleaner Production","page":"960-971","source":"ScienceDirect","title":"Life cycle inventories of the commonly used materials for lithium-ion batteries in China","volume":"227","author":[{"family":"Yin","given":"Renshu"},{"family":"Hu","given":"Shuhan"},{"family":"Yang","given":"Yang"}],"issued":{"date-parts":[["2019",8,1]]}}}],"schema":"https://github.com/citation-style-language/schema/raw/master/csl-citation.json"} </w:instrText>
            </w:r>
            <w:r w:rsidRPr="00104886">
              <w:rPr>
                <w:rFonts w:ascii="Arial" w:eastAsia="Arial" w:hAnsi="Arial" w:cs="Arial"/>
                <w:sz w:val="20"/>
                <w:szCs w:val="20"/>
              </w:rPr>
              <w:fldChar w:fldCharType="separate"/>
            </w:r>
            <w:r w:rsidRPr="00104886">
              <w:rPr>
                <w:rFonts w:ascii="Arial" w:hAnsi="Arial" w:cs="Arial"/>
                <w:sz w:val="20"/>
                <w:szCs w:val="20"/>
              </w:rPr>
              <w:t xml:space="preserve">Yin </w:t>
            </w:r>
            <w:r w:rsidRPr="00104886">
              <w:rPr>
                <w:rFonts w:ascii="Arial" w:hAnsi="Arial" w:cs="Arial"/>
                <w:i/>
                <w:iCs/>
                <w:sz w:val="20"/>
                <w:szCs w:val="20"/>
              </w:rPr>
              <w:t>et al</w:t>
            </w:r>
            <w:r w:rsidRPr="00104886">
              <w:rPr>
                <w:rFonts w:ascii="Arial" w:hAnsi="Arial" w:cs="Arial"/>
                <w:sz w:val="20"/>
                <w:szCs w:val="20"/>
              </w:rPr>
              <w:t>. (2019)</w:t>
            </w:r>
            <w:r w:rsidRPr="00104886">
              <w:rPr>
                <w:rFonts w:ascii="Arial" w:eastAsia="Arial" w:hAnsi="Arial" w:cs="Arial"/>
                <w:sz w:val="20"/>
                <w:szCs w:val="20"/>
              </w:rPr>
              <w:fldChar w:fldCharType="end"/>
            </w:r>
            <w:r w:rsidRPr="00104886">
              <w:rPr>
                <w:rFonts w:ascii="Arial" w:eastAsia="Arial" w:hAnsi="Arial" w:cs="Arial"/>
                <w:sz w:val="20"/>
                <w:szCs w:val="20"/>
              </w:rPr>
              <w:t xml:space="preserve"> which contains information for spodumene and lithium carbonate. </w:t>
            </w:r>
            <w:r w:rsidRPr="00104886">
              <w:rPr>
                <w:rFonts w:ascii="Arial" w:eastAsia="Arial" w:hAnsi="Arial" w:cs="Arial"/>
                <w:sz w:val="20"/>
                <w:szCs w:val="20"/>
              </w:rPr>
              <w:fldChar w:fldCharType="begin"/>
            </w:r>
            <w:r w:rsidRPr="00104886">
              <w:rPr>
                <w:rFonts w:ascii="Arial" w:eastAsia="Arial" w:hAnsi="Arial" w:cs="Arial"/>
                <w:sz w:val="20"/>
                <w:szCs w:val="20"/>
              </w:rPr>
              <w:instrText xml:space="preserve"> ADDIN ZOTERO_ITEM CSL_CITATION {"citationID":"b98xQ0Tw","properties":{"formattedCitation":"(Gao et al., 2023)","plainCitation":"(Gao et al., 2023)","dontUpdate":true,"noteIndex":0},"citationItems":[{"id":1942,"uris":["http://zotero.org/users/10918866/items/FHH32F7D"],"itemData":{"id":1942,"type":"article-journal","abstract":"Lithium production in China mainly depends on hard rock lithium ores, which has a defect in resources, environment, and economy compared with extracting lithium from brine. This paper focuses on the research progress of extracting lithium from spodumene, lepidolite, petalite, and zinnwaldite by acid, alkali, salt roasting, and chlorination methods, and analyzes the resource intensity, environmental impact, and production cost of industrial lithium extraction from spodumene and lepidolite. It is found that the sulfuric acid method has a high lithium recovery rate, but with a complicated process and high energy consumption; alkali and chlorination methods can directly react with lithium ores, reducing energy consumption, but need to optimize reaction conditions and safety of equipment and operation; the salt roasting method has large material flux and high energy consumption, so require adjustment of sulfate ratio to increase the lithium yield and reduce production cost. Compared with extracting lithium from brine, extracting lithium from ores, calcination, roasting, purity, and other processes consume more resources and energy; and its environmental impact mainly comes from the pollutants discharged by fossil energy, 9.3–60.4 times that of lithium extracted from brine. The processing cost of lithium extraction from lepidolite by sulfate roasting method is higher than that from spodumene by sulfuric acid due to the consumption of high-value sulfate. However, the production costs of both are mainly affected by the price of lithium ores, which is less competitive than that of extracting lithium from brine. Thus, the process of extracting lithium from ores should develop appropriate technology, shorten the process flow, save resources and energy, and increase the recovery rate of related elements to reduce environmental impact and improve the added value of by-products and the economy of the process. ©2023 China Geology Editorial Office.","container-title":"China Geology","DOI":"10.31035/cg2022088","ISSN":"2096-5192","issue":"1","journalAbbreviation":"China Geology","page":"137-153","source":"ScienceDirect","title":"Lithium extraction from hard rock lithium ores (spodumene, lepidolite, zinnwaldite, petalite): Technology, resources, environment and cost","title-short":"Lithium extraction from hard rock lithium ores (spodumene, lepidolite, zinnwaldite, petalite)","volume":"6","author":[{"family":"Gao","given":"Tian-ming"},{"family":"Fan","given":"Na"},{"family":"Chen","given":"Wu"},{"family":"Dai","given":"Tao"}],"issued":{"date-parts":[["2023",1,1]]}}}],"schema":"https://github.com/citation-style-language/schema/raw/master/csl-citation.json"} </w:instrText>
            </w:r>
            <w:r w:rsidRPr="00104886">
              <w:rPr>
                <w:rFonts w:ascii="Arial" w:eastAsia="Arial" w:hAnsi="Arial" w:cs="Arial"/>
                <w:sz w:val="20"/>
                <w:szCs w:val="20"/>
              </w:rPr>
              <w:fldChar w:fldCharType="separate"/>
            </w:r>
            <w:r w:rsidRPr="00104886">
              <w:rPr>
                <w:rFonts w:ascii="Arial" w:hAnsi="Arial" w:cs="Arial"/>
                <w:sz w:val="20"/>
                <w:szCs w:val="20"/>
              </w:rPr>
              <w:t xml:space="preserve">Gao </w:t>
            </w:r>
            <w:r w:rsidRPr="00104886">
              <w:rPr>
                <w:rFonts w:ascii="Arial" w:hAnsi="Arial" w:cs="Arial"/>
                <w:i/>
                <w:iCs/>
                <w:sz w:val="20"/>
                <w:szCs w:val="20"/>
              </w:rPr>
              <w:t>et al</w:t>
            </w:r>
            <w:r w:rsidRPr="00104886">
              <w:rPr>
                <w:rFonts w:ascii="Arial" w:hAnsi="Arial" w:cs="Arial"/>
                <w:sz w:val="20"/>
                <w:szCs w:val="20"/>
              </w:rPr>
              <w:t>. (2023)</w:t>
            </w:r>
            <w:r w:rsidRPr="00104886">
              <w:rPr>
                <w:rFonts w:ascii="Arial" w:eastAsia="Arial" w:hAnsi="Arial" w:cs="Arial"/>
                <w:sz w:val="20"/>
                <w:szCs w:val="20"/>
              </w:rPr>
              <w:fldChar w:fldCharType="end"/>
            </w:r>
            <w:r w:rsidRPr="00104886">
              <w:rPr>
                <w:rFonts w:ascii="Arial" w:eastAsia="Arial" w:hAnsi="Arial" w:cs="Arial"/>
                <w:sz w:val="20"/>
                <w:szCs w:val="20"/>
              </w:rPr>
              <w:t xml:space="preserve"> and </w:t>
            </w:r>
            <w:r w:rsidRPr="00104886">
              <w:rPr>
                <w:rFonts w:ascii="Arial" w:eastAsia="Arial" w:hAnsi="Arial" w:cs="Arial"/>
                <w:sz w:val="20"/>
                <w:szCs w:val="20"/>
              </w:rPr>
              <w:fldChar w:fldCharType="begin"/>
            </w:r>
            <w:r>
              <w:rPr>
                <w:rFonts w:ascii="Arial" w:eastAsia="Arial" w:hAnsi="Arial" w:cs="Arial"/>
                <w:sz w:val="20"/>
                <w:szCs w:val="20"/>
              </w:rPr>
              <w:instrText xml:space="preserve"> ADDIN ZOTERO_ITEM CSL_CITATION {"citationID":"wtfah02j","properties":{"formattedCitation":"(Wang et al., 2025)","plainCitation":"(Wang et al., 2025)","dontUpdate":true,"noteIndex":0},"citationItems":[{"id":6298,"uris":["http://zotero.org/users/10918866/items/ZRJKIWRX"],"itemData":{"id":6298,"type":"article","DOI":"10.2139/ssrn.5134159","language":"en","publisher":"SSRN","source":"DOI.org (Crossref)","title":"Life Cycle Environmental Impact and Carbon Footprint Analysis of Lithium Extraction from Lepidolite","URL":"https://www.ssrn.com/abstract=5134159","author":[{"family":"Wang","given":"Heli"},{"family":"Zhou","given":"Chen"},{"family":"Liu","given":"Xueying"},{"family":"Yu","given":"Meiying"},{"family":"Peng","given":"Peijie"}],"accessed":{"date-parts":[["2025",5,12]]},"issued":{"date-parts":[["2025"]]}}}],"schema":"https://github.com/citation-style-language/schema/raw/master/csl-citation.json"} </w:instrText>
            </w:r>
            <w:r w:rsidRPr="00104886">
              <w:rPr>
                <w:rFonts w:ascii="Arial" w:eastAsia="Arial" w:hAnsi="Arial" w:cs="Arial"/>
                <w:sz w:val="20"/>
                <w:szCs w:val="20"/>
              </w:rPr>
              <w:fldChar w:fldCharType="separate"/>
            </w:r>
            <w:r w:rsidRPr="00104886">
              <w:rPr>
                <w:rFonts w:ascii="Arial" w:hAnsi="Arial" w:cs="Arial"/>
                <w:sz w:val="20"/>
                <w:szCs w:val="20"/>
              </w:rPr>
              <w:t>Wang et al. (2025)</w:t>
            </w:r>
            <w:r w:rsidRPr="00104886">
              <w:rPr>
                <w:rFonts w:ascii="Arial" w:eastAsia="Arial" w:hAnsi="Arial" w:cs="Arial"/>
                <w:sz w:val="20"/>
                <w:szCs w:val="20"/>
              </w:rPr>
              <w:fldChar w:fldCharType="end"/>
            </w:r>
            <w:r w:rsidRPr="00104886">
              <w:rPr>
                <w:rFonts w:ascii="Arial" w:eastAsia="Arial" w:hAnsi="Arial" w:cs="Arial"/>
                <w:sz w:val="20"/>
                <w:szCs w:val="20"/>
              </w:rPr>
              <w:t xml:space="preserve"> for petalite and lepidolite insights. </w:t>
            </w:r>
            <w:r w:rsidRPr="00104886">
              <w:rPr>
                <w:rFonts w:ascii="Arial" w:eastAsia="Arial" w:hAnsi="Arial" w:cs="Arial"/>
                <w:sz w:val="20"/>
                <w:szCs w:val="20"/>
              </w:rPr>
              <w:fldChar w:fldCharType="begin"/>
            </w:r>
            <w:r w:rsidRPr="00104886">
              <w:rPr>
                <w:rFonts w:ascii="Arial" w:eastAsia="Arial" w:hAnsi="Arial" w:cs="Arial"/>
                <w:sz w:val="20"/>
                <w:szCs w:val="20"/>
              </w:rPr>
              <w:instrText xml:space="preserve"> ADDIN ZOTERO_ITEM CSL_CITATION {"citationID":"r4iEKwa1","properties":{"formattedCitation":"(Vieceli et al., 2017)","plainCitation":"(Vieceli et al., 2017)","dontUpdate":true,"noteIndex":0},"citationItems":[{"id":1903,"uris":["http://zotero.org/users/10918866/items/6ST3JZ3E"],"itemData":{"id":1903,"type":"article-journal","abstract":"Mechanical activation in order to improve lithium recovery from a lepidolite ore concentrate was investigated. The concentrate was mechanically activated using different milling times and the effect on the resulting products was evaluated by X-ray powder diffraction, FTIR spectroscopy, TG-DTG analysis, SEM and particle size analysis by laser diffraction. The mechanical activation leads to lepidolite amorphization and concomitant improvement of the reactivity by sulfuric acid digestion and water leaching. About 85% of Li recovery was achieved when the concentrate was activated for 15min and afterwards digested at 165°C, during 4h, using an acid/concentrate ratio of 650g/kg. Li recoveries above 70% were reached even using digestion temperatures lower than 100°C. However, to increase recovery, temperatures over 140°C are more suitable. Results obtained showed that is possible to apply a low temperature technology for recovering Li from hard rock minerals, using mechanical activation.","container-title":"Minerals Engineering","DOI":"10.1016/j.mineng.2016.12.001","ISSN":"0892-6875","journalAbbreviation":"Minerals Engineering","page":"1-14","source":"ScienceDirect","title":"Effects of mechanical activation on lithium extraction from a lepidolite ore concentrate","volume":"102","author":[{"family":"Vieceli","given":"Nathália"},{"family":"Nogueira","given":"Carlos A."},{"family":"Pereira","given":"Manuel F. C."},{"family":"Dias","given":"Ana Paula Soares"},{"family":"Durão","given":"Fernando O."},{"family":"Guimarães","given":"Carlos"},{"family":"Margarido","given":"Fernanda"}],"issued":{"date-parts":[["2017",3,1]]}}}],"schema":"https://github.com/citation-style-language/schema/raw/master/csl-citation.json"} </w:instrText>
            </w:r>
            <w:r w:rsidRPr="00104886">
              <w:rPr>
                <w:rFonts w:ascii="Arial" w:eastAsia="Arial" w:hAnsi="Arial" w:cs="Arial"/>
                <w:sz w:val="20"/>
                <w:szCs w:val="20"/>
              </w:rPr>
              <w:fldChar w:fldCharType="separate"/>
            </w:r>
            <w:r w:rsidRPr="00104886">
              <w:rPr>
                <w:rFonts w:ascii="Arial" w:hAnsi="Arial" w:cs="Arial"/>
                <w:sz w:val="20"/>
                <w:szCs w:val="20"/>
              </w:rPr>
              <w:t xml:space="preserve">Vieceli </w:t>
            </w:r>
            <w:r w:rsidRPr="00104886">
              <w:rPr>
                <w:rFonts w:ascii="Arial" w:hAnsi="Arial" w:cs="Arial"/>
                <w:i/>
                <w:iCs/>
                <w:sz w:val="20"/>
                <w:szCs w:val="20"/>
              </w:rPr>
              <w:t>et al</w:t>
            </w:r>
            <w:r w:rsidRPr="00104886">
              <w:rPr>
                <w:rFonts w:ascii="Arial" w:hAnsi="Arial" w:cs="Arial"/>
                <w:sz w:val="20"/>
                <w:szCs w:val="20"/>
              </w:rPr>
              <w:t>. (2017)</w:t>
            </w:r>
            <w:r w:rsidRPr="00104886">
              <w:rPr>
                <w:rFonts w:ascii="Arial" w:eastAsia="Arial" w:hAnsi="Arial" w:cs="Arial"/>
                <w:sz w:val="20"/>
                <w:szCs w:val="20"/>
              </w:rPr>
              <w:fldChar w:fldCharType="end"/>
            </w:r>
            <w:r w:rsidRPr="00104886">
              <w:rPr>
                <w:rFonts w:ascii="Arial" w:eastAsia="Arial" w:hAnsi="Arial" w:cs="Arial"/>
                <w:sz w:val="20"/>
                <w:szCs w:val="20"/>
              </w:rPr>
              <w:t xml:space="preserve"> on lithium concentrate. This is based on ore grade and assuming concentrate is lepidolite concentrate (1.95% Li or 4.20% Li</w:t>
            </w:r>
            <w:r w:rsidRPr="00104886">
              <w:rPr>
                <w:rFonts w:ascii="Arial" w:eastAsia="Arial" w:hAnsi="Arial" w:cs="Arial"/>
                <w:sz w:val="20"/>
                <w:szCs w:val="20"/>
                <w:vertAlign w:val="subscript"/>
              </w:rPr>
              <w:t>2</w:t>
            </w:r>
            <w:r w:rsidRPr="00104886">
              <w:rPr>
                <w:rFonts w:ascii="Arial" w:eastAsia="Arial" w:hAnsi="Arial" w:cs="Arial"/>
                <w:sz w:val="20"/>
                <w:szCs w:val="20"/>
              </w:rPr>
              <w:t xml:space="preserve">O) from Vieceli </w:t>
            </w:r>
            <w:r w:rsidRPr="00104886">
              <w:rPr>
                <w:rFonts w:ascii="Arial" w:eastAsia="Arial" w:hAnsi="Arial" w:cs="Arial"/>
                <w:i/>
                <w:iCs/>
                <w:sz w:val="20"/>
                <w:szCs w:val="20"/>
              </w:rPr>
              <w:t>et al</w:t>
            </w:r>
            <w:r w:rsidRPr="00104886">
              <w:rPr>
                <w:rFonts w:ascii="Arial" w:eastAsia="Arial" w:hAnsi="Arial" w:cs="Arial"/>
                <w:sz w:val="20"/>
                <w:szCs w:val="20"/>
              </w:rPr>
              <w:t xml:space="preserve">. (2017). </w:t>
            </w:r>
          </w:p>
        </w:tc>
      </w:tr>
    </w:tbl>
    <w:p w14:paraId="7C2DB1E4" w14:textId="079D6FCF" w:rsidR="00BE51B1" w:rsidRPr="00766470" w:rsidRDefault="00BE51B1" w:rsidP="00BE51B1">
      <w:pPr>
        <w:spacing w:line="257" w:lineRule="auto"/>
        <w:jc w:val="center"/>
        <w:rPr>
          <w:rStyle w:val="normaltextrun"/>
          <w:rFonts w:ascii="Arial" w:eastAsiaTheme="minorEastAsia" w:hAnsi="Arial" w:cs="Arial"/>
          <w:i/>
          <w:iCs/>
          <w:color w:val="7F7F7F" w:themeColor="text1" w:themeTint="80"/>
          <w:sz w:val="20"/>
          <w:szCs w:val="20"/>
        </w:rPr>
      </w:pPr>
      <w:r>
        <w:rPr>
          <w:rStyle w:val="normaltextrun"/>
          <w:rFonts w:ascii="Arial" w:eastAsiaTheme="minorEastAsia" w:hAnsi="Arial" w:cs="Arial"/>
          <w:color w:val="7F7F7F" w:themeColor="text1" w:themeTint="80"/>
          <w:sz w:val="20"/>
          <w:szCs w:val="20"/>
        </w:rPr>
        <w:lastRenderedPageBreak/>
        <w:br/>
      </w:r>
    </w:p>
    <w:p w14:paraId="000E66CD" w14:textId="77777777" w:rsidR="00BE51B1" w:rsidRPr="00AD40F3" w:rsidRDefault="00BE51B1" w:rsidP="00BE51B1">
      <w:pPr>
        <w:pStyle w:val="Heading3"/>
        <w:rPr>
          <w:rFonts w:ascii="Arial" w:hAnsi="Arial" w:cs="Arial"/>
          <w:b/>
          <w:bCs/>
          <w:sz w:val="24"/>
          <w:szCs w:val="24"/>
        </w:rPr>
      </w:pPr>
      <w:bookmarkStart w:id="39" w:name="_Toc211272283"/>
      <w:r w:rsidRPr="00AD40F3">
        <w:rPr>
          <w:rFonts w:ascii="Arial" w:hAnsi="Arial" w:cs="Arial"/>
          <w:b/>
          <w:bCs/>
          <w:sz w:val="24"/>
          <w:szCs w:val="24"/>
        </w:rPr>
        <w:t>3.1.2</w:t>
      </w:r>
      <w:r w:rsidRPr="00AD40F3">
        <w:rPr>
          <w:rFonts w:ascii="Arial" w:hAnsi="Arial" w:cs="Arial"/>
          <w:b/>
          <w:bCs/>
          <w:sz w:val="24"/>
          <w:szCs w:val="24"/>
        </w:rPr>
        <w:tab/>
        <w:t>Target processing stages for the study were selected.</w:t>
      </w:r>
      <w:bookmarkEnd w:id="39"/>
      <w:r w:rsidRPr="00AD40F3">
        <w:rPr>
          <w:rFonts w:ascii="Arial" w:hAnsi="Arial" w:cs="Arial"/>
          <w:b/>
          <w:bCs/>
          <w:sz w:val="24"/>
          <w:szCs w:val="24"/>
        </w:rPr>
        <w:t xml:space="preserve"> </w:t>
      </w:r>
    </w:p>
    <w:p w14:paraId="438A7A66" w14:textId="77777777" w:rsidR="00BE51B1" w:rsidRDefault="00BE51B1" w:rsidP="00BE51B1">
      <w:pPr>
        <w:spacing w:line="257" w:lineRule="auto"/>
        <w:jc w:val="both"/>
        <w:rPr>
          <w:rFonts w:ascii="Arial" w:eastAsia="Calibri" w:hAnsi="Arial" w:cs="Arial"/>
        </w:rPr>
      </w:pPr>
      <w:r>
        <w:rPr>
          <w:rFonts w:ascii="Arial" w:eastAsia="Calibri" w:hAnsi="Arial" w:cs="Arial"/>
        </w:rPr>
        <w:br/>
      </w:r>
      <w:r w:rsidRPr="00766470">
        <w:rPr>
          <w:rFonts w:ascii="Arial" w:eastAsia="Calibri" w:hAnsi="Arial" w:cs="Arial"/>
        </w:rPr>
        <w:t xml:space="preserve">For each mineral, an intermediate and advanced stage of processing was selected as a basis for the determination of policy targets. The intermediate stage represents a significant advance into refining beyond the production of ores and concentrates, while the advanced stage represents the </w:t>
      </w:r>
      <w:r>
        <w:rPr>
          <w:rFonts w:ascii="Arial" w:eastAsia="Calibri" w:hAnsi="Arial" w:cs="Arial"/>
        </w:rPr>
        <w:t>manufacturing</w:t>
      </w:r>
      <w:r w:rsidRPr="00766470">
        <w:rPr>
          <w:rFonts w:ascii="Arial" w:eastAsia="Calibri" w:hAnsi="Arial" w:cs="Arial"/>
        </w:rPr>
        <w:t xml:space="preserve"> of compounds that are </w:t>
      </w:r>
      <w:r>
        <w:rPr>
          <w:rFonts w:ascii="Arial" w:eastAsia="Calibri" w:hAnsi="Arial" w:cs="Arial"/>
        </w:rPr>
        <w:t>inputs to</w:t>
      </w:r>
      <w:r w:rsidRPr="00766470">
        <w:rPr>
          <w:rFonts w:ascii="Arial" w:eastAsia="Calibri" w:hAnsi="Arial" w:cs="Arial"/>
        </w:rPr>
        <w:t xml:space="preserve"> battery precursor</w:t>
      </w:r>
      <w:r>
        <w:rPr>
          <w:rFonts w:ascii="Arial" w:eastAsia="Calibri" w:hAnsi="Arial" w:cs="Arial"/>
        </w:rPr>
        <w:t xml:space="preserve"> manufacturing</w:t>
      </w:r>
      <w:r w:rsidRPr="00766470">
        <w:rPr>
          <w:rFonts w:ascii="Arial" w:eastAsia="Calibri" w:hAnsi="Arial" w:cs="Arial"/>
        </w:rPr>
        <w:t>.</w:t>
      </w:r>
      <w:r>
        <w:rPr>
          <w:rFonts w:ascii="Arial" w:eastAsia="Calibri" w:hAnsi="Arial" w:cs="Arial"/>
        </w:rPr>
        <w:t xml:space="preserve"> </w:t>
      </w:r>
    </w:p>
    <w:p w14:paraId="3286702D" w14:textId="32694A35" w:rsidR="00BE51B1" w:rsidRDefault="007C1413" w:rsidP="00BE51B1">
      <w:pPr>
        <w:spacing w:line="257" w:lineRule="auto"/>
        <w:jc w:val="both"/>
        <w:rPr>
          <w:rFonts w:ascii="Arial" w:eastAsia="Calibri" w:hAnsi="Arial" w:cs="Arial"/>
        </w:rPr>
      </w:pPr>
      <w:r>
        <w:rPr>
          <w:rFonts w:ascii="Arial" w:eastAsia="Calibri" w:hAnsi="Arial" w:cs="Arial"/>
        </w:rPr>
        <w:fldChar w:fldCharType="begin"/>
      </w:r>
      <w:r>
        <w:rPr>
          <w:rFonts w:ascii="Arial" w:eastAsia="Calibri" w:hAnsi="Arial" w:cs="Arial"/>
        </w:rPr>
        <w:instrText xml:space="preserve"> REF _Ref214444675 \h </w:instrText>
      </w:r>
      <w:r>
        <w:rPr>
          <w:rFonts w:ascii="Arial" w:eastAsia="Calibri" w:hAnsi="Arial" w:cs="Arial"/>
        </w:rPr>
      </w:r>
      <w:r>
        <w:rPr>
          <w:rFonts w:ascii="Arial" w:eastAsia="Calibri" w:hAnsi="Arial" w:cs="Arial"/>
        </w:rPr>
        <w:fldChar w:fldCharType="separate"/>
      </w:r>
      <w:r>
        <w:t xml:space="preserve">Figure </w:t>
      </w:r>
      <w:r>
        <w:rPr>
          <w:noProof/>
        </w:rPr>
        <w:t>5</w:t>
      </w:r>
      <w:r>
        <w:rPr>
          <w:rFonts w:ascii="Arial" w:eastAsia="Calibri" w:hAnsi="Arial" w:cs="Arial"/>
        </w:rPr>
        <w:fldChar w:fldCharType="end"/>
      </w:r>
      <w:r>
        <w:rPr>
          <w:rFonts w:ascii="Arial" w:eastAsia="Calibri" w:hAnsi="Arial" w:cs="Arial"/>
        </w:rPr>
        <w:t xml:space="preserve"> </w:t>
      </w:r>
      <w:r w:rsidR="00BE51B1" w:rsidRPr="00766470">
        <w:rPr>
          <w:rFonts w:ascii="Arial" w:eastAsia="Calibri" w:hAnsi="Arial" w:cs="Arial"/>
        </w:rPr>
        <w:t>shows the stages relevant for lithium-ion batteries considered for each of the six minerals</w:t>
      </w:r>
      <w:r w:rsidR="00BE51B1">
        <w:rPr>
          <w:rFonts w:ascii="Arial" w:eastAsia="Calibri" w:hAnsi="Arial" w:cs="Arial"/>
        </w:rPr>
        <w:t xml:space="preserve">. The target compounds for the two 2040 scenarios with increased mineral processing ambition are highlighted </w:t>
      </w:r>
      <w:r w:rsidR="00BE51B1" w:rsidRPr="00766470">
        <w:rPr>
          <w:rFonts w:ascii="Arial" w:eastAsia="Calibri" w:hAnsi="Arial" w:cs="Arial"/>
        </w:rPr>
        <w:t xml:space="preserve">shown in green and blue. </w:t>
      </w:r>
      <w:r w:rsidR="00BE51B1">
        <w:rPr>
          <w:rFonts w:ascii="Arial" w:eastAsia="Calibri" w:hAnsi="Arial" w:cs="Arial"/>
        </w:rPr>
        <w:t>The stages considered African geology, thereby excluding processes that do not occur in the region. For example, lithium is only extracted from rocks but not from brines.</w:t>
      </w:r>
      <w:r w:rsidR="00BE51B1" w:rsidRPr="00766470">
        <w:rPr>
          <w:rFonts w:ascii="Arial" w:eastAsia="Calibri" w:hAnsi="Arial" w:cs="Arial"/>
        </w:rPr>
        <w:t xml:space="preserve"> The </w:t>
      </w:r>
      <w:r w:rsidR="00BE51B1">
        <w:rPr>
          <w:rFonts w:ascii="Arial" w:eastAsia="Calibri" w:hAnsi="Arial" w:cs="Arial"/>
        </w:rPr>
        <w:t>compounds in the 2040 Precursor Related Product are</w:t>
      </w:r>
      <w:r w:rsidR="00BE51B1" w:rsidRPr="00766470">
        <w:rPr>
          <w:rFonts w:ascii="Arial" w:eastAsia="Calibri" w:hAnsi="Arial" w:cs="Arial"/>
        </w:rPr>
        <w:t xml:space="preserve"> mineral</w:t>
      </w:r>
      <w:r w:rsidR="00BE51B1">
        <w:rPr>
          <w:rFonts w:ascii="Arial" w:eastAsia="Calibri" w:hAnsi="Arial" w:cs="Arial"/>
        </w:rPr>
        <w:t xml:space="preserve"> products known to be used in the battery precursor industry</w:t>
      </w:r>
      <w:r w:rsidR="00BE51B1" w:rsidRPr="00766470">
        <w:rPr>
          <w:rFonts w:ascii="Arial" w:eastAsia="Calibri" w:hAnsi="Arial" w:cs="Arial"/>
        </w:rPr>
        <w:t>.</w:t>
      </w:r>
    </w:p>
    <w:p w14:paraId="6A8A3CA5" w14:textId="77777777" w:rsidR="00BE51B1" w:rsidRDefault="00BE51B1" w:rsidP="00BE51B1">
      <w:pPr>
        <w:rPr>
          <w:rFonts w:ascii="Arial" w:eastAsia="Calibri" w:hAnsi="Arial" w:cs="Arial"/>
        </w:rPr>
      </w:pPr>
      <w:r>
        <w:rPr>
          <w:rFonts w:ascii="Arial" w:eastAsia="Calibri" w:hAnsi="Arial" w:cs="Arial"/>
        </w:rPr>
        <w:br w:type="page"/>
      </w:r>
    </w:p>
    <w:p w14:paraId="0926F767" w14:textId="77777777" w:rsidR="00BE51B1" w:rsidRDefault="00BE51B1" w:rsidP="00BE51B1">
      <w:pPr>
        <w:jc w:val="both"/>
        <w:rPr>
          <w:rFonts w:ascii="Arial" w:hAnsi="Arial" w:cs="Arial"/>
        </w:rPr>
      </w:pPr>
      <w:r>
        <w:rPr>
          <w:rFonts w:ascii="Arial" w:hAnsi="Arial" w:cs="Arial"/>
          <w:noProof/>
        </w:rPr>
        <w:lastRenderedPageBreak/>
        <w:drawing>
          <wp:inline distT="0" distB="0" distL="0" distR="0" wp14:anchorId="3844194E" wp14:editId="73FFD987">
            <wp:extent cx="6107364" cy="2543469"/>
            <wp:effectExtent l="0" t="0" r="0" b="9525"/>
            <wp:docPr id="143982233"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2233" name="Picture 16"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1777" cy="2557801"/>
                    </a:xfrm>
                    <a:prstGeom prst="rect">
                      <a:avLst/>
                    </a:prstGeom>
                    <a:noFill/>
                  </pic:spPr>
                </pic:pic>
              </a:graphicData>
            </a:graphic>
          </wp:inline>
        </w:drawing>
      </w:r>
    </w:p>
    <w:p w14:paraId="36EDE550" w14:textId="77777777" w:rsidR="00BE51B1" w:rsidRDefault="00BE51B1" w:rsidP="00BE51B1">
      <w:pPr>
        <w:jc w:val="both"/>
        <w:rPr>
          <w:rFonts w:ascii="Arial" w:hAnsi="Arial" w:cs="Arial"/>
        </w:rPr>
      </w:pPr>
      <w:r>
        <w:rPr>
          <w:rFonts w:ascii="Arial" w:hAnsi="Arial" w:cs="Arial"/>
          <w:noProof/>
        </w:rPr>
        <w:drawing>
          <wp:inline distT="0" distB="0" distL="0" distR="0" wp14:anchorId="328BB157" wp14:editId="16EF4391">
            <wp:extent cx="5662428" cy="1965899"/>
            <wp:effectExtent l="0" t="0" r="0" b="0"/>
            <wp:docPr id="141839759"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759" name="Picture 18"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6362" cy="1977680"/>
                    </a:xfrm>
                    <a:prstGeom prst="rect">
                      <a:avLst/>
                    </a:prstGeom>
                    <a:noFill/>
                  </pic:spPr>
                </pic:pic>
              </a:graphicData>
            </a:graphic>
          </wp:inline>
        </w:drawing>
      </w:r>
    </w:p>
    <w:p w14:paraId="5F82FF0F" w14:textId="323B61AA" w:rsidR="00BE51B1" w:rsidRPr="005B13B2" w:rsidRDefault="009F3AF4" w:rsidP="005B13B2">
      <w:pPr>
        <w:pStyle w:val="Caption"/>
        <w:rPr>
          <w:i w:val="0"/>
          <w:iCs w:val="0"/>
        </w:rPr>
      </w:pPr>
      <w:bookmarkStart w:id="40" w:name="_Ref214444675"/>
      <w:bookmarkStart w:id="41" w:name="_Toc211272388"/>
      <w:r>
        <w:t xml:space="preserve">Figure </w:t>
      </w:r>
      <w:fldSimple w:instr=" SEQ Figure \* ARABIC ">
        <w:r w:rsidR="00AC4291">
          <w:rPr>
            <w:noProof/>
          </w:rPr>
          <w:t>5</w:t>
        </w:r>
      </w:fldSimple>
      <w:bookmarkEnd w:id="40"/>
      <w:r w:rsidRPr="009F3AF4">
        <w:t>: Mineral refining stages considered in the 2040 scenarios (green for precursor related product scenarios) up to manufacturing of inputs for lithium-ion battery cathode or anode active material. Only the stages in blue and green are presented as results for this study. Other known copper and graphite products related to lithium-ion batteries are shown as an illustration of additional manufacturing that could be undertaken.</w:t>
      </w:r>
      <w:bookmarkEnd w:id="41"/>
      <w:r w:rsidR="005B13B2">
        <w:t xml:space="preserve"> </w:t>
      </w:r>
      <w:r w:rsidR="00BE51B1" w:rsidRPr="005B13B2">
        <w:t>Source: Authors’ elaboration, based on literature review and estimations. Notes: Copper, cobalt and nickel may be found in the same deposit. Thus, the intensities reflect the shares of resources and energy needed for the production share of the relevant mineral insofar as the background data allowed. **Cobalt is produced via a hydro route in Madagascar that ends with refined cobalt (and refined nickel). This route is accounted for in the country and trade data but refined cobalt is not assumed to be processed further into battery-related compounds. SX-EW refers to solvent extraction and electrowinning.</w:t>
      </w:r>
    </w:p>
    <w:p w14:paraId="3F7FC9DA" w14:textId="77777777" w:rsidR="00BE51B1" w:rsidRPr="00AD40F3" w:rsidRDefault="00BE51B1" w:rsidP="00BE51B1">
      <w:pPr>
        <w:pStyle w:val="Heading3"/>
        <w:rPr>
          <w:rFonts w:ascii="Arial" w:hAnsi="Arial" w:cs="Arial"/>
          <w:b/>
          <w:bCs/>
          <w:color w:val="000000" w:themeColor="text1"/>
          <w:sz w:val="24"/>
          <w:szCs w:val="24"/>
        </w:rPr>
      </w:pPr>
      <w:bookmarkStart w:id="42" w:name="_Toc211272284"/>
      <w:r w:rsidRPr="00AD40F3">
        <w:rPr>
          <w:rFonts w:ascii="Arial" w:hAnsi="Arial" w:cs="Arial"/>
          <w:b/>
          <w:bCs/>
          <w:noProof/>
          <w:color w:val="000000" w:themeColor="text1"/>
          <w:sz w:val="24"/>
          <w:szCs w:val="24"/>
        </w:rPr>
        <w:t>3.1.3</w:t>
      </w:r>
      <w:r w:rsidRPr="00AD40F3">
        <w:rPr>
          <w:rFonts w:ascii="Arial" w:hAnsi="Arial" w:cs="Arial"/>
          <w:b/>
          <w:bCs/>
          <w:color w:val="000000" w:themeColor="text1"/>
          <w:sz w:val="24"/>
          <w:szCs w:val="24"/>
        </w:rPr>
        <w:t xml:space="preserve"> The input intensities for each stage of mineral processing were established.</w:t>
      </w:r>
      <w:bookmarkEnd w:id="42"/>
      <w:r w:rsidRPr="00AD40F3">
        <w:rPr>
          <w:rFonts w:ascii="Arial" w:hAnsi="Arial" w:cs="Arial"/>
          <w:b/>
          <w:bCs/>
          <w:color w:val="000000" w:themeColor="text1"/>
          <w:sz w:val="24"/>
          <w:szCs w:val="24"/>
        </w:rPr>
        <w:t xml:space="preserve"> </w:t>
      </w:r>
    </w:p>
    <w:p w14:paraId="246F7D26" w14:textId="19C9B17F" w:rsidR="00BE51B1" w:rsidRDefault="00BE51B1" w:rsidP="00BE51B1">
      <w:pPr>
        <w:spacing w:line="276" w:lineRule="auto"/>
        <w:jc w:val="both"/>
        <w:rPr>
          <w:rFonts w:ascii="Arial" w:hAnsi="Arial" w:cs="Arial"/>
        </w:rPr>
      </w:pPr>
      <w:r>
        <w:rPr>
          <w:rFonts w:ascii="Arial" w:hAnsi="Arial" w:cs="Arial"/>
        </w:rPr>
        <w:br/>
      </w:r>
      <w:r w:rsidRPr="00766470">
        <w:rPr>
          <w:rFonts w:ascii="Arial" w:hAnsi="Arial" w:cs="Arial"/>
        </w:rPr>
        <w:t xml:space="preserve">For supply chain modelling purposes, it is important to understand the input intensity for each mineral at each stage. </w:t>
      </w:r>
      <w:r>
        <w:rPr>
          <w:rFonts w:ascii="Arial" w:hAnsi="Arial" w:cs="Arial"/>
        </w:rPr>
        <w:t>Four</w:t>
      </w:r>
      <w:r w:rsidRPr="00766470">
        <w:rPr>
          <w:rFonts w:ascii="Arial" w:hAnsi="Arial" w:cs="Arial"/>
        </w:rPr>
        <w:t xml:space="preserve"> inputs of particular interest are material</w:t>
      </w:r>
      <w:r>
        <w:rPr>
          <w:rFonts w:ascii="Arial" w:hAnsi="Arial" w:cs="Arial"/>
        </w:rPr>
        <w:t>s</w:t>
      </w:r>
      <w:r w:rsidRPr="00766470">
        <w:rPr>
          <w:rFonts w:ascii="Arial" w:hAnsi="Arial" w:cs="Arial"/>
        </w:rPr>
        <w:t xml:space="preserve">, water, </w:t>
      </w:r>
      <w:r>
        <w:rPr>
          <w:rFonts w:ascii="Arial" w:hAnsi="Arial" w:cs="Arial"/>
        </w:rPr>
        <w:t xml:space="preserve">fuels </w:t>
      </w:r>
      <w:r w:rsidRPr="00766470">
        <w:rPr>
          <w:rFonts w:ascii="Arial" w:hAnsi="Arial" w:cs="Arial"/>
        </w:rPr>
        <w:t xml:space="preserve">and </w:t>
      </w:r>
      <w:r>
        <w:rPr>
          <w:rFonts w:ascii="Arial" w:hAnsi="Arial" w:cs="Arial"/>
        </w:rPr>
        <w:t>electricity</w:t>
      </w:r>
      <w:r w:rsidRPr="00766470">
        <w:rPr>
          <w:rFonts w:ascii="Arial" w:hAnsi="Arial" w:cs="Arial"/>
        </w:rPr>
        <w:t xml:space="preserve">, whose relative intensities are shown in </w:t>
      </w:r>
      <w:r w:rsidR="008330B5">
        <w:rPr>
          <w:rFonts w:ascii="Arial" w:hAnsi="Arial" w:cs="Arial"/>
          <w:b/>
          <w:bCs/>
        </w:rPr>
        <w:fldChar w:fldCharType="begin"/>
      </w:r>
      <w:r w:rsidR="008330B5">
        <w:rPr>
          <w:rFonts w:ascii="Arial" w:hAnsi="Arial" w:cs="Arial"/>
        </w:rPr>
        <w:instrText xml:space="preserve"> REF _Ref214444697 \h </w:instrText>
      </w:r>
      <w:r w:rsidR="008330B5">
        <w:rPr>
          <w:rFonts w:ascii="Arial" w:hAnsi="Arial" w:cs="Arial"/>
          <w:b/>
          <w:bCs/>
        </w:rPr>
      </w:r>
      <w:r w:rsidR="008330B5">
        <w:rPr>
          <w:rFonts w:ascii="Arial" w:hAnsi="Arial" w:cs="Arial"/>
          <w:b/>
          <w:bCs/>
        </w:rPr>
        <w:fldChar w:fldCharType="separate"/>
      </w:r>
      <w:r w:rsidR="008330B5">
        <w:t xml:space="preserve">Figure </w:t>
      </w:r>
      <w:r w:rsidR="008330B5">
        <w:rPr>
          <w:noProof/>
        </w:rPr>
        <w:t>6</w:t>
      </w:r>
      <w:r w:rsidR="008330B5">
        <w:rPr>
          <w:rFonts w:ascii="Arial" w:hAnsi="Arial" w:cs="Arial"/>
          <w:b/>
          <w:bCs/>
        </w:rPr>
        <w:fldChar w:fldCharType="end"/>
      </w:r>
      <w:r w:rsidR="008330B5">
        <w:rPr>
          <w:rFonts w:ascii="Arial" w:hAnsi="Arial" w:cs="Arial"/>
          <w:b/>
          <w:bCs/>
        </w:rPr>
        <w:t xml:space="preserve">. </w:t>
      </w:r>
      <w:r w:rsidR="008330B5" w:rsidRPr="008330B5">
        <w:rPr>
          <w:rFonts w:ascii="Arial" w:hAnsi="Arial" w:cs="Arial"/>
        </w:rPr>
        <w:t>T</w:t>
      </w:r>
      <w:r w:rsidRPr="00766470">
        <w:rPr>
          <w:rFonts w:ascii="Arial" w:hAnsi="Arial" w:cs="Arial"/>
        </w:rPr>
        <w:t xml:space="preserve">he intensities are all presented relative to the amount of output produced at each relevant stage. </w:t>
      </w:r>
    </w:p>
    <w:p w14:paraId="6420E32F" w14:textId="77777777" w:rsidR="00BE51B1" w:rsidRPr="00766470" w:rsidRDefault="00BE51B1" w:rsidP="00BE51B1">
      <w:pPr>
        <w:spacing w:line="276" w:lineRule="auto"/>
        <w:jc w:val="both"/>
        <w:rPr>
          <w:rFonts w:ascii="Arial" w:hAnsi="Arial" w:cs="Arial"/>
        </w:rPr>
      </w:pPr>
      <w:r>
        <w:rPr>
          <w:rFonts w:ascii="Arial" w:hAnsi="Arial" w:cs="Arial"/>
        </w:rPr>
        <w:t>The intensities obtained at the mining level are combined with the ore grades of each mineral and linear relationships are assumed between intensities and ore grades to scale the amounts of material moved, the energy, fuel or water required. If required, the alternative production routes are considered in the intensities per country depending on weighted production per route in 2022.</w:t>
      </w:r>
    </w:p>
    <w:p w14:paraId="5CB86DBF" w14:textId="12B33B1F" w:rsidR="00BE51B1" w:rsidRPr="00766470" w:rsidRDefault="00BE51B1" w:rsidP="00BE51B1">
      <w:pPr>
        <w:pStyle w:val="ListParagraph"/>
        <w:numPr>
          <w:ilvl w:val="0"/>
          <w:numId w:val="3"/>
        </w:numPr>
        <w:spacing w:line="276" w:lineRule="auto"/>
        <w:ind w:left="360"/>
        <w:jc w:val="both"/>
        <w:rPr>
          <w:rFonts w:ascii="Arial" w:hAnsi="Arial" w:cs="Arial"/>
        </w:rPr>
      </w:pPr>
      <w:r w:rsidRPr="00766470">
        <w:rPr>
          <w:rFonts w:ascii="Arial" w:hAnsi="Arial" w:cs="Arial"/>
          <w:u w:val="single"/>
        </w:rPr>
        <w:lastRenderedPageBreak/>
        <w:t>Material intensity</w:t>
      </w:r>
      <w:r w:rsidRPr="00766470">
        <w:rPr>
          <w:rFonts w:ascii="Arial" w:hAnsi="Arial" w:cs="Arial"/>
        </w:rPr>
        <w:t>. Material intensity is of interest because it affects the demand for energy and transport infrastructure. For the most part, as minerals are processed a tonne of ore is transformed into progressively smaller volumes of refined output, affecting the transport capacity required to move material along the value chain</w:t>
      </w:r>
      <w:r w:rsidRPr="00766470">
        <w:rPr>
          <w:rFonts w:ascii="Arial" w:hAnsi="Arial" w:cs="Arial"/>
        </w:rPr>
        <w:fldChar w:fldCharType="begin"/>
      </w:r>
      <w:r w:rsidR="007E07E0">
        <w:rPr>
          <w:rFonts w:ascii="Arial" w:hAnsi="Arial" w:cs="Arial"/>
        </w:rPr>
        <w:instrText xml:space="preserve"> ADDIN ZOTERO_ITEM CSL_CITATION {"citationID":"IPVMlG4c","properties":{"formattedCitation":"\\super 29\\nosupersub{}","plainCitation":"29","noteIndex":0},"citationItems":[{"id":2155,"uris":["http://zotero.org/users/10918866/items/JKQJXHVJ"],"itemData":{"id":2155,"type":"article-journal","abstract":"Lithium-ion batteries (LIBs) deployed in battery energy storage systems (BESS) can reduce the carbon intensity of the electricity-generating sector and improve environmental sustainability. The aim of this study is to use life cycle assessment (LCA) modeling, using data from peer-reviewed literature and public and private sources, to quantify environmental impacts along the supply chain for cobalt, a crucial component in many types of LIBs. The study seeks to understand where in the life cycle stage the environmental impacts are highest, thus highlighting actions that can be taken to improve sustainability of the LIB supply chain. The system boundary for this LCA is cradle-to-gate. Impact assessment follows ReCiPe Midpoint (H) 2016. We assume a 30-year modeling period, with augmentation occurring at the end of the 3rd, 7th, and 14th years of operations, before a complete replacement in the 21st year. Three refinery locations (China, Canada, and Finland), a range of ore grades, and five battery chemistries (NMC111, NMC532, NMC622, NMC811, and NCA) are used in scenarios to better estimate their effect on the life cycle impacts. Insights from the study are that impacts along nearly all pathways increase according to an inverse power-law relationship with ore grade; refining outside of China can reduce global warming potential (GWP) by over 12%; and GWP impacts for cobalt used in NCA and other NMC battery chemistries are 63% and 45–74% lower than in NMC111, respectively. When analyzed on a single-score basis, marine and freshwater ecotoxicity are prominent. For an ore grade of 0.3%, the GWP values for the Canada route decrease at a rate of 58% to 65%, and those for Finland route decrease by 71% to 76% from the base case. Statistical analysis shows that cobalt content in the battery is the highest predictor (R2 = 0.988), followed by the ore grade (R2 = 0.966) and refining location (R2 = 0.766), when assessed for correlation individually. The results presented here point to areas where environmental burdens of LIBs can be reduced, and thus they are helpful to policy and investment decision makers.","container-title":"Sustainability","DOI":"10.3390/su16051910","ISSN":"2071-1050","issue":"5","journalAbbreviation":"Sustainability","language":"en","license":"https://creativecommons.org/licenses/by/4.0/","page":"1910","source":"DOI.org (Crossref)","title":"The Cobalt Supply Chain and Environmental Life Cycle Impacts of Lithium-Ion Battery Energy Storage Systems","volume":"16","author":[{"family":"Das","given":"Jani"},{"family":"Kleiman","given":"Andrew"},{"family":"Rehman","given":"Atta Ur"},{"family":"Verma","given":"Rahul"},{"family":"Young","given":"Michael H."}],"issued":{"date-parts":[["2024",2,26]]}}}],"schema":"https://github.com/citation-style-language/schema/raw/master/csl-citation.json"} </w:instrText>
      </w:r>
      <w:r w:rsidRPr="00766470">
        <w:rPr>
          <w:rFonts w:ascii="Arial" w:hAnsi="Arial" w:cs="Arial"/>
        </w:rPr>
        <w:fldChar w:fldCharType="separate"/>
      </w:r>
      <w:r w:rsidR="007E07E0" w:rsidRPr="007E07E0">
        <w:rPr>
          <w:rFonts w:ascii="Arial" w:hAnsi="Arial" w:cs="Arial"/>
          <w:kern w:val="0"/>
          <w:vertAlign w:val="superscript"/>
        </w:rPr>
        <w:t>29</w:t>
      </w:r>
      <w:r w:rsidRPr="00766470">
        <w:rPr>
          <w:rFonts w:ascii="Arial" w:hAnsi="Arial" w:cs="Arial"/>
        </w:rPr>
        <w:fldChar w:fldCharType="end"/>
      </w:r>
      <w:r w:rsidRPr="00766470">
        <w:rPr>
          <w:rFonts w:ascii="Arial" w:hAnsi="Arial" w:cs="Arial"/>
        </w:rPr>
        <w:t xml:space="preserve">. </w:t>
      </w:r>
      <w:r w:rsidR="008330B5">
        <w:rPr>
          <w:rFonts w:ascii="Arial" w:hAnsi="Arial" w:cs="Arial"/>
          <w:b/>
          <w:bCs/>
        </w:rPr>
        <w:fldChar w:fldCharType="begin"/>
      </w:r>
      <w:r w:rsidR="008330B5">
        <w:rPr>
          <w:rFonts w:ascii="Arial" w:hAnsi="Arial" w:cs="Arial"/>
        </w:rPr>
        <w:instrText xml:space="preserve"> REF _Ref214444697 \h </w:instrText>
      </w:r>
      <w:r w:rsidR="008330B5">
        <w:rPr>
          <w:rFonts w:ascii="Arial" w:hAnsi="Arial" w:cs="Arial"/>
          <w:b/>
          <w:bCs/>
        </w:rPr>
      </w:r>
      <w:r w:rsidR="008330B5">
        <w:rPr>
          <w:rFonts w:ascii="Arial" w:hAnsi="Arial" w:cs="Arial"/>
          <w:b/>
          <w:bCs/>
        </w:rPr>
        <w:fldChar w:fldCharType="separate"/>
      </w:r>
      <w:r w:rsidR="002249F6">
        <w:t xml:space="preserve">Figure </w:t>
      </w:r>
      <w:r w:rsidR="002249F6">
        <w:rPr>
          <w:noProof/>
        </w:rPr>
        <w:t>6</w:t>
      </w:r>
      <w:r w:rsidR="008330B5">
        <w:rPr>
          <w:rFonts w:ascii="Arial" w:hAnsi="Arial" w:cs="Arial"/>
          <w:b/>
          <w:bCs/>
        </w:rPr>
        <w:fldChar w:fldCharType="end"/>
      </w:r>
      <w:r w:rsidR="008330B5">
        <w:rPr>
          <w:rFonts w:ascii="Arial" w:hAnsi="Arial" w:cs="Arial"/>
          <w:b/>
          <w:bCs/>
        </w:rPr>
        <w:t xml:space="preserve"> </w:t>
      </w:r>
      <w:r w:rsidRPr="00766470">
        <w:rPr>
          <w:rFonts w:ascii="Arial" w:hAnsi="Arial" w:cs="Arial"/>
        </w:rPr>
        <w:t>shows that cobalt</w:t>
      </w:r>
      <w:r>
        <w:rPr>
          <w:rFonts w:ascii="Arial" w:hAnsi="Arial" w:cs="Arial"/>
        </w:rPr>
        <w:t>, lithium and nickel beneficiation</w:t>
      </w:r>
      <w:r w:rsidRPr="00766470">
        <w:rPr>
          <w:rFonts w:ascii="Arial" w:hAnsi="Arial" w:cs="Arial"/>
        </w:rPr>
        <w:t xml:space="preserve"> are particularly voluminous in relation to subsequent stages of processing</w:t>
      </w:r>
      <w:r>
        <w:rPr>
          <w:rFonts w:ascii="Arial" w:hAnsi="Arial" w:cs="Arial"/>
        </w:rPr>
        <w:t xml:space="preserve"> due to the mining stage and the low amounts of metal per ore extracted</w:t>
      </w:r>
      <w:r w:rsidRPr="00766470">
        <w:rPr>
          <w:rFonts w:ascii="Arial" w:hAnsi="Arial" w:cs="Arial"/>
        </w:rPr>
        <w:t>.</w:t>
      </w:r>
    </w:p>
    <w:p w14:paraId="2A5712E7" w14:textId="77777777" w:rsidR="00BE51B1" w:rsidRPr="00766470" w:rsidRDefault="00BE51B1" w:rsidP="00BE51B1">
      <w:pPr>
        <w:pStyle w:val="ListParagraph"/>
        <w:spacing w:line="276" w:lineRule="auto"/>
        <w:ind w:left="360"/>
        <w:jc w:val="both"/>
        <w:rPr>
          <w:rFonts w:ascii="Arial" w:hAnsi="Arial" w:cs="Arial"/>
        </w:rPr>
      </w:pPr>
    </w:p>
    <w:p w14:paraId="697CEB93" w14:textId="7EE018BC" w:rsidR="00BE51B1" w:rsidRDefault="00BE51B1" w:rsidP="00BE51B1">
      <w:pPr>
        <w:pStyle w:val="ListParagraph"/>
        <w:numPr>
          <w:ilvl w:val="0"/>
          <w:numId w:val="3"/>
        </w:numPr>
        <w:spacing w:line="276" w:lineRule="auto"/>
        <w:ind w:left="360"/>
        <w:jc w:val="both"/>
        <w:rPr>
          <w:rFonts w:ascii="Arial" w:hAnsi="Arial" w:cs="Arial"/>
        </w:rPr>
      </w:pPr>
      <w:r w:rsidRPr="00766470">
        <w:rPr>
          <w:rFonts w:ascii="Arial" w:hAnsi="Arial" w:cs="Arial"/>
          <w:u w:val="single"/>
        </w:rPr>
        <w:t>Water intensity</w:t>
      </w:r>
      <w:r w:rsidRPr="00766470">
        <w:rPr>
          <w:rFonts w:ascii="Arial" w:hAnsi="Arial" w:cs="Arial"/>
        </w:rPr>
        <w:t>. Water intensity is of interest because much of Southern Africa is affected by water scarcity, which may affect the cost or feasibility of processing operations</w:t>
      </w:r>
      <w:r w:rsidRPr="00766470">
        <w:rPr>
          <w:rFonts w:ascii="Arial" w:hAnsi="Arial" w:cs="Arial"/>
        </w:rPr>
        <w:fldChar w:fldCharType="begin"/>
      </w:r>
      <w:r w:rsidR="0016542D">
        <w:rPr>
          <w:rFonts w:ascii="Arial" w:hAnsi="Arial" w:cs="Arial"/>
        </w:rPr>
        <w:instrText xml:space="preserve"> ADDIN ZOTERO_ITEM CSL_CITATION {"citationID":"7EDHWAZ5","properties":{"formattedCitation":"\\super 30\\nosupersub{}","plainCitation":"30","noteIndex":0},"citationItems":[{"id":2053,"uris":["http://zotero.org/users/10918866/items/EAF4V2IB"],"itemData":{"id":2053,"type":"article-journal","abstract":"Southern Africa faces acute water scarcity challenges due to drought recurrence, degradation of surface water resources, and the increasing demand of water from agriculture, which has to meet the growing food demands of an increasing population. These stressors require innovative solutions that ensure the sustainability of water resources, without which the consequences could be dire for a region exposed to a host of vulnerabilities, including climate change. This review outlines the role of water markets in water management in times of water scarcity, highlighting the drivers of water markets in southern Africa, such as water scarcity, transboundary nature of water resources, and their uneven distribution. The review further discusses the role of water markets in climate change adaptation. Related institutional and legal frameworks as well as water allocation mechanisms are explored, aiming at improving water markets governance. The impact of adaptation to new water regimes in the face of scarcity are assessed by considering characteristics of current markets as related to future opportunities. In a diverse region such as southern Africa with unevenly distributed water resources, advancing the concept of water markets could play an important role in mitigating water scarcity challenges and promoting regional integration through coordinated transboundary water transfers. The emergence of water markets in the region is influenced by the continued depletion of water resources, which is resulting in the adoption of innovative water marketing strategies, such as inter-farm sharing or farm joint venture systems and inter-basin and intra-basin water transfers. As the concept is new in the region, it still has challenges that include general market inefficiencies, high transaction costs, market information asymmetries, imperfect competition, and weak or absent robust institutional frameworks that can facilitate market development.","container-title":"Water","DOI":"10.3390/w11051006","ISSN":"2073-4441","issue":"5","language":"en","license":"http://creativecommons.org/licenses/by/3.0/","note":"number: 5","page":"1006","publisher":"Multidisciplinary Digital Publishing Institute","source":"www.mdpi.com","title":"An Overview of Water Markets in Southern Africa: An Option for Water Management in Times of Scarcity","title-short":"An Overview of Water Markets in Southern Africa","volume":"11","author":[{"family":"Matchaya","given":"Greenwell"},{"family":"Nhamo","given":"Luxon"},{"family":"Nhlengethwa","given":"Sibusiso"},{"family":"Nhemachena","given":"Charles"}],"issued":{"date-parts":[["2019",5]]}}}],"schema":"https://github.com/citation-style-language/schema/raw/master/csl-citation.json"} </w:instrText>
      </w:r>
      <w:r w:rsidRPr="00766470">
        <w:rPr>
          <w:rFonts w:ascii="Arial" w:hAnsi="Arial" w:cs="Arial"/>
        </w:rPr>
        <w:fldChar w:fldCharType="separate"/>
      </w:r>
      <w:r w:rsidR="007E07E0" w:rsidRPr="007E07E0">
        <w:rPr>
          <w:rFonts w:ascii="Arial" w:hAnsi="Arial" w:cs="Arial"/>
          <w:kern w:val="0"/>
          <w:vertAlign w:val="superscript"/>
        </w:rPr>
        <w:t>30</w:t>
      </w:r>
      <w:r w:rsidRPr="00766470">
        <w:rPr>
          <w:rFonts w:ascii="Arial" w:hAnsi="Arial" w:cs="Arial"/>
        </w:rPr>
        <w:fldChar w:fldCharType="end"/>
      </w:r>
      <w:r w:rsidRPr="00766470">
        <w:rPr>
          <w:rFonts w:ascii="Arial" w:hAnsi="Arial" w:cs="Arial"/>
        </w:rPr>
        <w:t xml:space="preserve">. </w:t>
      </w:r>
      <w:r w:rsidR="007C1413">
        <w:rPr>
          <w:rFonts w:ascii="Arial" w:hAnsi="Arial" w:cs="Arial"/>
        </w:rPr>
        <w:fldChar w:fldCharType="begin"/>
      </w:r>
      <w:r w:rsidR="007C1413">
        <w:rPr>
          <w:rFonts w:ascii="Arial" w:hAnsi="Arial" w:cs="Arial"/>
        </w:rPr>
        <w:instrText xml:space="preserve"> REF _Ref214444697 \h </w:instrText>
      </w:r>
      <w:r w:rsidR="007C1413">
        <w:rPr>
          <w:rFonts w:ascii="Arial" w:hAnsi="Arial" w:cs="Arial"/>
        </w:rPr>
      </w:r>
      <w:r w:rsidR="007C1413">
        <w:rPr>
          <w:rFonts w:ascii="Arial" w:hAnsi="Arial" w:cs="Arial"/>
        </w:rPr>
        <w:fldChar w:fldCharType="separate"/>
      </w:r>
      <w:r w:rsidR="007C1413">
        <w:t xml:space="preserve">Figure </w:t>
      </w:r>
      <w:r w:rsidR="007C1413">
        <w:rPr>
          <w:noProof/>
        </w:rPr>
        <w:t>6</w:t>
      </w:r>
      <w:r w:rsidR="007C1413">
        <w:rPr>
          <w:rFonts w:ascii="Arial" w:hAnsi="Arial" w:cs="Arial"/>
        </w:rPr>
        <w:fldChar w:fldCharType="end"/>
      </w:r>
      <w:r w:rsidR="007C1413">
        <w:rPr>
          <w:rFonts w:ascii="Arial" w:hAnsi="Arial" w:cs="Arial"/>
        </w:rPr>
        <w:t xml:space="preserve"> </w:t>
      </w:r>
      <w:r w:rsidRPr="00766470">
        <w:rPr>
          <w:rFonts w:ascii="Arial" w:hAnsi="Arial" w:cs="Arial"/>
        </w:rPr>
        <w:t>shows that water intensity varies significantly across minerals, with</w:t>
      </w:r>
      <w:r>
        <w:rPr>
          <w:rFonts w:ascii="Arial" w:hAnsi="Arial" w:cs="Arial"/>
        </w:rPr>
        <w:t xml:space="preserve"> copper cathode (stage 3) having the highest water intensity due to the hydrometallurgical process. </w:t>
      </w:r>
      <w:r w:rsidRPr="00766470">
        <w:rPr>
          <w:rFonts w:ascii="Arial" w:hAnsi="Arial" w:cs="Arial"/>
        </w:rPr>
        <w:t xml:space="preserve">Water intensity also varies significantly across processing stages for a given mineral and does not necessarily decrease as minerals progress to higher stages of processing. Not all stages have water intensities reported in the original data sources. This can be due to some stages not requiring water and some not having a value available.  </w:t>
      </w:r>
    </w:p>
    <w:p w14:paraId="7866676D" w14:textId="391A1641" w:rsidR="00BE51B1" w:rsidRPr="00A10E0A" w:rsidRDefault="00BE51B1" w:rsidP="00BE51B1">
      <w:pPr>
        <w:pStyle w:val="ListParagraph"/>
        <w:numPr>
          <w:ilvl w:val="0"/>
          <w:numId w:val="3"/>
        </w:numPr>
        <w:spacing w:line="276" w:lineRule="auto"/>
        <w:ind w:left="360"/>
        <w:jc w:val="both"/>
        <w:rPr>
          <w:rFonts w:ascii="Arial" w:hAnsi="Arial" w:cs="Arial"/>
        </w:rPr>
      </w:pPr>
      <w:r w:rsidRPr="00A10E0A">
        <w:rPr>
          <w:rFonts w:ascii="Arial" w:hAnsi="Arial" w:cs="Arial"/>
          <w:u w:val="single"/>
        </w:rPr>
        <w:t>Energy intensity</w:t>
      </w:r>
      <w:r w:rsidRPr="00A10E0A">
        <w:rPr>
          <w:rFonts w:ascii="Arial" w:hAnsi="Arial" w:cs="Arial"/>
        </w:rPr>
        <w:t>. Energy intensity is of interest due to the relatively high cost of energy and scarcity of energy infrastructure in Southern Africa, which may affect the competitiveness of processing activities and the extent to which mining companies decide to invest in their own energy infrastructure</w:t>
      </w:r>
      <w:r w:rsidRPr="00A10E0A">
        <w:rPr>
          <w:rFonts w:ascii="Arial" w:hAnsi="Arial" w:cs="Arial"/>
        </w:rPr>
        <w:fldChar w:fldCharType="begin"/>
      </w:r>
      <w:r w:rsidR="0016542D">
        <w:rPr>
          <w:rFonts w:ascii="Arial" w:hAnsi="Arial" w:cs="Arial"/>
        </w:rPr>
        <w:instrText xml:space="preserve"> ADDIN ZOTERO_ITEM CSL_CITATION {"citationID":"RJX10EJ1","properties":{"formattedCitation":"\\super 31\\nosupersub{}","plainCitation":"31","noteIndex":0},"citationItems":[{"id":6,"uris":["http://zotero.org/users/10918866/items/G3URSGVL"],"itemData":{"id":6,"type":"article-journal","container-title":"Journal of the Southern African Institute of Mining and Metallurgy","ISSN":"2225-6253","issue":"11","language":"en","page":"v-vi","publisher":"The Southern African Institute of Mining and Metallurgy","source":"SciELO","title":"The Mining Industry and the Energy Crisis - What is the role we are playing?","volume":"122","author":[{"family":"Botha","given":"Z."}],"issued":{"date-parts":[["2022",11]]}}}],"schema":"https://github.com/citation-style-language/schema/raw/master/csl-citation.json"} </w:instrText>
      </w:r>
      <w:r w:rsidRPr="00A10E0A">
        <w:rPr>
          <w:rFonts w:ascii="Arial" w:hAnsi="Arial" w:cs="Arial"/>
        </w:rPr>
        <w:fldChar w:fldCharType="separate"/>
      </w:r>
      <w:r w:rsidR="007E07E0" w:rsidRPr="007E07E0">
        <w:rPr>
          <w:rFonts w:ascii="Arial" w:hAnsi="Arial" w:cs="Arial"/>
          <w:kern w:val="0"/>
          <w:vertAlign w:val="superscript"/>
        </w:rPr>
        <w:t>31</w:t>
      </w:r>
      <w:r w:rsidRPr="00A10E0A">
        <w:rPr>
          <w:rFonts w:ascii="Arial" w:hAnsi="Arial" w:cs="Arial"/>
        </w:rPr>
        <w:fldChar w:fldCharType="end"/>
      </w:r>
      <w:r w:rsidRPr="00A10E0A">
        <w:rPr>
          <w:rFonts w:ascii="Arial" w:hAnsi="Arial" w:cs="Arial"/>
        </w:rPr>
        <w:t xml:space="preserve">. Energy intensity can be broken down by energy source, such as electricity, heat, diesel, and gas. </w:t>
      </w:r>
      <w:r w:rsidR="008330B5">
        <w:rPr>
          <w:rFonts w:ascii="Arial" w:hAnsi="Arial" w:cs="Arial"/>
          <w:b/>
          <w:bCs/>
        </w:rPr>
        <w:fldChar w:fldCharType="begin"/>
      </w:r>
      <w:r w:rsidR="008330B5">
        <w:rPr>
          <w:rFonts w:ascii="Arial" w:hAnsi="Arial" w:cs="Arial"/>
        </w:rPr>
        <w:instrText xml:space="preserve"> REF _Ref214444697 \h </w:instrText>
      </w:r>
      <w:r w:rsidR="008330B5">
        <w:rPr>
          <w:rFonts w:ascii="Arial" w:hAnsi="Arial" w:cs="Arial"/>
          <w:b/>
          <w:bCs/>
        </w:rPr>
      </w:r>
      <w:r w:rsidR="008330B5">
        <w:rPr>
          <w:rFonts w:ascii="Arial" w:hAnsi="Arial" w:cs="Arial"/>
          <w:b/>
          <w:bCs/>
        </w:rPr>
        <w:fldChar w:fldCharType="separate"/>
      </w:r>
      <w:r w:rsidR="002249F6">
        <w:t xml:space="preserve">Figure </w:t>
      </w:r>
      <w:r w:rsidR="002249F6">
        <w:rPr>
          <w:noProof/>
        </w:rPr>
        <w:t>6</w:t>
      </w:r>
      <w:r w:rsidR="008330B5">
        <w:rPr>
          <w:rFonts w:ascii="Arial" w:hAnsi="Arial" w:cs="Arial"/>
          <w:b/>
          <w:bCs/>
        </w:rPr>
        <w:fldChar w:fldCharType="end"/>
      </w:r>
      <w:r w:rsidRPr="00A10E0A">
        <w:rPr>
          <w:rFonts w:ascii="Arial" w:hAnsi="Arial" w:cs="Arial"/>
        </w:rPr>
        <w:t xml:space="preserve"> shows that lithium carbonate is by far the most energy intensive compound (stage 3). For other minerals, nickel beneficiation (stage 1) and copper cathode production (stage 3) also have high energy intensities. Generally, intermediate or later stages of mineral processing are the ones with the highest intensities.</w:t>
      </w:r>
    </w:p>
    <w:p w14:paraId="0B9AB890" w14:textId="77777777" w:rsidR="00BE51B1" w:rsidRDefault="00BE51B1" w:rsidP="00BE51B1">
      <w:pPr>
        <w:pStyle w:val="ListParagraph"/>
        <w:rPr>
          <w:rFonts w:ascii="Arial" w:hAnsi="Arial" w:cs="Arial"/>
        </w:rPr>
      </w:pPr>
    </w:p>
    <w:p w14:paraId="49A71872" w14:textId="77777777" w:rsidR="00BE51B1" w:rsidRPr="00766470" w:rsidRDefault="00BE51B1" w:rsidP="00BE51B1">
      <w:pPr>
        <w:pStyle w:val="ListParagraph"/>
        <w:rPr>
          <w:rFonts w:ascii="Arial" w:hAnsi="Arial" w:cs="Arial"/>
        </w:rPr>
      </w:pPr>
    </w:p>
    <w:p w14:paraId="7F461B30" w14:textId="77777777" w:rsidR="00BE51B1" w:rsidRPr="00980698" w:rsidRDefault="00BE51B1" w:rsidP="00BE51B1">
      <w:r>
        <w:rPr>
          <w:noProof/>
        </w:rPr>
        <w:lastRenderedPageBreak/>
        <w:drawing>
          <wp:inline distT="0" distB="0" distL="0" distR="0" wp14:anchorId="2939921E" wp14:editId="458D9A82">
            <wp:extent cx="2794912" cy="3286705"/>
            <wp:effectExtent l="0" t="0" r="5715" b="9525"/>
            <wp:docPr id="469731923" name="Picture 33"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1923" name="Picture 33" descr="A graph with colorful bars&#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32"/>
                    <a:stretch>
                      <a:fillRect/>
                    </a:stretch>
                  </pic:blipFill>
                  <pic:spPr bwMode="auto">
                    <a:xfrm>
                      <a:off x="0" y="0"/>
                      <a:ext cx="2814050" cy="33092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4AC373" wp14:editId="646D37DA">
            <wp:extent cx="2777327" cy="3244767"/>
            <wp:effectExtent l="0" t="0" r="4445" b="0"/>
            <wp:docPr id="1519161680" name="Picture 3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61680" name="Picture 34" descr="A graph of different colored bar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635"/>
                    <a:stretch>
                      <a:fillRect/>
                    </a:stretch>
                  </pic:blipFill>
                  <pic:spPr bwMode="auto">
                    <a:xfrm>
                      <a:off x="0" y="0"/>
                      <a:ext cx="2791895" cy="3261787"/>
                    </a:xfrm>
                    <a:prstGeom prst="rect">
                      <a:avLst/>
                    </a:prstGeom>
                    <a:noFill/>
                    <a:ln>
                      <a:noFill/>
                    </a:ln>
                    <a:extLst>
                      <a:ext uri="{53640926-AAD7-44D8-BBD7-CCE9431645EC}">
                        <a14:shadowObscured xmlns:a14="http://schemas.microsoft.com/office/drawing/2010/main"/>
                      </a:ext>
                    </a:extLst>
                  </pic:spPr>
                </pic:pic>
              </a:graphicData>
            </a:graphic>
          </wp:inline>
        </w:drawing>
      </w:r>
    </w:p>
    <w:p w14:paraId="3F8DF6AD" w14:textId="77777777" w:rsidR="00BE51B1" w:rsidRPr="00766470" w:rsidRDefault="00BE51B1" w:rsidP="00BE51B1">
      <w:pPr>
        <w:spacing w:line="276" w:lineRule="auto"/>
        <w:jc w:val="both"/>
        <w:rPr>
          <w:rFonts w:ascii="Arial" w:eastAsia="Calibri" w:hAnsi="Arial" w:cs="Arial"/>
        </w:rPr>
      </w:pPr>
      <w:r>
        <w:rPr>
          <w:rFonts w:ascii="Arial" w:eastAsia="Calibri" w:hAnsi="Arial" w:cs="Arial"/>
          <w:noProof/>
        </w:rPr>
        <w:drawing>
          <wp:inline distT="0" distB="0" distL="0" distR="0" wp14:anchorId="49CEE719" wp14:editId="4D04A31A">
            <wp:extent cx="2814320" cy="3287163"/>
            <wp:effectExtent l="0" t="0" r="5080" b="8890"/>
            <wp:docPr id="714878237" name="Picture 35" descr="A graph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8237" name="Picture 35" descr="A graph of numbers and letters&#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766"/>
                    <a:stretch>
                      <a:fillRect/>
                    </a:stretch>
                  </pic:blipFill>
                  <pic:spPr bwMode="auto">
                    <a:xfrm>
                      <a:off x="0" y="0"/>
                      <a:ext cx="2833376" cy="33094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noProof/>
        </w:rPr>
        <w:drawing>
          <wp:inline distT="0" distB="0" distL="0" distR="0" wp14:anchorId="73A627D3" wp14:editId="45F1EE6B">
            <wp:extent cx="2816709" cy="3290156"/>
            <wp:effectExtent l="0" t="0" r="3175" b="5715"/>
            <wp:docPr id="1513740414" name="Picture 3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40414" name="Picture 36" descr="A screen shot of a graph&#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760"/>
                    <a:stretch>
                      <a:fillRect/>
                    </a:stretch>
                  </pic:blipFill>
                  <pic:spPr bwMode="auto">
                    <a:xfrm>
                      <a:off x="0" y="0"/>
                      <a:ext cx="2833403" cy="3309656"/>
                    </a:xfrm>
                    <a:prstGeom prst="rect">
                      <a:avLst/>
                    </a:prstGeom>
                    <a:noFill/>
                    <a:ln>
                      <a:noFill/>
                    </a:ln>
                    <a:extLst>
                      <a:ext uri="{53640926-AAD7-44D8-BBD7-CCE9431645EC}">
                        <a14:shadowObscured xmlns:a14="http://schemas.microsoft.com/office/drawing/2010/main"/>
                      </a:ext>
                    </a:extLst>
                  </pic:spPr>
                </pic:pic>
              </a:graphicData>
            </a:graphic>
          </wp:inline>
        </w:drawing>
      </w:r>
    </w:p>
    <w:p w14:paraId="443D169A" w14:textId="58D0BC6D" w:rsidR="00BE51B1" w:rsidRPr="005B13B2" w:rsidRDefault="009F3AF4" w:rsidP="005B13B2">
      <w:pPr>
        <w:pStyle w:val="Caption"/>
      </w:pPr>
      <w:bookmarkStart w:id="43" w:name="_Ref214444697"/>
      <w:bookmarkStart w:id="44" w:name="_Toc211272389"/>
      <w:r>
        <w:t xml:space="preserve">Figure </w:t>
      </w:r>
      <w:fldSimple w:instr=" SEQ Figure \* ARABIC ">
        <w:r w:rsidR="00E1763F">
          <w:rPr>
            <w:noProof/>
          </w:rPr>
          <w:t>6</w:t>
        </w:r>
      </w:fldSimple>
      <w:bookmarkEnd w:id="43"/>
      <w:r w:rsidRPr="009F3AF4">
        <w:t>: Material, water, electricity and fuel intensities for each relevant processing stage as country average.</w:t>
      </w:r>
      <w:bookmarkEnd w:id="44"/>
      <w:r w:rsidR="005B13B2">
        <w:t xml:space="preserve"> </w:t>
      </w:r>
      <w:r w:rsidR="00BE51B1" w:rsidRPr="005B13B2">
        <w:t>Source: Authors’ elaboration, based on literature review. Please see sources in Table S4.</w:t>
      </w:r>
    </w:p>
    <w:p w14:paraId="7698DDEB" w14:textId="77777777" w:rsidR="00BE51B1" w:rsidRPr="00291462" w:rsidRDefault="00BE51B1" w:rsidP="00BE51B1">
      <w:pPr>
        <w:pStyle w:val="Heading2"/>
        <w:rPr>
          <w:rFonts w:ascii="Arial" w:hAnsi="Arial" w:cs="Arial"/>
          <w:b/>
          <w:bCs/>
          <w:color w:val="E97132" w:themeColor="accent2"/>
          <w:sz w:val="24"/>
          <w:szCs w:val="24"/>
        </w:rPr>
      </w:pPr>
      <w:r w:rsidRPr="00291462">
        <w:rPr>
          <w:rFonts w:ascii="Arial" w:hAnsi="Arial" w:cs="Arial"/>
          <w:color w:val="E97132" w:themeColor="accent2"/>
          <w:sz w:val="24"/>
          <w:szCs w:val="24"/>
        </w:rPr>
        <w:br/>
      </w:r>
      <w:bookmarkStart w:id="45" w:name="_Toc211272285"/>
      <w:r w:rsidRPr="00291462">
        <w:rPr>
          <w:rFonts w:ascii="Arial" w:hAnsi="Arial" w:cs="Arial"/>
          <w:b/>
          <w:bCs/>
          <w:color w:val="E97132" w:themeColor="accent2"/>
          <w:sz w:val="24"/>
          <w:szCs w:val="24"/>
        </w:rPr>
        <w:t>3.2 Financial modelling of critical minerals supply chains</w:t>
      </w:r>
      <w:bookmarkEnd w:id="45"/>
    </w:p>
    <w:p w14:paraId="6186879D" w14:textId="2AE7D081" w:rsidR="00BE51B1" w:rsidRPr="00766470" w:rsidRDefault="00BE51B1" w:rsidP="00BE51B1">
      <w:pPr>
        <w:jc w:val="both"/>
        <w:rPr>
          <w:rFonts w:ascii="Arial" w:eastAsiaTheme="minorEastAsia" w:hAnsi="Arial" w:cs="Arial"/>
        </w:rPr>
      </w:pPr>
      <w:r>
        <w:rPr>
          <w:rFonts w:ascii="Arial" w:eastAsiaTheme="minorEastAsia" w:hAnsi="Arial" w:cs="Arial"/>
        </w:rPr>
        <w:br/>
      </w:r>
      <w:r w:rsidRPr="00766470">
        <w:rPr>
          <w:rFonts w:ascii="Arial" w:eastAsiaTheme="minorEastAsia" w:hAnsi="Arial" w:cs="Arial"/>
        </w:rPr>
        <w:t>The analysis of prices and unit costs is critical for understanding the economics of critical minerals processing and will inform subsequent analysis of competitiveness and value addition</w:t>
      </w:r>
      <w:r w:rsidR="00EC5937">
        <w:rPr>
          <w:rFonts w:ascii="Arial" w:eastAsiaTheme="minorEastAsia" w:hAnsi="Arial" w:cs="Arial"/>
        </w:rPr>
        <w:t xml:space="preserve">. </w:t>
      </w:r>
      <w:r w:rsidR="00EC5937">
        <w:rPr>
          <w:rFonts w:ascii="Arial" w:eastAsiaTheme="minorEastAsia" w:hAnsi="Arial" w:cs="Arial"/>
        </w:rPr>
        <w:fldChar w:fldCharType="begin"/>
      </w:r>
      <w:r w:rsidR="00EC5937">
        <w:rPr>
          <w:rFonts w:ascii="Arial" w:eastAsiaTheme="minorEastAsia" w:hAnsi="Arial" w:cs="Arial"/>
        </w:rPr>
        <w:instrText xml:space="preserve"> REF _Ref214444716 \h </w:instrText>
      </w:r>
      <w:r w:rsidR="00EC5937">
        <w:rPr>
          <w:rFonts w:ascii="Arial" w:eastAsiaTheme="minorEastAsia" w:hAnsi="Arial" w:cs="Arial"/>
        </w:rPr>
      </w:r>
      <w:r w:rsidR="00EC5937">
        <w:rPr>
          <w:rFonts w:ascii="Arial" w:eastAsiaTheme="minorEastAsia" w:hAnsi="Arial" w:cs="Arial"/>
        </w:rPr>
        <w:fldChar w:fldCharType="separate"/>
      </w:r>
      <w:r w:rsidR="00EC5937">
        <w:t xml:space="preserve">Figure </w:t>
      </w:r>
      <w:r w:rsidR="00EC5937">
        <w:rPr>
          <w:noProof/>
        </w:rPr>
        <w:t>7</w:t>
      </w:r>
      <w:r w:rsidR="00EC5937">
        <w:rPr>
          <w:rFonts w:ascii="Arial" w:eastAsiaTheme="minorEastAsia" w:hAnsi="Arial" w:cs="Arial"/>
        </w:rPr>
        <w:fldChar w:fldCharType="end"/>
      </w:r>
      <w:r w:rsidR="00EC5937">
        <w:rPr>
          <w:rFonts w:ascii="Arial" w:eastAsiaTheme="minorEastAsia" w:hAnsi="Arial" w:cs="Arial"/>
        </w:rPr>
        <w:t xml:space="preserve"> p</w:t>
      </w:r>
      <w:r w:rsidRPr="00766470">
        <w:rPr>
          <w:rFonts w:ascii="Arial" w:eastAsiaTheme="minorEastAsia" w:hAnsi="Arial" w:cs="Arial"/>
        </w:rPr>
        <w:t xml:space="preserve">rovides an overview of the process that was followed to establish baseline unit costs for intermediate stage and advanced stage processing </w:t>
      </w:r>
      <w:r w:rsidRPr="00766470">
        <w:rPr>
          <w:rFonts w:ascii="Arial" w:eastAsiaTheme="minorEastAsia" w:hAnsi="Arial" w:cs="Arial"/>
        </w:rPr>
        <w:lastRenderedPageBreak/>
        <w:t>for each mineral, as well as the methodology used to project these costs forward for the time horizon of the study. The methodology adopted at each stage of the process is described below.</w:t>
      </w:r>
    </w:p>
    <w:p w14:paraId="010D8CFF" w14:textId="77777777" w:rsidR="00BE51B1" w:rsidRPr="00766470" w:rsidRDefault="00BE51B1" w:rsidP="00BE51B1">
      <w:pPr>
        <w:jc w:val="both"/>
        <w:rPr>
          <w:rFonts w:ascii="Arial" w:eastAsia="Calibri" w:hAnsi="Arial" w:cs="Arial"/>
          <w:b/>
          <w:bCs/>
        </w:rPr>
      </w:pPr>
    </w:p>
    <w:p w14:paraId="53B5736C" w14:textId="77777777" w:rsidR="00BE51B1" w:rsidRDefault="00BE51B1" w:rsidP="00BE51B1">
      <w:pPr>
        <w:jc w:val="both"/>
        <w:rPr>
          <w:rFonts w:ascii="Arial" w:eastAsiaTheme="minorEastAsia" w:hAnsi="Arial" w:cs="Arial"/>
        </w:rPr>
      </w:pPr>
      <w:r>
        <w:rPr>
          <w:rFonts w:ascii="Arial" w:eastAsiaTheme="minorEastAsia" w:hAnsi="Arial" w:cs="Arial"/>
          <w:noProof/>
        </w:rPr>
        <w:drawing>
          <wp:inline distT="0" distB="0" distL="0" distR="0" wp14:anchorId="2C10BD21" wp14:editId="6D544DC5">
            <wp:extent cx="5897905" cy="3652295"/>
            <wp:effectExtent l="0" t="0" r="7620" b="5715"/>
            <wp:docPr id="1962751989" name="Picture 13" descr="A black background with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1989" name="Picture 13" descr="A black background with blue rectangl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6518" cy="3657629"/>
                    </a:xfrm>
                    <a:prstGeom prst="rect">
                      <a:avLst/>
                    </a:prstGeom>
                    <a:noFill/>
                  </pic:spPr>
                </pic:pic>
              </a:graphicData>
            </a:graphic>
          </wp:inline>
        </w:drawing>
      </w:r>
    </w:p>
    <w:p w14:paraId="3507B791" w14:textId="6915EE8C" w:rsidR="009F3AF4" w:rsidRPr="009F3AF4" w:rsidRDefault="009F3AF4" w:rsidP="009F3AF4">
      <w:pPr>
        <w:pStyle w:val="Caption"/>
      </w:pPr>
      <w:bookmarkStart w:id="46" w:name="_Ref214444716"/>
      <w:bookmarkStart w:id="47" w:name="_Toc211272390"/>
      <w:r>
        <w:t xml:space="preserve">Figure </w:t>
      </w:r>
      <w:fldSimple w:instr=" SEQ Figure \* ARABIC ">
        <w:r w:rsidR="00E1763F">
          <w:rPr>
            <w:noProof/>
          </w:rPr>
          <w:t>7</w:t>
        </w:r>
      </w:fldSimple>
      <w:bookmarkEnd w:id="46"/>
      <w:r w:rsidRPr="009F3AF4">
        <w:t>: Process overview for establishing baseline unit costs</w:t>
      </w:r>
      <w:bookmarkEnd w:id="47"/>
    </w:p>
    <w:p w14:paraId="7319DC36" w14:textId="77777777" w:rsidR="00BE51B1" w:rsidRPr="00766470" w:rsidRDefault="00BE51B1" w:rsidP="00BE51B1">
      <w:pPr>
        <w:jc w:val="both"/>
        <w:rPr>
          <w:rFonts w:ascii="Arial" w:eastAsiaTheme="minorEastAsia" w:hAnsi="Arial" w:cs="Arial"/>
        </w:rPr>
      </w:pPr>
    </w:p>
    <w:p w14:paraId="4221E5A0" w14:textId="77777777" w:rsidR="00BE51B1" w:rsidRPr="00766470" w:rsidRDefault="00BE51B1" w:rsidP="00BE51B1">
      <w:pPr>
        <w:jc w:val="both"/>
        <w:rPr>
          <w:rFonts w:ascii="Arial" w:eastAsiaTheme="minorEastAsia" w:hAnsi="Arial" w:cs="Arial"/>
          <w:lang w:val="en-US"/>
        </w:rPr>
      </w:pPr>
    </w:p>
    <w:p w14:paraId="2972F515" w14:textId="77777777" w:rsidR="00BE51B1" w:rsidRPr="00AD40F3" w:rsidRDefault="00BE51B1" w:rsidP="00BE51B1">
      <w:pPr>
        <w:pStyle w:val="Heading3"/>
        <w:rPr>
          <w:rFonts w:ascii="Arial" w:hAnsi="Arial" w:cs="Arial"/>
          <w:b/>
          <w:bCs/>
          <w:color w:val="000000" w:themeColor="text1"/>
          <w:sz w:val="24"/>
          <w:szCs w:val="24"/>
        </w:rPr>
      </w:pPr>
      <w:bookmarkStart w:id="48" w:name="_Toc211272286"/>
      <w:r w:rsidRPr="00AD40F3">
        <w:rPr>
          <w:rFonts w:ascii="Arial" w:hAnsi="Arial" w:cs="Arial"/>
          <w:b/>
          <w:bCs/>
          <w:color w:val="000000" w:themeColor="text1"/>
          <w:sz w:val="24"/>
          <w:szCs w:val="24"/>
        </w:rPr>
        <w:t>3.2.1 Baseline unit costs for intermediate stage processing of each mineral were collected.</w:t>
      </w:r>
      <w:bookmarkEnd w:id="48"/>
      <w:r w:rsidRPr="00AD40F3">
        <w:rPr>
          <w:rFonts w:ascii="Arial" w:hAnsi="Arial" w:cs="Arial"/>
          <w:b/>
          <w:bCs/>
          <w:color w:val="000000" w:themeColor="text1"/>
          <w:sz w:val="24"/>
          <w:szCs w:val="24"/>
        </w:rPr>
        <w:t xml:space="preserve"> </w:t>
      </w:r>
    </w:p>
    <w:p w14:paraId="3A30E4D2" w14:textId="5513C56B" w:rsidR="00BE51B1" w:rsidRPr="00766470" w:rsidRDefault="00BE51B1" w:rsidP="00BE51B1">
      <w:pPr>
        <w:spacing w:line="257" w:lineRule="auto"/>
        <w:jc w:val="both"/>
        <w:rPr>
          <w:rFonts w:ascii="Arial" w:eastAsiaTheme="minorEastAsia" w:hAnsi="Arial" w:cs="Arial"/>
          <w:i/>
          <w:iCs/>
          <w:highlight w:val="yellow"/>
        </w:rPr>
      </w:pPr>
      <w:r>
        <w:rPr>
          <w:rFonts w:ascii="Arial" w:eastAsiaTheme="minorEastAsia" w:hAnsi="Arial" w:cs="Arial"/>
        </w:rPr>
        <w:br/>
      </w:r>
      <w:r w:rsidRPr="4708CF91">
        <w:rPr>
          <w:rFonts w:ascii="Arial" w:eastAsiaTheme="minorEastAsia" w:hAnsi="Arial" w:cs="Arial"/>
        </w:rPr>
        <w:t>For beneficiation, baseline data on processing costs were available for most minerals from the S&amp;P Database for 2022</w:t>
      </w:r>
      <w:r w:rsidRPr="4708CF91">
        <w:rPr>
          <w:rFonts w:ascii="Arial" w:eastAsiaTheme="minorEastAsia" w:hAnsi="Arial" w:cs="Arial"/>
        </w:rPr>
        <w:fldChar w:fldCharType="begin"/>
      </w:r>
      <w:r w:rsidR="00F256D1">
        <w:rPr>
          <w:rFonts w:ascii="Arial" w:eastAsiaTheme="minorEastAsia" w:hAnsi="Arial" w:cs="Arial"/>
        </w:rPr>
        <w:instrText xml:space="preserve"> ADDIN ZOTERO_ITEM CSL_CITATION {"citationID":"NXvuf0SI","properties":{"formattedCitation":"\\super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4708CF91">
        <w:rPr>
          <w:rFonts w:ascii="Arial" w:eastAsiaTheme="minorEastAsia" w:hAnsi="Arial" w:cs="Arial"/>
        </w:rPr>
        <w:fldChar w:fldCharType="separate"/>
      </w:r>
      <w:r w:rsidR="00F256D1" w:rsidRPr="00F256D1">
        <w:rPr>
          <w:rFonts w:ascii="Arial" w:hAnsi="Arial" w:cs="Arial"/>
          <w:kern w:val="0"/>
          <w:vertAlign w:val="superscript"/>
        </w:rPr>
        <w:t>1</w:t>
      </w:r>
      <w:r w:rsidRPr="4708CF91">
        <w:rPr>
          <w:rFonts w:ascii="Arial" w:eastAsiaTheme="minorEastAsia" w:hAnsi="Arial" w:cs="Arial"/>
        </w:rPr>
        <w:fldChar w:fldCharType="end"/>
      </w:r>
      <w:r w:rsidRPr="4708CF91">
        <w:rPr>
          <w:rFonts w:ascii="Arial" w:eastAsiaTheme="minorEastAsia" w:hAnsi="Arial" w:cs="Arial"/>
        </w:rPr>
        <w:t xml:space="preserve">. In the case of cobalt, copper, and nickel, the S&amp;P Database contained a significant number of observations allowing average beneficiation unit costs to be produced at the project level as shown in </w:t>
      </w:r>
      <w:r w:rsidR="007C1413">
        <w:rPr>
          <w:rFonts w:ascii="Arial" w:eastAsiaTheme="minorEastAsia" w:hAnsi="Arial" w:cs="Arial"/>
          <w:b/>
          <w:bCs/>
        </w:rPr>
        <w:fldChar w:fldCharType="begin"/>
      </w:r>
      <w:r w:rsidR="007C1413">
        <w:rPr>
          <w:rFonts w:ascii="Arial" w:eastAsiaTheme="minorEastAsia" w:hAnsi="Arial" w:cs="Arial"/>
        </w:rPr>
        <w:instrText xml:space="preserve"> REF _Ref214444736 \h </w:instrText>
      </w:r>
      <w:r w:rsidR="007C1413">
        <w:rPr>
          <w:rFonts w:ascii="Arial" w:eastAsiaTheme="minorEastAsia" w:hAnsi="Arial" w:cs="Arial"/>
          <w:b/>
          <w:bCs/>
        </w:rPr>
      </w:r>
      <w:r w:rsidR="007C1413">
        <w:rPr>
          <w:rFonts w:ascii="Arial" w:eastAsiaTheme="minorEastAsia" w:hAnsi="Arial" w:cs="Arial"/>
          <w:b/>
          <w:bCs/>
        </w:rPr>
        <w:fldChar w:fldCharType="separate"/>
      </w:r>
      <w:r w:rsidR="007C1413">
        <w:t xml:space="preserve">Figure </w:t>
      </w:r>
      <w:r w:rsidR="007C1413">
        <w:rPr>
          <w:noProof/>
        </w:rPr>
        <w:t>8</w:t>
      </w:r>
      <w:r w:rsidR="007C1413">
        <w:rPr>
          <w:rFonts w:ascii="Arial" w:eastAsiaTheme="minorEastAsia" w:hAnsi="Arial" w:cs="Arial"/>
          <w:b/>
          <w:bCs/>
        </w:rPr>
        <w:fldChar w:fldCharType="end"/>
      </w:r>
      <w:r w:rsidR="007C1413">
        <w:rPr>
          <w:rFonts w:ascii="Arial" w:eastAsiaTheme="minorEastAsia" w:hAnsi="Arial" w:cs="Arial"/>
          <w:b/>
          <w:bCs/>
        </w:rPr>
        <w:t xml:space="preserve">. </w:t>
      </w:r>
      <w:r w:rsidRPr="4708CF91">
        <w:rPr>
          <w:rFonts w:ascii="Arial" w:eastAsiaTheme="minorEastAsia" w:hAnsi="Arial" w:cs="Arial"/>
        </w:rPr>
        <w:t xml:space="preserve">Unit costs are broken down between the steps of beneficiation (including mining and milling) and processing, which are those of primary interest. Unit costs include costs related to production, reagents, labour, energy, transport, cash costs, among other. Transport costs for each facility are aggregated in a single number in the database. Our study models transport required between facilities and for trade but not internal transport within a facility. S&amp;P has a category of fuel costs which include fuel used for internal transport which was then preserved in the aggregated costs for the model. With this inclusion and since detailed modelling of transport and electricity is undertaken within this study, other transport and electricity costs available in S&amp;P are </w:t>
      </w:r>
      <w:r w:rsidRPr="4708CF91">
        <w:rPr>
          <w:rFonts w:ascii="Arial" w:eastAsiaTheme="minorEastAsia" w:hAnsi="Arial" w:cs="Arial"/>
        </w:rPr>
        <w:lastRenderedPageBreak/>
        <w:t xml:space="preserve">excluded from the unit costs used for modelling. Royalties are also identified and excluded, since they present a financial cost rather than an economic one. To preserve known costs, any facility which contained cost data uses it, while any new future mine uses an average value. The average value is obtained combining available country data. Due to relatively small sample sizes, unit costs for mining and processing are averaged across all observations available for Southern Africa. For cobalt these are DRC, Madagascar, South Africa, Zambia, Zimbabwe; for copper, Botswana, DRC, South Africa, Tanzania, Zambia, and Zimbabwe; for graphite, Madagascar; for manganese, Botswana; and for nickel, Madagascar, South Africa, Zambia, Zimbabwe. In the case of lithium, there was one Southern African country (Zimbabwe) and a number of other country values, namely Australia, Brazil, China, Portugal, and the US used to project costs for different stages. </w:t>
      </w:r>
      <w:r w:rsidRPr="4708CF91">
        <w:rPr>
          <w:rFonts w:ascii="Arial" w:eastAsiaTheme="minorEastAsia" w:hAnsi="Arial" w:cs="Arial"/>
          <w:i/>
          <w:iCs/>
          <w:highlight w:val="yellow"/>
        </w:rPr>
        <w:t xml:space="preserve"> </w:t>
      </w:r>
    </w:p>
    <w:p w14:paraId="71AFE16F" w14:textId="77777777" w:rsidR="00BE51B1" w:rsidRDefault="00BE51B1" w:rsidP="00BE51B1">
      <w:pPr>
        <w:spacing w:line="257" w:lineRule="auto"/>
        <w:rPr>
          <w:rStyle w:val="normaltextrun"/>
          <w:rFonts w:ascii="Arial" w:eastAsiaTheme="minorEastAsia" w:hAnsi="Arial" w:cs="Arial"/>
          <w:i/>
          <w:iCs/>
          <w:color w:val="7F7F7F" w:themeColor="text1" w:themeTint="80"/>
          <w:sz w:val="20"/>
          <w:szCs w:val="20"/>
        </w:rPr>
      </w:pPr>
    </w:p>
    <w:p w14:paraId="03686321" w14:textId="77777777" w:rsidR="00BE51B1" w:rsidRDefault="00BE51B1" w:rsidP="00BE51B1">
      <w:pPr>
        <w:spacing w:line="257" w:lineRule="auto"/>
        <w:jc w:val="center"/>
        <w:rPr>
          <w:rStyle w:val="normaltextrun"/>
          <w:rFonts w:ascii="Arial" w:eastAsiaTheme="minorEastAsia" w:hAnsi="Arial" w:cs="Arial"/>
          <w:i/>
          <w:iCs/>
          <w:color w:val="7F7F7F" w:themeColor="text1" w:themeTint="80"/>
          <w:sz w:val="20"/>
          <w:szCs w:val="20"/>
        </w:rPr>
      </w:pPr>
      <w:r w:rsidRPr="00DF7C56">
        <w:rPr>
          <w:rStyle w:val="normaltextrun"/>
          <w:rFonts w:ascii="Arial" w:eastAsiaTheme="minorEastAsia" w:hAnsi="Arial" w:cs="Arial"/>
          <w:i/>
          <w:iCs/>
          <w:noProof/>
          <w:color w:val="7F7F7F" w:themeColor="text1" w:themeTint="80"/>
          <w:sz w:val="20"/>
          <w:szCs w:val="20"/>
        </w:rPr>
        <w:drawing>
          <wp:inline distT="0" distB="0" distL="0" distR="0" wp14:anchorId="0C7B5A4E" wp14:editId="734408FF">
            <wp:extent cx="5731510" cy="2521585"/>
            <wp:effectExtent l="0" t="0" r="2540" b="0"/>
            <wp:docPr id="9460391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914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2521585"/>
                    </a:xfrm>
                    <a:prstGeom prst="rect">
                      <a:avLst/>
                    </a:prstGeom>
                  </pic:spPr>
                </pic:pic>
              </a:graphicData>
            </a:graphic>
          </wp:inline>
        </w:drawing>
      </w:r>
    </w:p>
    <w:p w14:paraId="56AF951F" w14:textId="417A8A93" w:rsidR="00BE51B1" w:rsidRPr="005B13B2" w:rsidRDefault="009F3AF4" w:rsidP="005B13B2">
      <w:pPr>
        <w:pStyle w:val="Caption"/>
        <w:rPr>
          <w:i w:val="0"/>
          <w:iCs w:val="0"/>
        </w:rPr>
      </w:pPr>
      <w:bookmarkStart w:id="49" w:name="_Ref214444736"/>
      <w:bookmarkStart w:id="50" w:name="_Toc211272391"/>
      <w:r>
        <w:t xml:space="preserve">Figure </w:t>
      </w:r>
      <w:fldSimple w:instr=" SEQ Figure \* ARABIC ">
        <w:r w:rsidR="00E1763F">
          <w:rPr>
            <w:noProof/>
          </w:rPr>
          <w:t>8</w:t>
        </w:r>
      </w:fldSimple>
      <w:bookmarkEnd w:id="49"/>
      <w:r w:rsidRPr="009F3AF4">
        <w:t>: Baseline costs of mining and processing for copper, cobalt, and nickel (US$/t)</w:t>
      </w:r>
      <w:bookmarkEnd w:id="50"/>
      <w:r w:rsidR="005B13B2">
        <w:t xml:space="preserve">. </w:t>
      </w:r>
      <w:r w:rsidR="00BE51B1" w:rsidRPr="005B13B2">
        <w:t>Source: Authors’ elaboration, based on S&amp;P Database.</w:t>
      </w:r>
    </w:p>
    <w:p w14:paraId="28F89F94" w14:textId="30052E36" w:rsidR="00BE51B1" w:rsidRPr="00766470" w:rsidRDefault="00BE51B1" w:rsidP="00BE51B1">
      <w:pPr>
        <w:spacing w:line="257" w:lineRule="auto"/>
        <w:jc w:val="both"/>
        <w:rPr>
          <w:rFonts w:ascii="Arial" w:eastAsiaTheme="minorEastAsia" w:hAnsi="Arial" w:cs="Arial"/>
        </w:rPr>
      </w:pPr>
      <w:r w:rsidRPr="4708CF91">
        <w:rPr>
          <w:rFonts w:ascii="Arial" w:eastAsiaTheme="minorEastAsia" w:hAnsi="Arial" w:cs="Arial"/>
        </w:rPr>
        <w:t>The resulting cost curves we were able to derive for cobalt, copper and nickel are shown in</w:t>
      </w:r>
      <w:r w:rsidR="007C1413">
        <w:rPr>
          <w:rFonts w:ascii="Arial" w:eastAsiaTheme="minorEastAsia" w:hAnsi="Arial" w:cs="Arial"/>
        </w:rPr>
        <w:t xml:space="preserve"> </w:t>
      </w:r>
      <w:r w:rsidR="007C1413">
        <w:rPr>
          <w:rFonts w:ascii="Arial" w:eastAsiaTheme="minorEastAsia" w:hAnsi="Arial" w:cs="Arial"/>
        </w:rPr>
        <w:fldChar w:fldCharType="begin"/>
      </w:r>
      <w:r w:rsidR="007C1413">
        <w:rPr>
          <w:rFonts w:ascii="Arial" w:eastAsiaTheme="minorEastAsia" w:hAnsi="Arial" w:cs="Arial"/>
        </w:rPr>
        <w:instrText xml:space="preserve"> REF _Ref214444761 \h </w:instrText>
      </w:r>
      <w:r w:rsidR="007C1413">
        <w:rPr>
          <w:rFonts w:ascii="Arial" w:eastAsiaTheme="minorEastAsia" w:hAnsi="Arial" w:cs="Arial"/>
        </w:rPr>
      </w:r>
      <w:r w:rsidR="007C1413">
        <w:rPr>
          <w:rFonts w:ascii="Arial" w:eastAsiaTheme="minorEastAsia" w:hAnsi="Arial" w:cs="Arial"/>
        </w:rPr>
        <w:fldChar w:fldCharType="separate"/>
      </w:r>
      <w:r w:rsidR="007C1413">
        <w:t xml:space="preserve">Figure </w:t>
      </w:r>
      <w:r w:rsidR="007C1413">
        <w:rPr>
          <w:noProof/>
        </w:rPr>
        <w:t>9</w:t>
      </w:r>
      <w:r w:rsidR="007C1413">
        <w:rPr>
          <w:rFonts w:ascii="Arial" w:eastAsiaTheme="minorEastAsia" w:hAnsi="Arial" w:cs="Arial"/>
        </w:rPr>
        <w:fldChar w:fldCharType="end"/>
      </w:r>
      <w:r w:rsidRPr="4708CF91">
        <w:rPr>
          <w:rFonts w:ascii="Arial" w:eastAsiaTheme="minorEastAsia" w:hAnsi="Arial" w:cs="Arial"/>
        </w:rPr>
        <w:t>, while the supply curves comparing country projects are shown in</w:t>
      </w:r>
      <w:r w:rsidR="007C1413">
        <w:rPr>
          <w:rFonts w:ascii="Arial" w:eastAsiaTheme="minorEastAsia" w:hAnsi="Arial" w:cs="Arial"/>
        </w:rPr>
        <w:t xml:space="preserve"> </w:t>
      </w:r>
      <w:r w:rsidR="007C1413">
        <w:rPr>
          <w:rFonts w:ascii="Arial" w:eastAsiaTheme="minorEastAsia" w:hAnsi="Arial" w:cs="Arial"/>
        </w:rPr>
        <w:fldChar w:fldCharType="begin"/>
      </w:r>
      <w:r w:rsidR="007C1413">
        <w:rPr>
          <w:rFonts w:ascii="Arial" w:eastAsiaTheme="minorEastAsia" w:hAnsi="Arial" w:cs="Arial"/>
        </w:rPr>
        <w:instrText xml:space="preserve"> REF _Ref214444778 \h </w:instrText>
      </w:r>
      <w:r w:rsidR="007C1413">
        <w:rPr>
          <w:rFonts w:ascii="Arial" w:eastAsiaTheme="minorEastAsia" w:hAnsi="Arial" w:cs="Arial"/>
        </w:rPr>
      </w:r>
      <w:r w:rsidR="007C1413">
        <w:rPr>
          <w:rFonts w:ascii="Arial" w:eastAsiaTheme="minorEastAsia" w:hAnsi="Arial" w:cs="Arial"/>
        </w:rPr>
        <w:fldChar w:fldCharType="separate"/>
      </w:r>
      <w:r w:rsidR="007C1413">
        <w:t xml:space="preserve">Figure </w:t>
      </w:r>
      <w:r w:rsidR="007C1413">
        <w:rPr>
          <w:noProof/>
        </w:rPr>
        <w:t>10</w:t>
      </w:r>
      <w:r w:rsidR="007C1413">
        <w:rPr>
          <w:rFonts w:ascii="Arial" w:eastAsiaTheme="minorEastAsia" w:hAnsi="Arial" w:cs="Arial"/>
        </w:rPr>
        <w:fldChar w:fldCharType="end"/>
      </w:r>
      <w:r w:rsidRPr="4708CF91">
        <w:rPr>
          <w:rFonts w:ascii="Arial" w:eastAsiaTheme="minorEastAsia" w:hAnsi="Arial" w:cs="Arial"/>
        </w:rPr>
        <w:t>.</w:t>
      </w:r>
    </w:p>
    <w:p w14:paraId="00B68E0F" w14:textId="77777777" w:rsidR="00BE51B1" w:rsidRDefault="00BE51B1" w:rsidP="00BE51B1">
      <w:pPr>
        <w:spacing w:line="257" w:lineRule="auto"/>
        <w:jc w:val="both"/>
        <w:rPr>
          <w:rFonts w:ascii="Arial" w:hAnsi="Arial" w:cs="Arial"/>
          <w:noProof/>
        </w:rPr>
      </w:pPr>
      <w:r w:rsidRPr="00766470">
        <w:rPr>
          <w:rFonts w:ascii="Arial" w:eastAsiaTheme="minorEastAsia" w:hAnsi="Arial" w:cs="Arial"/>
          <w:noProof/>
        </w:rPr>
        <w:lastRenderedPageBreak/>
        <w:drawing>
          <wp:inline distT="0" distB="0" distL="0" distR="0" wp14:anchorId="141A145A" wp14:editId="478B81F5">
            <wp:extent cx="4800600" cy="3175225"/>
            <wp:effectExtent l="0" t="0" r="0" b="0"/>
            <wp:docPr id="383439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9364"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4813774" cy="3183939"/>
                    </a:xfrm>
                    <a:prstGeom prst="rect">
                      <a:avLst/>
                    </a:prstGeom>
                  </pic:spPr>
                </pic:pic>
              </a:graphicData>
            </a:graphic>
          </wp:inline>
        </w:drawing>
      </w:r>
      <w:r w:rsidRPr="00766470">
        <w:rPr>
          <w:rFonts w:ascii="Arial" w:hAnsi="Arial" w:cs="Arial"/>
          <w:noProof/>
        </w:rPr>
        <w:t xml:space="preserve"> </w:t>
      </w:r>
      <w:r w:rsidRPr="00766470">
        <w:rPr>
          <w:rFonts w:ascii="Arial" w:eastAsiaTheme="minorEastAsia" w:hAnsi="Arial" w:cs="Arial"/>
          <w:noProof/>
        </w:rPr>
        <w:drawing>
          <wp:inline distT="0" distB="0" distL="0" distR="0" wp14:anchorId="4E0575DC" wp14:editId="42875B4E">
            <wp:extent cx="4691679" cy="3111500"/>
            <wp:effectExtent l="0" t="0" r="0" b="0"/>
            <wp:docPr id="381792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262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4708922" cy="3122936"/>
                    </a:xfrm>
                    <a:prstGeom prst="rect">
                      <a:avLst/>
                    </a:prstGeom>
                  </pic:spPr>
                </pic:pic>
              </a:graphicData>
            </a:graphic>
          </wp:inline>
        </w:drawing>
      </w:r>
      <w:r w:rsidRPr="00766470">
        <w:rPr>
          <w:rFonts w:ascii="Arial" w:hAnsi="Arial" w:cs="Arial"/>
          <w:noProof/>
        </w:rPr>
        <w:t xml:space="preserve"> </w:t>
      </w:r>
      <w:r w:rsidRPr="00766470">
        <w:rPr>
          <w:rFonts w:ascii="Arial" w:hAnsi="Arial" w:cs="Arial"/>
          <w:noProof/>
        </w:rPr>
        <w:drawing>
          <wp:inline distT="0" distB="0" distL="0" distR="0" wp14:anchorId="5DC685C4" wp14:editId="2406A684">
            <wp:extent cx="4691380" cy="1640164"/>
            <wp:effectExtent l="0" t="0" r="0" b="0"/>
            <wp:docPr id="214160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885" name=""/>
                    <pic:cNvPicPr/>
                  </pic:nvPicPr>
                  <pic:blipFill rotWithShape="1">
                    <a:blip r:embed="rId39">
                      <a:extLst>
                        <a:ext uri="{96DAC541-7B7A-43D3-8B79-37D633B846F1}">
                          <asvg:svgBlip xmlns:asvg="http://schemas.microsoft.com/office/drawing/2016/SVG/main" r:embed="rId40"/>
                        </a:ext>
                      </a:extLst>
                    </a:blip>
                    <a:srcRect t="47213"/>
                    <a:stretch/>
                  </pic:blipFill>
                  <pic:spPr bwMode="auto">
                    <a:xfrm>
                      <a:off x="0" y="0"/>
                      <a:ext cx="4764585" cy="1665757"/>
                    </a:xfrm>
                    <a:prstGeom prst="rect">
                      <a:avLst/>
                    </a:prstGeom>
                    <a:ln>
                      <a:noFill/>
                    </a:ln>
                    <a:extLst>
                      <a:ext uri="{53640926-AAD7-44D8-BBD7-CCE9431645EC}">
                        <a14:shadowObscured xmlns:a14="http://schemas.microsoft.com/office/drawing/2010/main"/>
                      </a:ext>
                    </a:extLst>
                  </pic:spPr>
                </pic:pic>
              </a:graphicData>
            </a:graphic>
          </wp:inline>
        </w:drawing>
      </w:r>
    </w:p>
    <w:p w14:paraId="07D93EEA" w14:textId="7F84B62B" w:rsidR="009F3AF4" w:rsidRPr="009F3AF4" w:rsidRDefault="009F3AF4" w:rsidP="009F3AF4">
      <w:pPr>
        <w:pStyle w:val="Caption"/>
      </w:pPr>
      <w:bookmarkStart w:id="51" w:name="_Ref214444761"/>
      <w:bookmarkStart w:id="52" w:name="_Toc211272392"/>
      <w:r>
        <w:t xml:space="preserve">Figure </w:t>
      </w:r>
      <w:fldSimple w:instr=" SEQ Figure \* ARABIC ">
        <w:r w:rsidR="00E1763F">
          <w:rPr>
            <w:noProof/>
          </w:rPr>
          <w:t>9</w:t>
        </w:r>
      </w:fldSimple>
      <w:bookmarkEnd w:id="51"/>
      <w:r w:rsidRPr="009F3AF4">
        <w:t>: Cost curves of mining and processing for cobalt, copper, and nickel (US$/t) in 2022 including the classification as main or by-product and the relevant geographical group. Note: cobalt is not mined as a main product.</w:t>
      </w:r>
      <w:bookmarkEnd w:id="52"/>
    </w:p>
    <w:p w14:paraId="7E39BB74" w14:textId="77777777" w:rsidR="009F3AF4" w:rsidRPr="00766470" w:rsidRDefault="009F3AF4" w:rsidP="00BE51B1">
      <w:pPr>
        <w:spacing w:line="257" w:lineRule="auto"/>
        <w:jc w:val="both"/>
        <w:rPr>
          <w:rFonts w:ascii="Arial" w:hAnsi="Arial" w:cs="Arial"/>
          <w:noProof/>
        </w:rPr>
      </w:pPr>
    </w:p>
    <w:p w14:paraId="6D939657" w14:textId="77777777" w:rsidR="00BE51B1" w:rsidRPr="00766470" w:rsidRDefault="00BE51B1" w:rsidP="00BE51B1">
      <w:pPr>
        <w:spacing w:line="257" w:lineRule="auto"/>
        <w:jc w:val="center"/>
        <w:rPr>
          <w:rFonts w:ascii="Arial" w:eastAsiaTheme="minorEastAsia" w:hAnsi="Arial" w:cs="Arial"/>
        </w:rPr>
      </w:pPr>
      <w:r>
        <w:rPr>
          <w:rFonts w:ascii="Arial" w:eastAsiaTheme="minorEastAsia" w:hAnsi="Arial" w:cs="Arial"/>
          <w:noProof/>
        </w:rPr>
        <w:lastRenderedPageBreak/>
        <w:drawing>
          <wp:inline distT="0" distB="0" distL="0" distR="0" wp14:anchorId="2E2EE887" wp14:editId="563862AB">
            <wp:extent cx="3678555" cy="2452370"/>
            <wp:effectExtent l="0" t="0" r="4445" b="0"/>
            <wp:docPr id="1993682352" name="Picture 18" descr="A graph of a supply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82352" name="Picture 18" descr="A graph of a supply curv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78555" cy="2452370"/>
                    </a:xfrm>
                    <a:prstGeom prst="rect">
                      <a:avLst/>
                    </a:prstGeom>
                    <a:noFill/>
                    <a:ln>
                      <a:noFill/>
                    </a:ln>
                  </pic:spPr>
                </pic:pic>
              </a:graphicData>
            </a:graphic>
          </wp:inline>
        </w:drawing>
      </w:r>
    </w:p>
    <w:p w14:paraId="51FB7C45" w14:textId="77777777" w:rsidR="00BE51B1" w:rsidRDefault="00BE51B1" w:rsidP="00BE51B1">
      <w:pPr>
        <w:spacing w:line="257" w:lineRule="auto"/>
        <w:jc w:val="center"/>
        <w:rPr>
          <w:rFonts w:ascii="Arial" w:eastAsiaTheme="minorEastAsia" w:hAnsi="Arial" w:cs="Arial"/>
        </w:rPr>
      </w:pPr>
      <w:r>
        <w:rPr>
          <w:rFonts w:ascii="Arial" w:eastAsiaTheme="minorEastAsia" w:hAnsi="Arial" w:cs="Arial"/>
          <w:noProof/>
        </w:rPr>
        <w:drawing>
          <wp:inline distT="0" distB="0" distL="0" distR="0" wp14:anchorId="567E92DD" wp14:editId="4C2E2DBC">
            <wp:extent cx="3678555" cy="2452370"/>
            <wp:effectExtent l="0" t="0" r="4445" b="0"/>
            <wp:docPr id="1722601191" name="Picture 19" descr="A graph of a supply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01191" name="Picture 19" descr="A graph of a supply curv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678555" cy="2452370"/>
                    </a:xfrm>
                    <a:prstGeom prst="rect">
                      <a:avLst/>
                    </a:prstGeom>
                    <a:noFill/>
                    <a:ln>
                      <a:noFill/>
                    </a:ln>
                  </pic:spPr>
                </pic:pic>
              </a:graphicData>
            </a:graphic>
          </wp:inline>
        </w:drawing>
      </w:r>
      <w:r>
        <w:rPr>
          <w:rFonts w:ascii="Arial" w:eastAsiaTheme="minorEastAsia" w:hAnsi="Arial" w:cs="Arial"/>
          <w:noProof/>
        </w:rPr>
        <w:drawing>
          <wp:inline distT="0" distB="0" distL="0" distR="0" wp14:anchorId="1B0F25A3" wp14:editId="229D698E">
            <wp:extent cx="3678555" cy="2452370"/>
            <wp:effectExtent l="0" t="0" r="4445" b="0"/>
            <wp:docPr id="1485639399" name="Picture 17"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9399" name="Picture 17" descr="A graph with different colored lin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678555" cy="2452370"/>
                    </a:xfrm>
                    <a:prstGeom prst="rect">
                      <a:avLst/>
                    </a:prstGeom>
                    <a:noFill/>
                    <a:ln>
                      <a:noFill/>
                    </a:ln>
                  </pic:spPr>
                </pic:pic>
              </a:graphicData>
            </a:graphic>
          </wp:inline>
        </w:drawing>
      </w:r>
    </w:p>
    <w:p w14:paraId="37DB35DD" w14:textId="489A665A" w:rsidR="00BE51B1" w:rsidRPr="005B13B2" w:rsidRDefault="009F3AF4" w:rsidP="005B13B2">
      <w:pPr>
        <w:pStyle w:val="Caption"/>
      </w:pPr>
      <w:bookmarkStart w:id="53" w:name="_Ref214444778"/>
      <w:bookmarkStart w:id="54" w:name="_Toc211272393"/>
      <w:r>
        <w:t xml:space="preserve">Figure </w:t>
      </w:r>
      <w:fldSimple w:instr=" SEQ Figure \* ARABIC ">
        <w:r w:rsidR="00E1763F">
          <w:rPr>
            <w:noProof/>
          </w:rPr>
          <w:t>10</w:t>
        </w:r>
      </w:fldSimple>
      <w:bookmarkEnd w:id="53"/>
      <w:r w:rsidRPr="009F3AF4">
        <w:t>: Costs including CAPEX and OPEX of mining and processing for cobalt, copper, and nickel (US$/t) in 2022 per facility with known costs and averages used for the model.</w:t>
      </w:r>
      <w:bookmarkEnd w:id="54"/>
      <w:r w:rsidRPr="009F3AF4">
        <w:t xml:space="preserve"> </w:t>
      </w:r>
      <w:r w:rsidR="00BE51B1" w:rsidRPr="005B13B2">
        <w:t>Source: Authors’ elaboration, based on S&amp;P database.</w:t>
      </w:r>
    </w:p>
    <w:p w14:paraId="6FAE2E1B" w14:textId="77777777" w:rsidR="00BE51B1" w:rsidRDefault="00BE51B1" w:rsidP="00BE51B1">
      <w:pPr>
        <w:spacing w:line="257" w:lineRule="auto"/>
        <w:jc w:val="both"/>
        <w:rPr>
          <w:rFonts w:ascii="Arial" w:eastAsiaTheme="minorEastAsia" w:hAnsi="Arial" w:cs="Arial"/>
        </w:rPr>
      </w:pPr>
    </w:p>
    <w:p w14:paraId="082BC550" w14:textId="77777777" w:rsidR="00BE51B1" w:rsidRDefault="00BE51B1" w:rsidP="00BE51B1">
      <w:pPr>
        <w:spacing w:line="257" w:lineRule="auto"/>
        <w:jc w:val="both"/>
        <w:rPr>
          <w:rFonts w:ascii="Arial" w:eastAsiaTheme="minorEastAsia" w:hAnsi="Arial" w:cs="Arial"/>
        </w:rPr>
      </w:pPr>
    </w:p>
    <w:p w14:paraId="123D3926" w14:textId="0D84370D" w:rsidR="00BE51B1" w:rsidRPr="00766470" w:rsidRDefault="00BE51B1" w:rsidP="00BE51B1">
      <w:pPr>
        <w:spacing w:line="257" w:lineRule="auto"/>
        <w:jc w:val="both"/>
        <w:rPr>
          <w:rFonts w:ascii="Arial" w:hAnsi="Arial" w:cs="Arial"/>
        </w:rPr>
      </w:pPr>
      <w:r w:rsidRPr="00766470">
        <w:rPr>
          <w:rFonts w:ascii="Arial" w:eastAsiaTheme="minorEastAsia" w:hAnsi="Arial" w:cs="Arial"/>
        </w:rPr>
        <w:lastRenderedPageBreak/>
        <w:t>In the case of lithium, due to relatively incipient mining operations in Southern Africa, the only data available from the S&amp;P Database were for countries outside of Africa, as shown in</w:t>
      </w:r>
      <w:r w:rsidR="007C1413">
        <w:rPr>
          <w:rFonts w:ascii="Arial" w:eastAsiaTheme="minorEastAsia" w:hAnsi="Arial" w:cs="Arial"/>
        </w:rPr>
        <w:t xml:space="preserve"> </w:t>
      </w:r>
      <w:r w:rsidR="007C1413">
        <w:rPr>
          <w:rFonts w:ascii="Arial" w:eastAsiaTheme="minorEastAsia" w:hAnsi="Arial" w:cs="Arial"/>
        </w:rPr>
        <w:fldChar w:fldCharType="begin"/>
      </w:r>
      <w:r w:rsidR="007C1413">
        <w:rPr>
          <w:rFonts w:ascii="Arial" w:eastAsiaTheme="minorEastAsia" w:hAnsi="Arial" w:cs="Arial"/>
        </w:rPr>
        <w:instrText xml:space="preserve"> REF _Ref214444808 \h </w:instrText>
      </w:r>
      <w:r w:rsidR="007C1413">
        <w:rPr>
          <w:rFonts w:ascii="Arial" w:eastAsiaTheme="minorEastAsia" w:hAnsi="Arial" w:cs="Arial"/>
        </w:rPr>
      </w:r>
      <w:r w:rsidR="007C1413">
        <w:rPr>
          <w:rFonts w:ascii="Arial" w:eastAsiaTheme="minorEastAsia" w:hAnsi="Arial" w:cs="Arial"/>
        </w:rPr>
        <w:fldChar w:fldCharType="separate"/>
      </w:r>
      <w:r w:rsidR="007B700D">
        <w:t xml:space="preserve">Figure </w:t>
      </w:r>
      <w:r w:rsidR="007B700D">
        <w:rPr>
          <w:noProof/>
        </w:rPr>
        <w:t>11</w:t>
      </w:r>
      <w:r w:rsidR="007C1413">
        <w:rPr>
          <w:rFonts w:ascii="Arial" w:eastAsiaTheme="minorEastAsia" w:hAnsi="Arial" w:cs="Arial"/>
        </w:rPr>
        <w:fldChar w:fldCharType="end"/>
      </w:r>
      <w:r w:rsidRPr="00766470">
        <w:rPr>
          <w:rFonts w:ascii="Arial" w:eastAsiaTheme="minorEastAsia" w:hAnsi="Arial" w:cs="Arial"/>
        </w:rPr>
        <w:t>. Once again, transport, energy and royalties were excluded, and mining and processing costs were averaged across all observations available globally as the only available proxy for Southern Africa</w:t>
      </w:r>
      <w:r>
        <w:rPr>
          <w:rFonts w:ascii="Arial" w:eastAsiaTheme="minorEastAsia" w:hAnsi="Arial" w:cs="Arial"/>
        </w:rPr>
        <w:t>. Given the data scarcity in S&amp;P, a different database focused on lithium was used</w:t>
      </w:r>
      <w:r>
        <w:rPr>
          <w:rFonts w:ascii="Arial" w:eastAsiaTheme="minorEastAsia" w:hAnsi="Arial" w:cs="Arial"/>
        </w:rPr>
        <w:fldChar w:fldCharType="begin"/>
      </w:r>
      <w:r w:rsidR="007E07E0">
        <w:rPr>
          <w:rFonts w:ascii="Arial" w:eastAsiaTheme="minorEastAsia" w:hAnsi="Arial" w:cs="Arial"/>
        </w:rPr>
        <w:instrText xml:space="preserve"> ADDIN ZOTERO_ITEM CSL_CITATION {"citationID":"Y2hO1Dfv","properties":{"formattedCitation":"\\super 32\\nosupersub{}","plainCitation":"32","noteIndex":0},"citationItems":[{"id":6280,"uris":["http://zotero.org/users/10918866/items/9JCXW3IZ"],"itemData":{"id":6280,"type":"dataset","title":"Lithium Total Cost Model Q3 2024","author":[{"family":"Benchmark Minerals Intelligence","given":""}],"accessed":{"date-parts":[["2024",3,12]]},"issued":{"date-parts":[["2024"]]}}}],"schema":"https://github.com/citation-style-language/schema/raw/master/csl-citation.json"} </w:instrText>
      </w:r>
      <w:r>
        <w:rPr>
          <w:rFonts w:ascii="Arial" w:eastAsiaTheme="minorEastAsia" w:hAnsi="Arial" w:cs="Arial"/>
        </w:rPr>
        <w:fldChar w:fldCharType="separate"/>
      </w:r>
      <w:r w:rsidR="007E07E0" w:rsidRPr="007E07E0">
        <w:rPr>
          <w:rFonts w:ascii="Arial" w:hAnsi="Arial" w:cs="Arial"/>
          <w:kern w:val="0"/>
          <w:vertAlign w:val="superscript"/>
        </w:rPr>
        <w:t>32</w:t>
      </w:r>
      <w:r>
        <w:rPr>
          <w:rFonts w:ascii="Arial" w:eastAsiaTheme="minorEastAsia" w:hAnsi="Arial" w:cs="Arial"/>
        </w:rPr>
        <w:fldChar w:fldCharType="end"/>
      </w:r>
      <w:r>
        <w:rPr>
          <w:rFonts w:ascii="Arial" w:eastAsiaTheme="minorEastAsia" w:hAnsi="Arial" w:cs="Arial"/>
        </w:rPr>
        <w:t xml:space="preserve"> to discern cost curves for different processing steps</w:t>
      </w:r>
      <w:r w:rsidR="00C3191E">
        <w:rPr>
          <w:rFonts w:ascii="Arial" w:eastAsiaTheme="minorEastAsia" w:hAnsi="Arial" w:cs="Arial"/>
        </w:rPr>
        <w:t xml:space="preserve"> (</w:t>
      </w:r>
      <w:r w:rsidR="00C3191E">
        <w:rPr>
          <w:rFonts w:ascii="Arial" w:eastAsiaTheme="minorEastAsia" w:hAnsi="Arial" w:cs="Arial"/>
        </w:rPr>
        <w:fldChar w:fldCharType="begin"/>
      </w:r>
      <w:r w:rsidR="00C3191E">
        <w:rPr>
          <w:rFonts w:ascii="Arial" w:eastAsiaTheme="minorEastAsia" w:hAnsi="Arial" w:cs="Arial"/>
        </w:rPr>
        <w:instrText xml:space="preserve"> REF _Ref214444832 \h </w:instrText>
      </w:r>
      <w:r w:rsidR="00C3191E">
        <w:rPr>
          <w:rFonts w:ascii="Arial" w:eastAsiaTheme="minorEastAsia" w:hAnsi="Arial" w:cs="Arial"/>
        </w:rPr>
      </w:r>
      <w:r w:rsidR="00C3191E">
        <w:rPr>
          <w:rFonts w:ascii="Arial" w:eastAsiaTheme="minorEastAsia" w:hAnsi="Arial" w:cs="Arial"/>
        </w:rPr>
        <w:fldChar w:fldCharType="separate"/>
      </w:r>
      <w:r w:rsidR="00C3191E">
        <w:t xml:space="preserve">Figure </w:t>
      </w:r>
      <w:r w:rsidR="00C3191E">
        <w:rPr>
          <w:noProof/>
        </w:rPr>
        <w:t>12</w:t>
      </w:r>
      <w:r w:rsidR="00C3191E">
        <w:rPr>
          <w:rFonts w:ascii="Arial" w:eastAsiaTheme="minorEastAsia" w:hAnsi="Arial" w:cs="Arial"/>
        </w:rPr>
        <w:fldChar w:fldCharType="end"/>
      </w:r>
      <w:r w:rsidR="00C3191E">
        <w:rPr>
          <w:rFonts w:ascii="Arial" w:eastAsiaTheme="minorEastAsia" w:hAnsi="Arial" w:cs="Arial"/>
        </w:rPr>
        <w:t xml:space="preserve">). </w:t>
      </w:r>
      <w:r>
        <w:rPr>
          <w:rFonts w:ascii="Arial" w:eastAsiaTheme="minorEastAsia" w:hAnsi="Arial" w:cs="Arial"/>
        </w:rPr>
        <w:t>As before, royalties were excluded to allow for comparisons on a similar basis to be made.</w:t>
      </w:r>
      <w:r w:rsidRPr="00766470">
        <w:rPr>
          <w:rStyle w:val="normaltextrun"/>
          <w:rFonts w:ascii="Arial" w:eastAsiaTheme="minorEastAsia" w:hAnsi="Arial" w:cs="Arial"/>
          <w:sz w:val="20"/>
          <w:szCs w:val="20"/>
        </w:rPr>
        <w:t xml:space="preserve"> </w:t>
      </w:r>
    </w:p>
    <w:p w14:paraId="3A779079" w14:textId="77777777" w:rsidR="00BE51B1" w:rsidRPr="00766470" w:rsidRDefault="00BE51B1" w:rsidP="00BE51B1">
      <w:pPr>
        <w:spacing w:line="257" w:lineRule="auto"/>
        <w:jc w:val="both"/>
        <w:rPr>
          <w:rFonts w:ascii="Arial" w:eastAsiaTheme="minorEastAsia" w:hAnsi="Arial" w:cs="Arial"/>
        </w:rPr>
      </w:pPr>
      <w:r w:rsidRPr="00DF7C56">
        <w:rPr>
          <w:rFonts w:ascii="Arial" w:eastAsiaTheme="minorEastAsia" w:hAnsi="Arial" w:cs="Arial"/>
          <w:noProof/>
        </w:rPr>
        <w:drawing>
          <wp:inline distT="0" distB="0" distL="0" distR="0" wp14:anchorId="06D79417" wp14:editId="1758F885">
            <wp:extent cx="5731510" cy="3084195"/>
            <wp:effectExtent l="0" t="0" r="2540" b="1905"/>
            <wp:docPr id="7559437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4370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731510" cy="3084195"/>
                    </a:xfrm>
                    <a:prstGeom prst="rect">
                      <a:avLst/>
                    </a:prstGeom>
                  </pic:spPr>
                </pic:pic>
              </a:graphicData>
            </a:graphic>
          </wp:inline>
        </w:drawing>
      </w:r>
    </w:p>
    <w:p w14:paraId="17EE3C97" w14:textId="66E4C1DD" w:rsidR="00BE51B1" w:rsidRPr="005B13B2" w:rsidRDefault="009F3AF4" w:rsidP="005B13B2">
      <w:pPr>
        <w:pStyle w:val="Caption"/>
      </w:pPr>
      <w:bookmarkStart w:id="55" w:name="_Ref214444808"/>
      <w:bookmarkStart w:id="56" w:name="_Toc211272394"/>
      <w:r>
        <w:t xml:space="preserve">Figure </w:t>
      </w:r>
      <w:fldSimple w:instr=" SEQ Figure \* ARABIC ">
        <w:r w:rsidR="00E1763F">
          <w:rPr>
            <w:noProof/>
          </w:rPr>
          <w:t>11</w:t>
        </w:r>
      </w:fldSimple>
      <w:bookmarkEnd w:id="55"/>
      <w:r w:rsidRPr="009F3AF4">
        <w:t>: Baseline costs of mining and processing for lithium (US$/t Lithium Carbonate Equivalent)</w:t>
      </w:r>
      <w:bookmarkEnd w:id="56"/>
      <w:r w:rsidR="005B13B2">
        <w:t xml:space="preserve">. </w:t>
      </w:r>
      <w:r w:rsidR="00BE51B1" w:rsidRPr="005B13B2">
        <w:t>Source: Authors’ elaboration, based on S&amp;P Database.</w:t>
      </w:r>
    </w:p>
    <w:p w14:paraId="29971D09" w14:textId="77777777" w:rsidR="00BE51B1" w:rsidRPr="00766470" w:rsidRDefault="00BE51B1" w:rsidP="00BE51B1">
      <w:pPr>
        <w:pStyle w:val="Caption"/>
        <w:keepNext/>
        <w:jc w:val="center"/>
        <w:rPr>
          <w:rFonts w:ascii="Arial" w:hAnsi="Arial" w:cs="Arial"/>
          <w:color w:val="A02B93" w:themeColor="accent5"/>
          <w:sz w:val="20"/>
          <w:szCs w:val="20"/>
        </w:rPr>
      </w:pPr>
    </w:p>
    <w:p w14:paraId="64AC7D6C" w14:textId="77777777" w:rsidR="00BE51B1" w:rsidRPr="00766470" w:rsidRDefault="00BE51B1" w:rsidP="00BE51B1">
      <w:pPr>
        <w:spacing w:line="257" w:lineRule="auto"/>
        <w:rPr>
          <w:rStyle w:val="normaltextrun"/>
          <w:rFonts w:ascii="Arial" w:eastAsiaTheme="minorEastAsia" w:hAnsi="Arial" w:cs="Arial"/>
        </w:rPr>
      </w:pPr>
      <w:r w:rsidRPr="00766470">
        <w:rPr>
          <w:rStyle w:val="normaltextrun"/>
          <w:rFonts w:ascii="Arial" w:eastAsiaTheme="minorEastAsia" w:hAnsi="Arial" w:cs="Arial"/>
          <w:noProof/>
        </w:rPr>
        <w:drawing>
          <wp:inline distT="0" distB="0" distL="0" distR="0" wp14:anchorId="4B42C8B4" wp14:editId="5C1A78AE">
            <wp:extent cx="5731510" cy="1598295"/>
            <wp:effectExtent l="0" t="0" r="2540" b="1905"/>
            <wp:docPr id="572710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10379"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731510" cy="1598295"/>
                    </a:xfrm>
                    <a:prstGeom prst="rect">
                      <a:avLst/>
                    </a:prstGeom>
                  </pic:spPr>
                </pic:pic>
              </a:graphicData>
            </a:graphic>
          </wp:inline>
        </w:drawing>
      </w:r>
    </w:p>
    <w:p w14:paraId="48547C57" w14:textId="73D20F40" w:rsidR="00BE51B1" w:rsidRPr="005B13B2" w:rsidRDefault="009F3AF4" w:rsidP="005B13B2">
      <w:pPr>
        <w:pStyle w:val="Caption"/>
      </w:pPr>
      <w:bookmarkStart w:id="57" w:name="_Ref214444832"/>
      <w:bookmarkStart w:id="58" w:name="_Toc211272395"/>
      <w:r>
        <w:t xml:space="preserve">Figure </w:t>
      </w:r>
      <w:fldSimple w:instr=" SEQ Figure \* ARABIC ">
        <w:r w:rsidR="00E1763F">
          <w:rPr>
            <w:noProof/>
          </w:rPr>
          <w:t>12</w:t>
        </w:r>
      </w:fldSimple>
      <w:bookmarkEnd w:id="57"/>
      <w:r>
        <w:t xml:space="preserve">: </w:t>
      </w:r>
      <w:r w:rsidRPr="009F3AF4">
        <w:t>concentrate 6%, LCE and lithium hydroxide respectively).</w:t>
      </w:r>
      <w:bookmarkEnd w:id="58"/>
      <w:r w:rsidR="005B13B2">
        <w:t xml:space="preserve"> </w:t>
      </w:r>
      <w:r w:rsidR="00BE51B1" w:rsidRPr="005B13B2">
        <w:t xml:space="preserve">Source: Authors’ elaboration, based on Benchmark Lithium database </w:t>
      </w:r>
      <w:r w:rsidR="00BE51B1" w:rsidRPr="005B13B2">
        <w:fldChar w:fldCharType="begin"/>
      </w:r>
      <w:r w:rsidR="007E07E0" w:rsidRPr="005B13B2">
        <w:instrText xml:space="preserve"> ADDIN ZOTERO_ITEM CSL_CITATION {"citationID":"huZtF0dX","properties":{"formattedCitation":"\\super 32\\nosupersub{}","plainCitation":"32","noteIndex":0},"citationItems":[{"id":6280,"uris":["http://zotero.org/users/10918866/items/9JCXW3IZ"],"itemData":{"id":6280,"type":"dataset","title":"Lithium Total Cost Model Q3 2024","author":[{"family":"Benchmark Minerals Intelligence","given":""}],"accessed":{"date-parts":[["2024",3,12]]},"issued":{"date-parts":[["2024"]]}}}],"schema":"https://github.com/citation-style-language/schema/raw/master/csl-citation.json"} </w:instrText>
      </w:r>
      <w:r w:rsidR="00BE51B1" w:rsidRPr="005B13B2">
        <w:fldChar w:fldCharType="separate"/>
      </w:r>
      <w:r w:rsidR="007E07E0" w:rsidRPr="005B13B2">
        <w:rPr>
          <w:i w:val="0"/>
          <w:iCs w:val="0"/>
        </w:rPr>
        <w:t>32</w:t>
      </w:r>
      <w:r w:rsidR="00BE51B1" w:rsidRPr="005B13B2">
        <w:fldChar w:fldCharType="end"/>
      </w:r>
      <w:r w:rsidR="00BE51B1" w:rsidRPr="005B13B2">
        <w:t>.</w:t>
      </w:r>
    </w:p>
    <w:p w14:paraId="6C32E2DB" w14:textId="77777777" w:rsidR="00BE51B1" w:rsidRPr="00766470" w:rsidRDefault="00BE51B1" w:rsidP="00BE51B1">
      <w:pPr>
        <w:spacing w:line="257" w:lineRule="auto"/>
        <w:jc w:val="center"/>
        <w:rPr>
          <w:rStyle w:val="normaltextrun"/>
          <w:rFonts w:ascii="Arial" w:eastAsiaTheme="minorEastAsia" w:hAnsi="Arial" w:cs="Arial"/>
          <w:i/>
          <w:iCs/>
          <w:color w:val="7F7F7F" w:themeColor="text1" w:themeTint="80"/>
          <w:sz w:val="20"/>
          <w:szCs w:val="20"/>
        </w:rPr>
      </w:pPr>
    </w:p>
    <w:p w14:paraId="7735CFCF" w14:textId="77777777" w:rsidR="00BE51B1" w:rsidRPr="00766470" w:rsidRDefault="00BE51B1" w:rsidP="00BE51B1">
      <w:pPr>
        <w:spacing w:line="257" w:lineRule="auto"/>
        <w:rPr>
          <w:rStyle w:val="normaltextrun"/>
          <w:rFonts w:ascii="Arial" w:eastAsiaTheme="minorEastAsia" w:hAnsi="Arial" w:cs="Arial"/>
        </w:rPr>
      </w:pPr>
    </w:p>
    <w:p w14:paraId="667239E6" w14:textId="62F01AD5" w:rsidR="00BE51B1" w:rsidRPr="00766470" w:rsidRDefault="00BE51B1" w:rsidP="00BE51B1">
      <w:pPr>
        <w:spacing w:line="257" w:lineRule="auto"/>
        <w:jc w:val="both"/>
        <w:rPr>
          <w:rStyle w:val="normaltextrun"/>
          <w:rFonts w:ascii="Arial" w:eastAsiaTheme="minorEastAsia" w:hAnsi="Arial" w:cs="Arial"/>
          <w:sz w:val="20"/>
          <w:szCs w:val="20"/>
        </w:rPr>
      </w:pPr>
      <w:r w:rsidRPr="00766470">
        <w:rPr>
          <w:rStyle w:val="normaltextrun"/>
          <w:rFonts w:ascii="Arial" w:eastAsiaTheme="minorEastAsia" w:hAnsi="Arial" w:cs="Arial"/>
        </w:rPr>
        <w:t xml:space="preserve">In the case of graphite and manganese, no unit cost information was available within the S&amp;P Database, even outside of Southern Africa. As an alternative, an extensive search for company reports revealed just one report with sufficiently detailed </w:t>
      </w:r>
      <w:r w:rsidRPr="00766470">
        <w:rPr>
          <w:rStyle w:val="normaltextrun"/>
          <w:rFonts w:ascii="Arial" w:eastAsiaTheme="minorEastAsia" w:hAnsi="Arial" w:cs="Arial"/>
        </w:rPr>
        <w:lastRenderedPageBreak/>
        <w:t>information for each mineral. As shown in</w:t>
      </w:r>
      <w:r w:rsidR="007C1413">
        <w:rPr>
          <w:rStyle w:val="normaltextrun"/>
          <w:rFonts w:ascii="Arial" w:eastAsiaTheme="minorEastAsia" w:hAnsi="Arial" w:cs="Arial"/>
        </w:rPr>
        <w:t xml:space="preserve"> </w:t>
      </w:r>
      <w:r w:rsidR="007C1413">
        <w:rPr>
          <w:rStyle w:val="normaltextrun"/>
          <w:rFonts w:ascii="Arial" w:eastAsiaTheme="minorEastAsia" w:hAnsi="Arial" w:cs="Arial"/>
        </w:rPr>
        <w:fldChar w:fldCharType="begin"/>
      </w:r>
      <w:r w:rsidR="007C1413">
        <w:rPr>
          <w:rStyle w:val="normaltextrun"/>
          <w:rFonts w:ascii="Arial" w:eastAsiaTheme="minorEastAsia" w:hAnsi="Arial" w:cs="Arial"/>
        </w:rPr>
        <w:instrText xml:space="preserve"> REF _Ref214444850 \h </w:instrText>
      </w:r>
      <w:r w:rsidR="007C1413">
        <w:rPr>
          <w:rStyle w:val="normaltextrun"/>
          <w:rFonts w:ascii="Arial" w:eastAsiaTheme="minorEastAsia" w:hAnsi="Arial" w:cs="Arial"/>
        </w:rPr>
      </w:r>
      <w:r w:rsidR="007C1413">
        <w:rPr>
          <w:rStyle w:val="normaltextrun"/>
          <w:rFonts w:ascii="Arial" w:eastAsiaTheme="minorEastAsia" w:hAnsi="Arial" w:cs="Arial"/>
        </w:rPr>
        <w:fldChar w:fldCharType="separate"/>
      </w:r>
      <w:r w:rsidR="007C1413">
        <w:t xml:space="preserve">Figure </w:t>
      </w:r>
      <w:r w:rsidR="007C1413">
        <w:rPr>
          <w:noProof/>
        </w:rPr>
        <w:t>13</w:t>
      </w:r>
      <w:r w:rsidR="007C1413">
        <w:rPr>
          <w:rStyle w:val="normaltextrun"/>
          <w:rFonts w:ascii="Arial" w:eastAsiaTheme="minorEastAsia" w:hAnsi="Arial" w:cs="Arial"/>
        </w:rPr>
        <w:fldChar w:fldCharType="end"/>
      </w:r>
      <w:r w:rsidRPr="00766470">
        <w:rPr>
          <w:rStyle w:val="normaltextrun"/>
          <w:rFonts w:ascii="Arial" w:eastAsiaTheme="minorEastAsia" w:hAnsi="Arial" w:cs="Arial"/>
        </w:rPr>
        <w:t>, the unit costs for graphite are based on a Molo report for Madagascar</w:t>
      </w:r>
      <w:r w:rsidRPr="00766470">
        <w:rPr>
          <w:rStyle w:val="normaltextrun"/>
          <w:rFonts w:ascii="Arial" w:eastAsiaTheme="minorEastAsia" w:hAnsi="Arial" w:cs="Arial"/>
        </w:rPr>
        <w:fldChar w:fldCharType="begin"/>
      </w:r>
      <w:r w:rsidR="007E07E0">
        <w:rPr>
          <w:rStyle w:val="normaltextrun"/>
          <w:rFonts w:ascii="Arial" w:eastAsiaTheme="minorEastAsia" w:hAnsi="Arial" w:cs="Arial"/>
        </w:rPr>
        <w:instrText xml:space="preserve"> ADDIN ZOTERO_ITEM CSL_CITATION {"citationID":"DOcRgoF1","properties":{"formattedCitation":"\\super 33\\nosupersub{}","plainCitation":"33","noteIndex":0},"citationItems":[{"id":2058,"uris":["http://zotero.org/users/10918866/items/UFD4GPBA"],"itemData":{"id":2058,"type":"report","publisher":"MOLO","title":"MOLO FEASIBILITY STUDY","URL":"https://www.nextsourcematerials.com/wp-content/uploads/2022/07/NEX3001_Other-Reports_Molo-Feasibility-Study-Technical-Report.pdf","author":[{"family":"Bruin","given":"J.K.","non-dropping-particle":"de"}],"accessed":{"date-parts":[["2025",7,2]]},"issued":{"date-parts":[["2017"]]}}}],"schema":"https://github.com/citation-style-language/schema/raw/master/csl-citation.json"} </w:instrText>
      </w:r>
      <w:r w:rsidRPr="00766470">
        <w:rPr>
          <w:rStyle w:val="normaltextrun"/>
          <w:rFonts w:ascii="Arial" w:eastAsiaTheme="minorEastAsia" w:hAnsi="Arial" w:cs="Arial"/>
        </w:rPr>
        <w:fldChar w:fldCharType="separate"/>
      </w:r>
      <w:r w:rsidR="007E07E0" w:rsidRPr="007E07E0">
        <w:rPr>
          <w:rFonts w:ascii="Arial" w:hAnsi="Arial" w:cs="Arial"/>
          <w:kern w:val="0"/>
          <w:vertAlign w:val="superscript"/>
        </w:rPr>
        <w:t>33</w:t>
      </w:r>
      <w:r w:rsidRPr="00766470">
        <w:rPr>
          <w:rStyle w:val="normaltextrun"/>
          <w:rFonts w:ascii="Arial" w:eastAsiaTheme="minorEastAsia" w:hAnsi="Arial" w:cs="Arial"/>
        </w:rPr>
        <w:fldChar w:fldCharType="end"/>
      </w:r>
      <w:r w:rsidRPr="00766470">
        <w:rPr>
          <w:rStyle w:val="normaltextrun"/>
          <w:rFonts w:ascii="Arial" w:eastAsiaTheme="minorEastAsia" w:hAnsi="Arial" w:cs="Arial"/>
        </w:rPr>
        <w:t>, while the unit costs of manganese are based on a Giyani report for Botswana</w:t>
      </w:r>
      <w:r w:rsidRPr="00766470">
        <w:rPr>
          <w:rStyle w:val="normaltextrun"/>
          <w:rFonts w:ascii="Arial" w:eastAsiaTheme="minorEastAsia" w:hAnsi="Arial" w:cs="Arial"/>
        </w:rPr>
        <w:fldChar w:fldCharType="begin"/>
      </w:r>
      <w:r w:rsidR="0016542D">
        <w:rPr>
          <w:rStyle w:val="normaltextrun"/>
          <w:rFonts w:ascii="Arial" w:eastAsiaTheme="minorEastAsia" w:hAnsi="Arial" w:cs="Arial"/>
        </w:rPr>
        <w:instrText xml:space="preserve"> ADDIN ZOTERO_ITEM CSL_CITATION {"citationID":"gIU3Gcv7","properties":{"formattedCitation":"\\super 34\\nosupersub{}","plainCitation":"34","noteIndex":0},"citationItems":[{"id":1,"uris":["http://zotero.org/users/10918866/items/F4D8VULI"],"itemData":{"id":1,"type":"report","publisher-place":"Giyani MEtals Corp","title":"K.Hill Battery-Grade Manganese Project Feasibility Study Effective Date: 14 th November 2022 National Instrument 43-101 Technical Report","URL":"https://giyanimetals.com/downloads/Technical-Reports/Giyani%20Metals%20NI43-101%20FS%20-%202022-12-08.pdf","author":[{"family":"Giyani Metals Corp","given":""}],"accessed":{"date-parts":[["2025",2,7]]},"issued":{"date-parts":[["2022",11,14]]}}}],"schema":"https://github.com/citation-style-language/schema/raw/master/csl-citation.json"} </w:instrText>
      </w:r>
      <w:r w:rsidRPr="00766470">
        <w:rPr>
          <w:rStyle w:val="normaltextrun"/>
          <w:rFonts w:ascii="Arial" w:eastAsiaTheme="minorEastAsia" w:hAnsi="Arial" w:cs="Arial"/>
        </w:rPr>
        <w:fldChar w:fldCharType="separate"/>
      </w:r>
      <w:r w:rsidR="007E07E0" w:rsidRPr="007E07E0">
        <w:rPr>
          <w:rFonts w:ascii="Arial" w:hAnsi="Arial" w:cs="Arial"/>
          <w:kern w:val="0"/>
          <w:vertAlign w:val="superscript"/>
        </w:rPr>
        <w:t>34</w:t>
      </w:r>
      <w:r w:rsidRPr="00766470">
        <w:rPr>
          <w:rStyle w:val="normaltextrun"/>
          <w:rFonts w:ascii="Arial" w:eastAsiaTheme="minorEastAsia" w:hAnsi="Arial" w:cs="Arial"/>
        </w:rPr>
        <w:fldChar w:fldCharType="end"/>
      </w:r>
      <w:r w:rsidRPr="00766470">
        <w:rPr>
          <w:rStyle w:val="normaltextrun"/>
          <w:rFonts w:ascii="Arial" w:eastAsiaTheme="minorEastAsia" w:hAnsi="Arial" w:cs="Arial"/>
        </w:rPr>
        <w:t>. As before</w:t>
      </w:r>
      <w:r w:rsidRPr="00766470">
        <w:rPr>
          <w:rFonts w:ascii="Arial" w:eastAsiaTheme="minorEastAsia" w:hAnsi="Arial" w:cs="Arial"/>
        </w:rPr>
        <w:t>, transport, energy, and royalties were excluded, and mining and processing costs from each of these reports were taken as the only available proxy for Southern Africa.</w:t>
      </w:r>
    </w:p>
    <w:p w14:paraId="47241694" w14:textId="77777777" w:rsidR="00BE51B1" w:rsidRPr="00766470" w:rsidRDefault="00BE51B1" w:rsidP="00BE51B1">
      <w:pPr>
        <w:spacing w:line="257" w:lineRule="auto"/>
        <w:jc w:val="both"/>
        <w:rPr>
          <w:rFonts w:ascii="Arial" w:hAnsi="Arial" w:cs="Arial"/>
        </w:rPr>
      </w:pPr>
    </w:p>
    <w:p w14:paraId="139A7B90" w14:textId="77777777" w:rsidR="00BE51B1" w:rsidRPr="00766470" w:rsidRDefault="00BE51B1" w:rsidP="00BE51B1">
      <w:pPr>
        <w:spacing w:line="257" w:lineRule="auto"/>
        <w:jc w:val="center"/>
        <w:rPr>
          <w:rFonts w:ascii="Arial" w:eastAsiaTheme="minorEastAsia" w:hAnsi="Arial" w:cs="Arial"/>
        </w:rPr>
      </w:pPr>
      <w:r w:rsidRPr="00DF7C56">
        <w:rPr>
          <w:rFonts w:ascii="Arial" w:eastAsiaTheme="minorEastAsia" w:hAnsi="Arial" w:cs="Arial"/>
          <w:noProof/>
        </w:rPr>
        <w:drawing>
          <wp:inline distT="0" distB="0" distL="0" distR="0" wp14:anchorId="7E949C80" wp14:editId="2644CCEB">
            <wp:extent cx="5731510" cy="3669030"/>
            <wp:effectExtent l="0" t="0" r="2540" b="7620"/>
            <wp:docPr id="694633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3310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731510" cy="3669030"/>
                    </a:xfrm>
                    <a:prstGeom prst="rect">
                      <a:avLst/>
                    </a:prstGeom>
                  </pic:spPr>
                </pic:pic>
              </a:graphicData>
            </a:graphic>
          </wp:inline>
        </w:drawing>
      </w:r>
    </w:p>
    <w:p w14:paraId="2882EF5F" w14:textId="0585EDA1" w:rsidR="00BE51B1" w:rsidRPr="005B13B2" w:rsidRDefault="009F3AF4" w:rsidP="005B13B2">
      <w:pPr>
        <w:pStyle w:val="Caption"/>
      </w:pPr>
      <w:bookmarkStart w:id="59" w:name="_Ref214444850"/>
      <w:bookmarkStart w:id="60" w:name="_Toc211272396"/>
      <w:r>
        <w:t xml:space="preserve">Figure </w:t>
      </w:r>
      <w:fldSimple w:instr=" SEQ Figure \* ARABIC ">
        <w:r w:rsidR="00E1763F">
          <w:rPr>
            <w:noProof/>
          </w:rPr>
          <w:t>13</w:t>
        </w:r>
      </w:fldSimple>
      <w:bookmarkEnd w:id="59"/>
      <w:r w:rsidRPr="009F3AF4">
        <w:t>: Baseline costs for mining and processing for graphite and manganese</w:t>
      </w:r>
      <w:bookmarkEnd w:id="60"/>
      <w:r w:rsidR="005B13B2">
        <w:t xml:space="preserve">. </w:t>
      </w:r>
      <w:r w:rsidR="00BE51B1" w:rsidRPr="005B13B2">
        <w:t>Source: Authors’ elaboration, based on company reports.</w:t>
      </w:r>
    </w:p>
    <w:p w14:paraId="4225E1DC" w14:textId="77777777" w:rsidR="00BE51B1" w:rsidRDefault="00BE51B1" w:rsidP="00BE51B1">
      <w:pPr>
        <w:spacing w:line="257" w:lineRule="auto"/>
        <w:jc w:val="center"/>
        <w:rPr>
          <w:rStyle w:val="normaltextrun"/>
          <w:rFonts w:ascii="Arial" w:eastAsiaTheme="minorEastAsia" w:hAnsi="Arial" w:cs="Arial"/>
          <w:i/>
          <w:iCs/>
          <w:color w:val="7F7F7F" w:themeColor="text1" w:themeTint="80"/>
          <w:sz w:val="20"/>
          <w:szCs w:val="20"/>
        </w:rPr>
      </w:pPr>
    </w:p>
    <w:p w14:paraId="4256804D" w14:textId="77777777" w:rsidR="00BE51B1" w:rsidRPr="00766470" w:rsidRDefault="00BE51B1" w:rsidP="00BE51B1">
      <w:pPr>
        <w:spacing w:line="257" w:lineRule="auto"/>
        <w:jc w:val="center"/>
        <w:rPr>
          <w:rStyle w:val="normaltextrun"/>
          <w:rFonts w:ascii="Arial" w:eastAsiaTheme="minorEastAsia" w:hAnsi="Arial" w:cs="Arial"/>
          <w:i/>
          <w:iCs/>
          <w:color w:val="7F7F7F" w:themeColor="text1" w:themeTint="80"/>
          <w:sz w:val="20"/>
          <w:szCs w:val="20"/>
        </w:rPr>
      </w:pPr>
    </w:p>
    <w:p w14:paraId="0B84D97A" w14:textId="77777777" w:rsidR="00BE51B1" w:rsidRPr="00AD40F3" w:rsidRDefault="00BE51B1" w:rsidP="00BE51B1">
      <w:pPr>
        <w:pStyle w:val="Heading3"/>
        <w:rPr>
          <w:rFonts w:ascii="Arial" w:hAnsi="Arial" w:cs="Arial"/>
          <w:b/>
          <w:bCs/>
          <w:color w:val="000000" w:themeColor="text1"/>
          <w:sz w:val="24"/>
          <w:szCs w:val="24"/>
        </w:rPr>
      </w:pPr>
      <w:bookmarkStart w:id="61" w:name="_Toc211272287"/>
      <w:r w:rsidRPr="00AD40F3">
        <w:rPr>
          <w:rFonts w:ascii="Arial" w:hAnsi="Arial" w:cs="Arial"/>
          <w:b/>
          <w:bCs/>
          <w:color w:val="000000" w:themeColor="text1"/>
          <w:sz w:val="24"/>
          <w:szCs w:val="24"/>
        </w:rPr>
        <w:t>3.2.2 Missing baseline unit costs for advanced stages of processing were estimated.</w:t>
      </w:r>
      <w:bookmarkEnd w:id="61"/>
    </w:p>
    <w:p w14:paraId="0297C616" w14:textId="5FDD5D12" w:rsidR="00BE51B1" w:rsidRPr="00766470" w:rsidRDefault="00BE51B1" w:rsidP="00BE51B1">
      <w:pPr>
        <w:spacing w:line="257" w:lineRule="auto"/>
        <w:jc w:val="both"/>
        <w:rPr>
          <w:rFonts w:ascii="Arial" w:eastAsiaTheme="minorEastAsia" w:hAnsi="Arial" w:cs="Arial"/>
          <w:highlight w:val="yellow"/>
        </w:rPr>
      </w:pPr>
      <w:r>
        <w:rPr>
          <w:rFonts w:ascii="Arial" w:eastAsiaTheme="minorEastAsia" w:hAnsi="Arial" w:cs="Arial"/>
        </w:rPr>
        <w:br/>
      </w:r>
      <w:r w:rsidRPr="00766470">
        <w:rPr>
          <w:rFonts w:ascii="Arial" w:eastAsiaTheme="minorEastAsia" w:hAnsi="Arial" w:cs="Arial"/>
        </w:rPr>
        <w:t xml:space="preserve">Unfortunately, the S&amp;P Database does not include cost information for </w:t>
      </w:r>
      <w:r>
        <w:rPr>
          <w:rFonts w:ascii="Arial" w:eastAsiaTheme="minorEastAsia" w:hAnsi="Arial" w:cs="Arial"/>
        </w:rPr>
        <w:t>battery precursor input manufacturing</w:t>
      </w:r>
      <w:r w:rsidRPr="00766470">
        <w:rPr>
          <w:rFonts w:ascii="Arial" w:eastAsiaTheme="minorEastAsia" w:hAnsi="Arial" w:cs="Arial"/>
        </w:rPr>
        <w:t>, and neither did a search of company reports reveal any usable cost data. As a result, unit costs for advanced stage processing are proxied as a percentage of the retail price, based on expert judgment regarding industry norms. Given the technical expertise and capital-intensive nature of industrial operations for specialty inorganic chemicals (such as metal sulphates and oxides), the literature suggests that profit margins equivalent to 20–30% of prices are to be expected, indicating that unit costs of production (comprising raw materials, industrial processing and overheads) would typically amount to 70–80% of prices</w:t>
      </w:r>
      <w:r w:rsidRPr="00766470">
        <w:rPr>
          <w:rFonts w:ascii="Arial" w:eastAsiaTheme="minorEastAsia" w:hAnsi="Arial" w:cs="Arial"/>
        </w:rPr>
        <w:fldChar w:fldCharType="begin"/>
      </w:r>
      <w:r w:rsidR="0016542D">
        <w:rPr>
          <w:rFonts w:ascii="Arial" w:eastAsiaTheme="minorEastAsia" w:hAnsi="Arial" w:cs="Arial"/>
        </w:rPr>
        <w:instrText xml:space="preserve"> ADDIN ZOTERO_ITEM CSL_CITATION {"citationID":"1W7KvnM3","properties":{"formattedCitation":"\\super 35\\nosupersub{}","plainCitation":"35","noteIndex":0},"citationItems":[{"id":2064,"uris":["http://zotero.org/users/10918866/items/AYC5WC73"],"itemData":{"id":2064,"type":"article-journal","abstract":"Getting renewable energies to a position of price competitiveness with fossil fuels has long been seen as a key challenge to the counter-carbon energy transition. Less discussed, but more significant to future investment trajectories in the capitalist global economy, is the relative profitability of fossil-fuel and renewable-energy production. Having recently pledged over the next few decades to decrease hydrocarbon production and increase renewable-energy generation, Europe's three oil and gas majors – BP, Shell and Total – now institutionally straddle the two energy worlds and their respective economic dynamics. This article takes stock of the companies’ announcements and of the existing investment and profit landscape to assess the prospects for their own corporate energy transitions and thus for the global energy transition more broadly.","container-title":"New Political Economy","DOI":"10.1080/13563467.2021.1926957","ISSN":"1356-3467","issue":"1","note":"_eprint: https://doi.org/10.1080/13563467.2021.1926957","page":"146-159","publisher":"Routledge","source":"Taylor and Francis+NEJM","title":"Fossilised Capital: Price and Profit in the Energy Transition","title-short":"Fossilised Capital","volume":"27","author":[{"family":"Christophers","given":"Brett"}],"issued":{"date-parts":[["2022",1,2]]}}}],"schema":"https://github.com/citation-style-language/schema/raw/master/csl-citation.json"} </w:instrText>
      </w:r>
      <w:r w:rsidRPr="00766470">
        <w:rPr>
          <w:rFonts w:ascii="Arial" w:eastAsiaTheme="minorEastAsia" w:hAnsi="Arial" w:cs="Arial"/>
        </w:rPr>
        <w:fldChar w:fldCharType="separate"/>
      </w:r>
      <w:r w:rsidR="007E07E0" w:rsidRPr="007E07E0">
        <w:rPr>
          <w:rFonts w:ascii="Arial" w:hAnsi="Arial" w:cs="Arial"/>
          <w:kern w:val="0"/>
          <w:vertAlign w:val="superscript"/>
        </w:rPr>
        <w:t>35</w:t>
      </w:r>
      <w:r w:rsidRPr="00766470">
        <w:rPr>
          <w:rFonts w:ascii="Arial" w:eastAsiaTheme="minorEastAsia" w:hAnsi="Arial" w:cs="Arial"/>
        </w:rPr>
        <w:fldChar w:fldCharType="end"/>
      </w:r>
      <w:r w:rsidRPr="00766470">
        <w:rPr>
          <w:rFonts w:ascii="Arial" w:eastAsiaTheme="minorEastAsia" w:hAnsi="Arial" w:cs="Arial"/>
        </w:rPr>
        <w:t xml:space="preserve">. </w:t>
      </w:r>
    </w:p>
    <w:p w14:paraId="1396E647" w14:textId="77777777" w:rsidR="00BE51B1" w:rsidRPr="00AD40F3" w:rsidRDefault="00BE51B1" w:rsidP="00BE51B1">
      <w:pPr>
        <w:pStyle w:val="Heading3"/>
        <w:rPr>
          <w:rFonts w:ascii="Arial" w:hAnsi="Arial" w:cs="Arial"/>
          <w:b/>
          <w:bCs/>
          <w:sz w:val="24"/>
          <w:szCs w:val="24"/>
        </w:rPr>
      </w:pPr>
      <w:bookmarkStart w:id="62" w:name="_Toc211272288"/>
      <w:r w:rsidRPr="00AD40F3">
        <w:rPr>
          <w:rFonts w:ascii="Arial" w:hAnsi="Arial" w:cs="Arial"/>
          <w:b/>
          <w:bCs/>
          <w:sz w:val="24"/>
          <w:szCs w:val="24"/>
        </w:rPr>
        <w:lastRenderedPageBreak/>
        <w:t>3.2.3 Unit costs for each stage of processing were projected into the future.</w:t>
      </w:r>
      <w:bookmarkEnd w:id="62"/>
      <w:r w:rsidRPr="00AD40F3">
        <w:rPr>
          <w:rFonts w:ascii="Arial" w:hAnsi="Arial" w:cs="Arial"/>
          <w:b/>
          <w:bCs/>
          <w:sz w:val="24"/>
          <w:szCs w:val="24"/>
        </w:rPr>
        <w:t xml:space="preserve"> </w:t>
      </w:r>
    </w:p>
    <w:p w14:paraId="1F0CF2B0" w14:textId="77777777" w:rsidR="00BE51B1" w:rsidRPr="00766470" w:rsidRDefault="00BE51B1" w:rsidP="00BE51B1">
      <w:pPr>
        <w:spacing w:line="257" w:lineRule="auto"/>
        <w:jc w:val="both"/>
        <w:rPr>
          <w:rFonts w:ascii="Arial" w:eastAsiaTheme="minorEastAsia" w:hAnsi="Arial" w:cs="Arial"/>
        </w:rPr>
      </w:pPr>
      <w:r>
        <w:rPr>
          <w:rFonts w:ascii="Arial" w:eastAsiaTheme="minorEastAsia" w:hAnsi="Arial" w:cs="Arial"/>
        </w:rPr>
        <w:br/>
      </w:r>
      <w:r w:rsidRPr="00766470">
        <w:rPr>
          <w:rFonts w:ascii="Arial" w:eastAsiaTheme="minorEastAsia" w:hAnsi="Arial" w:cs="Arial"/>
        </w:rPr>
        <w:t xml:space="preserve">Given that baseline costs were estimated for 2022, these need to be rolled forward into the future up to the study horizon of 2040. Due to limited data, some scenarios were created, estimating ranges for innovation or regulatory frameworks based on the authors’ industry </w:t>
      </w:r>
      <w:r w:rsidRPr="004E2367">
        <w:rPr>
          <w:rFonts w:ascii="Arial" w:eastAsiaTheme="minorEastAsia" w:hAnsi="Arial" w:cs="Arial"/>
        </w:rPr>
        <w:t>knowledge</w:t>
      </w:r>
      <w:r w:rsidRPr="00766470">
        <w:rPr>
          <w:rFonts w:ascii="Arial" w:eastAsiaTheme="minorEastAsia" w:hAnsi="Arial" w:cs="Arial"/>
        </w:rPr>
        <w:t>. Ranges were not used to avoid increasing the complexity of model runs. In rolling costs forward, three factors were considered and are reflected in the equation below.</w:t>
      </w:r>
    </w:p>
    <w:p w14:paraId="4EC6F997" w14:textId="692584CE" w:rsidR="00BE51B1" w:rsidRPr="004E2367" w:rsidRDefault="00BE51B1" w:rsidP="00BE51B1">
      <w:pPr>
        <w:pStyle w:val="ListParagraph"/>
        <w:numPr>
          <w:ilvl w:val="0"/>
          <w:numId w:val="2"/>
        </w:numPr>
        <w:spacing w:line="257" w:lineRule="auto"/>
        <w:ind w:left="360"/>
        <w:jc w:val="both"/>
        <w:rPr>
          <w:rFonts w:ascii="Arial" w:eastAsiaTheme="minorEastAsia" w:hAnsi="Arial" w:cs="Arial"/>
        </w:rPr>
      </w:pPr>
      <w:r w:rsidRPr="004E2367">
        <w:rPr>
          <w:rFonts w:ascii="Arial" w:eastAsiaTheme="minorEastAsia" w:hAnsi="Arial" w:cs="Arial"/>
          <w:u w:val="single"/>
        </w:rPr>
        <w:t>General price inflation (</w:t>
      </w:r>
      <w:r w:rsidRPr="004E2367">
        <w:rPr>
          <w:rFonts w:ascii="Arial" w:eastAsiaTheme="minorEastAsia" w:hAnsi="Arial" w:cs="Arial"/>
          <w:i/>
          <w:iCs/>
          <w:u w:val="single"/>
        </w:rPr>
        <w:t>i</w:t>
      </w:r>
      <w:r w:rsidRPr="004E2367">
        <w:rPr>
          <w:rFonts w:ascii="Arial" w:eastAsiaTheme="minorEastAsia" w:hAnsi="Arial" w:cs="Arial"/>
          <w:u w:val="single"/>
        </w:rPr>
        <w:t>)</w:t>
      </w:r>
      <w:r w:rsidRPr="004E2367">
        <w:rPr>
          <w:rFonts w:ascii="Arial" w:eastAsiaTheme="minorEastAsia" w:hAnsi="Arial" w:cs="Arial"/>
        </w:rPr>
        <w:t>. Based on IMF data</w:t>
      </w:r>
      <w:r w:rsidRPr="004E2367">
        <w:rPr>
          <w:rFonts w:ascii="Arial" w:eastAsiaTheme="minorEastAsia" w:hAnsi="Arial" w:cs="Arial"/>
        </w:rPr>
        <w:fldChar w:fldCharType="begin"/>
      </w:r>
      <w:r w:rsidR="0016542D">
        <w:rPr>
          <w:rFonts w:ascii="Arial" w:eastAsiaTheme="minorEastAsia" w:hAnsi="Arial" w:cs="Arial"/>
        </w:rPr>
        <w:instrText xml:space="preserve"> ADDIN ZOTERO_ITEM CSL_CITATION {"citationID":"ThThN5vC","properties":{"formattedCitation":"\\super 36\\nosupersub{}","plainCitation":"36","noteIndex":0},"citationItems":[{"id":1996,"uris":["http://zotero.org/users/10918866/items/IQ26JSDS"],"itemData":{"id":1996,"type":"report","DOI":"10.5089/9798400281150.081","language":"en","publisher":"International Monetary Fund","publisher-place":"Washington, D.C.","source":"DOI.org (Crossref)","title":"World Economic Outlook, October 2024: Policy Pivot, Rising Threats","title-short":"World Economic Outlook, October 2024","URL":"https://elibrary.imf.org/openurl?genre=book&amp;isbn=9798400281150&amp;cid=551244-com-dsp-crossref","author":[{"family":"IMF","given":""}],"accessed":{"date-parts":[["2025",3,7]]},"issued":{"date-parts":[["2024"]]}}}],"schema":"https://github.com/citation-style-language/schema/raw/master/csl-citation.json"} </w:instrText>
      </w:r>
      <w:r w:rsidRPr="004E2367">
        <w:rPr>
          <w:rFonts w:ascii="Arial" w:eastAsiaTheme="minorEastAsia" w:hAnsi="Arial" w:cs="Arial"/>
        </w:rPr>
        <w:fldChar w:fldCharType="separate"/>
      </w:r>
      <w:r w:rsidR="007E07E0" w:rsidRPr="007E07E0">
        <w:rPr>
          <w:rFonts w:ascii="Arial" w:hAnsi="Arial" w:cs="Arial"/>
          <w:kern w:val="0"/>
          <w:vertAlign w:val="superscript"/>
        </w:rPr>
        <w:t>36</w:t>
      </w:r>
      <w:r w:rsidRPr="004E2367">
        <w:rPr>
          <w:rFonts w:ascii="Arial" w:eastAsiaTheme="minorEastAsia" w:hAnsi="Arial" w:cs="Arial"/>
        </w:rPr>
        <w:fldChar w:fldCharType="end"/>
      </w:r>
      <w:r w:rsidRPr="004E2367">
        <w:rPr>
          <w:rFonts w:ascii="Arial" w:eastAsiaTheme="minorEastAsia" w:hAnsi="Arial" w:cs="Arial"/>
        </w:rPr>
        <w:t xml:space="preserve">, it was determined that the average annual inflation rate in the US for the period 2012–22 was 2.5%, and this was assumed to continue to 2040. </w:t>
      </w:r>
    </w:p>
    <w:p w14:paraId="426203C7" w14:textId="77777777" w:rsidR="00BE51B1" w:rsidRPr="00766470" w:rsidRDefault="00BE51B1" w:rsidP="00BE51B1">
      <w:pPr>
        <w:pStyle w:val="ListParagraph"/>
        <w:spacing w:line="257" w:lineRule="auto"/>
        <w:ind w:left="360"/>
        <w:jc w:val="both"/>
        <w:rPr>
          <w:rFonts w:ascii="Arial" w:eastAsiaTheme="minorEastAsia" w:hAnsi="Arial" w:cs="Arial"/>
        </w:rPr>
      </w:pPr>
    </w:p>
    <w:p w14:paraId="4537AEAD" w14:textId="6FDA1B21" w:rsidR="00BE51B1" w:rsidRDefault="00BE51B1" w:rsidP="00BE51B1">
      <w:pPr>
        <w:pStyle w:val="ListParagraph"/>
        <w:numPr>
          <w:ilvl w:val="0"/>
          <w:numId w:val="2"/>
        </w:numPr>
        <w:spacing w:line="257" w:lineRule="auto"/>
        <w:ind w:left="360"/>
        <w:jc w:val="both"/>
        <w:rPr>
          <w:rFonts w:ascii="Arial" w:eastAsiaTheme="minorEastAsia" w:hAnsi="Arial" w:cs="Arial"/>
        </w:rPr>
      </w:pPr>
      <w:r w:rsidRPr="00766470">
        <w:rPr>
          <w:rFonts w:ascii="Arial" w:eastAsiaTheme="minorEastAsia" w:hAnsi="Arial" w:cs="Arial"/>
          <w:u w:val="single"/>
        </w:rPr>
        <w:t>Technological progress (</w:t>
      </w:r>
      <w:r w:rsidRPr="00766470">
        <w:rPr>
          <w:rFonts w:ascii="Arial" w:eastAsiaTheme="minorEastAsia" w:hAnsi="Arial" w:cs="Arial"/>
          <w:i/>
          <w:iCs/>
          <w:u w:val="single"/>
        </w:rPr>
        <w:t>t</w:t>
      </w:r>
      <w:r w:rsidRPr="00766470">
        <w:rPr>
          <w:rFonts w:ascii="Arial" w:eastAsiaTheme="minorEastAsia" w:hAnsi="Arial" w:cs="Arial"/>
          <w:u w:val="single"/>
        </w:rPr>
        <w:t>)</w:t>
      </w:r>
      <w:r w:rsidRPr="00766470">
        <w:rPr>
          <w:rFonts w:ascii="Arial" w:eastAsiaTheme="minorEastAsia" w:hAnsi="Arial" w:cs="Arial"/>
        </w:rPr>
        <w:t>. As with any industry, the critical minerals mining and processing industry can expect to experience innovations that will gradually reduce the cost of industrial operations over time</w:t>
      </w:r>
      <w:r w:rsidRPr="00766470">
        <w:rPr>
          <w:rFonts w:ascii="Arial" w:eastAsiaTheme="minorEastAsia" w:hAnsi="Arial" w:cs="Arial"/>
        </w:rPr>
        <w:fldChar w:fldCharType="begin"/>
      </w:r>
      <w:r w:rsidR="0016542D">
        <w:rPr>
          <w:rFonts w:ascii="Arial" w:eastAsiaTheme="minorEastAsia" w:hAnsi="Arial" w:cs="Arial"/>
        </w:rPr>
        <w:instrText xml:space="preserve"> ADDIN ZOTERO_ITEM CSL_CITATION {"citationID":"Mxq6Jecz","properties":{"formattedCitation":"\\super 37\\nosupersub{}","plainCitation":"37","noteIndex":0},"citationItems":[{"id":2057,"uris":["http://zotero.org/users/10918866/items/7GULZ9HB"],"itemData":{"id":2057,"type":"chapter","container-title":"Global Challenges for Innovation in Mining Industries","DOI":"10.1017/9781108904209.002","edition":"1","ISBN":"978-1-108-90420-9","language":"en","license":"https://www.cambridge.org/core/terms","page":"1-24","publisher":"Cambridge University Press","source":"DOI.org (Crossref)","title":"Global Challenges for Innovation in the Mining Industries","URL":"https://www.cambridge.org/core/product/identifier/9781108904209%23CN-bp-1/type/book_part","editor":[{"family":"Daly","given":"Alica"},{"family":"Humphreys","given":"David"},{"family":"Raffo","given":"Julio"},{"family":"Valacchi","given":"Giulia"}],"author":[{"family":"Daly","given":"Alica"},{"family":"Humphreys","given":"David"},{"family":"Raffo","given":"Julio D."},{"family":"Valacchi","given":"Giulia"}],"accessed":{"date-parts":[["2025",2,7]]},"issued":{"date-parts":[["2022",4,21]]}}}],"schema":"https://github.com/citation-style-language/schema/raw/master/csl-citation.json"} </w:instrText>
      </w:r>
      <w:r w:rsidRPr="00766470">
        <w:rPr>
          <w:rFonts w:ascii="Arial" w:eastAsiaTheme="minorEastAsia" w:hAnsi="Arial" w:cs="Arial"/>
        </w:rPr>
        <w:fldChar w:fldCharType="separate"/>
      </w:r>
      <w:r w:rsidR="007E07E0" w:rsidRPr="007E07E0">
        <w:rPr>
          <w:rFonts w:ascii="Arial" w:hAnsi="Arial" w:cs="Arial"/>
          <w:kern w:val="0"/>
          <w:vertAlign w:val="superscript"/>
        </w:rPr>
        <w:t>37</w:t>
      </w:r>
      <w:r w:rsidRPr="00766470">
        <w:rPr>
          <w:rFonts w:ascii="Arial" w:eastAsiaTheme="minorEastAsia" w:hAnsi="Arial" w:cs="Arial"/>
        </w:rPr>
        <w:fldChar w:fldCharType="end"/>
      </w:r>
      <w:r w:rsidRPr="00766470">
        <w:rPr>
          <w:rFonts w:ascii="Arial" w:eastAsiaTheme="minorEastAsia" w:hAnsi="Arial" w:cs="Arial"/>
        </w:rPr>
        <w:t xml:space="preserve">. </w:t>
      </w:r>
      <w:r w:rsidRPr="00766470">
        <w:rPr>
          <w:rFonts w:ascii="Arial" w:hAnsi="Arial" w:cs="Arial"/>
        </w:rPr>
        <w:t>Automation, digital analytics, remote operation centres, process optimisation, and sustainable energy integration are all improving efficiency, helping with lower costs. Although estimates vary by commodity, mining location, and regulatory environment, we</w:t>
      </w:r>
      <w:r w:rsidRPr="00766470">
        <w:rPr>
          <w:rFonts w:ascii="Arial" w:eastAsiaTheme="minorEastAsia" w:hAnsi="Arial" w:cs="Arial"/>
        </w:rPr>
        <w:t xml:space="preserve"> assumed an average of 1.2% annual </w:t>
      </w:r>
      <w:r w:rsidRPr="004E2367">
        <w:rPr>
          <w:rFonts w:ascii="Arial" w:eastAsiaTheme="minorEastAsia" w:hAnsi="Arial" w:cs="Arial"/>
        </w:rPr>
        <w:t>reduction for our cost projection</w:t>
      </w:r>
      <w:r w:rsidRPr="004E2367">
        <w:rPr>
          <w:rFonts w:ascii="Arial" w:eastAsiaTheme="minorEastAsia" w:hAnsi="Arial" w:cs="Arial"/>
        </w:rPr>
        <w:fldChar w:fldCharType="begin"/>
      </w:r>
      <w:r w:rsidR="0016542D">
        <w:rPr>
          <w:rFonts w:ascii="Arial" w:eastAsiaTheme="minorEastAsia" w:hAnsi="Arial" w:cs="Arial"/>
        </w:rPr>
        <w:instrText xml:space="preserve"> ADDIN ZOTERO_ITEM CSL_CITATION {"citationID":"mNPkCGZA","properties":{"formattedCitation":"\\super 37\\nosupersub{}","plainCitation":"37","noteIndex":0},"citationItems":[{"id":2057,"uris":["http://zotero.org/users/10918866/items/7GULZ9HB"],"itemData":{"id":2057,"type":"chapter","container-title":"Global Challenges for Innovation in Mining Industries","DOI":"10.1017/9781108904209.002","edition":"1","ISBN":"978-1-108-90420-9","language":"en","license":"https://www.cambridge.org/core/terms","page":"1-24","publisher":"Cambridge University Press","source":"DOI.org (Crossref)","title":"Global Challenges for Innovation in the Mining Industries","URL":"https://www.cambridge.org/core/product/identifier/9781108904209%23CN-bp-1/type/book_part","editor":[{"family":"Daly","given":"Alica"},{"family":"Humphreys","given":"David"},{"family":"Raffo","given":"Julio"},{"family":"Valacchi","given":"Giulia"}],"author":[{"family":"Daly","given":"Alica"},{"family":"Humphreys","given":"David"},{"family":"Raffo","given":"Julio D."},{"family":"Valacchi","given":"Giulia"}],"accessed":{"date-parts":[["2025",2,7]]},"issued":{"date-parts":[["2022",4,21]]}}}],"schema":"https://github.com/citation-style-language/schema/raw/master/csl-citation.json"} </w:instrText>
      </w:r>
      <w:r w:rsidRPr="004E2367">
        <w:rPr>
          <w:rFonts w:ascii="Arial" w:eastAsiaTheme="minorEastAsia" w:hAnsi="Arial" w:cs="Arial"/>
        </w:rPr>
        <w:fldChar w:fldCharType="separate"/>
      </w:r>
      <w:r w:rsidR="007E07E0" w:rsidRPr="007E07E0">
        <w:rPr>
          <w:rFonts w:ascii="Arial" w:hAnsi="Arial" w:cs="Arial"/>
          <w:kern w:val="0"/>
          <w:vertAlign w:val="superscript"/>
        </w:rPr>
        <w:t>37</w:t>
      </w:r>
      <w:r w:rsidRPr="004E2367">
        <w:rPr>
          <w:rFonts w:ascii="Arial" w:eastAsiaTheme="minorEastAsia" w:hAnsi="Arial" w:cs="Arial"/>
        </w:rPr>
        <w:fldChar w:fldCharType="end"/>
      </w:r>
      <w:r w:rsidRPr="004E2367">
        <w:rPr>
          <w:rFonts w:ascii="Arial" w:eastAsiaTheme="minorEastAsia" w:hAnsi="Arial" w:cs="Arial"/>
        </w:rPr>
        <w:t>.</w:t>
      </w:r>
    </w:p>
    <w:p w14:paraId="04350455" w14:textId="141ECF07" w:rsidR="00BE51B1" w:rsidRPr="004E2367" w:rsidRDefault="00BE51B1" w:rsidP="00BE51B1">
      <w:pPr>
        <w:pStyle w:val="ListParagraph"/>
        <w:numPr>
          <w:ilvl w:val="0"/>
          <w:numId w:val="2"/>
        </w:numPr>
        <w:spacing w:line="257" w:lineRule="auto"/>
        <w:ind w:left="360"/>
        <w:jc w:val="both"/>
        <w:rPr>
          <w:rFonts w:ascii="Arial" w:eastAsiaTheme="minorEastAsia" w:hAnsi="Arial" w:cs="Arial"/>
        </w:rPr>
      </w:pPr>
      <w:r w:rsidRPr="004E2367">
        <w:rPr>
          <w:rFonts w:ascii="Arial" w:eastAsiaTheme="minorEastAsia" w:hAnsi="Arial" w:cs="Arial"/>
          <w:u w:val="single"/>
        </w:rPr>
        <w:t>Regulatory changes (</w:t>
      </w:r>
      <w:r w:rsidRPr="004E2367">
        <w:rPr>
          <w:rFonts w:ascii="Arial" w:eastAsiaTheme="minorEastAsia" w:hAnsi="Arial" w:cs="Arial"/>
          <w:i/>
          <w:iCs/>
          <w:u w:val="single"/>
        </w:rPr>
        <w:t>r</w:t>
      </w:r>
      <w:r w:rsidRPr="004E2367">
        <w:rPr>
          <w:rFonts w:ascii="Arial" w:eastAsiaTheme="minorEastAsia" w:hAnsi="Arial" w:cs="Arial"/>
          <w:u w:val="single"/>
        </w:rPr>
        <w:t>)</w:t>
      </w:r>
      <w:r w:rsidRPr="004E2367">
        <w:rPr>
          <w:rFonts w:ascii="Arial" w:eastAsiaTheme="minorEastAsia" w:hAnsi="Arial" w:cs="Arial"/>
        </w:rPr>
        <w:t>. Given the environmental and social sensitivity of the minerals sector, and growing political pressure to improve governance</w:t>
      </w:r>
      <w:r w:rsidRPr="004E2367">
        <w:rPr>
          <w:rFonts w:ascii="Arial" w:eastAsiaTheme="minorEastAsia" w:hAnsi="Arial" w:cs="Arial"/>
        </w:rPr>
        <w:fldChar w:fldCharType="begin"/>
      </w:r>
      <w:r w:rsidR="0016542D">
        <w:rPr>
          <w:rFonts w:ascii="Arial" w:eastAsiaTheme="minorEastAsia" w:hAnsi="Arial" w:cs="Arial"/>
        </w:rPr>
        <w:instrText xml:space="preserve"> ADDIN ZOTERO_ITEM CSL_CITATION {"citationID":"n6wsWLCy","properties":{"formattedCitation":"\\super 38\\nosupersub{}","plainCitation":"38","noteIndex":0},"citationItems":[{"id":2056,"uris":["http://zotero.org/users/10918866/items/4D4GX8A8"],"itemData":{"id":2056,"type":"chapter","abstract":"This chapter examines the relationship between the mining sector and environmental regulation, particularly whether stricter national environmental policies lead to increased environmental innovation in the mining sector, and whether higher stringency harms overall mining sector productivity. These hypotheses are tested using a panel dataset of 31 countries over 1990–2015, combining measures of EPS recently developed by the OECD, OECD data on mining sector productivity, and WIPO mining environmental patent-filing data. The chapter provides an overview of the mining sector’s relationship with the environment, environmental consequences of the extraction of the most economically important and prevalent minerals, and an overview of environmental regulation in each country, including mining-sector-specific regulations and more general environmental regulations, and mining environmental paten- filing patterns. The literature surrounding country-level environmental patent filing and the (weak) Porter hypothesis is reviewed, followed by a description of the dataset, its construction, and summary statistics, and results of the central regression analyses.","collection-title":"Intellectual Property, Innovation and Economic Development","container-title":"Global Challenges for Innovation in Mining Industries","DOI":"10.1017/9781108904209.007","ISBN":"978-1-108-84278-5","page":"142-171","publisher":"Cambridge University Press","publisher-place":"Cambridge","source":"Cambridge University Press","title":"Environmental Regulations in the Mining Sector and Their Effect on Technological Innovation","URL":"https://www.cambridge.org/core/books/global-challenges-for-innovation-in-mining-industries/environmental-regulations-in-the-mining-sector-and-their-effect-on-technological-innovation/C2E1048F52532D95FA203FD84E5AB22A","editor":[{"family":"Daly","given":"Alica"},{"family":"Humphreys","given":"David"},{"family":"Valacchi","given":"Giulia"},{"family":"Raffo","given":"Julio"}],"author":[{"family":"Andersen","given":"Maxwell"},{"family":"Noailly","given":"Joëlle"}],"accessed":{"date-parts":[["2025",2,7]]},"issued":{"date-parts":[["2022"]]}}}],"schema":"https://github.com/citation-style-language/schema/raw/master/csl-citation.json"} </w:instrText>
      </w:r>
      <w:r w:rsidRPr="004E2367">
        <w:rPr>
          <w:rFonts w:ascii="Arial" w:eastAsiaTheme="minorEastAsia" w:hAnsi="Arial" w:cs="Arial"/>
        </w:rPr>
        <w:fldChar w:fldCharType="separate"/>
      </w:r>
      <w:r w:rsidR="007E07E0" w:rsidRPr="007E07E0">
        <w:rPr>
          <w:rFonts w:ascii="Arial" w:hAnsi="Arial" w:cs="Arial"/>
          <w:kern w:val="0"/>
          <w:vertAlign w:val="superscript"/>
        </w:rPr>
        <w:t>38</w:t>
      </w:r>
      <w:r w:rsidRPr="004E2367">
        <w:rPr>
          <w:rFonts w:ascii="Arial" w:eastAsiaTheme="minorEastAsia" w:hAnsi="Arial" w:cs="Arial"/>
        </w:rPr>
        <w:fldChar w:fldCharType="end"/>
      </w:r>
      <w:r w:rsidRPr="004E2367">
        <w:rPr>
          <w:rFonts w:ascii="Arial" w:eastAsiaTheme="minorEastAsia" w:hAnsi="Arial" w:cs="Arial"/>
        </w:rPr>
        <w:t>, it is expected that the regulatory environment affecting the industry will continue to tighten with associated cost implications</w:t>
      </w:r>
      <w:r w:rsidRPr="004E2367">
        <w:rPr>
          <w:rFonts w:ascii="Arial" w:eastAsiaTheme="minorEastAsia" w:hAnsi="Arial" w:cs="Arial"/>
        </w:rPr>
        <w:fldChar w:fldCharType="begin"/>
      </w:r>
      <w:r w:rsidR="007E07E0">
        <w:rPr>
          <w:rFonts w:ascii="Arial" w:eastAsiaTheme="minorEastAsia" w:hAnsi="Arial" w:cs="Arial"/>
        </w:rPr>
        <w:instrText xml:space="preserve"> ADDIN ZOTERO_ITEM CSL_CITATION {"citationID":"Y7EkA6ui","properties":{"formattedCitation":"\\super 39\\nosupersub{}","plainCitation":"39","noteIndex":0},"citationItems":[{"id":2055,"uris":["http://zotero.org/users/10918866/items/44MIT99J"],"itemData":{"id":2055,"type":"article-journal","DOI":"https://doi.org/10.1093/reep/rex013","issue":"2","title":"The Impacts of Environmental Regulations on Competitiveness | Review of Environmental Economics and Policy: Vol 11, No 2","URL":"https://www.journals.uchicago.edu/doi/10.1093/reep/rex013","volume":"11","author":[{"family":"Dechezleprêtre","given":"Antoine"},{"family":"Sato","given":"Misato"}],"accessed":{"date-parts":[["2025",2,7]]},"issued":{"date-parts":[["2017",7,27]]}}}],"schema":"https://github.com/citation-style-language/schema/raw/master/csl-citation.json"} </w:instrText>
      </w:r>
      <w:r w:rsidRPr="004E2367">
        <w:rPr>
          <w:rFonts w:ascii="Arial" w:eastAsiaTheme="minorEastAsia" w:hAnsi="Arial" w:cs="Arial"/>
        </w:rPr>
        <w:fldChar w:fldCharType="separate"/>
      </w:r>
      <w:r w:rsidR="007E07E0" w:rsidRPr="007E07E0">
        <w:rPr>
          <w:rFonts w:ascii="Arial" w:hAnsi="Arial" w:cs="Arial"/>
          <w:kern w:val="0"/>
          <w:vertAlign w:val="superscript"/>
        </w:rPr>
        <w:t>39</w:t>
      </w:r>
      <w:r w:rsidRPr="004E2367">
        <w:rPr>
          <w:rFonts w:ascii="Arial" w:eastAsiaTheme="minorEastAsia" w:hAnsi="Arial" w:cs="Arial"/>
        </w:rPr>
        <w:fldChar w:fldCharType="end"/>
      </w:r>
      <w:r w:rsidRPr="004E2367">
        <w:rPr>
          <w:rFonts w:ascii="Arial" w:eastAsiaTheme="minorEastAsia" w:hAnsi="Arial" w:cs="Arial"/>
        </w:rPr>
        <w:t xml:space="preserve">. We assumed this because regulatory burden increases faster than technological advancement in the mining sector. It is assumed that regulatory tightening will lead to a 5% increase in costs per year. </w:t>
      </w:r>
    </w:p>
    <w:p w14:paraId="00F3F06C" w14:textId="77777777" w:rsidR="00BE51B1" w:rsidRPr="00766470" w:rsidRDefault="00000000" w:rsidP="00BE51B1">
      <w:pPr>
        <w:spacing w:line="276" w:lineRule="auto"/>
        <w:jc w:val="center"/>
        <w:rPr>
          <w:rFonts w:ascii="Arial" w:eastAsia="Aptos" w:hAnsi="Arial" w:cs="Arial"/>
          <w:sz w:val="16"/>
          <w:szCs w:val="16"/>
        </w:rPr>
      </w:pPr>
      <m:oMathPara>
        <m:oMath>
          <m:sSub>
            <m:sSubPr>
              <m:ctrlPr>
                <w:rPr>
                  <w:rFonts w:ascii="Cambria Math" w:hAnsi="Cambria Math" w:cs="Arial"/>
                </w:rPr>
              </m:ctrlPr>
            </m:sSubPr>
            <m:e>
              <m:r>
                <w:rPr>
                  <w:rFonts w:ascii="Cambria Math" w:hAnsi="Cambria Math" w:cs="Arial"/>
                </w:rPr>
                <m:t>C</m:t>
              </m:r>
            </m:e>
            <m:sub>
              <m:r>
                <w:rPr>
                  <w:rFonts w:ascii="Cambria Math" w:hAnsi="Cambria Math" w:cs="Arial"/>
                </w:rPr>
                <m:t>n</m:t>
              </m:r>
            </m:sub>
          </m:sSub>
          <m:r>
            <w:rPr>
              <w:rFonts w:ascii="Cambria Math" w:hAnsi="Cambria Math" w:cs="Arial"/>
            </w:rPr>
            <m:t>=</m:t>
          </m:r>
          <m:sSub>
            <m:sSubPr>
              <m:ctrlPr>
                <w:rPr>
                  <w:rFonts w:ascii="Cambria Math" w:hAnsi="Cambria Math" w:cs="Arial"/>
                </w:rPr>
              </m:ctrlPr>
            </m:sSubPr>
            <m:e>
              <m:r>
                <w:rPr>
                  <w:rFonts w:ascii="Cambria Math" w:hAnsi="Cambria Math" w:cs="Arial"/>
                </w:rPr>
                <m:t>C</m:t>
              </m:r>
            </m:e>
            <m:sub>
              <m:r>
                <w:rPr>
                  <w:rFonts w:ascii="Cambria Math" w:hAnsi="Cambria Math" w:cs="Arial"/>
                </w:rPr>
                <m:t>2022</m:t>
              </m:r>
            </m:sub>
          </m:sSub>
          <m:sSup>
            <m:sSupPr>
              <m:ctrlPr>
                <w:rPr>
                  <w:rFonts w:ascii="Cambria Math" w:hAnsi="Cambria Math" w:cs="Arial"/>
                </w:rPr>
              </m:ctrlPr>
            </m:sSupPr>
            <m:e>
              <m:d>
                <m:dPr>
                  <m:ctrlPr>
                    <w:rPr>
                      <w:rFonts w:ascii="Cambria Math" w:hAnsi="Cambria Math" w:cs="Arial"/>
                    </w:rPr>
                  </m:ctrlPr>
                </m:dPr>
                <m:e>
                  <m:r>
                    <w:rPr>
                      <w:rFonts w:ascii="Cambria Math" w:hAnsi="Cambria Math" w:cs="Arial"/>
                    </w:rPr>
                    <m:t>1+</m:t>
                  </m:r>
                  <m:d>
                    <m:dPr>
                      <m:ctrlPr>
                        <w:rPr>
                          <w:rFonts w:ascii="Cambria Math" w:hAnsi="Cambria Math" w:cs="Arial"/>
                        </w:rPr>
                      </m:ctrlPr>
                    </m:dPr>
                    <m:e>
                      <m:r>
                        <w:rPr>
                          <w:rFonts w:ascii="Cambria Math" w:hAnsi="Cambria Math" w:cs="Arial"/>
                        </w:rPr>
                        <m:t>i+r-t</m:t>
                      </m:r>
                    </m:e>
                  </m:d>
                </m:e>
              </m:d>
            </m:e>
            <m:sup>
              <m:d>
                <m:dPr>
                  <m:ctrlPr>
                    <w:rPr>
                      <w:rFonts w:ascii="Cambria Math" w:hAnsi="Cambria Math" w:cs="Arial"/>
                    </w:rPr>
                  </m:ctrlPr>
                </m:dPr>
                <m:e>
                  <m:r>
                    <w:rPr>
                      <w:rFonts w:ascii="Cambria Math" w:hAnsi="Cambria Math" w:cs="Arial"/>
                    </w:rPr>
                    <m:t>n-2022</m:t>
                  </m:r>
                </m:e>
              </m:d>
            </m:sup>
          </m:sSup>
        </m:oMath>
      </m:oMathPara>
    </w:p>
    <w:p w14:paraId="295B13E9" w14:textId="4443852F" w:rsidR="00BE51B1" w:rsidRPr="00766470" w:rsidRDefault="00BE51B1" w:rsidP="00BE51B1">
      <w:pPr>
        <w:spacing w:line="257" w:lineRule="auto"/>
        <w:jc w:val="both"/>
        <w:rPr>
          <w:rFonts w:ascii="Arial" w:hAnsi="Arial" w:cs="Arial"/>
          <w:highlight w:val="yellow"/>
        </w:rPr>
      </w:pPr>
      <w:r w:rsidRPr="00766470">
        <w:rPr>
          <w:rFonts w:ascii="Arial" w:hAnsi="Arial" w:cs="Arial"/>
        </w:rPr>
        <w:t>Final cost estimates per mineral and stage of processing for the baseline year of 2022, as well as the 2030 and 2040 Scenarios are summarised in</w:t>
      </w:r>
      <w:r w:rsidR="007C1413">
        <w:rPr>
          <w:rFonts w:ascii="Arial" w:hAnsi="Arial" w:cs="Arial"/>
        </w:rPr>
        <w:t xml:space="preserve"> </w:t>
      </w:r>
      <w:r w:rsidR="007C1413">
        <w:rPr>
          <w:rFonts w:ascii="Arial" w:hAnsi="Arial" w:cs="Arial"/>
        </w:rPr>
        <w:fldChar w:fldCharType="begin"/>
      </w:r>
      <w:r w:rsidR="007C1413">
        <w:rPr>
          <w:rFonts w:ascii="Arial" w:hAnsi="Arial" w:cs="Arial"/>
        </w:rPr>
        <w:instrText xml:space="preserve"> REF _Ref214444878 \h </w:instrText>
      </w:r>
      <w:r w:rsidR="007C1413">
        <w:rPr>
          <w:rFonts w:ascii="Arial" w:hAnsi="Arial" w:cs="Arial"/>
        </w:rPr>
      </w:r>
      <w:r w:rsidR="007C1413">
        <w:rPr>
          <w:rFonts w:ascii="Arial" w:hAnsi="Arial" w:cs="Arial"/>
        </w:rPr>
        <w:fldChar w:fldCharType="separate"/>
      </w:r>
      <w:r w:rsidR="007C1413">
        <w:t xml:space="preserve">Table </w:t>
      </w:r>
      <w:r w:rsidR="007C1413">
        <w:rPr>
          <w:noProof/>
        </w:rPr>
        <w:t>7</w:t>
      </w:r>
      <w:r w:rsidR="007C1413">
        <w:rPr>
          <w:rFonts w:ascii="Arial" w:hAnsi="Arial" w:cs="Arial"/>
        </w:rPr>
        <w:fldChar w:fldCharType="end"/>
      </w:r>
      <w:r w:rsidRPr="00766470">
        <w:rPr>
          <w:rFonts w:ascii="Arial" w:hAnsi="Arial" w:cs="Arial"/>
        </w:rPr>
        <w:t>.</w:t>
      </w:r>
    </w:p>
    <w:p w14:paraId="26179FB9" w14:textId="5B90A086" w:rsidR="00BE51B1" w:rsidRPr="009F3AF4" w:rsidRDefault="007C1413" w:rsidP="007C1413">
      <w:pPr>
        <w:pStyle w:val="Caption"/>
      </w:pPr>
      <w:bookmarkStart w:id="63" w:name="_Ref214444878"/>
      <w:bookmarkStart w:id="64" w:name="_Toc211509402"/>
      <w:r>
        <w:t xml:space="preserve">Table </w:t>
      </w:r>
      <w:fldSimple w:instr=" SEQ Table \* ARABIC ">
        <w:r w:rsidR="00615C28">
          <w:t>7</w:t>
        </w:r>
      </w:fldSimple>
      <w:bookmarkEnd w:id="63"/>
      <w:r w:rsidR="00BE51B1" w:rsidRPr="009F3AF4">
        <w:t>: Final OPEX estimates per mineral and stage of processing. The OPEX excludes electricity, transport outside the mine and royalty costs.</w:t>
      </w:r>
      <w:bookmarkEnd w:id="64"/>
    </w:p>
    <w:tbl>
      <w:tblPr>
        <w:tblW w:w="60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1781"/>
        <w:gridCol w:w="1568"/>
        <w:gridCol w:w="1388"/>
        <w:gridCol w:w="1349"/>
      </w:tblGrid>
      <w:tr w:rsidR="00BE51B1" w:rsidRPr="007D3F22" w14:paraId="36C5A523" w14:textId="77777777" w:rsidTr="00877C15">
        <w:trPr>
          <w:trHeight w:val="291"/>
          <w:jc w:val="center"/>
        </w:trPr>
        <w:tc>
          <w:tcPr>
            <w:tcW w:w="3349" w:type="dxa"/>
            <w:gridSpan w:val="2"/>
            <w:shd w:val="clear" w:color="auto" w:fill="B7D4EF" w:themeFill="text2" w:themeFillTint="33"/>
            <w:tcMar>
              <w:top w:w="15" w:type="dxa"/>
              <w:left w:w="15" w:type="dxa"/>
              <w:right w:w="15" w:type="dxa"/>
            </w:tcMar>
            <w:vAlign w:val="center"/>
          </w:tcPr>
          <w:p w14:paraId="73574586"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Unit costs of production (US$/tonne)</w:t>
            </w:r>
          </w:p>
        </w:tc>
        <w:tc>
          <w:tcPr>
            <w:tcW w:w="1388" w:type="dxa"/>
            <w:shd w:val="clear" w:color="auto" w:fill="B7D4EF" w:themeFill="text2" w:themeFillTint="33"/>
            <w:tcMar>
              <w:top w:w="15" w:type="dxa"/>
              <w:left w:w="15" w:type="dxa"/>
              <w:right w:w="15" w:type="dxa"/>
            </w:tcMar>
            <w:vAlign w:val="center"/>
          </w:tcPr>
          <w:p w14:paraId="7613088B"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2022</w:t>
            </w:r>
          </w:p>
        </w:tc>
        <w:tc>
          <w:tcPr>
            <w:tcW w:w="1349" w:type="dxa"/>
            <w:shd w:val="clear" w:color="auto" w:fill="B7D4EF" w:themeFill="text2" w:themeFillTint="33"/>
            <w:vAlign w:val="center"/>
          </w:tcPr>
          <w:p w14:paraId="533BC371" w14:textId="77777777" w:rsidR="00BE51B1" w:rsidRPr="00E805E2" w:rsidRDefault="00BE51B1" w:rsidP="00877C15">
            <w:pPr>
              <w:spacing w:after="0"/>
              <w:jc w:val="center"/>
              <w:rPr>
                <w:rFonts w:ascii="Arial" w:eastAsia="Calibri" w:hAnsi="Arial" w:cs="Arial"/>
                <w:b/>
                <w:bCs/>
                <w:color w:val="156082" w:themeColor="accent1"/>
                <w:sz w:val="18"/>
                <w:szCs w:val="18"/>
              </w:rPr>
            </w:pPr>
            <w:r w:rsidRPr="00E805E2">
              <w:rPr>
                <w:rFonts w:ascii="Arial" w:eastAsia="Calibri" w:hAnsi="Arial" w:cs="Arial"/>
                <w:b/>
                <w:bCs/>
                <w:color w:val="156082" w:themeColor="accent1"/>
                <w:sz w:val="18"/>
                <w:szCs w:val="18"/>
              </w:rPr>
              <w:t>2040</w:t>
            </w:r>
          </w:p>
        </w:tc>
      </w:tr>
      <w:tr w:rsidR="00BE51B1" w:rsidRPr="007D3F22" w14:paraId="797B77AA" w14:textId="77777777" w:rsidTr="00877C15">
        <w:trPr>
          <w:trHeight w:val="291"/>
          <w:jc w:val="center"/>
        </w:trPr>
        <w:tc>
          <w:tcPr>
            <w:tcW w:w="1781" w:type="dxa"/>
            <w:shd w:val="clear" w:color="auto" w:fill="B7D4EF" w:themeFill="text2" w:themeFillTint="33"/>
            <w:tcMar>
              <w:top w:w="15" w:type="dxa"/>
              <w:left w:w="15" w:type="dxa"/>
              <w:right w:w="15" w:type="dxa"/>
            </w:tcMar>
            <w:vAlign w:val="center"/>
          </w:tcPr>
          <w:p w14:paraId="575CF672"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Commodity </w:t>
            </w:r>
          </w:p>
        </w:tc>
        <w:tc>
          <w:tcPr>
            <w:tcW w:w="1568" w:type="dxa"/>
            <w:shd w:val="clear" w:color="auto" w:fill="B7D4EF" w:themeFill="text2" w:themeFillTint="33"/>
            <w:tcMar>
              <w:top w:w="15" w:type="dxa"/>
              <w:left w:w="15" w:type="dxa"/>
              <w:right w:w="15" w:type="dxa"/>
            </w:tcMar>
            <w:vAlign w:val="center"/>
          </w:tcPr>
          <w:p w14:paraId="24675F3D"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 Stage </w:t>
            </w:r>
          </w:p>
        </w:tc>
        <w:tc>
          <w:tcPr>
            <w:tcW w:w="2737" w:type="dxa"/>
            <w:gridSpan w:val="2"/>
            <w:shd w:val="clear" w:color="auto" w:fill="B7D4EF" w:themeFill="text2" w:themeFillTint="33"/>
            <w:tcMar>
              <w:top w:w="15" w:type="dxa"/>
              <w:left w:w="15" w:type="dxa"/>
              <w:right w:w="15" w:type="dxa"/>
            </w:tcMar>
            <w:vAlign w:val="center"/>
          </w:tcPr>
          <w:p w14:paraId="2CBD6940" w14:textId="77777777" w:rsidR="00BE51B1" w:rsidRPr="00766470" w:rsidRDefault="00BE51B1" w:rsidP="00877C15">
            <w:pPr>
              <w:spacing w:after="0"/>
              <w:jc w:val="center"/>
              <w:rPr>
                <w:rFonts w:ascii="Arial" w:eastAsia="Calibri" w:hAnsi="Arial" w:cs="Arial"/>
                <w:b/>
                <w:color w:val="156082" w:themeColor="accent1"/>
                <w:sz w:val="18"/>
                <w:szCs w:val="18"/>
              </w:rPr>
            </w:pPr>
            <w:r>
              <w:rPr>
                <w:rFonts w:ascii="Arial" w:eastAsia="Calibri" w:hAnsi="Arial" w:cs="Arial"/>
                <w:b/>
                <w:bCs/>
                <w:color w:val="156082" w:themeColor="accent1"/>
                <w:sz w:val="18"/>
                <w:szCs w:val="18"/>
              </w:rPr>
              <w:t>OPEX</w:t>
            </w:r>
            <w:r w:rsidRPr="00766470">
              <w:rPr>
                <w:rFonts w:ascii="Arial" w:eastAsia="Calibri" w:hAnsi="Arial" w:cs="Arial"/>
                <w:b/>
                <w:bCs/>
                <w:color w:val="156082" w:themeColor="accent1"/>
                <w:sz w:val="18"/>
                <w:szCs w:val="18"/>
              </w:rPr>
              <w:t xml:space="preserve"> </w:t>
            </w:r>
          </w:p>
        </w:tc>
      </w:tr>
      <w:tr w:rsidR="00BE51B1" w:rsidRPr="007D3F22" w14:paraId="1F72BEAC" w14:textId="77777777" w:rsidTr="00877C15">
        <w:trPr>
          <w:trHeight w:val="291"/>
          <w:jc w:val="center"/>
        </w:trPr>
        <w:tc>
          <w:tcPr>
            <w:tcW w:w="1781" w:type="dxa"/>
            <w:vMerge w:val="restart"/>
            <w:tcMar>
              <w:top w:w="15" w:type="dxa"/>
              <w:left w:w="15" w:type="dxa"/>
              <w:right w:w="15" w:type="dxa"/>
            </w:tcMar>
            <w:vAlign w:val="center"/>
          </w:tcPr>
          <w:p w14:paraId="10AAB689"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Copper </w:t>
            </w:r>
          </w:p>
        </w:tc>
        <w:tc>
          <w:tcPr>
            <w:tcW w:w="1568" w:type="dxa"/>
            <w:tcMar>
              <w:top w:w="15" w:type="dxa"/>
              <w:left w:w="15" w:type="dxa"/>
              <w:right w:w="15" w:type="dxa"/>
            </w:tcMar>
            <w:vAlign w:val="center"/>
          </w:tcPr>
          <w:p w14:paraId="00297054"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50C6EFBA"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2,929</w:t>
            </w:r>
          </w:p>
        </w:tc>
        <w:tc>
          <w:tcPr>
            <w:tcW w:w="1349" w:type="dxa"/>
            <w:tcMar>
              <w:top w:w="15" w:type="dxa"/>
              <w:left w:w="15" w:type="dxa"/>
              <w:right w:w="15" w:type="dxa"/>
            </w:tcMar>
          </w:tcPr>
          <w:p w14:paraId="7AE788A9"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4,537</w:t>
            </w:r>
          </w:p>
        </w:tc>
      </w:tr>
      <w:tr w:rsidR="00BE51B1" w:rsidRPr="00C32ED5" w14:paraId="2FB6B4D1" w14:textId="77777777" w:rsidTr="00877C15">
        <w:trPr>
          <w:trHeight w:val="291"/>
          <w:jc w:val="center"/>
        </w:trPr>
        <w:tc>
          <w:tcPr>
            <w:tcW w:w="1781" w:type="dxa"/>
            <w:vMerge/>
          </w:tcPr>
          <w:p w14:paraId="100988F4"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58D7C285"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2 </w:t>
            </w:r>
          </w:p>
        </w:tc>
        <w:tc>
          <w:tcPr>
            <w:tcW w:w="1388" w:type="dxa"/>
            <w:tcMar>
              <w:top w:w="15" w:type="dxa"/>
              <w:left w:w="15" w:type="dxa"/>
              <w:right w:w="15" w:type="dxa"/>
            </w:tcMar>
          </w:tcPr>
          <w:p w14:paraId="684E45E6"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991 </w:t>
            </w:r>
          </w:p>
        </w:tc>
        <w:tc>
          <w:tcPr>
            <w:tcW w:w="1349" w:type="dxa"/>
            <w:tcMar>
              <w:top w:w="15" w:type="dxa"/>
              <w:left w:w="15" w:type="dxa"/>
              <w:right w:w="15" w:type="dxa"/>
            </w:tcMar>
          </w:tcPr>
          <w:p w14:paraId="1DDC83BD"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1,304 </w:t>
            </w:r>
          </w:p>
        </w:tc>
      </w:tr>
      <w:tr w:rsidR="00BE51B1" w:rsidRPr="007D3F22" w14:paraId="33D5B8D8" w14:textId="77777777" w:rsidTr="00877C15">
        <w:trPr>
          <w:trHeight w:val="291"/>
          <w:jc w:val="center"/>
        </w:trPr>
        <w:tc>
          <w:tcPr>
            <w:tcW w:w="1781" w:type="dxa"/>
            <w:vMerge/>
          </w:tcPr>
          <w:p w14:paraId="0F437086"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294079CE"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1388" w:type="dxa"/>
            <w:tcMar>
              <w:top w:w="15" w:type="dxa"/>
              <w:left w:w="15" w:type="dxa"/>
              <w:right w:w="15" w:type="dxa"/>
            </w:tcMar>
          </w:tcPr>
          <w:p w14:paraId="298DA55C"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1,141 </w:t>
            </w:r>
          </w:p>
        </w:tc>
        <w:tc>
          <w:tcPr>
            <w:tcW w:w="1349" w:type="dxa"/>
            <w:tcMar>
              <w:top w:w="15" w:type="dxa"/>
              <w:left w:w="15" w:type="dxa"/>
              <w:right w:w="15" w:type="dxa"/>
            </w:tcMar>
          </w:tcPr>
          <w:p w14:paraId="3A0D85E0"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1,502 </w:t>
            </w:r>
          </w:p>
        </w:tc>
      </w:tr>
      <w:tr w:rsidR="00BE51B1" w:rsidRPr="007D3F22" w14:paraId="7ADEB513" w14:textId="77777777" w:rsidTr="00877C15">
        <w:trPr>
          <w:trHeight w:val="291"/>
          <w:jc w:val="center"/>
        </w:trPr>
        <w:tc>
          <w:tcPr>
            <w:tcW w:w="1781" w:type="dxa"/>
            <w:vMerge/>
          </w:tcPr>
          <w:p w14:paraId="29210179"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724251FA"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4.3 </w:t>
            </w:r>
          </w:p>
        </w:tc>
        <w:tc>
          <w:tcPr>
            <w:tcW w:w="1388" w:type="dxa"/>
            <w:tcMar>
              <w:top w:w="15" w:type="dxa"/>
              <w:left w:w="15" w:type="dxa"/>
              <w:right w:w="15" w:type="dxa"/>
            </w:tcMar>
          </w:tcPr>
          <w:p w14:paraId="754FC78C"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648 </w:t>
            </w:r>
          </w:p>
        </w:tc>
        <w:tc>
          <w:tcPr>
            <w:tcW w:w="1349" w:type="dxa"/>
            <w:tcMar>
              <w:top w:w="15" w:type="dxa"/>
              <w:left w:w="15" w:type="dxa"/>
              <w:right w:w="15" w:type="dxa"/>
            </w:tcMar>
          </w:tcPr>
          <w:p w14:paraId="10A73D13"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853 </w:t>
            </w:r>
          </w:p>
        </w:tc>
      </w:tr>
      <w:tr w:rsidR="00BE51B1" w:rsidRPr="007D3F22" w14:paraId="78AAB095" w14:textId="77777777" w:rsidTr="00877C15">
        <w:trPr>
          <w:trHeight w:val="291"/>
          <w:jc w:val="center"/>
        </w:trPr>
        <w:tc>
          <w:tcPr>
            <w:tcW w:w="1781" w:type="dxa"/>
            <w:vMerge/>
          </w:tcPr>
          <w:p w14:paraId="4CD59C6D"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39DEEB9F"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1388" w:type="dxa"/>
            <w:tcMar>
              <w:top w:w="15" w:type="dxa"/>
              <w:left w:w="15" w:type="dxa"/>
              <w:right w:w="15" w:type="dxa"/>
            </w:tcMar>
          </w:tcPr>
          <w:p w14:paraId="38020D6D"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720 </w:t>
            </w:r>
          </w:p>
        </w:tc>
        <w:tc>
          <w:tcPr>
            <w:tcW w:w="1349" w:type="dxa"/>
            <w:tcMar>
              <w:top w:w="15" w:type="dxa"/>
              <w:left w:w="15" w:type="dxa"/>
              <w:right w:w="15" w:type="dxa"/>
            </w:tcMar>
          </w:tcPr>
          <w:p w14:paraId="41C9E032"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948 </w:t>
            </w:r>
          </w:p>
        </w:tc>
      </w:tr>
      <w:tr w:rsidR="00BE51B1" w:rsidRPr="007D3F22" w14:paraId="47F77A78" w14:textId="77777777" w:rsidTr="00877C15">
        <w:trPr>
          <w:trHeight w:val="291"/>
          <w:jc w:val="center"/>
        </w:trPr>
        <w:tc>
          <w:tcPr>
            <w:tcW w:w="1781" w:type="dxa"/>
            <w:vMerge w:val="restart"/>
            <w:tcMar>
              <w:top w:w="15" w:type="dxa"/>
              <w:left w:w="15" w:type="dxa"/>
              <w:right w:w="15" w:type="dxa"/>
            </w:tcMar>
            <w:vAlign w:val="center"/>
          </w:tcPr>
          <w:p w14:paraId="47453CD7"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Cobalt </w:t>
            </w:r>
          </w:p>
        </w:tc>
        <w:tc>
          <w:tcPr>
            <w:tcW w:w="1568" w:type="dxa"/>
            <w:tcMar>
              <w:top w:w="15" w:type="dxa"/>
              <w:left w:w="15" w:type="dxa"/>
              <w:right w:w="15" w:type="dxa"/>
            </w:tcMar>
            <w:vAlign w:val="center"/>
          </w:tcPr>
          <w:p w14:paraId="463BCF8F"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7F96776A"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20,868 </w:t>
            </w:r>
          </w:p>
        </w:tc>
        <w:tc>
          <w:tcPr>
            <w:tcW w:w="1349" w:type="dxa"/>
            <w:tcMar>
              <w:top w:w="15" w:type="dxa"/>
              <w:left w:w="15" w:type="dxa"/>
              <w:right w:w="15" w:type="dxa"/>
            </w:tcMar>
          </w:tcPr>
          <w:p w14:paraId="4A700EE0"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32,320 </w:t>
            </w:r>
          </w:p>
        </w:tc>
      </w:tr>
      <w:tr w:rsidR="00BE51B1" w:rsidRPr="007D3F22" w14:paraId="0517DD3D" w14:textId="77777777" w:rsidTr="00877C15">
        <w:trPr>
          <w:trHeight w:val="291"/>
          <w:jc w:val="center"/>
        </w:trPr>
        <w:tc>
          <w:tcPr>
            <w:tcW w:w="1781" w:type="dxa"/>
            <w:vMerge/>
          </w:tcPr>
          <w:p w14:paraId="7C22384A"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47D661E6"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1388" w:type="dxa"/>
            <w:tcMar>
              <w:top w:w="15" w:type="dxa"/>
              <w:left w:w="15" w:type="dxa"/>
              <w:right w:w="15" w:type="dxa"/>
            </w:tcMar>
          </w:tcPr>
          <w:p w14:paraId="0676878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2,271 </w:t>
            </w:r>
          </w:p>
        </w:tc>
        <w:tc>
          <w:tcPr>
            <w:tcW w:w="1349" w:type="dxa"/>
            <w:tcMar>
              <w:top w:w="15" w:type="dxa"/>
              <w:left w:w="15" w:type="dxa"/>
              <w:right w:w="15" w:type="dxa"/>
            </w:tcMar>
          </w:tcPr>
          <w:p w14:paraId="0C391644"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3,517 </w:t>
            </w:r>
          </w:p>
        </w:tc>
      </w:tr>
      <w:tr w:rsidR="00BE51B1" w:rsidRPr="007D3F22" w14:paraId="4BBF4BA8" w14:textId="77777777" w:rsidTr="00877C15">
        <w:trPr>
          <w:trHeight w:val="291"/>
          <w:jc w:val="center"/>
        </w:trPr>
        <w:tc>
          <w:tcPr>
            <w:tcW w:w="1781" w:type="dxa"/>
            <w:vMerge/>
          </w:tcPr>
          <w:p w14:paraId="7F8F18EA"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2FBBCC35"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Stage 4.1</w:t>
            </w:r>
          </w:p>
        </w:tc>
        <w:tc>
          <w:tcPr>
            <w:tcW w:w="1388" w:type="dxa"/>
            <w:tcMar>
              <w:top w:w="15" w:type="dxa"/>
              <w:left w:w="15" w:type="dxa"/>
              <w:right w:w="15" w:type="dxa"/>
            </w:tcMar>
          </w:tcPr>
          <w:p w14:paraId="5295E93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3,845 </w:t>
            </w:r>
          </w:p>
        </w:tc>
        <w:tc>
          <w:tcPr>
            <w:tcW w:w="1349" w:type="dxa"/>
            <w:tcMar>
              <w:top w:w="15" w:type="dxa"/>
              <w:left w:w="15" w:type="dxa"/>
              <w:right w:w="15" w:type="dxa"/>
            </w:tcMar>
          </w:tcPr>
          <w:p w14:paraId="5C1FD1C5"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5,062 </w:t>
            </w:r>
          </w:p>
        </w:tc>
      </w:tr>
      <w:tr w:rsidR="00BE51B1" w:rsidRPr="007D3F22" w14:paraId="7C43744B" w14:textId="77777777" w:rsidTr="00877C15">
        <w:trPr>
          <w:trHeight w:val="291"/>
          <w:jc w:val="center"/>
        </w:trPr>
        <w:tc>
          <w:tcPr>
            <w:tcW w:w="1781" w:type="dxa"/>
            <w:vMerge/>
          </w:tcPr>
          <w:p w14:paraId="04C644C0"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45482FA0"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1388" w:type="dxa"/>
            <w:tcMar>
              <w:top w:w="15" w:type="dxa"/>
              <w:left w:w="15" w:type="dxa"/>
              <w:right w:w="15" w:type="dxa"/>
            </w:tcMar>
          </w:tcPr>
          <w:p w14:paraId="7D57D79A"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3,290 </w:t>
            </w:r>
          </w:p>
        </w:tc>
        <w:tc>
          <w:tcPr>
            <w:tcW w:w="1349" w:type="dxa"/>
            <w:tcMar>
              <w:top w:w="15" w:type="dxa"/>
              <w:left w:w="15" w:type="dxa"/>
              <w:right w:w="15" w:type="dxa"/>
            </w:tcMar>
          </w:tcPr>
          <w:p w14:paraId="2DF71DEA"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4,331 </w:t>
            </w:r>
          </w:p>
        </w:tc>
      </w:tr>
      <w:tr w:rsidR="00BE51B1" w:rsidRPr="007D3F22" w14:paraId="79CAE213" w14:textId="77777777" w:rsidTr="00877C15">
        <w:trPr>
          <w:trHeight w:val="291"/>
          <w:jc w:val="center"/>
        </w:trPr>
        <w:tc>
          <w:tcPr>
            <w:tcW w:w="1781" w:type="dxa"/>
            <w:vMerge w:val="restart"/>
            <w:tcMar>
              <w:top w:w="15" w:type="dxa"/>
              <w:left w:w="15" w:type="dxa"/>
              <w:right w:w="15" w:type="dxa"/>
            </w:tcMar>
            <w:vAlign w:val="center"/>
          </w:tcPr>
          <w:p w14:paraId="42D15CBA"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Nickel </w:t>
            </w:r>
          </w:p>
        </w:tc>
        <w:tc>
          <w:tcPr>
            <w:tcW w:w="1568" w:type="dxa"/>
            <w:tcMar>
              <w:top w:w="15" w:type="dxa"/>
              <w:left w:w="15" w:type="dxa"/>
              <w:right w:w="15" w:type="dxa"/>
            </w:tcMar>
            <w:vAlign w:val="center"/>
          </w:tcPr>
          <w:p w14:paraId="74DF3298"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31A4E80E"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7,147 </w:t>
            </w:r>
          </w:p>
        </w:tc>
        <w:tc>
          <w:tcPr>
            <w:tcW w:w="1349" w:type="dxa"/>
            <w:tcMar>
              <w:top w:w="15" w:type="dxa"/>
              <w:left w:w="15" w:type="dxa"/>
              <w:right w:w="15" w:type="dxa"/>
            </w:tcMar>
          </w:tcPr>
          <w:p w14:paraId="1E673E39"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11,069 </w:t>
            </w:r>
          </w:p>
        </w:tc>
      </w:tr>
      <w:tr w:rsidR="00BE51B1" w:rsidRPr="007D3F22" w14:paraId="160D1A48" w14:textId="77777777" w:rsidTr="00877C15">
        <w:trPr>
          <w:trHeight w:val="291"/>
          <w:jc w:val="center"/>
        </w:trPr>
        <w:tc>
          <w:tcPr>
            <w:tcW w:w="1781" w:type="dxa"/>
            <w:vMerge/>
          </w:tcPr>
          <w:p w14:paraId="774FFD24"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52AF533A"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2 </w:t>
            </w:r>
          </w:p>
        </w:tc>
        <w:tc>
          <w:tcPr>
            <w:tcW w:w="1388" w:type="dxa"/>
            <w:tcMar>
              <w:top w:w="15" w:type="dxa"/>
              <w:left w:w="15" w:type="dxa"/>
              <w:right w:w="15" w:type="dxa"/>
            </w:tcMar>
          </w:tcPr>
          <w:p w14:paraId="2B18A95E"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785 </w:t>
            </w:r>
          </w:p>
        </w:tc>
        <w:tc>
          <w:tcPr>
            <w:tcW w:w="1349" w:type="dxa"/>
            <w:tcMar>
              <w:top w:w="15" w:type="dxa"/>
              <w:left w:w="15" w:type="dxa"/>
              <w:right w:w="15" w:type="dxa"/>
            </w:tcMar>
          </w:tcPr>
          <w:p w14:paraId="6C26580F"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1,216 </w:t>
            </w:r>
          </w:p>
        </w:tc>
      </w:tr>
      <w:tr w:rsidR="00BE51B1" w:rsidRPr="007D3F22" w14:paraId="610382A7" w14:textId="77777777" w:rsidTr="00877C15">
        <w:trPr>
          <w:trHeight w:val="291"/>
          <w:jc w:val="center"/>
        </w:trPr>
        <w:tc>
          <w:tcPr>
            <w:tcW w:w="1781" w:type="dxa"/>
            <w:vMerge/>
          </w:tcPr>
          <w:p w14:paraId="0FB6061D"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551544BA"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1388" w:type="dxa"/>
            <w:tcMar>
              <w:top w:w="15" w:type="dxa"/>
              <w:left w:w="15" w:type="dxa"/>
              <w:right w:w="15" w:type="dxa"/>
            </w:tcMar>
          </w:tcPr>
          <w:p w14:paraId="2BFA6445"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1,571  </w:t>
            </w:r>
          </w:p>
        </w:tc>
        <w:tc>
          <w:tcPr>
            <w:tcW w:w="1349" w:type="dxa"/>
            <w:tcMar>
              <w:top w:w="15" w:type="dxa"/>
              <w:left w:w="15" w:type="dxa"/>
              <w:right w:w="15" w:type="dxa"/>
            </w:tcMar>
            <w:vAlign w:val="center"/>
          </w:tcPr>
          <w:p w14:paraId="3FE57698"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2,433</w:t>
            </w:r>
          </w:p>
        </w:tc>
      </w:tr>
      <w:tr w:rsidR="00BE51B1" w:rsidRPr="007D3F22" w14:paraId="7D462566" w14:textId="77777777" w:rsidTr="00877C15">
        <w:trPr>
          <w:trHeight w:val="291"/>
          <w:jc w:val="center"/>
        </w:trPr>
        <w:tc>
          <w:tcPr>
            <w:tcW w:w="1781" w:type="dxa"/>
            <w:vMerge/>
          </w:tcPr>
          <w:p w14:paraId="5EB82DE9"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5AC63D67"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1388" w:type="dxa"/>
            <w:tcMar>
              <w:top w:w="15" w:type="dxa"/>
              <w:left w:w="15" w:type="dxa"/>
              <w:right w:w="15" w:type="dxa"/>
            </w:tcMar>
            <w:vAlign w:val="center"/>
          </w:tcPr>
          <w:p w14:paraId="022E78A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1,460</w:t>
            </w:r>
          </w:p>
        </w:tc>
        <w:tc>
          <w:tcPr>
            <w:tcW w:w="1349" w:type="dxa"/>
            <w:tcMar>
              <w:top w:w="15" w:type="dxa"/>
              <w:left w:w="15" w:type="dxa"/>
              <w:right w:w="15" w:type="dxa"/>
            </w:tcMar>
            <w:vAlign w:val="center"/>
          </w:tcPr>
          <w:p w14:paraId="4BD674A8"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1,922</w:t>
            </w:r>
          </w:p>
        </w:tc>
      </w:tr>
      <w:tr w:rsidR="00BE51B1" w:rsidRPr="007D3F22" w14:paraId="6F189B90" w14:textId="77777777" w:rsidTr="00877C15">
        <w:trPr>
          <w:trHeight w:val="291"/>
          <w:jc w:val="center"/>
        </w:trPr>
        <w:tc>
          <w:tcPr>
            <w:tcW w:w="1781" w:type="dxa"/>
            <w:vMerge w:val="restart"/>
            <w:tcMar>
              <w:top w:w="15" w:type="dxa"/>
              <w:left w:w="15" w:type="dxa"/>
              <w:right w:w="15" w:type="dxa"/>
            </w:tcMar>
            <w:vAlign w:val="center"/>
          </w:tcPr>
          <w:p w14:paraId="0715BF22"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Lithium </w:t>
            </w:r>
          </w:p>
        </w:tc>
        <w:tc>
          <w:tcPr>
            <w:tcW w:w="1568" w:type="dxa"/>
            <w:tcMar>
              <w:top w:w="15" w:type="dxa"/>
              <w:left w:w="15" w:type="dxa"/>
              <w:right w:w="15" w:type="dxa"/>
            </w:tcMar>
            <w:vAlign w:val="center"/>
          </w:tcPr>
          <w:p w14:paraId="68521F3D"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31856797"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2,265 </w:t>
            </w:r>
          </w:p>
        </w:tc>
        <w:tc>
          <w:tcPr>
            <w:tcW w:w="1349" w:type="dxa"/>
            <w:tcMar>
              <w:top w:w="15" w:type="dxa"/>
              <w:left w:w="15" w:type="dxa"/>
              <w:right w:w="15" w:type="dxa"/>
            </w:tcMar>
          </w:tcPr>
          <w:p w14:paraId="65E3CC1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3,508 </w:t>
            </w:r>
          </w:p>
        </w:tc>
      </w:tr>
      <w:tr w:rsidR="00BE51B1" w:rsidRPr="007D3F22" w14:paraId="0CC2B203" w14:textId="77777777" w:rsidTr="00877C15">
        <w:trPr>
          <w:trHeight w:val="291"/>
          <w:jc w:val="center"/>
        </w:trPr>
        <w:tc>
          <w:tcPr>
            <w:tcW w:w="1781" w:type="dxa"/>
            <w:vMerge/>
          </w:tcPr>
          <w:p w14:paraId="1E14D907"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20D6A2CF"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1388" w:type="dxa"/>
            <w:tcMar>
              <w:top w:w="15" w:type="dxa"/>
              <w:left w:w="15" w:type="dxa"/>
              <w:right w:w="15" w:type="dxa"/>
            </w:tcMar>
          </w:tcPr>
          <w:p w14:paraId="65309AB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4,783 </w:t>
            </w:r>
          </w:p>
        </w:tc>
        <w:tc>
          <w:tcPr>
            <w:tcW w:w="1349" w:type="dxa"/>
            <w:tcMar>
              <w:top w:w="15" w:type="dxa"/>
              <w:left w:w="15" w:type="dxa"/>
              <w:right w:w="15" w:type="dxa"/>
            </w:tcMar>
          </w:tcPr>
          <w:p w14:paraId="14AB5AAF"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6,297 </w:t>
            </w:r>
          </w:p>
        </w:tc>
      </w:tr>
      <w:tr w:rsidR="00BE51B1" w:rsidRPr="007D3F22" w14:paraId="0F3FBF3E" w14:textId="77777777" w:rsidTr="00877C15">
        <w:trPr>
          <w:trHeight w:val="291"/>
          <w:jc w:val="center"/>
        </w:trPr>
        <w:tc>
          <w:tcPr>
            <w:tcW w:w="1781" w:type="dxa"/>
            <w:vMerge/>
          </w:tcPr>
          <w:p w14:paraId="2433C6AD"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7159AD6A"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4.2 </w:t>
            </w:r>
          </w:p>
        </w:tc>
        <w:tc>
          <w:tcPr>
            <w:tcW w:w="1388" w:type="dxa"/>
            <w:tcMar>
              <w:top w:w="15" w:type="dxa"/>
              <w:left w:w="15" w:type="dxa"/>
              <w:right w:w="15" w:type="dxa"/>
            </w:tcMar>
          </w:tcPr>
          <w:p w14:paraId="185EC228"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4,352 </w:t>
            </w:r>
          </w:p>
        </w:tc>
        <w:tc>
          <w:tcPr>
            <w:tcW w:w="1349" w:type="dxa"/>
            <w:tcMar>
              <w:top w:w="15" w:type="dxa"/>
              <w:left w:w="15" w:type="dxa"/>
              <w:right w:w="15" w:type="dxa"/>
            </w:tcMar>
          </w:tcPr>
          <w:p w14:paraId="064B3BBF"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5,729 </w:t>
            </w:r>
          </w:p>
        </w:tc>
      </w:tr>
      <w:tr w:rsidR="00BE51B1" w:rsidRPr="007D3F22" w14:paraId="48FB94E0" w14:textId="77777777" w:rsidTr="00877C15">
        <w:trPr>
          <w:trHeight w:val="291"/>
          <w:jc w:val="center"/>
        </w:trPr>
        <w:tc>
          <w:tcPr>
            <w:tcW w:w="1781" w:type="dxa"/>
            <w:vMerge w:val="restart"/>
            <w:tcMar>
              <w:top w:w="15" w:type="dxa"/>
              <w:left w:w="15" w:type="dxa"/>
              <w:right w:w="15" w:type="dxa"/>
            </w:tcMar>
            <w:vAlign w:val="center"/>
          </w:tcPr>
          <w:p w14:paraId="1B98717C"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Manganese </w:t>
            </w:r>
          </w:p>
        </w:tc>
        <w:tc>
          <w:tcPr>
            <w:tcW w:w="1568" w:type="dxa"/>
            <w:tcMar>
              <w:top w:w="15" w:type="dxa"/>
              <w:left w:w="15" w:type="dxa"/>
              <w:right w:w="15" w:type="dxa"/>
            </w:tcMar>
            <w:vAlign w:val="center"/>
          </w:tcPr>
          <w:p w14:paraId="42467238"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2398B5D2"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306 </w:t>
            </w:r>
          </w:p>
        </w:tc>
        <w:tc>
          <w:tcPr>
            <w:tcW w:w="1349" w:type="dxa"/>
            <w:tcMar>
              <w:top w:w="15" w:type="dxa"/>
              <w:left w:w="15" w:type="dxa"/>
              <w:right w:w="15" w:type="dxa"/>
            </w:tcMar>
          </w:tcPr>
          <w:p w14:paraId="34840D36"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403 </w:t>
            </w:r>
          </w:p>
        </w:tc>
      </w:tr>
      <w:tr w:rsidR="00BE51B1" w:rsidRPr="007D3F22" w14:paraId="4B47D428" w14:textId="77777777" w:rsidTr="00877C15">
        <w:trPr>
          <w:trHeight w:val="291"/>
          <w:jc w:val="center"/>
        </w:trPr>
        <w:tc>
          <w:tcPr>
            <w:tcW w:w="1781" w:type="dxa"/>
            <w:vMerge/>
          </w:tcPr>
          <w:p w14:paraId="768B416B"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5759A33A"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3.1 </w:t>
            </w:r>
          </w:p>
        </w:tc>
        <w:tc>
          <w:tcPr>
            <w:tcW w:w="1388" w:type="dxa"/>
            <w:tcMar>
              <w:top w:w="15" w:type="dxa"/>
              <w:left w:w="15" w:type="dxa"/>
              <w:right w:w="15" w:type="dxa"/>
            </w:tcMar>
          </w:tcPr>
          <w:p w14:paraId="24D7BD9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988 </w:t>
            </w:r>
          </w:p>
        </w:tc>
        <w:tc>
          <w:tcPr>
            <w:tcW w:w="1349" w:type="dxa"/>
            <w:tcMar>
              <w:top w:w="15" w:type="dxa"/>
              <w:left w:w="15" w:type="dxa"/>
              <w:right w:w="15" w:type="dxa"/>
            </w:tcMar>
          </w:tcPr>
          <w:p w14:paraId="039020D2"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1,301 </w:t>
            </w:r>
          </w:p>
        </w:tc>
      </w:tr>
      <w:tr w:rsidR="00BE51B1" w:rsidRPr="007D3F22" w14:paraId="386CCF0E" w14:textId="77777777" w:rsidTr="00877C15">
        <w:trPr>
          <w:trHeight w:val="291"/>
          <w:jc w:val="center"/>
        </w:trPr>
        <w:tc>
          <w:tcPr>
            <w:tcW w:w="1781" w:type="dxa"/>
            <w:vMerge/>
          </w:tcPr>
          <w:p w14:paraId="1DA2E165" w14:textId="77777777" w:rsidR="00BE51B1" w:rsidRPr="00766470" w:rsidRDefault="00BE51B1" w:rsidP="00877C15">
            <w:pPr>
              <w:rPr>
                <w:rFonts w:ascii="Arial" w:hAnsi="Arial" w:cs="Arial"/>
                <w:b/>
                <w:bCs/>
                <w:color w:val="156082" w:themeColor="accent1"/>
              </w:rPr>
            </w:pPr>
          </w:p>
        </w:tc>
        <w:tc>
          <w:tcPr>
            <w:tcW w:w="1568" w:type="dxa"/>
            <w:tcMar>
              <w:top w:w="15" w:type="dxa"/>
              <w:left w:w="15" w:type="dxa"/>
              <w:right w:w="15" w:type="dxa"/>
            </w:tcMar>
            <w:vAlign w:val="center"/>
          </w:tcPr>
          <w:p w14:paraId="0CAD9186"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4.1 </w:t>
            </w:r>
          </w:p>
        </w:tc>
        <w:tc>
          <w:tcPr>
            <w:tcW w:w="1388" w:type="dxa"/>
            <w:tcMar>
              <w:top w:w="15" w:type="dxa"/>
              <w:left w:w="15" w:type="dxa"/>
              <w:right w:w="15" w:type="dxa"/>
            </w:tcMar>
          </w:tcPr>
          <w:p w14:paraId="79B46D23"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440 </w:t>
            </w:r>
          </w:p>
        </w:tc>
        <w:tc>
          <w:tcPr>
            <w:tcW w:w="1349" w:type="dxa"/>
            <w:tcMar>
              <w:top w:w="15" w:type="dxa"/>
              <w:left w:w="15" w:type="dxa"/>
              <w:right w:w="15" w:type="dxa"/>
            </w:tcMar>
          </w:tcPr>
          <w:p w14:paraId="19CBBF0B"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579 </w:t>
            </w:r>
          </w:p>
        </w:tc>
      </w:tr>
      <w:tr w:rsidR="00BE51B1" w:rsidRPr="007D3F22" w14:paraId="6ABE1DD2" w14:textId="77777777" w:rsidTr="00877C15">
        <w:trPr>
          <w:trHeight w:val="291"/>
          <w:jc w:val="center"/>
        </w:trPr>
        <w:tc>
          <w:tcPr>
            <w:tcW w:w="1781" w:type="dxa"/>
            <w:vMerge w:val="restart"/>
            <w:tcMar>
              <w:top w:w="15" w:type="dxa"/>
              <w:left w:w="15" w:type="dxa"/>
              <w:right w:w="15" w:type="dxa"/>
            </w:tcMar>
            <w:vAlign w:val="center"/>
          </w:tcPr>
          <w:p w14:paraId="41501F8E" w14:textId="77777777" w:rsidR="00BE51B1" w:rsidRPr="00766470" w:rsidRDefault="00BE51B1" w:rsidP="00877C15">
            <w:pPr>
              <w:spacing w:after="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Graphite </w:t>
            </w:r>
          </w:p>
        </w:tc>
        <w:tc>
          <w:tcPr>
            <w:tcW w:w="1568" w:type="dxa"/>
            <w:tcMar>
              <w:top w:w="15" w:type="dxa"/>
              <w:left w:w="15" w:type="dxa"/>
              <w:right w:w="15" w:type="dxa"/>
            </w:tcMar>
            <w:vAlign w:val="center"/>
          </w:tcPr>
          <w:p w14:paraId="39D771C3"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 Stage 1 </w:t>
            </w:r>
          </w:p>
        </w:tc>
        <w:tc>
          <w:tcPr>
            <w:tcW w:w="1388" w:type="dxa"/>
            <w:tcMar>
              <w:top w:w="15" w:type="dxa"/>
              <w:left w:w="15" w:type="dxa"/>
              <w:right w:w="15" w:type="dxa"/>
            </w:tcMar>
          </w:tcPr>
          <w:p w14:paraId="19342441"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255 </w:t>
            </w:r>
          </w:p>
        </w:tc>
        <w:tc>
          <w:tcPr>
            <w:tcW w:w="1349" w:type="dxa"/>
            <w:tcMar>
              <w:top w:w="15" w:type="dxa"/>
              <w:left w:w="15" w:type="dxa"/>
              <w:right w:w="15" w:type="dxa"/>
            </w:tcMar>
            <w:vAlign w:val="center"/>
          </w:tcPr>
          <w:p w14:paraId="005F8000"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336</w:t>
            </w:r>
          </w:p>
        </w:tc>
      </w:tr>
      <w:tr w:rsidR="00BE51B1" w:rsidRPr="007D3F22" w14:paraId="11F5D413" w14:textId="77777777" w:rsidTr="00877C15">
        <w:trPr>
          <w:trHeight w:val="291"/>
          <w:jc w:val="center"/>
        </w:trPr>
        <w:tc>
          <w:tcPr>
            <w:tcW w:w="1781" w:type="dxa"/>
            <w:vMerge/>
          </w:tcPr>
          <w:p w14:paraId="1A8AE65F" w14:textId="77777777" w:rsidR="00BE51B1" w:rsidRPr="00766470" w:rsidRDefault="00BE51B1" w:rsidP="00877C15">
            <w:pPr>
              <w:rPr>
                <w:rFonts w:ascii="Arial" w:hAnsi="Arial" w:cs="Arial"/>
              </w:rPr>
            </w:pPr>
          </w:p>
        </w:tc>
        <w:tc>
          <w:tcPr>
            <w:tcW w:w="1568" w:type="dxa"/>
            <w:tcMar>
              <w:top w:w="15" w:type="dxa"/>
              <w:left w:w="15" w:type="dxa"/>
              <w:right w:w="15" w:type="dxa"/>
            </w:tcMar>
            <w:vAlign w:val="center"/>
          </w:tcPr>
          <w:p w14:paraId="5DB48DA5"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Stage 3</w:t>
            </w:r>
          </w:p>
        </w:tc>
        <w:tc>
          <w:tcPr>
            <w:tcW w:w="1388" w:type="dxa"/>
            <w:tcMar>
              <w:top w:w="15" w:type="dxa"/>
              <w:left w:w="15" w:type="dxa"/>
              <w:right w:w="15" w:type="dxa"/>
            </w:tcMar>
          </w:tcPr>
          <w:p w14:paraId="72AAE98D"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450</w:t>
            </w:r>
          </w:p>
        </w:tc>
        <w:tc>
          <w:tcPr>
            <w:tcW w:w="1349" w:type="dxa"/>
            <w:tcMar>
              <w:top w:w="15" w:type="dxa"/>
              <w:left w:w="15" w:type="dxa"/>
              <w:right w:w="15" w:type="dxa"/>
            </w:tcMar>
          </w:tcPr>
          <w:p w14:paraId="21CEB4AB"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592 </w:t>
            </w:r>
          </w:p>
        </w:tc>
      </w:tr>
      <w:tr w:rsidR="00BE51B1" w:rsidRPr="007D3F22" w14:paraId="0B74A59A" w14:textId="77777777" w:rsidTr="00877C15">
        <w:trPr>
          <w:trHeight w:val="291"/>
          <w:jc w:val="center"/>
        </w:trPr>
        <w:tc>
          <w:tcPr>
            <w:tcW w:w="1781" w:type="dxa"/>
            <w:vMerge/>
          </w:tcPr>
          <w:p w14:paraId="1ED5891D" w14:textId="77777777" w:rsidR="00BE51B1" w:rsidRPr="00766470" w:rsidRDefault="00BE51B1" w:rsidP="00877C15">
            <w:pPr>
              <w:rPr>
                <w:rFonts w:ascii="Arial" w:hAnsi="Arial" w:cs="Arial"/>
              </w:rPr>
            </w:pPr>
          </w:p>
        </w:tc>
        <w:tc>
          <w:tcPr>
            <w:tcW w:w="1568" w:type="dxa"/>
            <w:tcMar>
              <w:top w:w="15" w:type="dxa"/>
              <w:left w:w="15" w:type="dxa"/>
              <w:right w:w="15" w:type="dxa"/>
            </w:tcMar>
            <w:vAlign w:val="center"/>
          </w:tcPr>
          <w:p w14:paraId="00F9D775"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 </w:t>
            </w:r>
          </w:p>
        </w:tc>
        <w:tc>
          <w:tcPr>
            <w:tcW w:w="1388" w:type="dxa"/>
            <w:tcMar>
              <w:top w:w="15" w:type="dxa"/>
              <w:left w:w="15" w:type="dxa"/>
              <w:right w:w="15" w:type="dxa"/>
            </w:tcMar>
          </w:tcPr>
          <w:p w14:paraId="0BCB66A5"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1,600 </w:t>
            </w:r>
          </w:p>
        </w:tc>
        <w:tc>
          <w:tcPr>
            <w:tcW w:w="1349" w:type="dxa"/>
            <w:tcMar>
              <w:top w:w="15" w:type="dxa"/>
              <w:left w:w="15" w:type="dxa"/>
              <w:right w:w="15" w:type="dxa"/>
            </w:tcMar>
          </w:tcPr>
          <w:p w14:paraId="152D71D5"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2,106 </w:t>
            </w:r>
          </w:p>
        </w:tc>
      </w:tr>
      <w:tr w:rsidR="00BE51B1" w:rsidRPr="007D3F22" w14:paraId="73175FDE" w14:textId="77777777" w:rsidTr="00877C15">
        <w:trPr>
          <w:trHeight w:val="291"/>
          <w:jc w:val="center"/>
        </w:trPr>
        <w:tc>
          <w:tcPr>
            <w:tcW w:w="1781" w:type="dxa"/>
            <w:vMerge/>
          </w:tcPr>
          <w:p w14:paraId="1501BD08" w14:textId="77777777" w:rsidR="00BE51B1" w:rsidRPr="00766470" w:rsidRDefault="00BE51B1" w:rsidP="00877C15">
            <w:pPr>
              <w:rPr>
                <w:rFonts w:ascii="Arial" w:hAnsi="Arial" w:cs="Arial"/>
              </w:rPr>
            </w:pPr>
          </w:p>
        </w:tc>
        <w:tc>
          <w:tcPr>
            <w:tcW w:w="1568" w:type="dxa"/>
            <w:tcMar>
              <w:top w:w="15" w:type="dxa"/>
              <w:left w:w="15" w:type="dxa"/>
              <w:right w:w="15" w:type="dxa"/>
            </w:tcMar>
            <w:vAlign w:val="center"/>
          </w:tcPr>
          <w:p w14:paraId="7EBDA0F3" w14:textId="77777777" w:rsidR="00BE51B1" w:rsidRPr="00766470" w:rsidRDefault="00BE51B1" w:rsidP="00877C15">
            <w:pPr>
              <w:spacing w:after="0"/>
              <w:jc w:val="center"/>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1388" w:type="dxa"/>
            <w:tcMar>
              <w:top w:w="15" w:type="dxa"/>
              <w:left w:w="15" w:type="dxa"/>
              <w:right w:w="15" w:type="dxa"/>
            </w:tcMar>
          </w:tcPr>
          <w:p w14:paraId="4BD485F2"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1,600 </w:t>
            </w:r>
          </w:p>
        </w:tc>
        <w:tc>
          <w:tcPr>
            <w:tcW w:w="1349" w:type="dxa"/>
            <w:tcMar>
              <w:top w:w="15" w:type="dxa"/>
              <w:left w:w="15" w:type="dxa"/>
              <w:right w:w="15" w:type="dxa"/>
            </w:tcMar>
          </w:tcPr>
          <w:p w14:paraId="33237A4B" w14:textId="77777777" w:rsidR="00BE51B1" w:rsidRPr="00862D7C" w:rsidRDefault="00BE51B1" w:rsidP="00877C15">
            <w:pPr>
              <w:spacing w:after="0"/>
              <w:jc w:val="center"/>
              <w:rPr>
                <w:rFonts w:ascii="Arial" w:eastAsia="Calibri" w:hAnsi="Arial" w:cs="Arial"/>
                <w:color w:val="000000" w:themeColor="text1"/>
                <w:sz w:val="18"/>
                <w:szCs w:val="18"/>
              </w:rPr>
            </w:pPr>
            <w:r w:rsidRPr="00862D7C">
              <w:rPr>
                <w:rFonts w:ascii="Arial" w:hAnsi="Arial" w:cs="Arial"/>
                <w:sz w:val="18"/>
                <w:szCs w:val="18"/>
              </w:rPr>
              <w:t xml:space="preserve"> 2,106 </w:t>
            </w:r>
          </w:p>
        </w:tc>
      </w:tr>
    </w:tbl>
    <w:p w14:paraId="62C5B292" w14:textId="77777777" w:rsidR="00BE51B1" w:rsidRPr="00766470" w:rsidRDefault="00BE51B1" w:rsidP="00BE51B1">
      <w:pPr>
        <w:spacing w:line="257" w:lineRule="auto"/>
        <w:jc w:val="both"/>
        <w:rPr>
          <w:rFonts w:ascii="Arial" w:eastAsia="Times New Roman" w:hAnsi="Arial" w:cs="Arial"/>
        </w:rPr>
      </w:pPr>
    </w:p>
    <w:p w14:paraId="55606CAB" w14:textId="77777777" w:rsidR="00BE51B1" w:rsidRPr="00AD40F3" w:rsidRDefault="00BE51B1" w:rsidP="00BE51B1">
      <w:pPr>
        <w:pStyle w:val="Heading3"/>
        <w:jc w:val="both"/>
        <w:rPr>
          <w:rFonts w:ascii="Arial" w:hAnsi="Arial" w:cs="Arial"/>
          <w:b/>
          <w:bCs/>
          <w:color w:val="000000" w:themeColor="text1"/>
          <w:sz w:val="24"/>
          <w:szCs w:val="24"/>
        </w:rPr>
      </w:pPr>
      <w:bookmarkStart w:id="65" w:name="_Toc211272289"/>
      <w:r w:rsidRPr="00AD40F3">
        <w:rPr>
          <w:rFonts w:ascii="Arial" w:hAnsi="Arial" w:cs="Arial"/>
          <w:b/>
          <w:bCs/>
          <w:color w:val="000000" w:themeColor="text1"/>
          <w:sz w:val="24"/>
          <w:szCs w:val="24"/>
        </w:rPr>
        <w:t>3.2.3 Prices for different stages of processed mineral were projected.</w:t>
      </w:r>
      <w:bookmarkEnd w:id="65"/>
      <w:r w:rsidRPr="00AD40F3">
        <w:rPr>
          <w:rFonts w:ascii="Arial" w:hAnsi="Arial" w:cs="Arial"/>
          <w:b/>
          <w:bCs/>
          <w:color w:val="000000" w:themeColor="text1"/>
          <w:sz w:val="24"/>
          <w:szCs w:val="24"/>
        </w:rPr>
        <w:t xml:space="preserve"> </w:t>
      </w:r>
    </w:p>
    <w:p w14:paraId="6F35CFF5" w14:textId="2DE3C572" w:rsidR="00BE51B1" w:rsidRDefault="00BE51B1" w:rsidP="00BE51B1">
      <w:pPr>
        <w:spacing w:line="276" w:lineRule="auto"/>
        <w:jc w:val="both"/>
        <w:rPr>
          <w:rFonts w:ascii="Arial" w:hAnsi="Arial" w:cs="Arial"/>
        </w:rPr>
      </w:pPr>
      <w:r>
        <w:rPr>
          <w:rFonts w:ascii="Arial" w:hAnsi="Arial" w:cs="Arial"/>
        </w:rPr>
        <w:br/>
      </w:r>
      <w:r w:rsidRPr="00766470">
        <w:rPr>
          <w:rFonts w:ascii="Arial" w:hAnsi="Arial" w:cs="Arial"/>
        </w:rPr>
        <w:t>Projections of future prices of critical minerals at each stage of processing are an important input into the study. These are needed to calculate future export revenues and value addition, as well as to anchor calculations of unit cost for late-stage processing (see</w:t>
      </w:r>
      <w:r w:rsidR="005A502B">
        <w:rPr>
          <w:rFonts w:ascii="Arial" w:hAnsi="Arial" w:cs="Arial"/>
        </w:rPr>
        <w:t xml:space="preserve"> </w:t>
      </w:r>
      <w:r w:rsidR="005A502B">
        <w:rPr>
          <w:rFonts w:ascii="Arial" w:hAnsi="Arial" w:cs="Arial"/>
        </w:rPr>
        <w:fldChar w:fldCharType="begin"/>
      </w:r>
      <w:r w:rsidR="005A502B">
        <w:rPr>
          <w:rFonts w:ascii="Arial" w:hAnsi="Arial" w:cs="Arial"/>
        </w:rPr>
        <w:instrText xml:space="preserve"> REF _Ref214444878 \h </w:instrText>
      </w:r>
      <w:r w:rsidR="005A502B">
        <w:rPr>
          <w:rFonts w:ascii="Arial" w:hAnsi="Arial" w:cs="Arial"/>
        </w:rPr>
      </w:r>
      <w:r w:rsidR="005A502B">
        <w:rPr>
          <w:rFonts w:ascii="Arial" w:hAnsi="Arial" w:cs="Arial"/>
        </w:rPr>
        <w:fldChar w:fldCharType="separate"/>
      </w:r>
      <w:r w:rsidR="005A502B">
        <w:t>Table 7</w:t>
      </w:r>
      <w:r w:rsidR="005A502B">
        <w:rPr>
          <w:rFonts w:ascii="Arial" w:hAnsi="Arial" w:cs="Arial"/>
        </w:rPr>
        <w:fldChar w:fldCharType="end"/>
      </w:r>
      <w:r w:rsidRPr="00766470">
        <w:rPr>
          <w:rFonts w:ascii="Arial" w:hAnsi="Arial" w:cs="Arial"/>
        </w:rPr>
        <w:t>). Baseline data on prices of processed minerals were obtained from the London Metal Exchange</w:t>
      </w:r>
      <w:r w:rsidRPr="00766470">
        <w:rPr>
          <w:rFonts w:ascii="Arial" w:hAnsi="Arial" w:cs="Arial"/>
        </w:rPr>
        <w:fldChar w:fldCharType="begin"/>
      </w:r>
      <w:r w:rsidR="007E07E0">
        <w:rPr>
          <w:rFonts w:ascii="Arial" w:hAnsi="Arial" w:cs="Arial"/>
        </w:rPr>
        <w:instrText xml:space="preserve"> ADDIN ZOTERO_ITEM CSL_CITATION {"citationID":"CQbWPwIU","properties":{"formattedCitation":"\\super 40\\nosupersub{}","plainCitation":"40","noteIndex":0},"citationItems":[{"id":1995,"uris":["http://zotero.org/users/10918866/items/PGV3GZ4L"],"itemData":{"id":1995,"type":"webpage","abstract":"Reports and data","container-title":"Lme","language":"en-GB","title":"Reports and data | London Metal Exchange","URL":"https://www.lme.com/Market-data/Reports-and-data","author":[{"family":"The London Metal Exchange","given":""}],"accessed":{"date-parts":[["2025",3,7]]},"issued":{"date-parts":[["2025"]]}}}],"schema":"https://github.com/citation-style-language/schema/raw/master/csl-citation.json"} </w:instrText>
      </w:r>
      <w:r w:rsidRPr="00766470">
        <w:rPr>
          <w:rFonts w:ascii="Arial" w:hAnsi="Arial" w:cs="Arial"/>
        </w:rPr>
        <w:fldChar w:fldCharType="separate"/>
      </w:r>
      <w:r w:rsidR="007E07E0" w:rsidRPr="007E07E0">
        <w:rPr>
          <w:rFonts w:ascii="Arial" w:hAnsi="Arial" w:cs="Arial"/>
          <w:kern w:val="0"/>
          <w:vertAlign w:val="superscript"/>
        </w:rPr>
        <w:t>40</w:t>
      </w:r>
      <w:r w:rsidRPr="00766470">
        <w:rPr>
          <w:rFonts w:ascii="Arial" w:hAnsi="Arial" w:cs="Arial"/>
        </w:rPr>
        <w:fldChar w:fldCharType="end"/>
      </w:r>
      <w:r w:rsidRPr="00766470">
        <w:rPr>
          <w:rFonts w:ascii="Arial" w:hAnsi="Arial" w:cs="Arial"/>
        </w:rPr>
        <w:t xml:space="preserve"> for the base year of 2022, as well as a range of other sources detailed in</w:t>
      </w:r>
      <w:r w:rsidR="007C1413">
        <w:rPr>
          <w:rFonts w:ascii="Arial" w:hAnsi="Arial" w:cs="Arial"/>
          <w:b/>
          <w:bCs/>
        </w:rPr>
        <w:t xml:space="preserve"> </w:t>
      </w:r>
      <w:r w:rsidR="007C1413">
        <w:rPr>
          <w:rFonts w:ascii="Arial" w:hAnsi="Arial" w:cs="Arial"/>
          <w:b/>
          <w:bCs/>
        </w:rPr>
        <w:fldChar w:fldCharType="begin"/>
      </w:r>
      <w:r w:rsidR="007C1413">
        <w:rPr>
          <w:rFonts w:ascii="Arial" w:hAnsi="Arial" w:cs="Arial"/>
          <w:b/>
          <w:bCs/>
        </w:rPr>
        <w:instrText xml:space="preserve"> REF _Ref214444894 \h </w:instrText>
      </w:r>
      <w:r w:rsidR="007C1413">
        <w:rPr>
          <w:rFonts w:ascii="Arial" w:hAnsi="Arial" w:cs="Arial"/>
          <w:b/>
          <w:bCs/>
        </w:rPr>
      </w:r>
      <w:r w:rsidR="007C1413">
        <w:rPr>
          <w:rFonts w:ascii="Arial" w:hAnsi="Arial" w:cs="Arial"/>
          <w:b/>
          <w:bCs/>
        </w:rPr>
        <w:fldChar w:fldCharType="separate"/>
      </w:r>
      <w:r w:rsidR="005A502B">
        <w:t>Table 8</w:t>
      </w:r>
      <w:r w:rsidR="007C1413">
        <w:rPr>
          <w:rFonts w:ascii="Arial" w:hAnsi="Arial" w:cs="Arial"/>
          <w:b/>
          <w:bCs/>
        </w:rPr>
        <w:fldChar w:fldCharType="end"/>
      </w:r>
      <w:r w:rsidRPr="00766470">
        <w:rPr>
          <w:rFonts w:ascii="Arial" w:hAnsi="Arial" w:cs="Arial"/>
        </w:rPr>
        <w:t xml:space="preserve">. </w:t>
      </w:r>
      <w:r>
        <w:rPr>
          <w:rFonts w:ascii="Arial" w:hAnsi="Arial" w:cs="Arial"/>
        </w:rPr>
        <w:t>Identifying prices for some stages was challenging since some stages are not tracked by indices since they are hard to standardise or prices are kept private between companies and customers. In such cases, estimations were made as described below.</w:t>
      </w:r>
    </w:p>
    <w:p w14:paraId="7E77E329" w14:textId="65F5662B" w:rsidR="00BE51B1" w:rsidRPr="009F3AF4" w:rsidRDefault="007C1413" w:rsidP="007C1413">
      <w:pPr>
        <w:pStyle w:val="Caption"/>
      </w:pPr>
      <w:bookmarkStart w:id="66" w:name="_Ref214444894"/>
      <w:bookmarkStart w:id="67" w:name="_Toc211509403"/>
      <w:r>
        <w:t xml:space="preserve">Table </w:t>
      </w:r>
      <w:fldSimple w:instr=" SEQ Table \* ARABIC ">
        <w:r w:rsidR="00615C28">
          <w:t>8</w:t>
        </w:r>
      </w:fldSimple>
      <w:bookmarkEnd w:id="66"/>
      <w:r w:rsidR="00BE51B1" w:rsidRPr="009F3AF4">
        <w:t>: Price sources consulted for this study.</w:t>
      </w:r>
      <w:bookmarkEnd w:id="67"/>
    </w:p>
    <w:tbl>
      <w:tblPr>
        <w:tblStyle w:val="TableGrid"/>
        <w:tblW w:w="0" w:type="auto"/>
        <w:tblLayout w:type="fixed"/>
        <w:tblLook w:val="04A0" w:firstRow="1" w:lastRow="0" w:firstColumn="1" w:lastColumn="0" w:noHBand="0" w:noVBand="1"/>
      </w:tblPr>
      <w:tblGrid>
        <w:gridCol w:w="1696"/>
        <w:gridCol w:w="1560"/>
        <w:gridCol w:w="5760"/>
      </w:tblGrid>
      <w:tr w:rsidR="00BE51B1" w:rsidRPr="007D3F22" w14:paraId="7B197C5F" w14:textId="77777777" w:rsidTr="00A869C2">
        <w:trPr>
          <w:trHeight w:val="288"/>
        </w:trPr>
        <w:tc>
          <w:tcPr>
            <w:tcW w:w="1696" w:type="dxa"/>
            <w:shd w:val="clear" w:color="auto" w:fill="B7D4EF" w:themeFill="text2" w:themeFillTint="33"/>
          </w:tcPr>
          <w:p w14:paraId="58529128"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Mineral</w:t>
            </w:r>
          </w:p>
        </w:tc>
        <w:tc>
          <w:tcPr>
            <w:tcW w:w="1560" w:type="dxa"/>
            <w:shd w:val="clear" w:color="auto" w:fill="B7D4EF" w:themeFill="text2" w:themeFillTint="33"/>
          </w:tcPr>
          <w:p w14:paraId="72978FB5"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Price source</w:t>
            </w:r>
          </w:p>
        </w:tc>
        <w:tc>
          <w:tcPr>
            <w:tcW w:w="5760" w:type="dxa"/>
            <w:shd w:val="clear" w:color="auto" w:fill="B7D4EF" w:themeFill="text2" w:themeFillTint="33"/>
          </w:tcPr>
          <w:p w14:paraId="3B710D56"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Comments on source</w:t>
            </w:r>
          </w:p>
        </w:tc>
      </w:tr>
      <w:tr w:rsidR="00BE51B1" w:rsidRPr="007D3F22" w14:paraId="2D13A7C5" w14:textId="77777777" w:rsidTr="00A869C2">
        <w:trPr>
          <w:trHeight w:val="288"/>
        </w:trPr>
        <w:tc>
          <w:tcPr>
            <w:tcW w:w="1696" w:type="dxa"/>
          </w:tcPr>
          <w:p w14:paraId="1BC54A71"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 xml:space="preserve">copper </w:t>
            </w:r>
            <w:r>
              <w:rPr>
                <w:rFonts w:ascii="Arial" w:eastAsia="Times New Roman" w:hAnsi="Arial" w:cs="Arial"/>
                <w:b/>
                <w:bCs/>
                <w:color w:val="156082" w:themeColor="accent1"/>
                <w:sz w:val="20"/>
                <w:szCs w:val="20"/>
                <w:lang w:eastAsia="en-GB"/>
              </w:rPr>
              <w:t>concentrate</w:t>
            </w:r>
          </w:p>
        </w:tc>
        <w:tc>
          <w:tcPr>
            <w:tcW w:w="1560" w:type="dxa"/>
          </w:tcPr>
          <w:p w14:paraId="7AC58353" w14:textId="11A68003"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{"citationID":"a4JqyupC","properties":{"formattedCitation":"\\super 41\\nosupersub{}","plainCitation":"41","noteIndex":0},"citationItems":[{"id":6420,"uris":["http://zotero.org/users/10918866/items/VX9NYRFS"],"itemData":{"id":6420,"type":"webpage","language":"eng","title":"Copper Ore Concentrate South Africa","URL":"https://trade-metal.com/copper-ore-concentrate-p69475.html","author":[{"family":"Trade Metal","given":""}],"accessed":{"date-parts":[["2025",8,14]]},"issued":{"date-parts":[["2025"]]}}}],"schema":"https://github.com/citation-style-language/schema/raw/master/csl-citation.json"}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41</w:t>
            </w:r>
            <w:r w:rsidRPr="00F72C9B">
              <w:rPr>
                <w:rFonts w:ascii="Arial" w:hAnsi="Arial" w:cs="Arial"/>
                <w:sz w:val="20"/>
                <w:szCs w:val="20"/>
              </w:rPr>
              <w:fldChar w:fldCharType="end"/>
            </w:r>
            <w:r w:rsidRPr="00F72C9B">
              <w:rPr>
                <w:rFonts w:ascii="Arial" w:hAnsi="Arial" w:cs="Arial"/>
                <w:sz w:val="20"/>
                <w:szCs w:val="20"/>
              </w:rPr>
              <w:t xml:space="preserve"> </w:t>
            </w:r>
          </w:p>
        </w:tc>
        <w:tc>
          <w:tcPr>
            <w:tcW w:w="5760" w:type="dxa"/>
          </w:tcPr>
          <w:p w14:paraId="064C02CA" w14:textId="77777777" w:rsidR="00BE51B1" w:rsidRPr="00F72C9B" w:rsidRDefault="00BE51B1" w:rsidP="00877C15">
            <w:pPr>
              <w:spacing w:before="20" w:after="40"/>
              <w:rPr>
                <w:rFonts w:ascii="Arial" w:eastAsia="Times New Roman" w:hAnsi="Arial" w:cs="Arial"/>
                <w:color w:val="467886"/>
                <w:sz w:val="20"/>
                <w:szCs w:val="20"/>
                <w:u w:val="single"/>
                <w:lang w:eastAsia="en-GB"/>
              </w:rPr>
            </w:pPr>
          </w:p>
        </w:tc>
      </w:tr>
      <w:tr w:rsidR="00BE51B1" w:rsidRPr="007D3F22" w14:paraId="6EE355B1" w14:textId="77777777" w:rsidTr="00A869C2">
        <w:trPr>
          <w:trHeight w:val="288"/>
        </w:trPr>
        <w:tc>
          <w:tcPr>
            <w:tcW w:w="1696" w:type="dxa"/>
          </w:tcPr>
          <w:p w14:paraId="661806BB"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 xml:space="preserve">copper </w:t>
            </w:r>
            <w:r>
              <w:rPr>
                <w:rFonts w:ascii="Arial" w:eastAsia="Times New Roman" w:hAnsi="Arial" w:cs="Arial"/>
                <w:b/>
                <w:bCs/>
                <w:color w:val="156082" w:themeColor="accent1"/>
                <w:sz w:val="20"/>
                <w:szCs w:val="20"/>
                <w:lang w:eastAsia="en-GB"/>
              </w:rPr>
              <w:t>cathode</w:t>
            </w:r>
          </w:p>
        </w:tc>
        <w:tc>
          <w:tcPr>
            <w:tcW w:w="1560" w:type="dxa"/>
          </w:tcPr>
          <w:p w14:paraId="42C72FCA" w14:textId="5F9F6EB5" w:rsidR="00BE51B1" w:rsidRPr="00F72C9B" w:rsidRDefault="00BE51B1" w:rsidP="00877C15">
            <w:pPr>
              <w:spacing w:before="20" w:after="40"/>
              <w:rPr>
                <w:rFonts w:ascii="Arial" w:hAnsi="Arial" w:cs="Arial"/>
                <w:sz w:val="20"/>
                <w:szCs w:val="20"/>
              </w:rPr>
            </w:pPr>
            <w:r w:rsidRPr="00766470">
              <w:rPr>
                <w:rFonts w:ascii="Arial" w:eastAsiaTheme="minorEastAsia" w:hAnsi="Arial" w:cs="Arial"/>
              </w:rPr>
              <w:fldChar w:fldCharType="begin"/>
            </w:r>
            <w:r w:rsidR="007E07E0">
              <w:rPr>
                <w:rFonts w:ascii="Arial" w:eastAsiaTheme="minorEastAsia" w:hAnsi="Arial" w:cs="Arial"/>
              </w:rPr>
              <w:instrText xml:space="preserve"> ADDIN ZOTERO_ITEM CSL_CITATION {"citationID":"kgwBlQau","properties":{"formattedCitation":"\\super 1,42\\nosupersub{}","plainCitation":"1,42","noteIndex":0},"citationItems":[{"id":6422,"uris":["http://zotero.org/users/10918866/items/AQEBWHSJ"],"itemData":{"id":6422,"type":"webpage","abstract":"Monthly price chart and freely downloadable data for Copper, grade A cathode. Price in US Dollars per Metric Ton. 60 month history.","language":"en","title":"Copper, grade A cathode - Monthly Price - Commodity Prices - Price Charts, Data, and News - IndexMundi","URL":"https://www.indexmundi.com/commodities/?commodity=copper&amp;months=60","author":[{"family":"Index Mundi","given":""}],"accessed":{"date-parts":[["2025",8,14]]},"issued":{"date-parts":[["2025"]]}}},{"id":2217,"uris":["http://zotero.org/users/10918866/items/5EAXAQFA"],"itemData":{"id":2217,"type":"webpage","abstract":"S&amp;P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766470">
              <w:rPr>
                <w:rFonts w:ascii="Arial" w:eastAsiaTheme="minorEastAsia" w:hAnsi="Arial" w:cs="Arial"/>
              </w:rPr>
              <w:fldChar w:fldCharType="separate"/>
            </w:r>
            <w:r w:rsidR="007E07E0" w:rsidRPr="007E07E0">
              <w:rPr>
                <w:rFonts w:ascii="Arial" w:hAnsi="Arial" w:cs="Arial"/>
                <w:kern w:val="0"/>
                <w:vertAlign w:val="superscript"/>
              </w:rPr>
              <w:t>1,42</w:t>
            </w:r>
            <w:r w:rsidRPr="00766470">
              <w:rPr>
                <w:rFonts w:ascii="Arial" w:eastAsiaTheme="minorEastAsia" w:hAnsi="Arial" w:cs="Arial"/>
              </w:rPr>
              <w:fldChar w:fldCharType="end"/>
            </w:r>
          </w:p>
        </w:tc>
        <w:tc>
          <w:tcPr>
            <w:tcW w:w="5760" w:type="dxa"/>
          </w:tcPr>
          <w:p w14:paraId="6E813BE3" w14:textId="77777777" w:rsidR="00BE51B1" w:rsidRPr="00C64C41" w:rsidRDefault="00BE51B1" w:rsidP="00877C15">
            <w:pPr>
              <w:spacing w:before="20" w:after="40"/>
              <w:rPr>
                <w:rFonts w:ascii="Arial" w:eastAsia="Times New Roman" w:hAnsi="Arial" w:cs="Arial"/>
                <w:color w:val="467886"/>
                <w:sz w:val="20"/>
                <w:szCs w:val="20"/>
                <w:lang w:eastAsia="en-GB"/>
              </w:rPr>
            </w:pPr>
            <w:r w:rsidRPr="00C64C41">
              <w:rPr>
                <w:rFonts w:ascii="Arial" w:hAnsi="Arial" w:cs="Arial"/>
              </w:rPr>
              <w:t>Price</w:t>
            </w:r>
            <w:r>
              <w:rPr>
                <w:rFonts w:ascii="Arial" w:hAnsi="Arial" w:cs="Arial"/>
              </w:rPr>
              <w:t>s widely available for cathode. Anode does not have tracked prices so it was assumed the price was equivalent to metal content in the absence of other data (98% of the price of cathode).</w:t>
            </w:r>
          </w:p>
        </w:tc>
      </w:tr>
      <w:tr w:rsidR="00BE51B1" w:rsidRPr="007D3F22" w14:paraId="14B1C0CD" w14:textId="77777777" w:rsidTr="00A869C2">
        <w:trPr>
          <w:trHeight w:val="288"/>
        </w:trPr>
        <w:tc>
          <w:tcPr>
            <w:tcW w:w="1696" w:type="dxa"/>
          </w:tcPr>
          <w:p w14:paraId="225B6C9A"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copper sulphate</w:t>
            </w:r>
          </w:p>
        </w:tc>
        <w:tc>
          <w:tcPr>
            <w:tcW w:w="1560" w:type="dxa"/>
          </w:tcPr>
          <w:p w14:paraId="286208D1" w14:textId="543F99B7"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{"citationID":"0wn5FaXC","properties":{"formattedCitation":"\\super 43\\nosupersub{}","plainCitation":"43","noteIndex":0},"citationItems":[{"id":1989,"uris":["http://zotero.org/users/10918866/items/DWCD47LX"],"itemData":{"id":1989,"type":"webpage","abstract":"ChemAnalyst is a subscription based Digital Platform covering in depth data and analysis on 250+ Chemicals. Petrochemicals, Polymer and Resin, Elastomer and Rubber, Bulk Chemicals and Fertilizer, Feedstock and Intermediates, Specialty Chemicals. ChemAnalyst is provide latest chemical price, weekly and monthly prices report of chemicals news and market analysis","language":"en","title":"Global Chemical and Petrochemicals, Specialty Chemicals, Elastomer and Rubber, Fertilizer and Feedstock - Latest Chemical Prices, News and Market Analysis | ChemAnalyst","URL":"https://www.chemanalyst.com/","author":[{"family":"Chemanalyst","given":""}],"accessed":{"date-parts":[["2025",3,10]]},"issued":{"date-parts":[["2025"]]}}}],"schema":"https://github.com/citation-style-language/schema/raw/master/csl-citation.json"}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43</w:t>
            </w:r>
            <w:r w:rsidRPr="00F72C9B">
              <w:rPr>
                <w:rFonts w:ascii="Arial" w:hAnsi="Arial" w:cs="Arial"/>
                <w:sz w:val="20"/>
                <w:szCs w:val="20"/>
              </w:rPr>
              <w:fldChar w:fldCharType="end"/>
            </w:r>
          </w:p>
        </w:tc>
        <w:tc>
          <w:tcPr>
            <w:tcW w:w="5760" w:type="dxa"/>
          </w:tcPr>
          <w:p w14:paraId="53F90E98" w14:textId="77777777" w:rsidR="00BE51B1" w:rsidRPr="00C64C41" w:rsidRDefault="00BE51B1" w:rsidP="00877C15">
            <w:pPr>
              <w:spacing w:before="20" w:after="40"/>
              <w:rPr>
                <w:rFonts w:ascii="Arial" w:eastAsia="Times New Roman" w:hAnsi="Arial" w:cs="Arial"/>
                <w:color w:val="467886"/>
                <w:sz w:val="20"/>
                <w:szCs w:val="20"/>
                <w:lang w:eastAsia="en-GB"/>
              </w:rPr>
            </w:pPr>
            <w:r w:rsidRPr="00C64C41">
              <w:rPr>
                <w:rFonts w:ascii="Arial" w:eastAsia="Times New Roman" w:hAnsi="Arial" w:cs="Arial"/>
                <w:sz w:val="20"/>
                <w:szCs w:val="20"/>
                <w:lang w:eastAsia="en-GB"/>
              </w:rPr>
              <w:t>Price available for sulphate. Price for oxide was not available so it was assumed to be 90% of the price of sulphate.</w:t>
            </w:r>
          </w:p>
        </w:tc>
      </w:tr>
      <w:tr w:rsidR="00BE51B1" w:rsidRPr="007D3F22" w14:paraId="351F3FEB" w14:textId="77777777" w:rsidTr="00A869C2">
        <w:trPr>
          <w:trHeight w:val="288"/>
        </w:trPr>
        <w:tc>
          <w:tcPr>
            <w:tcW w:w="1696" w:type="dxa"/>
          </w:tcPr>
          <w:p w14:paraId="023E3B50"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Pr>
                <w:rFonts w:ascii="Arial" w:eastAsia="Times New Roman" w:hAnsi="Arial" w:cs="Arial"/>
                <w:b/>
                <w:bCs/>
                <w:color w:val="156082" w:themeColor="accent1"/>
                <w:sz w:val="20"/>
                <w:szCs w:val="20"/>
                <w:lang w:eastAsia="en-GB"/>
              </w:rPr>
              <w:t>cobalt concentrate</w:t>
            </w:r>
          </w:p>
        </w:tc>
        <w:tc>
          <w:tcPr>
            <w:tcW w:w="1560" w:type="dxa"/>
          </w:tcPr>
          <w:p w14:paraId="28762070" w14:textId="2D0621F6" w:rsidR="00BE51B1" w:rsidRPr="00F72C9B" w:rsidRDefault="00BE51B1" w:rsidP="00877C15">
            <w:pPr>
              <w:spacing w:before="20" w:after="40"/>
              <w:rPr>
                <w:rFonts w:ascii="Arial" w:hAnsi="Arial" w:cs="Arial"/>
                <w:sz w:val="20"/>
                <w:szCs w:val="20"/>
              </w:rPr>
            </w:pPr>
            <w:r>
              <w:rPr>
                <w:rFonts w:ascii="Arial" w:hAnsi="Arial" w:cs="Arial"/>
                <w:sz w:val="20"/>
                <w:szCs w:val="20"/>
              </w:rPr>
              <w:fldChar w:fldCharType="begin"/>
            </w:r>
            <w:r w:rsidR="007E07E0">
              <w:rPr>
                <w:rFonts w:ascii="Arial" w:hAnsi="Arial" w:cs="Arial"/>
                <w:sz w:val="20"/>
                <w:szCs w:val="20"/>
              </w:rPr>
              <w:instrText xml:space="preserve"> ADDIN ZOTERO_ITEM CSL_CITATION {"citationID":"JyM0z1Pf","properties":{"formattedCitation":"\\super 44\\nosupersub{}","plainCitation":"44","noteIndex":0},"citationItems":[{"id":6424,"uris":["http://zotero.org/users/10918866/items/Q8CR2D4B"],"itemData":{"id":6424,"type":"webpage","abstract":"Price for Cobalt Ores and Concentrates in India - 2023. Find the latest marketing data on the IndexBox platform.","language":"en","title":"Price for Cobalt Ores and Concentrates in India - 2025 - Charts and Tables","URL":"https://www.indexbox.io/search/price-for-cobalt-ores-and-concentrates-india/","author":[{"family":"Index box","given":""}],"accessed":{"date-parts":[["2025",8,14]]},"issued":{"date-parts":[["2025"]]}}}],"schema":"https://github.com/citation-style-language/schema/raw/master/csl-citation.json"} </w:instrText>
            </w:r>
            <w:r>
              <w:rPr>
                <w:rFonts w:ascii="Arial" w:hAnsi="Arial" w:cs="Arial"/>
                <w:sz w:val="20"/>
                <w:szCs w:val="20"/>
              </w:rPr>
              <w:fldChar w:fldCharType="separate"/>
            </w:r>
            <w:r w:rsidR="007E07E0" w:rsidRPr="007E07E0">
              <w:rPr>
                <w:rFonts w:ascii="Arial" w:hAnsi="Arial" w:cs="Arial"/>
                <w:kern w:val="0"/>
                <w:sz w:val="20"/>
                <w:vertAlign w:val="superscript"/>
              </w:rPr>
              <w:t>44</w:t>
            </w:r>
            <w:r>
              <w:rPr>
                <w:rFonts w:ascii="Arial" w:hAnsi="Arial" w:cs="Arial"/>
                <w:sz w:val="20"/>
                <w:szCs w:val="20"/>
              </w:rPr>
              <w:fldChar w:fldCharType="end"/>
            </w:r>
          </w:p>
        </w:tc>
        <w:tc>
          <w:tcPr>
            <w:tcW w:w="5760" w:type="dxa"/>
          </w:tcPr>
          <w:p w14:paraId="56C74141" w14:textId="77777777" w:rsidR="00BE51B1" w:rsidRPr="00C64C41" w:rsidRDefault="00BE51B1" w:rsidP="00877C15">
            <w:pPr>
              <w:spacing w:before="20" w:after="40"/>
              <w:rPr>
                <w:rFonts w:ascii="Arial" w:eastAsia="Times New Roman" w:hAnsi="Arial" w:cs="Arial"/>
                <w:sz w:val="20"/>
                <w:szCs w:val="20"/>
                <w:lang w:eastAsia="en-GB"/>
              </w:rPr>
            </w:pPr>
            <w:r>
              <w:rPr>
                <w:rFonts w:ascii="Arial" w:eastAsia="Times New Roman" w:hAnsi="Arial" w:cs="Arial"/>
                <w:sz w:val="20"/>
                <w:szCs w:val="20"/>
                <w:lang w:eastAsia="en-GB"/>
              </w:rPr>
              <w:t>Averaging country values for Turkey, China, India, Uganda, and Kenya.</w:t>
            </w:r>
          </w:p>
        </w:tc>
      </w:tr>
      <w:tr w:rsidR="00BE51B1" w:rsidRPr="00E018E6" w14:paraId="2B8984DC" w14:textId="77777777" w:rsidTr="00A869C2">
        <w:trPr>
          <w:trHeight w:val="288"/>
        </w:trPr>
        <w:tc>
          <w:tcPr>
            <w:tcW w:w="1696" w:type="dxa"/>
          </w:tcPr>
          <w:p w14:paraId="0AE3E407"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Pr>
                <w:rFonts w:ascii="Arial" w:eastAsia="Times New Roman" w:hAnsi="Arial" w:cs="Arial"/>
                <w:b/>
                <w:bCs/>
                <w:color w:val="156082" w:themeColor="accent1"/>
                <w:sz w:val="20"/>
                <w:szCs w:val="20"/>
                <w:lang w:eastAsia="en-GB"/>
              </w:rPr>
              <w:t xml:space="preserve">refined </w:t>
            </w:r>
            <w:r w:rsidRPr="00F72C9B">
              <w:rPr>
                <w:rFonts w:ascii="Arial" w:eastAsia="Times New Roman" w:hAnsi="Arial" w:cs="Arial"/>
                <w:b/>
                <w:bCs/>
                <w:color w:val="156082" w:themeColor="accent1"/>
                <w:sz w:val="20"/>
                <w:szCs w:val="20"/>
                <w:lang w:eastAsia="en-GB"/>
              </w:rPr>
              <w:t>cobalt</w:t>
            </w:r>
          </w:p>
        </w:tc>
        <w:tc>
          <w:tcPr>
            <w:tcW w:w="1560" w:type="dxa"/>
          </w:tcPr>
          <w:p w14:paraId="63AFA939" w14:textId="7C489885" w:rsidR="00BE51B1" w:rsidRPr="00F72C9B" w:rsidRDefault="00BE51B1" w:rsidP="00877C15">
            <w:pPr>
              <w:spacing w:before="20" w:after="40"/>
              <w:rPr>
                <w:rFonts w:ascii="Arial" w:eastAsia="Times New Roman" w:hAnsi="Arial" w:cs="Arial"/>
                <w:color w:val="000000" w:themeColor="text1"/>
                <w:sz w:val="20"/>
                <w:szCs w:val="20"/>
                <w:lang w:val="de-DE" w:eastAsia="en-GB"/>
              </w:rPr>
            </w:pPr>
            <w:r w:rsidRPr="00F72C9B">
              <w:rPr>
                <w:rFonts w:ascii="Arial" w:eastAsia="Times New Roman" w:hAnsi="Arial" w:cs="Arial"/>
                <w:color w:val="000000" w:themeColor="text1"/>
                <w:sz w:val="20"/>
                <w:szCs w:val="20"/>
                <w:lang w:val="de-DE" w:eastAsia="en-GB"/>
              </w:rPr>
              <w:fldChar w:fldCharType="begin"/>
            </w:r>
            <w:r w:rsidR="007E07E0">
              <w:rPr>
                <w:rFonts w:ascii="Arial" w:eastAsia="Times New Roman" w:hAnsi="Arial" w:cs="Arial"/>
                <w:color w:val="000000" w:themeColor="text1"/>
                <w:sz w:val="20"/>
                <w:szCs w:val="20"/>
                <w:lang w:val="de-DE" w:eastAsia="en-GB"/>
              </w:rPr>
              <w:instrText xml:space="preserve"> ADDIN ZOTERO_ITEM CSL_CITATION {"citationID":"iMoZXDfd","properties":{"formattedCitation":"\\super 45\\nosupersub{}","plainCitation":"45","noteIndex":0},"citationItems":[{"id":1988,"uris":["http://zotero.org/users/10918866/items/5E5W5IYG"],"itemData":{"id":1988,"type":"webpage","title":"Selling cobalt concentrate, purity 30 % Turkey 7000 USD id:85867","URL":"https://trade-metal.com/selling-cobalt-concentrate-purity-30-p85867.html","author":[{"family":"Trade metal","given":""}],"accessed":{"date-parts":[["2025",3,10]]},"issued":{"date-parts":[["2025"]]}}}],"schema":"https://github.com/citation-style-language/schema/raw/master/csl-citation.json"} </w:instrText>
            </w:r>
            <w:r w:rsidRPr="00F72C9B">
              <w:rPr>
                <w:rFonts w:ascii="Arial" w:eastAsia="Times New Roman" w:hAnsi="Arial" w:cs="Arial"/>
                <w:color w:val="000000" w:themeColor="text1"/>
                <w:sz w:val="20"/>
                <w:szCs w:val="20"/>
                <w:lang w:val="de-DE" w:eastAsia="en-GB"/>
              </w:rPr>
              <w:fldChar w:fldCharType="separate"/>
            </w:r>
            <w:r w:rsidR="007E07E0" w:rsidRPr="007E07E0">
              <w:rPr>
                <w:rFonts w:ascii="Arial" w:hAnsi="Arial" w:cs="Arial"/>
                <w:kern w:val="0"/>
                <w:sz w:val="20"/>
                <w:vertAlign w:val="superscript"/>
              </w:rPr>
              <w:t>45</w:t>
            </w:r>
            <w:r w:rsidRPr="00F72C9B">
              <w:rPr>
                <w:rFonts w:ascii="Arial" w:eastAsia="Times New Roman" w:hAnsi="Arial" w:cs="Arial"/>
                <w:color w:val="000000" w:themeColor="text1"/>
                <w:sz w:val="20"/>
                <w:szCs w:val="20"/>
                <w:lang w:val="de-DE" w:eastAsia="en-GB"/>
              </w:rPr>
              <w:fldChar w:fldCharType="end"/>
            </w:r>
          </w:p>
        </w:tc>
        <w:tc>
          <w:tcPr>
            <w:tcW w:w="5760" w:type="dxa"/>
          </w:tcPr>
          <w:p w14:paraId="64FBD0E3" w14:textId="77777777" w:rsidR="00BE51B1" w:rsidRPr="00C64C41" w:rsidRDefault="00BE51B1" w:rsidP="00877C15">
            <w:pPr>
              <w:spacing w:before="20" w:after="40"/>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Price o</w:t>
            </w:r>
            <w:r w:rsidRPr="00C64C41">
              <w:rPr>
                <w:rFonts w:ascii="Arial" w:eastAsia="Times New Roman" w:hAnsi="Arial" w:cs="Arial"/>
                <w:color w:val="000000" w:themeColor="text1"/>
                <w:sz w:val="20"/>
                <w:szCs w:val="20"/>
                <w:lang w:eastAsia="en-GB"/>
              </w:rPr>
              <w:t>nly used for Madagascar a</w:t>
            </w:r>
            <w:r>
              <w:rPr>
                <w:rFonts w:ascii="Arial" w:eastAsia="Times New Roman" w:hAnsi="Arial" w:cs="Arial"/>
                <w:color w:val="000000" w:themeColor="text1"/>
                <w:sz w:val="20"/>
                <w:szCs w:val="20"/>
                <w:lang w:eastAsia="en-GB"/>
              </w:rPr>
              <w:t>nd Zambia.</w:t>
            </w:r>
          </w:p>
        </w:tc>
      </w:tr>
      <w:tr w:rsidR="00BE51B1" w:rsidRPr="00E018E6" w14:paraId="02C5F886" w14:textId="77777777" w:rsidTr="00A869C2">
        <w:trPr>
          <w:trHeight w:val="288"/>
        </w:trPr>
        <w:tc>
          <w:tcPr>
            <w:tcW w:w="1696" w:type="dxa"/>
          </w:tcPr>
          <w:p w14:paraId="55BAB114" w14:textId="77777777" w:rsidR="00BE51B1" w:rsidRDefault="00BE51B1" w:rsidP="00877C15">
            <w:pPr>
              <w:spacing w:before="20" w:after="40"/>
              <w:rPr>
                <w:rFonts w:ascii="Arial" w:eastAsia="Times New Roman" w:hAnsi="Arial" w:cs="Arial"/>
                <w:b/>
                <w:bCs/>
                <w:color w:val="156082" w:themeColor="accent1"/>
                <w:sz w:val="20"/>
                <w:szCs w:val="20"/>
                <w:lang w:eastAsia="en-GB"/>
              </w:rPr>
            </w:pPr>
            <w:r>
              <w:rPr>
                <w:rFonts w:ascii="Arial" w:eastAsia="Times New Roman" w:hAnsi="Arial" w:cs="Arial"/>
                <w:b/>
                <w:bCs/>
                <w:color w:val="156082" w:themeColor="accent1"/>
                <w:sz w:val="20"/>
                <w:szCs w:val="20"/>
                <w:lang w:eastAsia="en-GB"/>
              </w:rPr>
              <w:t>cobalt hydroxide</w:t>
            </w:r>
          </w:p>
        </w:tc>
        <w:tc>
          <w:tcPr>
            <w:tcW w:w="1560" w:type="dxa"/>
          </w:tcPr>
          <w:p w14:paraId="76283F34" w14:textId="1FD1E0B2" w:rsidR="00BE51B1" w:rsidRPr="00C64C41" w:rsidRDefault="00BE51B1" w:rsidP="00877C15">
            <w:pPr>
              <w:spacing w:before="20" w:after="40"/>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{"citationID":"I2LBXCe0","properties":{"formattedCitation":"\\super 46\\nosupersub{}","plainCitation":"46","noteIndex":0},"citationItems":[{"id":6426,"uris":["http://zotero.org/users/10918866/items/7GWMYGXU"],"itemData":{"id":6426,"type":"webpage","abstract":"For the third consecutive year, Angola recorded decline in purchases abroad of cobalt oxides and hydroxides and commercial cobalt oxides, which decreased by -40.7% to 96 kg in 2023.","language":"en","title":"Price for Cobalt Oxides and Hydroxides in Angola - 2025","URL":"https://www.indexbox.io/search/price-for-cobalt-oxides-and-hydroxides-angola/","author":[{"family":"Index box","given":""}],"accessed":{"date-parts":[["2025",8,14]]},"issued":{"date-parts":[["2025"]]}}}],"schema":"https://github.com/citation-style-language/schema/raw/master/csl-citation.json"} </w:instrText>
            </w:r>
            <w:r>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46</w:t>
            </w:r>
            <w:r>
              <w:rPr>
                <w:rFonts w:ascii="Arial" w:eastAsia="Times New Roman" w:hAnsi="Arial" w:cs="Arial"/>
                <w:color w:val="000000" w:themeColor="text1"/>
                <w:sz w:val="20"/>
                <w:szCs w:val="20"/>
                <w:lang w:eastAsia="en-GB"/>
              </w:rPr>
              <w:fldChar w:fldCharType="end"/>
            </w:r>
          </w:p>
        </w:tc>
        <w:tc>
          <w:tcPr>
            <w:tcW w:w="5760" w:type="dxa"/>
          </w:tcPr>
          <w:p w14:paraId="010DA029" w14:textId="77777777" w:rsidR="00BE51B1" w:rsidRDefault="00BE51B1" w:rsidP="00877C15">
            <w:pPr>
              <w:spacing w:before="20" w:after="40"/>
              <w:rPr>
                <w:rFonts w:ascii="Arial" w:eastAsia="Times New Roman" w:hAnsi="Arial" w:cs="Arial"/>
                <w:color w:val="000000" w:themeColor="text1"/>
                <w:sz w:val="20"/>
                <w:szCs w:val="20"/>
                <w:lang w:eastAsia="en-GB"/>
              </w:rPr>
            </w:pPr>
            <w:r>
              <w:rPr>
                <w:rFonts w:ascii="Arial" w:eastAsia="Times New Roman" w:hAnsi="Arial" w:cs="Arial"/>
                <w:sz w:val="20"/>
                <w:szCs w:val="20"/>
                <w:lang w:eastAsia="en-GB"/>
              </w:rPr>
              <w:t>Averaging country values for Angola, DRC, Kenya, Namibia, South Africa, Uganda, Tanzania and Zambia.</w:t>
            </w:r>
          </w:p>
        </w:tc>
      </w:tr>
      <w:tr w:rsidR="00BE51B1" w:rsidRPr="007D3F22" w14:paraId="574B71D9" w14:textId="77777777" w:rsidTr="00A869C2">
        <w:trPr>
          <w:trHeight w:val="312"/>
        </w:trPr>
        <w:tc>
          <w:tcPr>
            <w:tcW w:w="1696" w:type="dxa"/>
            <w:vMerge w:val="restart"/>
            <w:vAlign w:val="center"/>
          </w:tcPr>
          <w:p w14:paraId="7FDBE5EC"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 xml:space="preserve">cobalt sulphate </w:t>
            </w:r>
          </w:p>
        </w:tc>
        <w:tc>
          <w:tcPr>
            <w:tcW w:w="1560" w:type="dxa"/>
          </w:tcPr>
          <w:p w14:paraId="321091BF" w14:textId="07D05AE4"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{"citationID":"yIughP0Y","properties":{"formattedCitation":"\\super 47\\nosupersub{}","plainCitation":"47","noteIndex":0},"citationItems":[{"id":1987,"uris":["http://zotero.org/users/10918866/items/S75J6IR2"],"itemData":{"id":1987,"type":"webpage","abstract":"SMM brings you current and historical Cobalt Sulphate price tables and charts, and maintains daily Cobalt Sulphate price updates.","language":"en","title":"Cobalt Sulphate price today | Historical Cobalt Sulphate Price Charts | SMM Metal Market","URL":"https://www.metal.com/Chemical-Compound/201102250381","author":[{"family":"SMM","given":""}],"accessed":{"date-parts":[["2025",3,10]]},"issued":{"date-parts":[["2025"]]}}}],"schema":"https://github.com/citation-style-language/schema/raw/master/csl-citation.json"}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47</w:t>
            </w:r>
            <w:r w:rsidRPr="00F72C9B">
              <w:rPr>
                <w:rFonts w:ascii="Arial" w:hAnsi="Arial" w:cs="Arial"/>
                <w:sz w:val="20"/>
                <w:szCs w:val="20"/>
              </w:rPr>
              <w:fldChar w:fldCharType="end"/>
            </w:r>
          </w:p>
        </w:tc>
        <w:tc>
          <w:tcPr>
            <w:tcW w:w="5760" w:type="dxa"/>
          </w:tcPr>
          <w:p w14:paraId="40B4130B" w14:textId="77777777" w:rsidR="00BE51B1" w:rsidRPr="00681191" w:rsidRDefault="00BE51B1" w:rsidP="00877C15">
            <w:pPr>
              <w:spacing w:before="20" w:after="40"/>
              <w:rPr>
                <w:rFonts w:ascii="Arial" w:eastAsia="Times New Roman" w:hAnsi="Arial" w:cs="Arial"/>
                <w:sz w:val="20"/>
                <w:szCs w:val="20"/>
                <w:lang w:eastAsia="en-GB"/>
              </w:rPr>
            </w:pPr>
            <w:r w:rsidRPr="00681191">
              <w:rPr>
                <w:rFonts w:ascii="Arial" w:eastAsia="Times New Roman" w:hAnsi="Arial" w:cs="Arial"/>
                <w:sz w:val="20"/>
                <w:szCs w:val="20"/>
                <w:lang w:eastAsia="en-GB"/>
              </w:rPr>
              <w:t>Historical Cobalt Sulphate Price from SMM Metal Market</w:t>
            </w:r>
          </w:p>
        </w:tc>
      </w:tr>
      <w:tr w:rsidR="00BE51B1" w:rsidRPr="007D3F22" w14:paraId="5F5F08A6" w14:textId="77777777" w:rsidTr="00A869C2">
        <w:trPr>
          <w:trHeight w:val="312"/>
        </w:trPr>
        <w:tc>
          <w:tcPr>
            <w:tcW w:w="1696" w:type="dxa"/>
            <w:vMerge/>
          </w:tcPr>
          <w:p w14:paraId="045B7E68"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450D16D3" w14:textId="6A139718"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{"citationID":"BypkAYdV","properties":{"formattedCitation":"\\super 48\\nosupersub{}","plainCitation":"48","noteIndex":0},"citationItems":[{"id":1986,"uris":["http://zotero.org/users/10918866/items/KE2L5H3Z"],"itemData":{"id":1986,"type":"webpage","abstract":"After prudent information accumulation and market research, SMM has decided to launch the item of SMM Cobalt Sulphate Price Index starting from December 23, 2022, while the original item will still be available to subscribers.","title":"[SMM Notice] SMM Battery Grade Cobalt Sulphate Price Index Officially Online! | SMM","URL":"https://news.metal.com/newscontent/102045694/%5bSMM-Notice%5d-SMM-Battery-Grade-Cobalt-Sulphate-Price-Index-Officially-Online","author":[{"family":"SMM","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48</w:t>
            </w:r>
            <w:r w:rsidRPr="00F72C9B">
              <w:rPr>
                <w:rFonts w:ascii="Arial" w:hAnsi="Arial" w:cs="Arial"/>
                <w:sz w:val="20"/>
                <w:szCs w:val="20"/>
              </w:rPr>
              <w:fldChar w:fldCharType="end"/>
            </w:r>
          </w:p>
        </w:tc>
        <w:tc>
          <w:tcPr>
            <w:tcW w:w="5760" w:type="dxa"/>
          </w:tcPr>
          <w:p w14:paraId="22317B97" w14:textId="77777777" w:rsidR="00BE51B1" w:rsidRPr="00681191" w:rsidRDefault="00BE51B1" w:rsidP="00877C15">
            <w:pPr>
              <w:spacing w:before="20" w:after="40"/>
              <w:rPr>
                <w:rFonts w:ascii="Arial" w:eastAsia="Times New Roman" w:hAnsi="Arial" w:cs="Arial"/>
                <w:sz w:val="20"/>
                <w:szCs w:val="20"/>
                <w:lang w:eastAsia="en-GB"/>
              </w:rPr>
            </w:pPr>
            <w:r w:rsidRPr="00681191">
              <w:rPr>
                <w:rFonts w:ascii="Arial" w:eastAsia="Times New Roman" w:hAnsi="Arial" w:cs="Arial"/>
                <w:sz w:val="20"/>
                <w:szCs w:val="20"/>
                <w:lang w:eastAsia="en-GB"/>
              </w:rPr>
              <w:t>Battery Grade Cobalt Sulphate Price Index, Shanghai Non</w:t>
            </w:r>
            <w:r>
              <w:rPr>
                <w:rFonts w:ascii="Arial" w:eastAsia="Times New Roman" w:hAnsi="Arial" w:cs="Arial"/>
                <w:sz w:val="20"/>
                <w:szCs w:val="20"/>
                <w:lang w:eastAsia="en-GB"/>
              </w:rPr>
              <w:t>-</w:t>
            </w:r>
            <w:r w:rsidRPr="00681191">
              <w:rPr>
                <w:rFonts w:ascii="Arial" w:eastAsia="Times New Roman" w:hAnsi="Arial" w:cs="Arial"/>
                <w:sz w:val="20"/>
                <w:szCs w:val="20"/>
                <w:lang w:eastAsia="en-GB"/>
              </w:rPr>
              <w:t>ferrous Metals</w:t>
            </w:r>
          </w:p>
        </w:tc>
      </w:tr>
      <w:tr w:rsidR="00BE51B1" w:rsidRPr="007D3F22" w14:paraId="1AF8F54B" w14:textId="77777777" w:rsidTr="00A869C2">
        <w:trPr>
          <w:trHeight w:val="312"/>
        </w:trPr>
        <w:tc>
          <w:tcPr>
            <w:tcW w:w="1696" w:type="dxa"/>
            <w:vMerge/>
          </w:tcPr>
          <w:p w14:paraId="5BDBBC5E"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17D649DA" w14:textId="559ECD7D"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{"citationID":"jrwJEuep","properties":{"formattedCitation":"\\super 49\\nosupersub{}","plainCitation":"49","noteIndex":0},"citationItems":[{"id":1985,"uris":["http://zotero.org/users/10918866/items/N3R9D6RQ"],"itemData":{"id":1985,"type":"report","publisher":"Cobalt Institute","title":"Cobalt Market Report 2022","URL":"https://www.cobaltinstitute.org/wp-content/uploads/2023/05/Cobalt-Market-Report-2022_final-1.pdf","author":[{"family":"Cobalt Institute","given":""}],"accessed":{"date-parts":[["2025",3,10]]},"issued":{"date-parts":[["2022"]]}}}],"schema":"https://github.com/citation-style-language/schema/raw/master/csl-citation.json"}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49</w:t>
            </w:r>
            <w:r w:rsidRPr="00F72C9B">
              <w:rPr>
                <w:rFonts w:ascii="Arial" w:hAnsi="Arial" w:cs="Arial"/>
                <w:sz w:val="20"/>
                <w:szCs w:val="20"/>
              </w:rPr>
              <w:fldChar w:fldCharType="end"/>
            </w:r>
          </w:p>
        </w:tc>
        <w:tc>
          <w:tcPr>
            <w:tcW w:w="5760" w:type="dxa"/>
          </w:tcPr>
          <w:p w14:paraId="12DBF2A9" w14:textId="77777777" w:rsidR="00BE51B1" w:rsidRPr="00681191" w:rsidRDefault="00BE51B1" w:rsidP="00877C15">
            <w:pPr>
              <w:spacing w:before="20" w:after="40"/>
              <w:rPr>
                <w:rFonts w:ascii="Arial" w:eastAsia="Times New Roman" w:hAnsi="Arial" w:cs="Arial"/>
                <w:sz w:val="20"/>
                <w:szCs w:val="20"/>
                <w:lang w:eastAsia="en-GB"/>
              </w:rPr>
            </w:pPr>
            <w:r w:rsidRPr="00681191">
              <w:rPr>
                <w:rFonts w:ascii="Arial" w:eastAsia="Times New Roman" w:hAnsi="Arial" w:cs="Arial"/>
                <w:sz w:val="20"/>
                <w:szCs w:val="20"/>
                <w:lang w:eastAsia="en-GB"/>
              </w:rPr>
              <w:t>From report</w:t>
            </w:r>
          </w:p>
        </w:tc>
      </w:tr>
      <w:tr w:rsidR="00BE51B1" w:rsidRPr="007D3F22" w14:paraId="48EC5087" w14:textId="77777777" w:rsidTr="00A869C2">
        <w:trPr>
          <w:trHeight w:val="288"/>
        </w:trPr>
        <w:tc>
          <w:tcPr>
            <w:tcW w:w="1696" w:type="dxa"/>
            <w:vMerge w:val="restart"/>
            <w:vAlign w:val="center"/>
          </w:tcPr>
          <w:p w14:paraId="5BE7050D"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Pr>
                <w:rFonts w:ascii="Arial" w:eastAsia="Times New Roman" w:hAnsi="Arial" w:cs="Arial"/>
                <w:b/>
                <w:bCs/>
                <w:color w:val="156082" w:themeColor="accent1"/>
                <w:sz w:val="20"/>
                <w:szCs w:val="20"/>
                <w:lang w:eastAsia="en-GB"/>
              </w:rPr>
              <w:t>m</w:t>
            </w:r>
            <w:r w:rsidRPr="00F72C9B">
              <w:rPr>
                <w:rFonts w:ascii="Arial" w:eastAsia="Times New Roman" w:hAnsi="Arial" w:cs="Arial"/>
                <w:b/>
                <w:bCs/>
                <w:color w:val="156082" w:themeColor="accent1"/>
                <w:sz w:val="20"/>
                <w:szCs w:val="20"/>
                <w:lang w:eastAsia="en-GB"/>
              </w:rPr>
              <w:t>anganese</w:t>
            </w:r>
            <w:r>
              <w:rPr>
                <w:rFonts w:ascii="Arial" w:eastAsia="Times New Roman" w:hAnsi="Arial" w:cs="Arial"/>
                <w:b/>
                <w:bCs/>
                <w:color w:val="156082" w:themeColor="accent1"/>
                <w:sz w:val="20"/>
                <w:szCs w:val="20"/>
                <w:lang w:eastAsia="en-GB"/>
              </w:rPr>
              <w:t xml:space="preserve"> concentrate</w:t>
            </w:r>
          </w:p>
        </w:tc>
        <w:tc>
          <w:tcPr>
            <w:tcW w:w="1560" w:type="dxa"/>
          </w:tcPr>
          <w:p w14:paraId="48B9B683" w14:textId="61A0F78D"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{"citationID":"rNRJ5P3D","properties":{"formattedCitation":"\\super 50\\nosupersub{}","plainCitation":"50","noteIndex":0},"citationItems":[{"id":1983,"uris":["http://zotero.org/users/10918866/items/JFKEZHRG"],"itemData":{"id":1983,"type":"webpage","abstract":"Price for Manganese Ore and Concentrate in Angola - 2022. Find the latest marketing data on the IndexBox platform.","language":"en","title":"Price for Manganese Ore and Concentrate in Angola - 2025 - Charts and Tables - IndexBox","URL":"https://www.indexbox.io/search/price-for-manganese-ore-and-concentrate-angola/","author":[{"family":"Index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50</w:t>
            </w:r>
            <w:r w:rsidRPr="00F72C9B">
              <w:rPr>
                <w:rFonts w:ascii="Arial" w:hAnsi="Arial" w:cs="Arial"/>
                <w:sz w:val="20"/>
                <w:szCs w:val="20"/>
              </w:rPr>
              <w:fldChar w:fldCharType="end"/>
            </w:r>
          </w:p>
        </w:tc>
        <w:tc>
          <w:tcPr>
            <w:tcW w:w="5760" w:type="dxa"/>
          </w:tcPr>
          <w:p w14:paraId="179BA3EC"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0">
              <w:r w:rsidRPr="00F72C9B">
                <w:rPr>
                  <w:rFonts w:ascii="Arial" w:eastAsia="Times New Roman" w:hAnsi="Arial" w:cs="Arial"/>
                  <w:color w:val="000000" w:themeColor="text1"/>
                  <w:sz w:val="20"/>
                  <w:szCs w:val="20"/>
                  <w:lang w:eastAsia="en-GB"/>
                </w:rPr>
                <w:t>Price for Manganese Ore and Concentrate in Angola - 2022</w:t>
              </w:r>
            </w:hyperlink>
          </w:p>
        </w:tc>
      </w:tr>
      <w:tr w:rsidR="00BE51B1" w:rsidRPr="007D3F22" w14:paraId="4BC65EBE" w14:textId="77777777" w:rsidTr="00A869C2">
        <w:trPr>
          <w:trHeight w:val="288"/>
        </w:trPr>
        <w:tc>
          <w:tcPr>
            <w:tcW w:w="1696" w:type="dxa"/>
            <w:vMerge/>
          </w:tcPr>
          <w:p w14:paraId="2CDA22EF"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477B0723" w14:textId="2DDA56A4"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{"citationID":"lAek3wmq","properties":{"formattedCitation":"\\super 51\\nosupersub{}","plainCitation":"51","noteIndex":0},"citationItems":[{"id":1984,"uris":["http://zotero.org/users/10918866/items/76PHBRBH"],"itemData":{"id":1984,"type":"webpage","abstract":"The Kenyan manganese ore and concentrate market dropped markedly to $6.7M in 2024, declining by -66.2% against the previous year. Over the period under review, consumption saw a abrupt contraction. Over the period under review, the market attained the maximum level at $47M in 2012; however, from 2013 to 2024, consumption remained at a lower figure.","language":"en","title":"Kenya's Manganese Ores and Concentrates Market Report 2025 - Prices, Size, Forecast, and Companies","URL":"https://www.indexbox.io/store/kenya-manganese-ores-and-concentrates-market-analysis-forecast-size-trends-and-insights/","author":[{"family":"Index box","given":""}],"accessed":{"date-parts":[["2025",3,10]]},"issued":{"date-parts":[["2021"]]}}}],"schema":"https://github.com/citation-style-language/schema/raw/master/csl-citation.json"} </w:instrText>
            </w:r>
            <w:r w:rsidRPr="00F72C9B">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51</w:t>
            </w:r>
            <w:r w:rsidRPr="00F72C9B">
              <w:rPr>
                <w:rFonts w:ascii="Arial" w:eastAsia="Times New Roman" w:hAnsi="Arial" w:cs="Arial"/>
                <w:color w:val="000000" w:themeColor="text1"/>
                <w:sz w:val="20"/>
                <w:szCs w:val="20"/>
                <w:lang w:eastAsia="en-GB"/>
              </w:rPr>
              <w:fldChar w:fldCharType="end"/>
            </w:r>
          </w:p>
        </w:tc>
        <w:tc>
          <w:tcPr>
            <w:tcW w:w="5760" w:type="dxa"/>
          </w:tcPr>
          <w:p w14:paraId="55CD9B29"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t>Price for Manganese Ore and Concentrate in Kenya - 2021</w:t>
            </w:r>
          </w:p>
        </w:tc>
      </w:tr>
      <w:tr w:rsidR="00BE51B1" w:rsidRPr="007D3F22" w14:paraId="5C9F61F1" w14:textId="77777777" w:rsidTr="00A869C2">
        <w:trPr>
          <w:trHeight w:val="288"/>
        </w:trPr>
        <w:tc>
          <w:tcPr>
            <w:tcW w:w="1696" w:type="dxa"/>
            <w:vMerge/>
          </w:tcPr>
          <w:p w14:paraId="142D799D"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2F9F46AA" w14:textId="7627C95D"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{"citationID":"VBIfkjSt","properties":{"formattedCitation":"\\super 52\\nosupersub{}","plainCitation":"52","noteIndex":0},"citationItems":[{"id":1982,"uris":["http://zotero.org/users/10918866/items/HQDV727N"],"itemData":{"id":1982,"type":"webpage","abstract":"Price for Manganese Ore and Concentrate in South Africa - 2023. Find the latest marketing data on the IndexBox platform.","language":"en","title":"Price for Manganese Ore and Concentrate in South Africa - 2025 - Charts and Tables - IndexBox","URL":"https://www.indexbox.io/search/price-for-manganese-ore-and-concentrate-south-africa/","author":[{"family":"Index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52</w:t>
            </w:r>
            <w:r w:rsidRPr="00F72C9B">
              <w:rPr>
                <w:rFonts w:ascii="Arial" w:hAnsi="Arial" w:cs="Arial"/>
                <w:sz w:val="20"/>
                <w:szCs w:val="20"/>
              </w:rPr>
              <w:fldChar w:fldCharType="end"/>
            </w:r>
          </w:p>
        </w:tc>
        <w:tc>
          <w:tcPr>
            <w:tcW w:w="5760" w:type="dxa"/>
          </w:tcPr>
          <w:p w14:paraId="0C66BE4E"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1">
              <w:r w:rsidRPr="00F72C9B">
                <w:rPr>
                  <w:rFonts w:ascii="Arial" w:eastAsia="Times New Roman" w:hAnsi="Arial" w:cs="Arial"/>
                  <w:color w:val="000000" w:themeColor="text1"/>
                  <w:sz w:val="20"/>
                  <w:szCs w:val="20"/>
                  <w:lang w:eastAsia="en-GB"/>
                </w:rPr>
                <w:t>Price for Manganese Ore and Concentrate in South Africa - 2023</w:t>
              </w:r>
            </w:hyperlink>
          </w:p>
        </w:tc>
      </w:tr>
      <w:tr w:rsidR="00BE51B1" w:rsidRPr="007D3F22" w14:paraId="4C140BC4" w14:textId="77777777" w:rsidTr="00A869C2">
        <w:trPr>
          <w:trHeight w:val="288"/>
        </w:trPr>
        <w:tc>
          <w:tcPr>
            <w:tcW w:w="1696" w:type="dxa"/>
            <w:vMerge/>
          </w:tcPr>
          <w:p w14:paraId="697D4FD0"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76BC2AC" w14:textId="54E217CA"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{"citationID":"UjT3XZN0","properties":{"formattedCitation":"\\super 53\\nosupersub{}","plainCitation":"53","noteIndex":0},"citationItems":[{"id":1981,"uris":["http://zotero.org/users/10918866/items/L26L59SX"],"itemData":{"id":1981,"type":"webpage","abstract":"Price for Manganese Ore and Concentrate in Germany - 2023. Find the latest marketing data on the IndexBox platform.","language":"en","title":"Price for Manganese Ore and Concentrate in Germany - 2025 - Charts and Tables - IndexBox","URL":"https://www.indexbox.io/search/price-for-manganese-ore-and-concentrate-germany/","author":[{"family":"Index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53</w:t>
            </w:r>
            <w:r w:rsidRPr="00F72C9B">
              <w:rPr>
                <w:rFonts w:ascii="Arial" w:hAnsi="Arial" w:cs="Arial"/>
                <w:sz w:val="20"/>
                <w:szCs w:val="20"/>
              </w:rPr>
              <w:fldChar w:fldCharType="end"/>
            </w:r>
          </w:p>
        </w:tc>
        <w:tc>
          <w:tcPr>
            <w:tcW w:w="5760" w:type="dxa"/>
          </w:tcPr>
          <w:p w14:paraId="4C17E75F"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2">
              <w:r w:rsidRPr="00F72C9B">
                <w:rPr>
                  <w:rFonts w:ascii="Arial" w:eastAsia="Times New Roman" w:hAnsi="Arial" w:cs="Arial"/>
                  <w:color w:val="000000" w:themeColor="text1"/>
                  <w:sz w:val="20"/>
                  <w:szCs w:val="20"/>
                  <w:lang w:eastAsia="en-GB"/>
                </w:rPr>
                <w:t>Price for Manganese Ore and Concentrate in Germany - 2023</w:t>
              </w:r>
            </w:hyperlink>
          </w:p>
        </w:tc>
      </w:tr>
      <w:tr w:rsidR="00BE51B1" w:rsidRPr="007D3F22" w14:paraId="2AC98F8B" w14:textId="77777777" w:rsidTr="00A869C2">
        <w:trPr>
          <w:trHeight w:val="288"/>
        </w:trPr>
        <w:tc>
          <w:tcPr>
            <w:tcW w:w="1696" w:type="dxa"/>
            <w:vMerge/>
          </w:tcPr>
          <w:p w14:paraId="38143964"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7AEA8D56" w14:textId="0699E9F5"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{"citationID":"MfSpM2V2","properties":{"formattedCitation":"\\super 54\\nosupersub{}","plainCitation":"54","noteIndex":0},"citationItems":[{"id":1980,"uris":["http://zotero.org/users/10918866/items/WADETXLN"],"itemData":{"id":1980,"type":"webpage","abstract":"Price for Manganese Ore and Concentrate in Brazil - 2023. Find the latest marketing data on the IndexBox platform.","language":"en","title":"Price for Manganese Ore and Concentrate in Brazil - 2025 - Charts and Tables - IndexBox","URL":"https://www.indexbox.io/search/price-for-manganese-ore-and-concentrate-brazil/","author":[{"family":"Index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54</w:t>
            </w:r>
            <w:r w:rsidRPr="00F72C9B">
              <w:rPr>
                <w:rFonts w:ascii="Arial" w:hAnsi="Arial" w:cs="Arial"/>
                <w:sz w:val="20"/>
                <w:szCs w:val="20"/>
              </w:rPr>
              <w:fldChar w:fldCharType="end"/>
            </w:r>
          </w:p>
        </w:tc>
        <w:tc>
          <w:tcPr>
            <w:tcW w:w="5760" w:type="dxa"/>
          </w:tcPr>
          <w:p w14:paraId="133D1E8C"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3">
              <w:r w:rsidRPr="00F72C9B">
                <w:rPr>
                  <w:rFonts w:ascii="Arial" w:eastAsia="Times New Roman" w:hAnsi="Arial" w:cs="Arial"/>
                  <w:color w:val="000000" w:themeColor="text1"/>
                  <w:sz w:val="20"/>
                  <w:szCs w:val="20"/>
                  <w:lang w:eastAsia="en-GB"/>
                </w:rPr>
                <w:t>Price for Manganese Ore and Concentrate in Brazil - 2023</w:t>
              </w:r>
            </w:hyperlink>
          </w:p>
        </w:tc>
      </w:tr>
      <w:tr w:rsidR="00BE51B1" w:rsidRPr="007D3F22" w14:paraId="471F2B4B" w14:textId="77777777" w:rsidTr="00A869C2">
        <w:trPr>
          <w:trHeight w:val="288"/>
        </w:trPr>
        <w:tc>
          <w:tcPr>
            <w:tcW w:w="1696" w:type="dxa"/>
            <w:vMerge/>
          </w:tcPr>
          <w:p w14:paraId="11948132"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92D0966" w14:textId="77F595B4"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{"citationID":"CfDTTAev","properties":{"formattedCitation":"\\super 55\\nosupersub{}","plainCitation":"55","noteIndex":0},"citationItems":[{"id":1979,"uris":["http://zotero.org/users/10918866/items/WGNN8DE7"],"itemData":{"id":1979,"type":"webpage","abstract":"Price for Manganese Ore and Concentrate in Belgium - 2023. Find the latest marketing data on the IndexBox platform.","language":"en","title":"Price for Manganese Ore and Concentrate in Belgium - 2025 - Charts and Tables - IndexBox","URL":"https://www.indexbox.io/search/price-for-manganese-ore-and-concentrate-belgium/","author":[{"family":"Index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55</w:t>
            </w:r>
            <w:r w:rsidRPr="00F72C9B">
              <w:rPr>
                <w:rFonts w:ascii="Arial" w:hAnsi="Arial" w:cs="Arial"/>
                <w:sz w:val="20"/>
                <w:szCs w:val="20"/>
              </w:rPr>
              <w:fldChar w:fldCharType="end"/>
            </w:r>
          </w:p>
        </w:tc>
        <w:tc>
          <w:tcPr>
            <w:tcW w:w="5760" w:type="dxa"/>
          </w:tcPr>
          <w:p w14:paraId="1FCE444E"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4">
              <w:r w:rsidRPr="00F72C9B">
                <w:rPr>
                  <w:rFonts w:ascii="Arial" w:eastAsia="Times New Roman" w:hAnsi="Arial" w:cs="Arial"/>
                  <w:color w:val="000000" w:themeColor="text1"/>
                  <w:sz w:val="20"/>
                  <w:szCs w:val="20"/>
                  <w:lang w:eastAsia="en-GB"/>
                </w:rPr>
                <w:t>Price for Manganese Ore and Concentrate in Belgium - 2023</w:t>
              </w:r>
            </w:hyperlink>
          </w:p>
        </w:tc>
      </w:tr>
      <w:tr w:rsidR="00BE51B1" w:rsidRPr="007D3F22" w14:paraId="50A62B73" w14:textId="77777777" w:rsidTr="00A869C2">
        <w:trPr>
          <w:trHeight w:val="288"/>
        </w:trPr>
        <w:tc>
          <w:tcPr>
            <w:tcW w:w="1696" w:type="dxa"/>
            <w:vMerge w:val="restart"/>
            <w:vAlign w:val="center"/>
          </w:tcPr>
          <w:p w14:paraId="11CCB69D"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manganese oxide</w:t>
            </w:r>
          </w:p>
        </w:tc>
        <w:tc>
          <w:tcPr>
            <w:tcW w:w="1560" w:type="dxa"/>
          </w:tcPr>
          <w:p w14:paraId="75865AC1" w14:textId="1AFDEAFF"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{"citationID":"ocixq9pq","properties":{"formattedCitation":"\\super 56\\nosupersub{}","plainCitation":"56","noteIndex":0},"citationItems":[{"id":1978,"uris":["http://zotero.org/users/10918866/items/N7SK76U7"],"itemData":{"id":1978,"type":"webpage","abstract":"Manganese Oxides Price in the UK - 2023. Find the latest marketing data on the IndexBox platform.","language":"en","title":"Manganese Oxides Price in the UK - 2025 - Charts and Tables - IndexBox.","URL":"https://www.indexbox.io/search/manganese-oxides-price-the-uk/","author":[{"family":"Index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56</w:t>
            </w:r>
            <w:r w:rsidRPr="00F72C9B">
              <w:rPr>
                <w:rFonts w:ascii="Arial" w:hAnsi="Arial" w:cs="Arial"/>
                <w:sz w:val="20"/>
                <w:szCs w:val="20"/>
              </w:rPr>
              <w:fldChar w:fldCharType="end"/>
            </w:r>
          </w:p>
        </w:tc>
        <w:tc>
          <w:tcPr>
            <w:tcW w:w="5760" w:type="dxa"/>
          </w:tcPr>
          <w:p w14:paraId="3E54A762"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5">
              <w:r w:rsidRPr="00F72C9B">
                <w:rPr>
                  <w:rFonts w:ascii="Arial" w:eastAsia="Times New Roman" w:hAnsi="Arial" w:cs="Arial"/>
                  <w:color w:val="000000" w:themeColor="text1"/>
                  <w:sz w:val="20"/>
                  <w:szCs w:val="20"/>
                  <w:lang w:eastAsia="en-GB"/>
                </w:rPr>
                <w:t>Manganese Oxides Price in the UK - 2023</w:t>
              </w:r>
            </w:hyperlink>
          </w:p>
        </w:tc>
      </w:tr>
      <w:tr w:rsidR="00BE51B1" w:rsidRPr="008330B5" w14:paraId="1A59A1AD" w14:textId="77777777" w:rsidTr="00A869C2">
        <w:trPr>
          <w:trHeight w:val="288"/>
        </w:trPr>
        <w:tc>
          <w:tcPr>
            <w:tcW w:w="1696" w:type="dxa"/>
            <w:vMerge/>
          </w:tcPr>
          <w:p w14:paraId="11DDB43F"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15883B9" w14:textId="4125BB58"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{"citationID":"y9bm476Y","properties":{"formattedCitation":"\\super 57\\nosupersub{}","plainCitation":"57","noteIndex":0},"citationItems":[{"id":1972,"uris":["http://zotero.org/users/10918866/items/WCHBSAQS"],"itemData":{"id":1972,"type":"webpage","abstract":"Oxides and Hydroxides Price in Angola - 2022. Find the latest marketing data on the IndexBox platform.","language":"en","title":"Oxides and Hydroxides Price in Angola - 2025 - Charts and Tables - IndexBox","URL":"https://www.indexbox.io/search/oxides-and-hydroxides-price-angola/","author":[{"family":"Index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57</w:t>
            </w:r>
            <w:r w:rsidRPr="00F72C9B">
              <w:rPr>
                <w:rFonts w:ascii="Arial" w:hAnsi="Arial" w:cs="Arial"/>
                <w:sz w:val="20"/>
                <w:szCs w:val="20"/>
              </w:rPr>
              <w:fldChar w:fldCharType="end"/>
            </w:r>
          </w:p>
        </w:tc>
        <w:tc>
          <w:tcPr>
            <w:tcW w:w="5760" w:type="dxa"/>
          </w:tcPr>
          <w:p w14:paraId="3BC1F17A" w14:textId="77777777" w:rsidR="00BE51B1" w:rsidRPr="00681191" w:rsidRDefault="00BE51B1" w:rsidP="00877C15">
            <w:pPr>
              <w:spacing w:before="20" w:after="40"/>
              <w:rPr>
                <w:rFonts w:ascii="Arial" w:eastAsia="Times New Roman" w:hAnsi="Arial" w:cs="Arial"/>
                <w:color w:val="000000" w:themeColor="text1"/>
                <w:sz w:val="20"/>
                <w:szCs w:val="20"/>
                <w:lang w:val="it-IT" w:eastAsia="en-GB"/>
              </w:rPr>
            </w:pPr>
            <w:hyperlink r:id="rId56">
              <w:r w:rsidRPr="00681191">
                <w:rPr>
                  <w:rFonts w:ascii="Arial" w:eastAsia="Times New Roman" w:hAnsi="Arial" w:cs="Arial"/>
                  <w:color w:val="000000" w:themeColor="text1"/>
                  <w:sz w:val="20"/>
                  <w:szCs w:val="20"/>
                  <w:lang w:val="it-IT" w:eastAsia="en-GB"/>
                </w:rPr>
                <w:t>Manganese Oxides Price in Angola - 2022</w:t>
              </w:r>
            </w:hyperlink>
          </w:p>
        </w:tc>
      </w:tr>
      <w:tr w:rsidR="00BE51B1" w:rsidRPr="007D3F22" w14:paraId="5A300E84" w14:textId="77777777" w:rsidTr="00A869C2">
        <w:trPr>
          <w:trHeight w:val="288"/>
        </w:trPr>
        <w:tc>
          <w:tcPr>
            <w:tcW w:w="1696" w:type="dxa"/>
            <w:vMerge/>
          </w:tcPr>
          <w:p w14:paraId="7B9C2C4E" w14:textId="77777777" w:rsidR="00BE51B1" w:rsidRPr="00681191" w:rsidRDefault="00BE51B1" w:rsidP="00877C15">
            <w:pPr>
              <w:spacing w:before="20" w:after="40"/>
              <w:rPr>
                <w:rFonts w:ascii="Arial" w:hAnsi="Arial" w:cs="Arial"/>
                <w:b/>
                <w:bCs/>
                <w:color w:val="156082" w:themeColor="accent1"/>
                <w:sz w:val="20"/>
                <w:szCs w:val="20"/>
                <w:lang w:val="it-IT"/>
              </w:rPr>
            </w:pPr>
          </w:p>
        </w:tc>
        <w:tc>
          <w:tcPr>
            <w:tcW w:w="1560" w:type="dxa"/>
          </w:tcPr>
          <w:p w14:paraId="315CB0F6" w14:textId="58B14673"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{"citationID":"Q3iyl8nK","properties":{"formattedCitation":"\\super 58\\nosupersub{}","plainCitation":"58","noteIndex":0},"citationItems":[{"id":1976,"uris":["http://zotero.org/users/10918866/items/IYEP6JDA"],"itemData":{"id":1976,"type":"webpage","abstract":"Manganese Oxides Price in Kenya - 2021. Find the latest marketing data on the IndexBox platform.","language":"en","title":"Manganese Oxides Price in Kenya - 2025 - Charts and Tables - IndexBox.","URL":"https://www.indexbox.io/search/manganese-oxides-price-kenya/","author":[{"family":"Index box","given":""}],"accessed":{"date-parts":[["2025",3,10]]},"issued":{"date-parts":[["2021"]]}}}],"schema":"https://github.com/citation-style-language/schema/raw/master/csl-citation.json"}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58</w:t>
            </w:r>
            <w:r w:rsidRPr="00F72C9B">
              <w:rPr>
                <w:rFonts w:ascii="Arial" w:hAnsi="Arial" w:cs="Arial"/>
                <w:sz w:val="20"/>
                <w:szCs w:val="20"/>
              </w:rPr>
              <w:fldChar w:fldCharType="end"/>
            </w:r>
          </w:p>
        </w:tc>
        <w:tc>
          <w:tcPr>
            <w:tcW w:w="5760" w:type="dxa"/>
          </w:tcPr>
          <w:p w14:paraId="4BFD9453"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7">
              <w:r w:rsidRPr="00F72C9B">
                <w:rPr>
                  <w:rFonts w:ascii="Arial" w:eastAsia="Times New Roman" w:hAnsi="Arial" w:cs="Arial"/>
                  <w:color w:val="000000" w:themeColor="text1"/>
                  <w:sz w:val="20"/>
                  <w:szCs w:val="20"/>
                  <w:lang w:eastAsia="en-GB"/>
                </w:rPr>
                <w:t>Manganese Oxides Price in Kenya - 2021</w:t>
              </w:r>
            </w:hyperlink>
          </w:p>
        </w:tc>
      </w:tr>
      <w:tr w:rsidR="00BE51B1" w:rsidRPr="007D3F22" w14:paraId="5456DC26" w14:textId="77777777" w:rsidTr="00A869C2">
        <w:trPr>
          <w:trHeight w:val="288"/>
        </w:trPr>
        <w:tc>
          <w:tcPr>
            <w:tcW w:w="1696" w:type="dxa"/>
            <w:vMerge/>
          </w:tcPr>
          <w:p w14:paraId="00A9BA0B"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A52F48B" w14:textId="058B89F1"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{"citationID":"2uVmwwsJ","properties":{"formattedCitation":"\\super 59\\nosupersub{}","plainCitation":"59","noteIndex":0},"citationItems":[{"id":1975,"uris":["http://zotero.org/users/10918866/items/U44I6D3G"],"itemData":{"id":1975,"type":"webpage","abstract":"Manganese Dioxide Price in South Africa - 2023. Find the latest marketing data on the IndexBox platform.","language":"en","title":"Manganese Dioxide Price in South Africa - 2025 - Charts and Tables - IndexBox.","URL":"https://www.indexbox.io/search/manganese-dioxide-price-south-africa/","author":[{"family":"Index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59</w:t>
            </w:r>
            <w:r w:rsidRPr="00F72C9B">
              <w:rPr>
                <w:rFonts w:ascii="Arial" w:hAnsi="Arial" w:cs="Arial"/>
                <w:sz w:val="20"/>
                <w:szCs w:val="20"/>
              </w:rPr>
              <w:fldChar w:fldCharType="end"/>
            </w:r>
          </w:p>
        </w:tc>
        <w:tc>
          <w:tcPr>
            <w:tcW w:w="5760" w:type="dxa"/>
          </w:tcPr>
          <w:p w14:paraId="2B7C22FC"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8">
              <w:r w:rsidRPr="00F72C9B">
                <w:rPr>
                  <w:rFonts w:ascii="Arial" w:eastAsia="Times New Roman" w:hAnsi="Arial" w:cs="Arial"/>
                  <w:color w:val="000000" w:themeColor="text1"/>
                  <w:sz w:val="20"/>
                  <w:szCs w:val="20"/>
                  <w:lang w:eastAsia="en-GB"/>
                </w:rPr>
                <w:t>Manganese Oxides Price in South Africa - 2023</w:t>
              </w:r>
            </w:hyperlink>
          </w:p>
        </w:tc>
      </w:tr>
      <w:tr w:rsidR="00BE51B1" w:rsidRPr="007D3F22" w14:paraId="2C7E81D7" w14:textId="77777777" w:rsidTr="00A869C2">
        <w:trPr>
          <w:trHeight w:val="288"/>
        </w:trPr>
        <w:tc>
          <w:tcPr>
            <w:tcW w:w="1696" w:type="dxa"/>
            <w:vMerge/>
          </w:tcPr>
          <w:p w14:paraId="234881A6"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2FA28563" w14:textId="00AE790E"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{"citationID":"5CzlvIaJ","properties":{"formattedCitation":"\\super 60\\nosupersub{}","plainCitation":"60","noteIndex":0},"citationItems":[{"id":1974,"uris":["http://zotero.org/users/10918866/items/SGVMIKYS"],"itemData":{"id":1974,"type":"webpage","abstract":"Manganese Oxides Price in Uganda - 2022. Find the latest marketing data on the IndexBox platform.","language":"en","title":"Manganese Oxides Price in Uganda - 2025 - Charts and Tables - IndexBox.","URL":"https://www.indexbox.io/search/manganese-oxides-price-uganda/","author":[{"family":"Index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60</w:t>
            </w:r>
            <w:r w:rsidRPr="00F72C9B">
              <w:rPr>
                <w:rFonts w:ascii="Arial" w:hAnsi="Arial" w:cs="Arial"/>
                <w:sz w:val="20"/>
                <w:szCs w:val="20"/>
              </w:rPr>
              <w:fldChar w:fldCharType="end"/>
            </w:r>
          </w:p>
        </w:tc>
        <w:tc>
          <w:tcPr>
            <w:tcW w:w="5760" w:type="dxa"/>
          </w:tcPr>
          <w:p w14:paraId="08E3F6C4"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59">
              <w:r w:rsidRPr="00F72C9B">
                <w:rPr>
                  <w:rFonts w:ascii="Arial" w:eastAsia="Times New Roman" w:hAnsi="Arial" w:cs="Arial"/>
                  <w:color w:val="000000" w:themeColor="text1"/>
                  <w:sz w:val="20"/>
                  <w:szCs w:val="20"/>
                  <w:lang w:eastAsia="en-GB"/>
                </w:rPr>
                <w:t>Manganese Oxides Price in Uganda - 2022</w:t>
              </w:r>
            </w:hyperlink>
          </w:p>
        </w:tc>
      </w:tr>
      <w:tr w:rsidR="00BE51B1" w:rsidRPr="008330B5" w14:paraId="7D84F640" w14:textId="77777777" w:rsidTr="00A869C2">
        <w:trPr>
          <w:trHeight w:val="288"/>
        </w:trPr>
        <w:tc>
          <w:tcPr>
            <w:tcW w:w="1696" w:type="dxa"/>
            <w:vMerge/>
          </w:tcPr>
          <w:p w14:paraId="0C47D745"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3B1A3474" w14:textId="34BF9C47"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{"citationID":"KrDueLjD","properties":{"formattedCitation":"\\super 61\\nosupersub{}","plainCitation":"61","noteIndex":0},"citationItems":[{"id":1973,"uris":["http://zotero.org/users/10918866/items/8BT9TPUS"],"itemData":{"id":1973,"type":"webpage","abstract":"Manganese Oxides Price in Tanzania - 2022. Find the latest marketing data on the IndexBox platform.","language":"en","title":"Manganese Oxides Price in Tanzania - 2025 - Charts and Tables - IndexBox.","URL":"https://www.indexbox.io/search/manganese-oxides-price-tanzania/","author":[{"family":"Index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61</w:t>
            </w:r>
            <w:r w:rsidRPr="00F72C9B">
              <w:rPr>
                <w:rFonts w:ascii="Arial" w:hAnsi="Arial" w:cs="Arial"/>
                <w:sz w:val="20"/>
                <w:szCs w:val="20"/>
              </w:rPr>
              <w:fldChar w:fldCharType="end"/>
            </w:r>
          </w:p>
        </w:tc>
        <w:tc>
          <w:tcPr>
            <w:tcW w:w="5760" w:type="dxa"/>
          </w:tcPr>
          <w:p w14:paraId="775B1D6E" w14:textId="77777777" w:rsidR="00BE51B1" w:rsidRPr="00681191" w:rsidRDefault="00BE51B1" w:rsidP="00877C15">
            <w:pPr>
              <w:spacing w:before="20" w:after="40"/>
              <w:rPr>
                <w:rFonts w:ascii="Arial" w:eastAsia="Times New Roman" w:hAnsi="Arial" w:cs="Arial"/>
                <w:color w:val="000000" w:themeColor="text1"/>
                <w:sz w:val="20"/>
                <w:szCs w:val="20"/>
                <w:lang w:val="it-IT" w:eastAsia="en-GB"/>
              </w:rPr>
            </w:pPr>
            <w:hyperlink r:id="rId60">
              <w:r w:rsidRPr="00681191">
                <w:rPr>
                  <w:rFonts w:ascii="Arial" w:eastAsia="Times New Roman" w:hAnsi="Arial" w:cs="Arial"/>
                  <w:color w:val="000000" w:themeColor="text1"/>
                  <w:sz w:val="20"/>
                  <w:szCs w:val="20"/>
                  <w:lang w:val="it-IT" w:eastAsia="en-GB"/>
                </w:rPr>
                <w:t>Manganese Oxides Price in Tanzania - 2022</w:t>
              </w:r>
            </w:hyperlink>
          </w:p>
        </w:tc>
      </w:tr>
      <w:tr w:rsidR="00BE51B1" w:rsidRPr="007D3F22" w14:paraId="10834B52" w14:textId="77777777" w:rsidTr="00A869C2">
        <w:trPr>
          <w:trHeight w:val="288"/>
        </w:trPr>
        <w:tc>
          <w:tcPr>
            <w:tcW w:w="1696" w:type="dxa"/>
            <w:vMerge w:val="restart"/>
          </w:tcPr>
          <w:p w14:paraId="70E7E7AA"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manganese sulphate</w:t>
            </w:r>
          </w:p>
        </w:tc>
        <w:tc>
          <w:tcPr>
            <w:tcW w:w="1560" w:type="dxa"/>
          </w:tcPr>
          <w:p w14:paraId="0BAF4CB0" w14:textId="58BD9960"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{"citationID":"fcEKIa4w","properties":{"formattedCitation":"\\super 62\\nosupersub{}","plainCitation":"62","noteIndex":0},"citationItems":[{"id":1971,"uris":["http://zotero.org/users/10918866/items/7NIYTYWT"],"itemData":{"id":1971,"type":"webpage","abstract":"SMM Battery-Grade Manganese Sulphate Index price today, Historical price charts of SMM Battery-Grade Manganese Sulphate Index, How much is SMM Battery-Grade Manganese Sulphate Index? All SMM Battery-Grade Manganese Sulphate Index market information is available at Shanghai Metal Market.","language":"en","title":"SMM Battery-Grade Manganese Sulphate Index price today | Historical price charts of SMM Battery-Grade Manganese Sulphate Index - Shanghai Metal Market","URL":"https://www.metal.com/en/prices/202208300001","author":[{"family":"SMM","given":""}],"accessed":{"date-parts":[["2025",3,10]]},"issued":{"date-parts":[["2025"]]}}}],"schema":"https://github.com/citation-style-language/schema/raw/master/csl-citation.json"}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62</w:t>
            </w:r>
            <w:r w:rsidRPr="00F72C9B">
              <w:rPr>
                <w:rFonts w:ascii="Arial" w:hAnsi="Arial" w:cs="Arial"/>
                <w:sz w:val="20"/>
                <w:szCs w:val="20"/>
              </w:rPr>
              <w:fldChar w:fldCharType="end"/>
            </w:r>
          </w:p>
        </w:tc>
        <w:tc>
          <w:tcPr>
            <w:tcW w:w="5760" w:type="dxa"/>
          </w:tcPr>
          <w:p w14:paraId="5F1DAD04"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1">
              <w:r w:rsidRPr="00F72C9B">
                <w:rPr>
                  <w:rFonts w:ascii="Arial" w:eastAsia="Times New Roman" w:hAnsi="Arial" w:cs="Arial"/>
                  <w:color w:val="000000" w:themeColor="text1"/>
                  <w:sz w:val="20"/>
                  <w:szCs w:val="20"/>
                  <w:lang w:eastAsia="en-GB"/>
                </w:rPr>
                <w:t>SMM Manganese Sulfate Index</w:t>
              </w:r>
              <w:r>
                <w:rPr>
                  <w:rFonts w:ascii="Arial" w:eastAsia="Times New Roman" w:hAnsi="Arial" w:cs="Arial"/>
                  <w:color w:val="000000" w:themeColor="text1"/>
                  <w:sz w:val="20"/>
                  <w:szCs w:val="20"/>
                  <w:lang w:eastAsia="en-GB"/>
                </w:rPr>
                <w:t xml:space="preserve"> </w:t>
              </w:r>
              <w:r w:rsidRPr="00F72C9B">
                <w:rPr>
                  <w:rFonts w:ascii="Arial" w:eastAsia="Times New Roman" w:hAnsi="Arial" w:cs="Arial"/>
                  <w:color w:val="000000" w:themeColor="text1"/>
                  <w:sz w:val="20"/>
                  <w:szCs w:val="20"/>
                  <w:lang w:eastAsia="en-GB"/>
                </w:rPr>
                <w:t xml:space="preserve">(Battery Level) price </w:t>
              </w:r>
            </w:hyperlink>
          </w:p>
        </w:tc>
      </w:tr>
      <w:tr w:rsidR="00BE51B1" w:rsidRPr="007D3F22" w14:paraId="4FECD521" w14:textId="77777777" w:rsidTr="00A869C2">
        <w:trPr>
          <w:trHeight w:val="288"/>
        </w:trPr>
        <w:tc>
          <w:tcPr>
            <w:tcW w:w="1696" w:type="dxa"/>
            <w:vMerge/>
          </w:tcPr>
          <w:p w14:paraId="17ED4C9A"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5A07230" w14:textId="0D6782FF"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{"citationID":"RcvhEOiK","properties":{"formattedCitation":"\\super 63\\nosupersub{}","plainCitation":"63","noteIndex":0},"citationItems":[{"id":1970,"uris":["http://zotero.org/users/10918866/items/6JJJ762M"],"itemData":{"id":1970,"type":"webpage","abstract":"Battery-Grade Manganese Sulphate (Ex-Factory Price) price today, Historical price charts of Battery-Grade Manganese Sulphate (Ex-Factory Price), How much is Battery-Grade Manganese Sulphate (Ex-Factory Price)? All Battery-Grade Manganese Sulphate (Ex-Factory Price) market information is available at Shanghai Metal Market.","language":"en","title":"Battery-Grade Manganese Sulphate (Ex-Factory Price) price today | Historical price charts of Battery-Grade Manganese Sulphate (Ex-Factory Price) - Shanghai Metal Market","URL":"https://www.metal.com/en/prices/201805300001","author":[{"family":"SMM","given":""}],"accessed":{"date-parts":[["2025",3,10]]},"issued":{"date-parts":[["2025"]]}}}],"schema":"https://github.com/citation-style-language/schema/raw/master/csl-citation.json"}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63</w:t>
            </w:r>
            <w:r w:rsidRPr="00F72C9B">
              <w:rPr>
                <w:rFonts w:ascii="Arial" w:hAnsi="Arial" w:cs="Arial"/>
                <w:sz w:val="20"/>
                <w:szCs w:val="20"/>
              </w:rPr>
              <w:fldChar w:fldCharType="end"/>
            </w:r>
          </w:p>
        </w:tc>
        <w:tc>
          <w:tcPr>
            <w:tcW w:w="5760" w:type="dxa"/>
          </w:tcPr>
          <w:p w14:paraId="77493E6D"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2">
              <w:r w:rsidRPr="00F72C9B">
                <w:rPr>
                  <w:rFonts w:ascii="Arial" w:eastAsia="Times New Roman" w:hAnsi="Arial" w:cs="Arial"/>
                  <w:color w:val="000000" w:themeColor="text1"/>
                  <w:sz w:val="20"/>
                  <w:szCs w:val="20"/>
                  <w:lang w:eastAsia="en-GB"/>
                </w:rPr>
                <w:t>Manganese Sulfate( Battery Level) price</w:t>
              </w:r>
            </w:hyperlink>
            <w:r w:rsidRPr="00F72C9B">
              <w:rPr>
                <w:rFonts w:ascii="Arial" w:eastAsia="Times New Roman" w:hAnsi="Arial" w:cs="Arial"/>
                <w:color w:val="000000" w:themeColor="text1"/>
                <w:sz w:val="20"/>
                <w:szCs w:val="20"/>
                <w:lang w:eastAsia="en-GB"/>
              </w:rPr>
              <w:t xml:space="preserve"> </w:t>
            </w:r>
          </w:p>
        </w:tc>
      </w:tr>
      <w:tr w:rsidR="00BE51B1" w:rsidRPr="007D3F22" w14:paraId="7DF0FC9F" w14:textId="77777777" w:rsidTr="00A869C2">
        <w:trPr>
          <w:trHeight w:val="288"/>
        </w:trPr>
        <w:tc>
          <w:tcPr>
            <w:tcW w:w="1696" w:type="dxa"/>
            <w:vMerge/>
          </w:tcPr>
          <w:p w14:paraId="4BB944CE"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1D91694E" w14:textId="742B71C8"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{"citationID":"Bi8Kez5S","properties":{"formattedCitation":"\\super 64\\nosupersub{}","plainCitation":"64","noteIndex":0},"citationItems":[{"id":1969,"uris":["http://zotero.org/users/10918866/items/VF6ESD76"],"itemData":{"id":1969,"type":"webpage","title":"Manganese Historical Prices, Graph – Asian Metal","URL":"https://www.asianmetal.com/Manganese-Price-Index/","author":[{"family":"Asian Metal","given":""}],"accessed":{"date-parts":[["2025",3,10]]},"issued":{"date-parts":[["2025"]]}}}],"schema":"https://github.com/citation-style-language/schema/raw/master/csl-citation.json"}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64</w:t>
            </w:r>
            <w:r w:rsidRPr="00F72C9B">
              <w:rPr>
                <w:rFonts w:ascii="Arial" w:hAnsi="Arial" w:cs="Arial"/>
                <w:sz w:val="20"/>
                <w:szCs w:val="20"/>
              </w:rPr>
              <w:fldChar w:fldCharType="end"/>
            </w:r>
          </w:p>
        </w:tc>
        <w:tc>
          <w:tcPr>
            <w:tcW w:w="5760" w:type="dxa"/>
          </w:tcPr>
          <w:p w14:paraId="6E81A056"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3">
              <w:r w:rsidRPr="00F72C9B">
                <w:rPr>
                  <w:rFonts w:ascii="Arial" w:eastAsia="Times New Roman" w:hAnsi="Arial" w:cs="Arial"/>
                  <w:color w:val="000000" w:themeColor="text1"/>
                  <w:sz w:val="20"/>
                  <w:szCs w:val="20"/>
                  <w:lang w:eastAsia="en-GB"/>
                </w:rPr>
                <w:t>Manganese Historical Prices, Graph – Asian Metal</w:t>
              </w:r>
            </w:hyperlink>
          </w:p>
        </w:tc>
      </w:tr>
      <w:tr w:rsidR="00BE51B1" w:rsidRPr="007D3F22" w14:paraId="54D4D814" w14:textId="77777777" w:rsidTr="00A869C2">
        <w:trPr>
          <w:trHeight w:val="288"/>
        </w:trPr>
        <w:tc>
          <w:tcPr>
            <w:tcW w:w="1696" w:type="dxa"/>
          </w:tcPr>
          <w:p w14:paraId="211869DB"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manganese ore</w:t>
            </w:r>
          </w:p>
        </w:tc>
        <w:tc>
          <w:tcPr>
            <w:tcW w:w="1560" w:type="dxa"/>
          </w:tcPr>
          <w:p w14:paraId="40A1C768" w14:textId="428FB8F2"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{"citationID":"Jc5aoMrV","properties":{"formattedCitation":"\\super 65\\nosupersub{}","plainCitation":"65","noteIndex":0},"citationItems":[{"id":1968,"uris":["http://zotero.org/users/10918866/items/SSK2TSU3"],"itemData":{"id":1968,"type":"webpage","title":"Manganese Ore - Price - Chart - Historical Data - News","URL":"https://tradingeconomics.com/commodity/manganese","author":[{"family":"Trading economics","given":""}],"accessed":{"date-parts":[["2025",3,10]]},"issued":{"date-parts":[["2025"]]}}}],"schema":"https://github.com/citation-style-language/schema/raw/master/csl-citation.json"} </w:instrText>
            </w:r>
            <w:r w:rsidRPr="00F72C9B">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65</w:t>
            </w:r>
            <w:r w:rsidRPr="00F72C9B">
              <w:rPr>
                <w:rFonts w:ascii="Arial" w:eastAsia="Times New Roman" w:hAnsi="Arial" w:cs="Arial"/>
                <w:color w:val="000000" w:themeColor="text1"/>
                <w:sz w:val="20"/>
                <w:szCs w:val="20"/>
                <w:lang w:eastAsia="en-GB"/>
              </w:rPr>
              <w:fldChar w:fldCharType="end"/>
            </w:r>
          </w:p>
        </w:tc>
        <w:tc>
          <w:tcPr>
            <w:tcW w:w="5760" w:type="dxa"/>
          </w:tcPr>
          <w:p w14:paraId="196BBA40"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t>Manganese Ore - Price - Chart - Historical Data</w:t>
            </w:r>
          </w:p>
        </w:tc>
      </w:tr>
      <w:tr w:rsidR="00BE51B1" w:rsidRPr="007D3F22" w14:paraId="50372FAC" w14:textId="77777777" w:rsidTr="00A869C2">
        <w:trPr>
          <w:trHeight w:val="288"/>
        </w:trPr>
        <w:tc>
          <w:tcPr>
            <w:tcW w:w="1696" w:type="dxa"/>
            <w:vMerge w:val="restart"/>
            <w:vAlign w:val="center"/>
          </w:tcPr>
          <w:p w14:paraId="04726544"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natural graphite</w:t>
            </w:r>
          </w:p>
        </w:tc>
        <w:tc>
          <w:tcPr>
            <w:tcW w:w="1560" w:type="dxa"/>
          </w:tcPr>
          <w:p w14:paraId="33A387B1" w14:textId="0F3E680E"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{"citationID":"RgjntyHQ","properties":{"formattedCitation":"\\super 66\\nosupersub{}","plainCitation":"66","noteIndex":0},"citationItems":[{"id":1967,"uris":["http://zotero.org/users/10918866/items/BUYXBY6U"],"itemData":{"id":1967,"type":"webpage","abstract":"In 2023, graphite imports into Angola amounted to 12 tons, surging by 15% against 2022.","language":"en","title":"Graphite Price in Angola - 2025 - Charts and Tables - IndexBox.","URL":"https://www.indexbox.io/search/graphite-price-angola/","author":[{"family":"Index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66</w:t>
            </w:r>
            <w:r w:rsidRPr="00F72C9B">
              <w:rPr>
                <w:rFonts w:ascii="Arial" w:hAnsi="Arial" w:cs="Arial"/>
                <w:sz w:val="20"/>
                <w:szCs w:val="20"/>
              </w:rPr>
              <w:fldChar w:fldCharType="end"/>
            </w:r>
          </w:p>
        </w:tc>
        <w:tc>
          <w:tcPr>
            <w:tcW w:w="5760" w:type="dxa"/>
          </w:tcPr>
          <w:p w14:paraId="23996EAA"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4">
              <w:r w:rsidRPr="00F72C9B">
                <w:rPr>
                  <w:rFonts w:ascii="Arial" w:eastAsia="Times New Roman" w:hAnsi="Arial" w:cs="Arial"/>
                  <w:color w:val="000000" w:themeColor="text1"/>
                  <w:sz w:val="20"/>
                  <w:szCs w:val="20"/>
                  <w:lang w:eastAsia="en-GB"/>
                </w:rPr>
                <w:t>Graphite Price in Angola - 2022</w:t>
              </w:r>
            </w:hyperlink>
          </w:p>
        </w:tc>
      </w:tr>
      <w:tr w:rsidR="00BE51B1" w:rsidRPr="007D3F22" w14:paraId="3E53BDE2" w14:textId="77777777" w:rsidTr="00A869C2">
        <w:trPr>
          <w:trHeight w:val="288"/>
        </w:trPr>
        <w:tc>
          <w:tcPr>
            <w:tcW w:w="1696" w:type="dxa"/>
            <w:vMerge/>
          </w:tcPr>
          <w:p w14:paraId="702CB0FF"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7D8F2CD4" w14:textId="6C524EC1"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{"citationID":"3BDvrbtl","properties":{"formattedCitation":"\\super 67\\nosupersub{}","plainCitation":"67","noteIndex":0},"citationItems":[{"id":1966,"uris":["http://zotero.org/users/10918866/items/3QUQGU2D"],"itemData":{"id":1966,"type":"webpage","abstract":"For the fourth consecutive year, Tanzania recorded growth in shipments abroad of graphite (natural), which increased by 116% to 13K tons in 2023.","language":"en","title":"Graphite Price in Tanzania - 2025 - Charts and Tables - IndexBox.","URL":"https://www.indexbox.io/search/graphite-price-tanzania/","author":[{"family":"Index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67</w:t>
            </w:r>
            <w:r w:rsidRPr="00F72C9B">
              <w:rPr>
                <w:rFonts w:ascii="Arial" w:hAnsi="Arial" w:cs="Arial"/>
                <w:sz w:val="20"/>
                <w:szCs w:val="20"/>
              </w:rPr>
              <w:fldChar w:fldCharType="end"/>
            </w:r>
          </w:p>
        </w:tc>
        <w:tc>
          <w:tcPr>
            <w:tcW w:w="5760" w:type="dxa"/>
          </w:tcPr>
          <w:p w14:paraId="78B7CD81"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5">
              <w:r w:rsidRPr="00F72C9B">
                <w:rPr>
                  <w:rFonts w:ascii="Arial" w:eastAsia="Times New Roman" w:hAnsi="Arial" w:cs="Arial"/>
                  <w:color w:val="000000" w:themeColor="text1"/>
                  <w:sz w:val="20"/>
                  <w:szCs w:val="20"/>
                  <w:lang w:eastAsia="en-GB"/>
                </w:rPr>
                <w:t>Graphite Price in Tanzania - 2022</w:t>
              </w:r>
            </w:hyperlink>
          </w:p>
        </w:tc>
      </w:tr>
      <w:tr w:rsidR="00BE51B1" w:rsidRPr="007D3F22" w14:paraId="08DEFA15" w14:textId="77777777" w:rsidTr="00A869C2">
        <w:trPr>
          <w:trHeight w:val="288"/>
        </w:trPr>
        <w:tc>
          <w:tcPr>
            <w:tcW w:w="1696" w:type="dxa"/>
            <w:vMerge/>
          </w:tcPr>
          <w:p w14:paraId="2DA84FDC"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2D0C6CB6" w14:textId="57F277B0"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{"citationID":"Mu0iSFhr","properties":{"formattedCitation":"\\super 68\\nosupersub{}","plainCitation":"68","noteIndex":0},"citationItems":[{"id":1964,"uris":["http://zotero.org/users/10918866/items/82YHZLSK"],"itemData":{"id":1964,"type":"webpage","abstract":"Graphite imports into Kenya skyrocketed to 2.8 tons in 2023, picking up by 260% compared with the year before.","language":"en","title":"Graphite Price in Kenya - 2025 - Charts and Tables - IndexBox.","URL":"https://www.indexbox.io/search/graphite-price-kenya/","author":[{"family":"Index box","given":""}],"accessed":{"date-parts":[["2025",3,10]]},"issued":{"date-parts":[["2022"]]}}}],"schema":"https://github.com/citation-style-language/schema/raw/master/csl-citation.json"}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68</w:t>
            </w:r>
            <w:r w:rsidRPr="00F72C9B">
              <w:rPr>
                <w:rFonts w:ascii="Arial" w:hAnsi="Arial" w:cs="Arial"/>
                <w:sz w:val="20"/>
                <w:szCs w:val="20"/>
              </w:rPr>
              <w:fldChar w:fldCharType="end"/>
            </w:r>
          </w:p>
        </w:tc>
        <w:tc>
          <w:tcPr>
            <w:tcW w:w="5760" w:type="dxa"/>
          </w:tcPr>
          <w:p w14:paraId="50B34806"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6">
              <w:r w:rsidRPr="00F72C9B">
                <w:rPr>
                  <w:rFonts w:ascii="Arial" w:eastAsia="Times New Roman" w:hAnsi="Arial" w:cs="Arial"/>
                  <w:color w:val="000000" w:themeColor="text1"/>
                  <w:sz w:val="20"/>
                  <w:szCs w:val="20"/>
                  <w:lang w:eastAsia="en-GB"/>
                </w:rPr>
                <w:t>Graphite Price in Kenya - 2022</w:t>
              </w:r>
            </w:hyperlink>
          </w:p>
        </w:tc>
      </w:tr>
      <w:tr w:rsidR="00BE51B1" w:rsidRPr="007D3F22" w14:paraId="463A3D73" w14:textId="77777777" w:rsidTr="00A869C2">
        <w:trPr>
          <w:trHeight w:val="288"/>
        </w:trPr>
        <w:tc>
          <w:tcPr>
            <w:tcW w:w="1696" w:type="dxa"/>
            <w:vMerge/>
          </w:tcPr>
          <w:p w14:paraId="6D2C9A51"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63291973" w14:textId="30DE4C00"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{"citationID":"QwAvHl3n","properties":{"formattedCitation":"\\super 69\\nosupersub{}","plainCitation":"69","noteIndex":0},"citationItems":[{"id":1963,"uris":["http://zotero.org/users/10918866/items/IAUMCS2U"],"itemData":{"id":1963,"type":"post-weblog","abstract":"Natural graphite price index since 2017. Based on the average of the key market indicators related to natural graphite price index","container-title":"businessanalytiq","language":"en-US","title":"Natural graphite price index","URL":"https://businessanalytiq.com/procurementanalytics/index/graphite-price-index/","author":[{"family":"Mike","given":""}],"accessed":{"date-parts":[["2025",3,10]]},"issued":{"date-parts":[["2021",3,3]]}}}],"schema":"https://github.com/citation-style-language/schema/raw/master/csl-citation.json"} </w:instrText>
            </w:r>
            <w:r w:rsidRPr="00F72C9B">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69</w:t>
            </w:r>
            <w:r w:rsidRPr="00F72C9B">
              <w:rPr>
                <w:rFonts w:ascii="Arial" w:eastAsia="Times New Roman" w:hAnsi="Arial" w:cs="Arial"/>
                <w:color w:val="000000" w:themeColor="text1"/>
                <w:sz w:val="20"/>
                <w:szCs w:val="20"/>
                <w:lang w:eastAsia="en-GB"/>
              </w:rPr>
              <w:fldChar w:fldCharType="end"/>
            </w:r>
          </w:p>
        </w:tc>
        <w:tc>
          <w:tcPr>
            <w:tcW w:w="5760" w:type="dxa"/>
          </w:tcPr>
          <w:p w14:paraId="3AC22CB7"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p>
        </w:tc>
      </w:tr>
      <w:tr w:rsidR="00BE51B1" w:rsidRPr="007D3F22" w14:paraId="5AFCC2A8" w14:textId="77777777" w:rsidTr="00A869C2">
        <w:trPr>
          <w:trHeight w:val="288"/>
        </w:trPr>
        <w:tc>
          <w:tcPr>
            <w:tcW w:w="1696" w:type="dxa"/>
            <w:vMerge/>
          </w:tcPr>
          <w:p w14:paraId="43543DDE"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11D6465E" w14:textId="45C3AC15"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{"citationID":"8Ojyxrja","properties":{"formattedCitation":"\\super 70\\nosupersub{}","plainCitation":"70","noteIndex":0},"citationItems":[{"id":1962,"uris":["http://zotero.org/users/10918866/items/KAKCE8ND"],"itemData":{"id":1962,"type":"webpage","abstract":"After three years of growth, purchases abroad of graphite (natural) decreased by -25.5% to 776 tons in 2023.","language":"en","title":"Graphite Price in South Africa - 2025 - Charts and Tables - IndexBox.","URL":"https://www.indexbox.io/search/graphite-price-south-africa/","author":[{"family":"Index box","given":""}],"accessed":{"date-parts":[["2025",3,10]]},"issued":{"date-parts":[["2023"]]}}}],"schema":"https://github.com/citation-style-language/schema/raw/master/csl-citation.json"}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70</w:t>
            </w:r>
            <w:r w:rsidRPr="00F72C9B">
              <w:rPr>
                <w:rFonts w:ascii="Arial" w:hAnsi="Arial" w:cs="Arial"/>
                <w:sz w:val="20"/>
                <w:szCs w:val="20"/>
              </w:rPr>
              <w:fldChar w:fldCharType="end"/>
            </w:r>
          </w:p>
        </w:tc>
        <w:tc>
          <w:tcPr>
            <w:tcW w:w="5760" w:type="dxa"/>
          </w:tcPr>
          <w:p w14:paraId="64563A05"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hyperlink r:id="rId67">
              <w:r w:rsidRPr="00F72C9B">
                <w:rPr>
                  <w:rFonts w:ascii="Arial" w:eastAsia="Times New Roman" w:hAnsi="Arial" w:cs="Arial"/>
                  <w:color w:val="000000" w:themeColor="text1"/>
                  <w:sz w:val="20"/>
                  <w:szCs w:val="20"/>
                  <w:lang w:eastAsia="en-GB"/>
                </w:rPr>
                <w:t>Graphite Price in South Africa - 2023</w:t>
              </w:r>
            </w:hyperlink>
          </w:p>
        </w:tc>
      </w:tr>
      <w:tr w:rsidR="00BE51B1" w:rsidRPr="007D3F22" w14:paraId="0D8F5124" w14:textId="77777777" w:rsidTr="00A869C2">
        <w:trPr>
          <w:trHeight w:val="288"/>
        </w:trPr>
        <w:tc>
          <w:tcPr>
            <w:tcW w:w="1696" w:type="dxa"/>
          </w:tcPr>
          <w:p w14:paraId="2DC49600"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spherical graphite</w:t>
            </w:r>
          </w:p>
        </w:tc>
        <w:tc>
          <w:tcPr>
            <w:tcW w:w="1560" w:type="dxa"/>
          </w:tcPr>
          <w:p w14:paraId="69BB5836" w14:textId="2187938B"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{"citationID":"fKZMZAGk","properties":{"formattedCitation":"\\super 71\\nosupersub{}","plainCitation":"71","noteIndex":0},"citationItems":[{"id":1961,"uris":["http://zotero.org/users/10918866/items/A76HFABY"],"itemData":{"id":1961,"type":"webpage","title":"Spherical Graphite Historical Prices, Graph – Asian Metal","URL":"https://www.asianmetal.com/Spherical-Graphite-Price/","accessed":{"date-parts":[["2025",3,10]]},"issued":{"date-parts":[["2025"]]}}}],"schema":"https://github.com/citation-style-language/schema/raw/master/csl-citation.json"} </w:instrText>
            </w:r>
            <w:r w:rsidRPr="00F72C9B">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71</w:t>
            </w:r>
            <w:r w:rsidRPr="00F72C9B">
              <w:rPr>
                <w:rFonts w:ascii="Arial" w:eastAsia="Times New Roman" w:hAnsi="Arial" w:cs="Arial"/>
                <w:color w:val="000000" w:themeColor="text1"/>
                <w:sz w:val="20"/>
                <w:szCs w:val="20"/>
                <w:lang w:eastAsia="en-GB"/>
              </w:rPr>
              <w:fldChar w:fldCharType="end"/>
            </w:r>
          </w:p>
        </w:tc>
        <w:tc>
          <w:tcPr>
            <w:tcW w:w="5760" w:type="dxa"/>
          </w:tcPr>
          <w:p w14:paraId="53340421"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t>Spherical Graphite 99.95%min 17μm max EXW China</w:t>
            </w:r>
          </w:p>
        </w:tc>
      </w:tr>
      <w:tr w:rsidR="00BE51B1" w:rsidRPr="007D3F22" w14:paraId="14980D05" w14:textId="77777777" w:rsidTr="00A869C2">
        <w:trPr>
          <w:trHeight w:val="288"/>
        </w:trPr>
        <w:tc>
          <w:tcPr>
            <w:tcW w:w="1696" w:type="dxa"/>
            <w:vMerge w:val="restart"/>
          </w:tcPr>
          <w:p w14:paraId="4E287BD0"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coated spherical graphite</w:t>
            </w:r>
          </w:p>
        </w:tc>
        <w:tc>
          <w:tcPr>
            <w:tcW w:w="1560" w:type="dxa"/>
          </w:tcPr>
          <w:p w14:paraId="0222BB13" w14:textId="1D0632EC"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{"citationID":"R1ToExwk","properties":{"formattedCitation":"\\super 72\\nosupersub{}","plainCitation":"72","noteIndex":0},"citationItems":[{"id":2248,"uris":["http://zotero.org/users/10918866/items/NKZAGXJ9"],"itemData":{"id":2248,"type":"document","publisher":"Edison","title":"Graphite for batteries","URL":"https://www.edisoninvestmentresearch.com/?ACT=19&amp;ID=17404&amp;dir=sectorreports&amp;field=19","author":[{"family":"Hayes","given":"Tom"}],"accessed":{"date-parts":[["2025",3,11]]},"issued":{"date-parts":[["2016",11,8]]}}}],"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72</w:t>
            </w:r>
            <w:r w:rsidRPr="00F72C9B">
              <w:rPr>
                <w:rFonts w:ascii="Arial" w:hAnsi="Arial" w:cs="Arial"/>
                <w:sz w:val="20"/>
                <w:szCs w:val="20"/>
              </w:rPr>
              <w:fldChar w:fldCharType="end"/>
            </w:r>
          </w:p>
        </w:tc>
        <w:tc>
          <w:tcPr>
            <w:tcW w:w="5760" w:type="dxa"/>
          </w:tcPr>
          <w:p w14:paraId="096F7995" w14:textId="77777777" w:rsidR="00BE51B1" w:rsidRPr="00F72C9B" w:rsidRDefault="00BE51B1" w:rsidP="00877C15">
            <w:pPr>
              <w:spacing w:before="20" w:after="40"/>
              <w:rPr>
                <w:rFonts w:ascii="Arial" w:eastAsia="Times New Roman" w:hAnsi="Arial" w:cs="Arial"/>
                <w:color w:val="467886"/>
                <w:sz w:val="20"/>
                <w:szCs w:val="20"/>
                <w:u w:val="single"/>
                <w:lang w:eastAsia="en-GB"/>
              </w:rPr>
            </w:pPr>
          </w:p>
        </w:tc>
      </w:tr>
      <w:tr w:rsidR="00BE51B1" w:rsidRPr="007D3F22" w14:paraId="5D679582" w14:textId="77777777" w:rsidTr="00A869C2">
        <w:trPr>
          <w:trHeight w:val="288"/>
        </w:trPr>
        <w:tc>
          <w:tcPr>
            <w:tcW w:w="1696" w:type="dxa"/>
            <w:vMerge/>
          </w:tcPr>
          <w:p w14:paraId="283832A7"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0EFC03F4" w14:textId="039C2FBB"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{"citationID":"hkLZX34G","properties":{"formattedCitation":"\\super 73\\nosupersub{}","plainCitation":"73","noteIndex":0},"citationItems":[{"id":1960,"uris":["http://zotero.org/users/10918866/items/76XM9ZWK"],"itemData":{"id":1960,"type":"post-weblog","container-title":"Westwater Resources","language":"en-US","title":"Graphite Market","URL":"https://westwaterresources.net/minerals-portfolio/graphite-market/","author":[{"family":"Westwater resources","given":""}],"accessed":{"date-parts":[["2025",3,10]]},"issued":{"date-parts":[["2024"]]}}}],"schema":"https://github.com/citation-style-language/schema/raw/master/csl-citation.json"}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73</w:t>
            </w:r>
            <w:r w:rsidRPr="00F72C9B">
              <w:rPr>
                <w:rFonts w:ascii="Arial" w:hAnsi="Arial" w:cs="Arial"/>
                <w:sz w:val="20"/>
                <w:szCs w:val="20"/>
              </w:rPr>
              <w:fldChar w:fldCharType="end"/>
            </w:r>
          </w:p>
        </w:tc>
        <w:tc>
          <w:tcPr>
            <w:tcW w:w="5760" w:type="dxa"/>
          </w:tcPr>
          <w:p w14:paraId="75306A36" w14:textId="77777777" w:rsidR="00BE51B1" w:rsidRPr="00F72C9B" w:rsidRDefault="00BE51B1" w:rsidP="00877C15">
            <w:pPr>
              <w:spacing w:before="20" w:after="40"/>
              <w:rPr>
                <w:rFonts w:ascii="Arial" w:eastAsia="Times New Roman" w:hAnsi="Arial" w:cs="Arial"/>
                <w:color w:val="467886"/>
                <w:sz w:val="20"/>
                <w:szCs w:val="20"/>
                <w:u w:val="single"/>
                <w:lang w:eastAsia="en-GB"/>
              </w:rPr>
            </w:pPr>
          </w:p>
        </w:tc>
      </w:tr>
      <w:tr w:rsidR="00BE51B1" w:rsidRPr="007D3F22" w14:paraId="28922987" w14:textId="77777777" w:rsidTr="00A869C2">
        <w:trPr>
          <w:trHeight w:val="288"/>
        </w:trPr>
        <w:tc>
          <w:tcPr>
            <w:tcW w:w="1696" w:type="dxa"/>
            <w:vMerge w:val="restart"/>
            <w:vAlign w:val="center"/>
          </w:tcPr>
          <w:p w14:paraId="69DF966F" w14:textId="77777777" w:rsidR="00BE51B1" w:rsidRPr="00F72C9B" w:rsidRDefault="00BE51B1" w:rsidP="00877C15">
            <w:pPr>
              <w:spacing w:before="20" w:after="40"/>
              <w:rPr>
                <w:rFonts w:ascii="Arial" w:eastAsia="Times New Roman" w:hAnsi="Arial" w:cs="Arial"/>
                <w:b/>
                <w:bCs/>
                <w:color w:val="156082" w:themeColor="accent1"/>
                <w:sz w:val="20"/>
                <w:szCs w:val="20"/>
                <w:lang w:eastAsia="en-GB"/>
              </w:rPr>
            </w:pPr>
            <w:r w:rsidRPr="00F72C9B">
              <w:rPr>
                <w:rFonts w:ascii="Arial" w:eastAsia="Times New Roman" w:hAnsi="Arial" w:cs="Arial"/>
                <w:b/>
                <w:bCs/>
                <w:color w:val="156082" w:themeColor="accent1"/>
                <w:sz w:val="20"/>
                <w:szCs w:val="20"/>
                <w:lang w:eastAsia="en-GB"/>
              </w:rPr>
              <w:t>lithium metal</w:t>
            </w:r>
          </w:p>
        </w:tc>
        <w:tc>
          <w:tcPr>
            <w:tcW w:w="1560" w:type="dxa"/>
          </w:tcPr>
          <w:p w14:paraId="419B03FB" w14:textId="2B1756E5"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{"citationID":"QKUYdygP","properties":{"formattedCitation":"\\super 74\\nosupersub{}","plainCitation":"74","noteIndex":0},"citationItems":[{"id":1959,"uris":["http://zotero.org/users/10918866/items/S7NPPXGN"],"itemData":{"id":1959,"type":"webpage","abstract":"SMM brings you current and historical Battery-Grade Lithium Metal (Weekly) price tables and charts, and maintains daily Battery-Grade Lithium Metal (Weekly) price updates.","language":"en","title":"Battery-Grade Lithium Metal (Weekly) price today | Historical Battery-Grade Lithium Metal (Weekly) Price Charts | SMM Metal Market","URL":"https://www.metal.com/Lithium/202304250002","author":[{"family":"SMM","given":""}],"accessed":{"date-parts":[["2025",3,10]]},"issued":{"date-parts":[["2024"]]}}}],"schema":"https://github.com/citation-style-language/schema/raw/master/csl-citation.json"}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74</w:t>
            </w:r>
            <w:r w:rsidRPr="00F72C9B">
              <w:rPr>
                <w:rFonts w:ascii="Arial" w:hAnsi="Arial" w:cs="Arial"/>
                <w:sz w:val="20"/>
                <w:szCs w:val="20"/>
              </w:rPr>
              <w:fldChar w:fldCharType="end"/>
            </w:r>
          </w:p>
        </w:tc>
        <w:tc>
          <w:tcPr>
            <w:tcW w:w="5760" w:type="dxa"/>
          </w:tcPr>
          <w:p w14:paraId="72F47DFC" w14:textId="77777777" w:rsidR="00BE51B1" w:rsidRPr="00681191" w:rsidRDefault="00BE51B1" w:rsidP="00877C15">
            <w:pPr>
              <w:spacing w:before="20" w:after="40"/>
              <w:rPr>
                <w:rFonts w:ascii="Arial" w:eastAsia="Times New Roman" w:hAnsi="Arial" w:cs="Arial"/>
                <w:sz w:val="20"/>
                <w:szCs w:val="20"/>
                <w:lang w:eastAsia="en-GB"/>
              </w:rPr>
            </w:pPr>
            <w:r w:rsidRPr="00681191">
              <w:rPr>
                <w:rFonts w:ascii="Arial" w:eastAsia="Times New Roman" w:hAnsi="Arial" w:cs="Arial"/>
                <w:sz w:val="20"/>
                <w:szCs w:val="20"/>
                <w:lang w:eastAsia="en-GB"/>
              </w:rPr>
              <w:t>Battery Grade Lithium Metal</w:t>
            </w:r>
            <w:r w:rsidRPr="00681191">
              <w:rPr>
                <w:rFonts w:ascii="Arial" w:eastAsia="MS Gothic" w:hAnsi="Arial" w:cs="Arial"/>
                <w:sz w:val="20"/>
                <w:szCs w:val="20"/>
                <w:lang w:eastAsia="en-GB"/>
              </w:rPr>
              <w:t>,</w:t>
            </w:r>
            <w:r w:rsidRPr="00681191">
              <w:rPr>
                <w:rFonts w:ascii="Arial" w:eastAsia="Times New Roman" w:hAnsi="Arial" w:cs="Arial"/>
                <w:sz w:val="20"/>
                <w:szCs w:val="20"/>
                <w:lang w:eastAsia="en-GB"/>
              </w:rPr>
              <w:t xml:space="preserve"> SMM Metal Market</w:t>
            </w:r>
          </w:p>
        </w:tc>
      </w:tr>
      <w:tr w:rsidR="00BE51B1" w:rsidRPr="007D3F22" w14:paraId="6AA7EA94" w14:textId="77777777" w:rsidTr="00A869C2">
        <w:trPr>
          <w:trHeight w:val="288"/>
        </w:trPr>
        <w:tc>
          <w:tcPr>
            <w:tcW w:w="1696" w:type="dxa"/>
            <w:vMerge/>
          </w:tcPr>
          <w:p w14:paraId="0A4FF8FD"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390FA653" w14:textId="2C459994" w:rsidR="00BE51B1" w:rsidRPr="00F72C9B" w:rsidRDefault="00BE51B1" w:rsidP="00877C15">
            <w:pPr>
              <w:spacing w:before="20" w:after="40"/>
              <w:rPr>
                <w:rFonts w:ascii="Arial" w:hAnsi="Arial" w:cs="Arial"/>
                <w:sz w:val="20"/>
                <w:szCs w:val="20"/>
              </w:rPr>
            </w:pPr>
            <w:r w:rsidRPr="00F72C9B">
              <w:rPr>
                <w:rFonts w:ascii="Arial" w:hAnsi="Arial" w:cs="Arial"/>
                <w:sz w:val="20"/>
                <w:szCs w:val="20"/>
              </w:rPr>
              <w:fldChar w:fldCharType="begin"/>
            </w:r>
            <w:r w:rsidR="007E07E0">
              <w:rPr>
                <w:rFonts w:ascii="Arial" w:hAnsi="Arial" w:cs="Arial"/>
                <w:sz w:val="20"/>
                <w:szCs w:val="20"/>
              </w:rPr>
              <w:instrText xml:space="preserve"> ADDIN ZOTERO_ITEM CSL_CITATION {"citationID":"KhQDhFBX","properties":{"formattedCitation":"\\super 75\\nosupersub{}","plainCitation":"75","noteIndex":0},"citationItems":[{"id":2258,"uris":["http://zotero.org/users/10918866/items/GHK9J8XA"],"itemData":{"id":2258,"type":"webpage","abstract":"SMM brings you current and historical Industrial-Grade Lithium Metal (Weekly) price tables and charts, and maintains daily Industrial-Grade Lithium Metal (Weekly) price updates.","language":"en","title":"Industrial-Grade Lithium Metal (Weekly) price today | Historical Industrial-Grade Lithium Metal (Weekly) Price Charts | SMM Metal Market","URL":"https://www.metal.com/Lithium/202304250001","author":[{"family":"SMM","given":""}],"accessed":{"date-parts":[["2025",3,10]]},"issued":{"date-parts":[["2025"]]}}}],"schema":"https://github.com/citation-style-language/schema/raw/master/csl-citation.json"} </w:instrText>
            </w:r>
            <w:r w:rsidRPr="00F72C9B">
              <w:rPr>
                <w:rFonts w:ascii="Arial" w:hAnsi="Arial" w:cs="Arial"/>
                <w:sz w:val="20"/>
                <w:szCs w:val="20"/>
              </w:rPr>
              <w:fldChar w:fldCharType="separate"/>
            </w:r>
            <w:r w:rsidR="007E07E0" w:rsidRPr="007E07E0">
              <w:rPr>
                <w:rFonts w:ascii="Arial" w:hAnsi="Arial" w:cs="Arial"/>
                <w:kern w:val="0"/>
                <w:sz w:val="20"/>
                <w:vertAlign w:val="superscript"/>
              </w:rPr>
              <w:t>75</w:t>
            </w:r>
            <w:r w:rsidRPr="00F72C9B">
              <w:rPr>
                <w:rFonts w:ascii="Arial" w:hAnsi="Arial" w:cs="Arial"/>
                <w:sz w:val="20"/>
                <w:szCs w:val="20"/>
              </w:rPr>
              <w:fldChar w:fldCharType="end"/>
            </w:r>
          </w:p>
        </w:tc>
        <w:tc>
          <w:tcPr>
            <w:tcW w:w="5760" w:type="dxa"/>
          </w:tcPr>
          <w:p w14:paraId="286CA2A2" w14:textId="77777777" w:rsidR="00BE51B1" w:rsidRPr="00681191" w:rsidRDefault="00BE51B1" w:rsidP="00877C15">
            <w:pPr>
              <w:spacing w:before="20" w:after="40"/>
              <w:rPr>
                <w:rFonts w:ascii="Arial" w:eastAsia="Times New Roman" w:hAnsi="Arial" w:cs="Arial"/>
                <w:sz w:val="20"/>
                <w:szCs w:val="20"/>
                <w:lang w:eastAsia="en-GB"/>
              </w:rPr>
            </w:pPr>
            <w:r w:rsidRPr="00681191">
              <w:rPr>
                <w:rFonts w:ascii="Arial" w:eastAsia="Times New Roman" w:hAnsi="Arial" w:cs="Arial"/>
                <w:sz w:val="20"/>
                <w:szCs w:val="20"/>
                <w:lang w:eastAsia="en-GB"/>
              </w:rPr>
              <w:t>Industrial Grade Lithium Metal</w:t>
            </w:r>
            <w:r w:rsidRPr="00681191">
              <w:rPr>
                <w:rFonts w:ascii="Arial" w:eastAsia="MS Gothic" w:hAnsi="Arial" w:cs="Arial"/>
                <w:sz w:val="20"/>
                <w:szCs w:val="20"/>
                <w:lang w:eastAsia="en-GB"/>
              </w:rPr>
              <w:t xml:space="preserve">, </w:t>
            </w:r>
            <w:r w:rsidRPr="00681191">
              <w:rPr>
                <w:rFonts w:ascii="Arial" w:eastAsia="Times New Roman" w:hAnsi="Arial" w:cs="Arial"/>
                <w:sz w:val="20"/>
                <w:szCs w:val="20"/>
                <w:lang w:eastAsia="en-GB"/>
              </w:rPr>
              <w:t>SMM Metal Market</w:t>
            </w:r>
          </w:p>
        </w:tc>
      </w:tr>
      <w:tr w:rsidR="00BE51B1" w:rsidRPr="007D3F22" w14:paraId="7EE04FF0" w14:textId="77777777" w:rsidTr="00A869C2">
        <w:trPr>
          <w:trHeight w:val="288"/>
        </w:trPr>
        <w:tc>
          <w:tcPr>
            <w:tcW w:w="1696" w:type="dxa"/>
            <w:vMerge/>
          </w:tcPr>
          <w:p w14:paraId="46DF25C7" w14:textId="77777777" w:rsidR="00BE51B1" w:rsidRPr="00F72C9B" w:rsidRDefault="00BE51B1" w:rsidP="00877C15">
            <w:pPr>
              <w:spacing w:before="20" w:after="40"/>
              <w:rPr>
                <w:rFonts w:ascii="Arial" w:hAnsi="Arial" w:cs="Arial"/>
                <w:b/>
                <w:bCs/>
                <w:color w:val="156082" w:themeColor="accent1"/>
                <w:sz w:val="20"/>
                <w:szCs w:val="20"/>
              </w:rPr>
            </w:pPr>
          </w:p>
        </w:tc>
        <w:tc>
          <w:tcPr>
            <w:tcW w:w="1560" w:type="dxa"/>
          </w:tcPr>
          <w:p w14:paraId="79B9205A" w14:textId="3A3D66F5"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fldChar w:fldCharType="begin"/>
            </w:r>
            <w:r w:rsidR="007E07E0">
              <w:rPr>
                <w:rFonts w:ascii="Arial" w:eastAsia="Times New Roman" w:hAnsi="Arial" w:cs="Arial"/>
                <w:color w:val="000000" w:themeColor="text1"/>
                <w:sz w:val="20"/>
                <w:szCs w:val="20"/>
                <w:lang w:eastAsia="en-GB"/>
              </w:rPr>
              <w:instrText xml:space="preserve"> ADDIN ZOTERO_ITEM CSL_CITATION {"citationID":"tJvHDH40","properties":{"formattedCitation":"\\super 76\\nosupersub{}","plainCitation":"76","noteIndex":0},"citationItems":[{"id":2257,"uris":["http://zotero.org/users/10918866/items/ZJBDMEUP"],"itemData":{"id":2257,"type":"article-journal","abstract":"Cost-savings in lithium-ion battery production are crucial for promoting widespread adoption of Battery Electric Vehicles and achieving cost-parity with internal combustion engines. This study presents a comprehensive analysis of projected production costs for lithium-ion batteries by 2030, focusing on essential metals. It explores the complex interplay of factors, including economies of scale, R&amp;D innovations, market dynamics, and metal price trends. The findings highlight the significant role of R&amp;D innovations and economies of scale in substantial cost reductions by 2030, with projected ranges of 21–28 % and 25–37 %, respectively. However, potential cost escalations due to elevated metal prices, particularly for nickel-cobalt-containing chemistries, are also cautioned. To address these challenges, the study proposes a strategic shift towards robust Lithium-Iron-Phosphate (LFP) chemistry to mitigate cost pressures and meet predefined cost targets. Moreover, by analyzing medium or low metal price trends, the study reveals the potential for significant cost savings, with exceptional scenarios demonstrating up to a remarkable 65 % reduction in costs. Given the broad range of cost likelihoods, the study underscores the importance of vertical integration and international cooperation in managing the essential metals supply chain securely. The research has profound implications for policymakers and industry decision-makers, providing valuable insights into the lithium-ion battery industry.","container-title":"Batteries &amp; Supercaps","DOI":"10.1002/batt.202300346","ISSN":"2566-6223","issue":"12","language":"en","license":"© 2023 The Authors. Batteries &amp; Supercaps published by Wiley-VCH GmbH","note":"_eprint: https://onlinelibrary.wiley.com/doi/pdf/10.1002/batt.202300346","page":"e202300346","source":"Wiley Online Library","title":"Trajectories for Lithium-Ion Battery Cost Production: Can Metal Prices Hamper the Deployment of Lithium-Ion Batteries?","title-short":"Trajectories for Lithium-Ion Battery Cost Production","volume":"6","author":[{"family":"Orangi","given":"Sina"},{"family":"Manjong","given":"Nelson Bunyui"},{"family":"Clos","given":"Daniel Perez"},{"family":"Usai","given":"Lorenzo"},{"family":"Stokke Burheim","given":"Odne"},{"family":"Strømman","given":"Anders Hammer"}],"issued":{"date-parts":[["2023"]]}}}],"schema":"https://github.com/citation-style-language/schema/raw/master/csl-citation.json"} </w:instrText>
            </w:r>
            <w:r w:rsidRPr="00F72C9B">
              <w:rPr>
                <w:rFonts w:ascii="Arial" w:eastAsia="Times New Roman" w:hAnsi="Arial" w:cs="Arial"/>
                <w:color w:val="000000" w:themeColor="text1"/>
                <w:sz w:val="20"/>
                <w:szCs w:val="20"/>
                <w:lang w:eastAsia="en-GB"/>
              </w:rPr>
              <w:fldChar w:fldCharType="separate"/>
            </w:r>
            <w:r w:rsidR="007E07E0" w:rsidRPr="007E07E0">
              <w:rPr>
                <w:rFonts w:ascii="Arial" w:hAnsi="Arial" w:cs="Arial"/>
                <w:kern w:val="0"/>
                <w:sz w:val="20"/>
                <w:vertAlign w:val="superscript"/>
              </w:rPr>
              <w:t>76</w:t>
            </w:r>
            <w:r w:rsidRPr="00F72C9B">
              <w:rPr>
                <w:rFonts w:ascii="Arial" w:eastAsia="Times New Roman" w:hAnsi="Arial" w:cs="Arial"/>
                <w:color w:val="000000" w:themeColor="text1"/>
                <w:sz w:val="20"/>
                <w:szCs w:val="20"/>
                <w:lang w:eastAsia="en-GB"/>
              </w:rPr>
              <w:fldChar w:fldCharType="end"/>
            </w:r>
          </w:p>
        </w:tc>
        <w:tc>
          <w:tcPr>
            <w:tcW w:w="5760" w:type="dxa"/>
          </w:tcPr>
          <w:p w14:paraId="4E1B0D76"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r w:rsidRPr="00F72C9B">
              <w:rPr>
                <w:rFonts w:ascii="Arial" w:eastAsia="Times New Roman" w:hAnsi="Arial" w:cs="Arial"/>
                <w:color w:val="000000" w:themeColor="text1"/>
                <w:sz w:val="20"/>
                <w:szCs w:val="20"/>
                <w:lang w:eastAsia="en-GB"/>
              </w:rPr>
              <w:t xml:space="preserve">Orangi </w:t>
            </w:r>
            <w:r w:rsidRPr="00F72C9B">
              <w:rPr>
                <w:rFonts w:ascii="Arial" w:eastAsia="Times New Roman" w:hAnsi="Arial" w:cs="Arial"/>
                <w:i/>
                <w:iCs/>
                <w:color w:val="000000" w:themeColor="text1"/>
                <w:sz w:val="20"/>
                <w:szCs w:val="20"/>
                <w:lang w:eastAsia="en-GB"/>
              </w:rPr>
              <w:t>et al</w:t>
            </w:r>
            <w:r w:rsidRPr="00F72C9B">
              <w:rPr>
                <w:rFonts w:ascii="Arial" w:eastAsia="Times New Roman" w:hAnsi="Arial" w:cs="Arial"/>
                <w:color w:val="000000" w:themeColor="text1"/>
                <w:sz w:val="20"/>
                <w:szCs w:val="20"/>
                <w:lang w:eastAsia="en-GB"/>
              </w:rPr>
              <w:t>., 2023, (USD/kg)</w:t>
            </w:r>
          </w:p>
        </w:tc>
      </w:tr>
      <w:tr w:rsidR="00BE51B1" w:rsidRPr="007D3F22" w14:paraId="645C7E85" w14:textId="77777777" w:rsidTr="00A869C2">
        <w:trPr>
          <w:trHeight w:val="288"/>
        </w:trPr>
        <w:tc>
          <w:tcPr>
            <w:tcW w:w="1696" w:type="dxa"/>
          </w:tcPr>
          <w:p w14:paraId="7E67B5DA" w14:textId="77777777" w:rsidR="00BE51B1" w:rsidRPr="00F72C9B" w:rsidRDefault="00BE51B1" w:rsidP="00877C15">
            <w:pPr>
              <w:spacing w:before="20" w:after="40"/>
              <w:rPr>
                <w:rFonts w:ascii="Arial" w:eastAsia="Times New Roman" w:hAnsi="Arial" w:cs="Arial"/>
                <w:b/>
                <w:bCs/>
                <w:color w:val="156082" w:themeColor="accent1"/>
                <w:sz w:val="20"/>
                <w:szCs w:val="20"/>
                <w:u w:val="single"/>
                <w:lang w:eastAsia="en-GB"/>
              </w:rPr>
            </w:pPr>
            <w:r w:rsidRPr="00F72C9B">
              <w:rPr>
                <w:rFonts w:ascii="Arial" w:eastAsia="Times New Roman" w:hAnsi="Arial" w:cs="Arial"/>
                <w:b/>
                <w:bCs/>
                <w:color w:val="156082" w:themeColor="accent1"/>
                <w:sz w:val="20"/>
                <w:szCs w:val="20"/>
                <w:lang w:eastAsia="en-GB"/>
              </w:rPr>
              <w:t>6% spodumene concentrate</w:t>
            </w:r>
          </w:p>
        </w:tc>
        <w:tc>
          <w:tcPr>
            <w:tcW w:w="1560" w:type="dxa"/>
          </w:tcPr>
          <w:p w14:paraId="6BB85C36" w14:textId="275A5201" w:rsidR="00BE51B1" w:rsidRPr="00F72C9B" w:rsidRDefault="00BE51B1" w:rsidP="00877C15">
            <w:pPr>
              <w:spacing w:before="20" w:after="40"/>
              <w:rPr>
                <w:rFonts w:ascii="Arial" w:hAnsi="Arial" w:cs="Arial"/>
                <w:sz w:val="20"/>
                <w:szCs w:val="20"/>
              </w:rPr>
            </w:pPr>
            <w:r w:rsidRPr="00766470">
              <w:rPr>
                <w:rFonts w:ascii="Arial" w:eastAsiaTheme="minorEastAsia" w:hAnsi="Arial" w:cs="Arial"/>
              </w:rPr>
              <w:fldChar w:fldCharType="begin"/>
            </w:r>
            <w:r w:rsidR="00F256D1">
              <w:rPr>
                <w:rFonts w:ascii="Arial" w:eastAsiaTheme="minorEastAsia" w:hAnsi="Arial" w:cs="Arial"/>
              </w:rPr>
              <w:instrText xml:space="preserve"> ADDIN ZOTERO_ITEM CSL_CITATION {"citationID":"Agif8H71","properties":{"formattedCitation":"\\super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766470">
              <w:rPr>
                <w:rFonts w:ascii="Arial" w:eastAsiaTheme="minorEastAsia" w:hAnsi="Arial" w:cs="Arial"/>
              </w:rPr>
              <w:fldChar w:fldCharType="separate"/>
            </w:r>
            <w:r w:rsidR="00F256D1" w:rsidRPr="00F256D1">
              <w:rPr>
                <w:rFonts w:ascii="Arial" w:hAnsi="Arial" w:cs="Arial"/>
                <w:kern w:val="0"/>
                <w:vertAlign w:val="superscript"/>
              </w:rPr>
              <w:t>1</w:t>
            </w:r>
            <w:r w:rsidRPr="00766470">
              <w:rPr>
                <w:rFonts w:ascii="Arial" w:eastAsiaTheme="minorEastAsia" w:hAnsi="Arial" w:cs="Arial"/>
              </w:rPr>
              <w:fldChar w:fldCharType="end"/>
            </w:r>
          </w:p>
        </w:tc>
        <w:tc>
          <w:tcPr>
            <w:tcW w:w="5760" w:type="dxa"/>
          </w:tcPr>
          <w:p w14:paraId="1AB672BD" w14:textId="77777777" w:rsidR="00BE51B1" w:rsidRPr="00F72C9B" w:rsidRDefault="00BE51B1" w:rsidP="00877C15">
            <w:pPr>
              <w:spacing w:before="20" w:after="40"/>
              <w:rPr>
                <w:rFonts w:ascii="Arial" w:eastAsia="Times New Roman" w:hAnsi="Arial" w:cs="Arial"/>
                <w:color w:val="000000" w:themeColor="text1"/>
                <w:sz w:val="20"/>
                <w:szCs w:val="20"/>
                <w:lang w:eastAsia="en-GB"/>
              </w:rPr>
            </w:pPr>
          </w:p>
        </w:tc>
      </w:tr>
      <w:tr w:rsidR="00BE51B1" w:rsidRPr="007D3F22" w14:paraId="176B771F" w14:textId="77777777" w:rsidTr="00A869C2">
        <w:trPr>
          <w:trHeight w:val="288"/>
        </w:trPr>
        <w:tc>
          <w:tcPr>
            <w:tcW w:w="1696" w:type="dxa"/>
            <w:vMerge w:val="restart"/>
            <w:vAlign w:val="center"/>
          </w:tcPr>
          <w:p w14:paraId="4B6EA78E" w14:textId="77777777" w:rsidR="00BE51B1" w:rsidRPr="005410C3" w:rsidRDefault="00BE51B1" w:rsidP="00877C15">
            <w:pPr>
              <w:spacing w:before="20" w:after="40"/>
              <w:rPr>
                <w:rFonts w:ascii="Arial" w:eastAsia="Times New Roman" w:hAnsi="Arial" w:cs="Arial"/>
                <w:b/>
                <w:bCs/>
                <w:color w:val="156082" w:themeColor="accent1"/>
                <w:sz w:val="20"/>
                <w:szCs w:val="20"/>
                <w:lang w:eastAsia="en-GB"/>
              </w:rPr>
            </w:pPr>
            <w:r w:rsidRPr="005410C3">
              <w:rPr>
                <w:rFonts w:ascii="Arial" w:eastAsia="Times New Roman" w:hAnsi="Arial" w:cs="Arial"/>
                <w:b/>
                <w:bCs/>
                <w:color w:val="156082" w:themeColor="accent1"/>
                <w:sz w:val="20"/>
                <w:szCs w:val="20"/>
                <w:lang w:eastAsia="en-GB"/>
              </w:rPr>
              <w:t>lithium carbonate</w:t>
            </w:r>
          </w:p>
        </w:tc>
        <w:tc>
          <w:tcPr>
            <w:tcW w:w="1560" w:type="dxa"/>
          </w:tcPr>
          <w:p w14:paraId="6F1EDA5C" w14:textId="16185036"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{"citationID":"o1T5ZuXr","properties":{"formattedCitation":"\\super 77\\nosupersub{}","plainCitation":"77","noteIndex":0},"citationItems":[{"id":2255,"uris":["http://zotero.org/users/10918866/items/HLAM4PSI"],"itemData":{"id":2255,"type":"webpage","abstract":"SMM brings you current and historical Industrial-Grade Lithium Carbonate price tables and charts, and maintains daily Industrial-Grade Lithium Carbonate price updates.","language":"en","title":"Industrial-Grade Lithium Carbonate price today | Historical Industrial-Grade Lithium Carbonate Price Charts | SMM Metal Market","URL":"https://www.metal.com/Lithium/201905160001","author":[{"family":"SMM","given":""}],"accessed":{"date-parts":[["2025",3,10]]},"issued":{"date-parts":[["2025"]]}}}],"schema":"https://github.com/citation-style-language/schema/raw/master/csl-citation.json"}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77</w:t>
            </w:r>
            <w:r w:rsidRPr="005410C3">
              <w:rPr>
                <w:rFonts w:ascii="Arial" w:hAnsi="Arial" w:cs="Arial"/>
                <w:sz w:val="20"/>
                <w:szCs w:val="20"/>
              </w:rPr>
              <w:fldChar w:fldCharType="end"/>
            </w:r>
          </w:p>
        </w:tc>
        <w:tc>
          <w:tcPr>
            <w:tcW w:w="5760" w:type="dxa"/>
          </w:tcPr>
          <w:p w14:paraId="0DABEB38"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68">
              <w:r w:rsidRPr="005410C3">
                <w:rPr>
                  <w:rFonts w:ascii="Arial" w:eastAsia="Times New Roman" w:hAnsi="Arial" w:cs="Arial"/>
                  <w:color w:val="000000" w:themeColor="text1"/>
                  <w:sz w:val="20"/>
                  <w:szCs w:val="20"/>
                  <w:lang w:eastAsia="en-GB"/>
                </w:rPr>
                <w:t>Lithium Carbonate (99.2% Industrial Grade)</w:t>
              </w:r>
              <w:r>
                <w:rPr>
                  <w:rFonts w:ascii="Arial" w:eastAsia="Times New Roman" w:hAnsi="Arial" w:cs="Arial"/>
                  <w:color w:val="000000" w:themeColor="text1"/>
                  <w:sz w:val="20"/>
                  <w:szCs w:val="20"/>
                  <w:lang w:eastAsia="en-GB"/>
                </w:rPr>
                <w:t>,</w:t>
              </w:r>
              <w:r w:rsidRPr="005410C3">
                <w:rPr>
                  <w:rFonts w:ascii="Arial" w:eastAsia="Times New Roman" w:hAnsi="Arial" w:cs="Arial"/>
                  <w:color w:val="000000" w:themeColor="text1"/>
                  <w:sz w:val="20"/>
                  <w:szCs w:val="20"/>
                  <w:lang w:eastAsia="en-GB"/>
                </w:rPr>
                <w:t xml:space="preserve"> SMM Metal Market</w:t>
              </w:r>
            </w:hyperlink>
          </w:p>
        </w:tc>
      </w:tr>
      <w:tr w:rsidR="00BE51B1" w:rsidRPr="007D3F22" w14:paraId="09A22B9F" w14:textId="77777777" w:rsidTr="00A869C2">
        <w:trPr>
          <w:trHeight w:val="288"/>
        </w:trPr>
        <w:tc>
          <w:tcPr>
            <w:tcW w:w="1696" w:type="dxa"/>
            <w:vMerge/>
          </w:tcPr>
          <w:p w14:paraId="10C5A772" w14:textId="77777777" w:rsidR="00BE51B1" w:rsidRPr="005410C3" w:rsidRDefault="00BE51B1" w:rsidP="00877C15">
            <w:pPr>
              <w:spacing w:before="20" w:after="40"/>
              <w:rPr>
                <w:rFonts w:ascii="Arial" w:hAnsi="Arial" w:cs="Arial"/>
                <w:b/>
                <w:bCs/>
                <w:color w:val="156082" w:themeColor="accent1"/>
                <w:sz w:val="20"/>
                <w:szCs w:val="20"/>
              </w:rPr>
            </w:pPr>
          </w:p>
        </w:tc>
        <w:tc>
          <w:tcPr>
            <w:tcW w:w="1560" w:type="dxa"/>
          </w:tcPr>
          <w:p w14:paraId="09B58953" w14:textId="18447BF4"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{"citationID":"tNpNEHkS","properties":{"formattedCitation":"\\super 78\\nosupersub{}","plainCitation":"78","noteIndex":0},"citationItems":[{"id":2250,"uris":["http://zotero.org/users/10918866/items/6C72IRHP"],"itemData":{"id":2250,"type":"webpage","abstract":"After two years of decline, overseas purchases of lithium carbonates increased by 1,040% to 57 kg in 2023.","language":"en","title":"Lithium Carbonate Price in Uganda - 2025 - Charts and Tables - IndexBox.","URL":"https://www.indexbox.io/search/lithium-carbonate-price-uganda/","author":[{"family":"Index box","given":""}],"accessed":{"date-parts":[["2025",3,10]]},"issued":{"date-parts":[["2022"]]}}}],"schema":"https://github.com/citation-style-language/schema/raw/master/csl-citation.json"}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78</w:t>
            </w:r>
            <w:r w:rsidRPr="005410C3">
              <w:rPr>
                <w:rFonts w:ascii="Arial" w:hAnsi="Arial" w:cs="Arial"/>
                <w:sz w:val="20"/>
                <w:szCs w:val="20"/>
              </w:rPr>
              <w:fldChar w:fldCharType="end"/>
            </w:r>
          </w:p>
        </w:tc>
        <w:tc>
          <w:tcPr>
            <w:tcW w:w="5760" w:type="dxa"/>
          </w:tcPr>
          <w:p w14:paraId="1461DE84"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69">
              <w:r w:rsidRPr="005410C3">
                <w:rPr>
                  <w:rFonts w:ascii="Arial" w:eastAsia="Times New Roman" w:hAnsi="Arial" w:cs="Arial"/>
                  <w:color w:val="000000" w:themeColor="text1"/>
                  <w:sz w:val="20"/>
                  <w:szCs w:val="20"/>
                  <w:lang w:eastAsia="en-GB"/>
                </w:rPr>
                <w:t>Lithium Carbonate Price in Uganda - 2022</w:t>
              </w:r>
            </w:hyperlink>
          </w:p>
        </w:tc>
      </w:tr>
      <w:tr w:rsidR="00BE51B1" w:rsidRPr="007D3F22" w14:paraId="735745AF" w14:textId="77777777" w:rsidTr="00A869C2">
        <w:trPr>
          <w:trHeight w:val="288"/>
        </w:trPr>
        <w:tc>
          <w:tcPr>
            <w:tcW w:w="1696" w:type="dxa"/>
            <w:vMerge/>
          </w:tcPr>
          <w:p w14:paraId="2D70390C" w14:textId="77777777" w:rsidR="00BE51B1" w:rsidRPr="005410C3" w:rsidRDefault="00BE51B1" w:rsidP="00877C15">
            <w:pPr>
              <w:spacing w:before="20" w:after="40"/>
              <w:rPr>
                <w:rFonts w:ascii="Arial" w:hAnsi="Arial" w:cs="Arial"/>
                <w:b/>
                <w:bCs/>
                <w:color w:val="156082" w:themeColor="accent1"/>
                <w:sz w:val="20"/>
                <w:szCs w:val="20"/>
              </w:rPr>
            </w:pPr>
          </w:p>
        </w:tc>
        <w:tc>
          <w:tcPr>
            <w:tcW w:w="1560" w:type="dxa"/>
          </w:tcPr>
          <w:p w14:paraId="4549435F" w14:textId="6E234C09"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{"citationID":"f950eNT5","properties":{"formattedCitation":"\\super 79\\nosupersub{}","plainCitation":"79","noteIndex":0},"citationItems":[{"id":2254,"uris":["http://zotero.org/users/10918866/items/6KIXA5BW"],"itemData":{"id":2254,"type":"webpage","abstract":"Lithium carbonate imports into Tanzania surged to 10 kg in 2023, growing by 233% on 2022 figures.","language":"en","title":"Lithium Carbonate Price in Tanzania - 2025 - Charts and Tables - IndexBox.","URL":"https://www.indexbox.io/search/lithium-carbonate-price-tanzania/","author":[{"family":"Index box","given":""}],"accessed":{"date-parts":[["2025",3,10]]},"issued":{"date-parts":[["2022"]]}}}],"schema":"https://github.com/citation-style-language/schema/raw/master/csl-citation.json"}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79</w:t>
            </w:r>
            <w:r w:rsidRPr="005410C3">
              <w:rPr>
                <w:rFonts w:ascii="Arial" w:hAnsi="Arial" w:cs="Arial"/>
                <w:sz w:val="20"/>
                <w:szCs w:val="20"/>
              </w:rPr>
              <w:fldChar w:fldCharType="end"/>
            </w:r>
          </w:p>
        </w:tc>
        <w:tc>
          <w:tcPr>
            <w:tcW w:w="5760" w:type="dxa"/>
          </w:tcPr>
          <w:p w14:paraId="26AA6E54"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70">
              <w:r w:rsidRPr="005410C3">
                <w:rPr>
                  <w:rFonts w:ascii="Arial" w:eastAsia="Times New Roman" w:hAnsi="Arial" w:cs="Arial"/>
                  <w:color w:val="000000" w:themeColor="text1"/>
                  <w:sz w:val="20"/>
                  <w:szCs w:val="20"/>
                  <w:lang w:eastAsia="en-GB"/>
                </w:rPr>
                <w:t>Lithium Carbonate Price in Tanzania - 2022</w:t>
              </w:r>
            </w:hyperlink>
          </w:p>
        </w:tc>
      </w:tr>
      <w:tr w:rsidR="00BE51B1" w:rsidRPr="007D3F22" w14:paraId="085E62C4" w14:textId="77777777" w:rsidTr="00A869C2">
        <w:trPr>
          <w:trHeight w:val="288"/>
        </w:trPr>
        <w:tc>
          <w:tcPr>
            <w:tcW w:w="1696" w:type="dxa"/>
            <w:vMerge/>
          </w:tcPr>
          <w:p w14:paraId="76193B1D" w14:textId="77777777" w:rsidR="00BE51B1" w:rsidRPr="005410C3" w:rsidRDefault="00BE51B1" w:rsidP="00877C15">
            <w:pPr>
              <w:spacing w:before="20" w:after="40"/>
              <w:rPr>
                <w:rFonts w:ascii="Arial" w:hAnsi="Arial" w:cs="Arial"/>
                <w:b/>
                <w:bCs/>
                <w:color w:val="156082" w:themeColor="accent1"/>
                <w:sz w:val="20"/>
                <w:szCs w:val="20"/>
              </w:rPr>
            </w:pPr>
          </w:p>
        </w:tc>
        <w:tc>
          <w:tcPr>
            <w:tcW w:w="1560" w:type="dxa"/>
          </w:tcPr>
          <w:p w14:paraId="40FDC125" w14:textId="41825900"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{"citationID":"NxXOHVJF","properties":{"formattedCitation":"\\super 80\\nosupersub{}","plainCitation":"80","noteIndex":0},"citationItems":[{"id":2253,"uris":["http://zotero.org/users/10918866/items/HSWXG8HW"],"itemData":{"id":2253,"type":"webpage","abstract":"Lithium carbonate imports into South Africa soared to 79 tons in 2023, rising by 204% against 2022 figures.","language":"en","title":"Lithium Carbonate Price in South Africa - 2025 - Charts and Tables - IndexBox.","URL":"https://www.indexbox.io/search/lithium-carbonate-price-south-africa/","author":[{"family":"Index box","given":""}],"accessed":{"date-parts":[["2025",3,10]]},"issued":{"date-parts":[["2023"]]}}}],"schema":"https://github.com/citation-style-language/schema/raw/master/csl-citation.json"}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80</w:t>
            </w:r>
            <w:r w:rsidRPr="005410C3">
              <w:rPr>
                <w:rFonts w:ascii="Arial" w:hAnsi="Arial" w:cs="Arial"/>
                <w:sz w:val="20"/>
                <w:szCs w:val="20"/>
              </w:rPr>
              <w:fldChar w:fldCharType="end"/>
            </w:r>
          </w:p>
        </w:tc>
        <w:tc>
          <w:tcPr>
            <w:tcW w:w="5760" w:type="dxa"/>
          </w:tcPr>
          <w:p w14:paraId="61E77AC9"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71">
              <w:r w:rsidRPr="005410C3">
                <w:rPr>
                  <w:rFonts w:ascii="Arial" w:eastAsia="Times New Roman" w:hAnsi="Arial" w:cs="Arial"/>
                  <w:color w:val="000000" w:themeColor="text1"/>
                  <w:sz w:val="20"/>
                  <w:szCs w:val="20"/>
                  <w:lang w:eastAsia="en-GB"/>
                </w:rPr>
                <w:t>Lithium Carbonate Price in South Africa - 2023</w:t>
              </w:r>
            </w:hyperlink>
          </w:p>
        </w:tc>
      </w:tr>
      <w:tr w:rsidR="00BE51B1" w:rsidRPr="007D3F22" w14:paraId="115A4F05" w14:textId="77777777" w:rsidTr="00A869C2">
        <w:trPr>
          <w:trHeight w:val="288"/>
        </w:trPr>
        <w:tc>
          <w:tcPr>
            <w:tcW w:w="1696" w:type="dxa"/>
            <w:vMerge/>
          </w:tcPr>
          <w:p w14:paraId="27FFA257" w14:textId="77777777" w:rsidR="00BE51B1" w:rsidRPr="005410C3" w:rsidRDefault="00BE51B1" w:rsidP="00877C15">
            <w:pPr>
              <w:spacing w:before="20" w:after="40"/>
              <w:rPr>
                <w:rFonts w:ascii="Arial" w:hAnsi="Arial" w:cs="Arial"/>
                <w:b/>
                <w:bCs/>
                <w:color w:val="156082" w:themeColor="accent1"/>
                <w:sz w:val="20"/>
                <w:szCs w:val="20"/>
              </w:rPr>
            </w:pPr>
          </w:p>
        </w:tc>
        <w:tc>
          <w:tcPr>
            <w:tcW w:w="1560" w:type="dxa"/>
          </w:tcPr>
          <w:p w14:paraId="1503B2BC" w14:textId="0F8521FA" w:rsidR="00BE51B1" w:rsidRPr="005410C3" w:rsidRDefault="00BE51B1" w:rsidP="00877C15">
            <w:pPr>
              <w:spacing w:before="20" w:after="40"/>
              <w:rPr>
                <w:rFonts w:ascii="Arial" w:hAnsi="Arial" w:cs="Arial"/>
                <w:sz w:val="20"/>
                <w:szCs w:val="20"/>
              </w:rPr>
            </w:pPr>
            <w:r w:rsidRPr="00766470">
              <w:rPr>
                <w:rFonts w:ascii="Arial" w:eastAsiaTheme="minorEastAsia" w:hAnsi="Arial" w:cs="Arial"/>
              </w:rPr>
              <w:fldChar w:fldCharType="begin"/>
            </w:r>
            <w:r w:rsidR="00F256D1">
              <w:rPr>
                <w:rFonts w:ascii="Arial" w:eastAsiaTheme="minorEastAsia" w:hAnsi="Arial" w:cs="Arial"/>
              </w:rPr>
              <w:instrText xml:space="preserve"> ADDIN ZOTERO_ITEM CSL_CITATION {"citationID":"yjoU61tQ","properties":{"formattedCitation":"\\super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766470">
              <w:rPr>
                <w:rFonts w:ascii="Arial" w:eastAsiaTheme="minorEastAsia" w:hAnsi="Arial" w:cs="Arial"/>
              </w:rPr>
              <w:fldChar w:fldCharType="separate"/>
            </w:r>
            <w:r w:rsidR="00F256D1" w:rsidRPr="00F256D1">
              <w:rPr>
                <w:rFonts w:ascii="Arial" w:hAnsi="Arial" w:cs="Arial"/>
                <w:kern w:val="0"/>
                <w:vertAlign w:val="superscript"/>
              </w:rPr>
              <w:t>1</w:t>
            </w:r>
            <w:r w:rsidRPr="00766470">
              <w:rPr>
                <w:rFonts w:ascii="Arial" w:eastAsiaTheme="minorEastAsia" w:hAnsi="Arial" w:cs="Arial"/>
              </w:rPr>
              <w:fldChar w:fldCharType="end"/>
            </w:r>
          </w:p>
        </w:tc>
        <w:tc>
          <w:tcPr>
            <w:tcW w:w="5760" w:type="dxa"/>
          </w:tcPr>
          <w:p w14:paraId="49EC8294" w14:textId="77777777" w:rsidR="00BE51B1" w:rsidRDefault="00BE51B1" w:rsidP="00877C15">
            <w:pPr>
              <w:spacing w:before="20" w:after="40"/>
            </w:pPr>
          </w:p>
        </w:tc>
      </w:tr>
      <w:tr w:rsidR="00BE51B1" w:rsidRPr="007D3F22" w14:paraId="46BFD24A" w14:textId="77777777" w:rsidTr="00A869C2">
        <w:trPr>
          <w:trHeight w:val="288"/>
        </w:trPr>
        <w:tc>
          <w:tcPr>
            <w:tcW w:w="1696" w:type="dxa"/>
            <w:vMerge w:val="restart"/>
            <w:vAlign w:val="center"/>
          </w:tcPr>
          <w:p w14:paraId="509631D5" w14:textId="77777777" w:rsidR="00BE51B1" w:rsidRPr="005410C3" w:rsidRDefault="00BE51B1" w:rsidP="00877C15">
            <w:pPr>
              <w:spacing w:before="20" w:after="40"/>
              <w:rPr>
                <w:rFonts w:ascii="Arial" w:eastAsia="Times New Roman" w:hAnsi="Arial" w:cs="Arial"/>
                <w:b/>
                <w:bCs/>
                <w:color w:val="156082" w:themeColor="accent1"/>
                <w:sz w:val="20"/>
                <w:szCs w:val="20"/>
                <w:lang w:eastAsia="en-GB"/>
              </w:rPr>
            </w:pPr>
            <w:r w:rsidRPr="005410C3">
              <w:rPr>
                <w:rFonts w:ascii="Arial" w:eastAsia="Times New Roman" w:hAnsi="Arial" w:cs="Arial"/>
                <w:b/>
                <w:bCs/>
                <w:color w:val="156082" w:themeColor="accent1"/>
                <w:sz w:val="20"/>
                <w:szCs w:val="20"/>
                <w:lang w:eastAsia="en-GB"/>
              </w:rPr>
              <w:t>lithium hydroxide</w:t>
            </w:r>
          </w:p>
        </w:tc>
        <w:tc>
          <w:tcPr>
            <w:tcW w:w="1560" w:type="dxa"/>
          </w:tcPr>
          <w:p w14:paraId="2D028901" w14:textId="29ADF089"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{"citationID":"54zBCtYS","properties":{"formattedCitation":"\\super 81\\nosupersub{}","plainCitation":"81","noteIndex":0},"citationItems":[{"id":2252,"uris":["http://zotero.org/users/10918866/items/8RGZ99AU"],"itemData":{"id":2252,"type":"webpage","abstract":"SMM brings you current and historical SMM Battery-Grade Lithium Hydroxide Index price tables and charts, and maintains daily SMM Battery-Grade Lithium Hydroxide Index price updates.","language":"en","title":"SMM Battery-Grade Lithium Hydroxide Index price today | Historical SMM Battery-Grade Lithium Hydroxide Index Price Charts | SMM Metal Market","URL":"https://www.metal.com/Lithium/202212140004","author":[{"family":"SMM","given":""}],"accessed":{"date-parts":[["2025",3,10]]},"issued":{"date-parts":[["2025"]]}}}],"schema":"https://github.com/citation-style-language/schema/raw/master/csl-citation.json"}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81</w:t>
            </w:r>
            <w:r w:rsidRPr="005410C3">
              <w:rPr>
                <w:rFonts w:ascii="Arial" w:hAnsi="Arial" w:cs="Arial"/>
                <w:sz w:val="20"/>
                <w:szCs w:val="20"/>
              </w:rPr>
              <w:fldChar w:fldCharType="end"/>
            </w:r>
          </w:p>
        </w:tc>
        <w:tc>
          <w:tcPr>
            <w:tcW w:w="5760" w:type="dxa"/>
          </w:tcPr>
          <w:p w14:paraId="554EAFEC"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72">
              <w:r w:rsidRPr="005410C3">
                <w:rPr>
                  <w:rFonts w:ascii="Arial" w:eastAsia="Times New Roman" w:hAnsi="Arial" w:cs="Arial"/>
                  <w:color w:val="000000" w:themeColor="text1"/>
                  <w:sz w:val="20"/>
                  <w:szCs w:val="20"/>
                  <w:lang w:eastAsia="en-GB"/>
                </w:rPr>
                <w:t>SMM Lithium Hydroxide Index</w:t>
              </w:r>
              <w:r>
                <w:rPr>
                  <w:rFonts w:ascii="Arial" w:eastAsia="Times New Roman" w:hAnsi="Arial" w:cs="Arial"/>
                  <w:color w:val="000000" w:themeColor="text1"/>
                  <w:sz w:val="20"/>
                  <w:szCs w:val="20"/>
                  <w:lang w:eastAsia="en-GB"/>
                </w:rPr>
                <w:t xml:space="preserve"> </w:t>
              </w:r>
              <w:r w:rsidRPr="005410C3">
                <w:rPr>
                  <w:rFonts w:ascii="Arial" w:eastAsia="Times New Roman" w:hAnsi="Arial" w:cs="Arial"/>
                  <w:color w:val="000000" w:themeColor="text1"/>
                  <w:sz w:val="20"/>
                  <w:szCs w:val="20"/>
                  <w:lang w:eastAsia="en-GB"/>
                </w:rPr>
                <w:t>(Battery Grade)</w:t>
              </w:r>
              <w:r>
                <w:rPr>
                  <w:rFonts w:ascii="Arial" w:eastAsia="Times New Roman" w:hAnsi="Arial" w:cs="Arial"/>
                  <w:color w:val="000000" w:themeColor="text1"/>
                  <w:sz w:val="20"/>
                  <w:szCs w:val="20"/>
                  <w:lang w:eastAsia="en-GB"/>
                </w:rPr>
                <w:t>,</w:t>
              </w:r>
              <w:r w:rsidRPr="005410C3">
                <w:rPr>
                  <w:rFonts w:ascii="Arial" w:eastAsia="Times New Roman" w:hAnsi="Arial" w:cs="Arial"/>
                  <w:color w:val="000000" w:themeColor="text1"/>
                  <w:sz w:val="20"/>
                  <w:szCs w:val="20"/>
                  <w:lang w:eastAsia="en-GB"/>
                </w:rPr>
                <w:t xml:space="preserve"> SMM Metal Market</w:t>
              </w:r>
            </w:hyperlink>
          </w:p>
        </w:tc>
      </w:tr>
      <w:tr w:rsidR="00BE51B1" w:rsidRPr="007D3F22" w14:paraId="1C007CB8" w14:textId="77777777" w:rsidTr="00A869C2">
        <w:trPr>
          <w:trHeight w:val="912"/>
        </w:trPr>
        <w:tc>
          <w:tcPr>
            <w:tcW w:w="1696" w:type="dxa"/>
            <w:vMerge/>
          </w:tcPr>
          <w:p w14:paraId="47F34DC1" w14:textId="77777777" w:rsidR="00BE51B1" w:rsidRPr="005410C3" w:rsidRDefault="00BE51B1" w:rsidP="00877C15">
            <w:pPr>
              <w:spacing w:before="20" w:after="40"/>
              <w:rPr>
                <w:rFonts w:ascii="Arial" w:hAnsi="Arial" w:cs="Arial"/>
                <w:sz w:val="20"/>
                <w:szCs w:val="20"/>
              </w:rPr>
            </w:pPr>
          </w:p>
        </w:tc>
        <w:tc>
          <w:tcPr>
            <w:tcW w:w="1560" w:type="dxa"/>
          </w:tcPr>
          <w:p w14:paraId="5BFABC07" w14:textId="2B3037AE" w:rsidR="00BE51B1" w:rsidRPr="005410C3" w:rsidRDefault="00BE51B1" w:rsidP="00877C15">
            <w:pPr>
              <w:spacing w:before="20" w:after="40"/>
              <w:rPr>
                <w:rFonts w:ascii="Arial" w:hAnsi="Arial" w:cs="Arial"/>
                <w:sz w:val="20"/>
                <w:szCs w:val="20"/>
              </w:rPr>
            </w:pPr>
            <w:r w:rsidRPr="005410C3">
              <w:rPr>
                <w:rFonts w:ascii="Arial" w:hAnsi="Arial" w:cs="Arial"/>
                <w:sz w:val="20"/>
                <w:szCs w:val="20"/>
              </w:rPr>
              <w:fldChar w:fldCharType="begin"/>
            </w:r>
            <w:r w:rsidR="007E07E0">
              <w:rPr>
                <w:rFonts w:ascii="Arial" w:hAnsi="Arial" w:cs="Arial"/>
                <w:sz w:val="20"/>
                <w:szCs w:val="20"/>
              </w:rPr>
              <w:instrText xml:space="preserve"> ADDIN ZOTERO_ITEM CSL_CITATION {"citationID":"sJFFNV43","properties":{"formattedCitation":"\\super 82\\nosupersub{}","plainCitation":"82","noteIndex":0},"citationItems":[{"id":2251,"uris":["http://zotero.org/users/10918866/items/N6CBSX3Z"],"itemData":{"id":2251,"type":"webpage","abstract":"Battery-Grade Lithium Hydroxide (Micro Powder) price today, Historical price charts of Battery-Grade Lithium Hydroxide (Micro Powder), How much is Battery-Grade Lithium Hydroxide (Micro Powder)? All Battery-Grade Lithium Hydroxide (Micro Powder) market information is available at Shanghai Metal Market.","language":"en","title":"Battery-Grade Lithium Hydroxide (Micro Powder) price today | Historical price charts of Battery-Grade Lithium Hydroxide (Micro Powder) - Shanghai Metal Market","URL":"https://www.metal.com/en/prices/202106020003","author":[{"family":"SMM","given":""}],"accessed":{"date-parts":[["2025",3,10]]},"issued":{"date-parts":[["2025"]]}}}],"schema":"https://github.com/citation-style-language/schema/raw/master/csl-citation.json"} </w:instrText>
            </w:r>
            <w:r w:rsidRPr="005410C3">
              <w:rPr>
                <w:rFonts w:ascii="Arial" w:hAnsi="Arial" w:cs="Arial"/>
                <w:sz w:val="20"/>
                <w:szCs w:val="20"/>
              </w:rPr>
              <w:fldChar w:fldCharType="separate"/>
            </w:r>
            <w:r w:rsidR="007E07E0" w:rsidRPr="007E07E0">
              <w:rPr>
                <w:rFonts w:ascii="Arial" w:hAnsi="Arial" w:cs="Arial"/>
                <w:kern w:val="0"/>
                <w:sz w:val="20"/>
                <w:vertAlign w:val="superscript"/>
              </w:rPr>
              <w:t>82</w:t>
            </w:r>
            <w:r w:rsidRPr="005410C3">
              <w:rPr>
                <w:rFonts w:ascii="Arial" w:hAnsi="Arial" w:cs="Arial"/>
                <w:sz w:val="20"/>
                <w:szCs w:val="20"/>
              </w:rPr>
              <w:fldChar w:fldCharType="end"/>
            </w:r>
          </w:p>
        </w:tc>
        <w:tc>
          <w:tcPr>
            <w:tcW w:w="5760" w:type="dxa"/>
          </w:tcPr>
          <w:p w14:paraId="3D0C4D5B" w14:textId="77777777" w:rsidR="00BE51B1" w:rsidRPr="005410C3" w:rsidRDefault="00BE51B1" w:rsidP="00877C15">
            <w:pPr>
              <w:spacing w:before="20" w:after="40"/>
              <w:rPr>
                <w:rFonts w:ascii="Arial" w:eastAsia="Times New Roman" w:hAnsi="Arial" w:cs="Arial"/>
                <w:color w:val="000000" w:themeColor="text1"/>
                <w:sz w:val="20"/>
                <w:szCs w:val="20"/>
                <w:lang w:eastAsia="en-GB"/>
              </w:rPr>
            </w:pPr>
            <w:hyperlink r:id="rId73">
              <w:r w:rsidRPr="005410C3">
                <w:rPr>
                  <w:rFonts w:ascii="Arial" w:eastAsia="Times New Roman" w:hAnsi="Arial" w:cs="Arial"/>
                  <w:color w:val="000000" w:themeColor="text1"/>
                  <w:sz w:val="20"/>
                  <w:szCs w:val="20"/>
                  <w:lang w:eastAsia="en-GB"/>
                </w:rPr>
                <w:t>Lithium Hydroxide (56.5% Battery Grade,</w:t>
              </w:r>
              <w:r>
                <w:rPr>
                  <w:rFonts w:ascii="Arial" w:eastAsia="Times New Roman" w:hAnsi="Arial" w:cs="Arial"/>
                  <w:color w:val="000000" w:themeColor="text1"/>
                  <w:sz w:val="20"/>
                  <w:szCs w:val="20"/>
                  <w:lang w:eastAsia="en-GB"/>
                </w:rPr>
                <w:t xml:space="preserve"> </w:t>
              </w:r>
              <w:r w:rsidRPr="005410C3">
                <w:rPr>
                  <w:rFonts w:ascii="Arial" w:eastAsia="Times New Roman" w:hAnsi="Arial" w:cs="Arial"/>
                  <w:color w:val="000000" w:themeColor="text1"/>
                  <w:sz w:val="20"/>
                  <w:szCs w:val="20"/>
                  <w:lang w:eastAsia="en-GB"/>
                </w:rPr>
                <w:t>Fine Powder)</w:t>
              </w:r>
              <w:r>
                <w:rPr>
                  <w:rFonts w:ascii="Arial" w:eastAsia="Times New Roman" w:hAnsi="Arial" w:cs="Arial"/>
                  <w:color w:val="000000" w:themeColor="text1"/>
                  <w:sz w:val="20"/>
                  <w:szCs w:val="20"/>
                  <w:lang w:eastAsia="en-GB"/>
                </w:rPr>
                <w:t>,</w:t>
              </w:r>
              <w:r w:rsidRPr="005410C3">
                <w:rPr>
                  <w:rFonts w:ascii="Arial" w:eastAsia="Times New Roman" w:hAnsi="Arial" w:cs="Arial"/>
                  <w:color w:val="000000" w:themeColor="text1"/>
                  <w:sz w:val="20"/>
                  <w:szCs w:val="20"/>
                  <w:lang w:eastAsia="en-GB"/>
                </w:rPr>
                <w:t xml:space="preserve"> SMM Metal Market</w:t>
              </w:r>
            </w:hyperlink>
          </w:p>
        </w:tc>
      </w:tr>
      <w:tr w:rsidR="00BE51B1" w:rsidRPr="007D3F22" w14:paraId="4710A80D" w14:textId="77777777" w:rsidTr="00A869C2">
        <w:trPr>
          <w:trHeight w:val="912"/>
        </w:trPr>
        <w:tc>
          <w:tcPr>
            <w:tcW w:w="1696" w:type="dxa"/>
            <w:vMerge/>
          </w:tcPr>
          <w:p w14:paraId="59BD5E75" w14:textId="77777777" w:rsidR="00BE51B1" w:rsidRPr="005410C3" w:rsidRDefault="00BE51B1" w:rsidP="00877C15">
            <w:pPr>
              <w:spacing w:before="20" w:after="40"/>
              <w:rPr>
                <w:rFonts w:ascii="Arial" w:hAnsi="Arial" w:cs="Arial"/>
                <w:sz w:val="20"/>
                <w:szCs w:val="20"/>
              </w:rPr>
            </w:pPr>
          </w:p>
        </w:tc>
        <w:tc>
          <w:tcPr>
            <w:tcW w:w="1560" w:type="dxa"/>
          </w:tcPr>
          <w:p w14:paraId="50DD9082" w14:textId="03E617D7" w:rsidR="00BE51B1" w:rsidRPr="005410C3" w:rsidRDefault="00BE51B1" w:rsidP="00877C15">
            <w:pPr>
              <w:spacing w:before="20" w:after="40"/>
              <w:rPr>
                <w:rFonts w:ascii="Arial" w:hAnsi="Arial" w:cs="Arial"/>
                <w:sz w:val="20"/>
                <w:szCs w:val="20"/>
              </w:rPr>
            </w:pPr>
            <w:r w:rsidRPr="00766470">
              <w:rPr>
                <w:rFonts w:ascii="Arial" w:eastAsiaTheme="minorEastAsia" w:hAnsi="Arial" w:cs="Arial"/>
              </w:rPr>
              <w:fldChar w:fldCharType="begin"/>
            </w:r>
            <w:r w:rsidR="00F256D1">
              <w:rPr>
                <w:rFonts w:ascii="Arial" w:eastAsiaTheme="minorEastAsia" w:hAnsi="Arial" w:cs="Arial"/>
              </w:rPr>
              <w:instrText xml:space="preserve"> ADDIN ZOTERO_ITEM CSL_CITATION {"citationID":"X0AXldxg","properties":{"formattedCitation":"\\super 1\\nosupersub{}","plainCitation":"1","noteIndex":0},"citationItems":[{"id":2217,"uris":["http://zotero.org/users/10918866/items/5EAXAQFA"],"itemData":{"id":2217,"type":"webpage","abstract":"S&amp;P Capital IQ Pro is a single platform for essential market intelligence. Access deeper data on global financial markets and companies that impact your business.","container-title":"S&amp;P Global","language":"en-us","title":"S&amp;P Capital IQ Pro","URL":"https://www.spglobal.com/marketintelligence/en/solutions/sp-capital-iq-pro","author":[{"family":"S&amp;P Global","given":""}],"accessed":{"date-parts":[["2024",6,25]]},"issued":{"date-parts":[["2024"]]}}}],"schema":"https://github.com/citation-style-language/schema/raw/master/csl-citation.json"} </w:instrText>
            </w:r>
            <w:r w:rsidRPr="00766470">
              <w:rPr>
                <w:rFonts w:ascii="Arial" w:eastAsiaTheme="minorEastAsia" w:hAnsi="Arial" w:cs="Arial"/>
              </w:rPr>
              <w:fldChar w:fldCharType="separate"/>
            </w:r>
            <w:r w:rsidR="00F256D1" w:rsidRPr="00F256D1">
              <w:rPr>
                <w:rFonts w:ascii="Arial" w:hAnsi="Arial" w:cs="Arial"/>
                <w:kern w:val="0"/>
                <w:vertAlign w:val="superscript"/>
              </w:rPr>
              <w:t>1</w:t>
            </w:r>
            <w:r w:rsidRPr="00766470">
              <w:rPr>
                <w:rFonts w:ascii="Arial" w:eastAsiaTheme="minorEastAsia" w:hAnsi="Arial" w:cs="Arial"/>
              </w:rPr>
              <w:fldChar w:fldCharType="end"/>
            </w:r>
          </w:p>
        </w:tc>
        <w:tc>
          <w:tcPr>
            <w:tcW w:w="5760" w:type="dxa"/>
          </w:tcPr>
          <w:p w14:paraId="5EFDBB8B" w14:textId="77777777" w:rsidR="00BE51B1" w:rsidRDefault="00BE51B1" w:rsidP="00877C15">
            <w:pPr>
              <w:spacing w:before="20" w:after="40"/>
            </w:pPr>
          </w:p>
        </w:tc>
      </w:tr>
    </w:tbl>
    <w:p w14:paraId="650BCB6B" w14:textId="77777777" w:rsidR="00BE51B1" w:rsidRPr="00766470" w:rsidRDefault="00BE51B1" w:rsidP="00BE51B1">
      <w:pPr>
        <w:spacing w:line="276" w:lineRule="auto"/>
        <w:jc w:val="both"/>
        <w:rPr>
          <w:rStyle w:val="normaltextrun"/>
          <w:rFonts w:ascii="Arial" w:eastAsiaTheme="minorEastAsia" w:hAnsi="Arial" w:cs="Arial"/>
        </w:rPr>
      </w:pPr>
    </w:p>
    <w:p w14:paraId="1087B9C4" w14:textId="64234FDD" w:rsidR="00BE51B1" w:rsidRPr="00766470" w:rsidRDefault="00BE51B1" w:rsidP="00BE51B1">
      <w:pPr>
        <w:spacing w:line="276" w:lineRule="auto"/>
        <w:jc w:val="both"/>
        <w:rPr>
          <w:rFonts w:ascii="Arial" w:hAnsi="Arial" w:cs="Arial"/>
        </w:rPr>
      </w:pPr>
      <w:r w:rsidRPr="00766470">
        <w:rPr>
          <w:rFonts w:ascii="Arial" w:hAnsi="Arial" w:cs="Arial"/>
        </w:rPr>
        <w:lastRenderedPageBreak/>
        <w:t xml:space="preserve">Forecasting future prices is extremely challenging and official published price forecasts typically focus on </w:t>
      </w:r>
      <w:r>
        <w:rPr>
          <w:rFonts w:ascii="Arial" w:hAnsi="Arial" w:cs="Arial"/>
        </w:rPr>
        <w:t xml:space="preserve">traded </w:t>
      </w:r>
      <w:r w:rsidRPr="00766470">
        <w:rPr>
          <w:rFonts w:ascii="Arial" w:hAnsi="Arial" w:cs="Arial"/>
        </w:rPr>
        <w:t xml:space="preserve">mineral </w:t>
      </w:r>
      <w:r>
        <w:rPr>
          <w:rFonts w:ascii="Arial" w:hAnsi="Arial" w:cs="Arial"/>
        </w:rPr>
        <w:t xml:space="preserve">commodities, thereby excluding stages of interest in this study, </w:t>
      </w:r>
      <w:r w:rsidRPr="00766470">
        <w:rPr>
          <w:rFonts w:ascii="Arial" w:hAnsi="Arial" w:cs="Arial"/>
        </w:rPr>
        <w:t xml:space="preserve">and provide relatively short time horizons. Due to price volatility, linear extrapolations of historic price trends are likely to be misleading. Instead, two preferable statistical methods are considered and illustrated in </w:t>
      </w:r>
      <w:r w:rsidR="007C1413">
        <w:rPr>
          <w:rFonts w:ascii="Arial" w:hAnsi="Arial" w:cs="Arial"/>
        </w:rPr>
        <w:fldChar w:fldCharType="begin"/>
      </w:r>
      <w:r w:rsidR="007C1413">
        <w:rPr>
          <w:rFonts w:ascii="Arial" w:hAnsi="Arial" w:cs="Arial"/>
        </w:rPr>
        <w:instrText xml:space="preserve"> REF _Ref214444921 \h </w:instrText>
      </w:r>
      <w:r w:rsidR="007C1413">
        <w:rPr>
          <w:rFonts w:ascii="Arial" w:hAnsi="Arial" w:cs="Arial"/>
        </w:rPr>
      </w:r>
      <w:r w:rsidR="007C1413">
        <w:rPr>
          <w:rFonts w:ascii="Arial" w:hAnsi="Arial" w:cs="Arial"/>
        </w:rPr>
        <w:fldChar w:fldCharType="separate"/>
      </w:r>
      <w:r w:rsidR="007C1413">
        <w:t xml:space="preserve">Figure </w:t>
      </w:r>
      <w:r w:rsidR="007C1413">
        <w:rPr>
          <w:noProof/>
        </w:rPr>
        <w:t>14</w:t>
      </w:r>
      <w:r w:rsidR="007C1413">
        <w:rPr>
          <w:rFonts w:ascii="Arial" w:hAnsi="Arial" w:cs="Arial"/>
        </w:rPr>
        <w:fldChar w:fldCharType="end"/>
      </w:r>
      <w:r w:rsidR="007C1413">
        <w:rPr>
          <w:rFonts w:ascii="Arial" w:hAnsi="Arial" w:cs="Arial"/>
        </w:rPr>
        <w:t xml:space="preserve"> </w:t>
      </w:r>
      <w:r w:rsidRPr="00766470">
        <w:rPr>
          <w:rFonts w:ascii="Arial" w:hAnsi="Arial" w:cs="Arial"/>
        </w:rPr>
        <w:t xml:space="preserve">and </w:t>
      </w:r>
      <w:r w:rsidR="007C1413">
        <w:rPr>
          <w:rFonts w:ascii="Arial" w:hAnsi="Arial" w:cs="Arial"/>
        </w:rPr>
        <w:fldChar w:fldCharType="begin"/>
      </w:r>
      <w:r w:rsidR="007C1413">
        <w:rPr>
          <w:rFonts w:ascii="Arial" w:hAnsi="Arial" w:cs="Arial"/>
        </w:rPr>
        <w:instrText xml:space="preserve"> REF _Ref214444943 \h </w:instrText>
      </w:r>
      <w:r w:rsidR="007C1413">
        <w:rPr>
          <w:rFonts w:ascii="Arial" w:hAnsi="Arial" w:cs="Arial"/>
        </w:rPr>
      </w:r>
      <w:r w:rsidR="007C1413">
        <w:rPr>
          <w:rFonts w:ascii="Arial" w:hAnsi="Arial" w:cs="Arial"/>
        </w:rPr>
        <w:fldChar w:fldCharType="separate"/>
      </w:r>
      <w:r w:rsidR="007C1413">
        <w:t xml:space="preserve">Figure </w:t>
      </w:r>
      <w:r w:rsidR="007C1413">
        <w:rPr>
          <w:noProof/>
        </w:rPr>
        <w:t>15</w:t>
      </w:r>
      <w:r w:rsidR="007C1413">
        <w:rPr>
          <w:rFonts w:ascii="Arial" w:hAnsi="Arial" w:cs="Arial"/>
        </w:rPr>
        <w:fldChar w:fldCharType="end"/>
      </w:r>
      <w:r w:rsidR="007C1413">
        <w:rPr>
          <w:rFonts w:ascii="Arial" w:hAnsi="Arial" w:cs="Arial"/>
          <w:b/>
          <w:bCs/>
        </w:rPr>
        <w:t xml:space="preserve"> </w:t>
      </w:r>
      <w:r w:rsidRPr="00766470">
        <w:rPr>
          <w:rFonts w:ascii="Arial" w:hAnsi="Arial" w:cs="Arial"/>
        </w:rPr>
        <w:t>below for the specific case of copper.</w:t>
      </w:r>
    </w:p>
    <w:p w14:paraId="41EE4B47" w14:textId="77777777" w:rsidR="00BE51B1" w:rsidRPr="00766470" w:rsidRDefault="00BE51B1" w:rsidP="00BE51B1">
      <w:pPr>
        <w:pStyle w:val="ListParagraph"/>
        <w:numPr>
          <w:ilvl w:val="0"/>
          <w:numId w:val="1"/>
        </w:numPr>
        <w:spacing w:line="276" w:lineRule="auto"/>
        <w:jc w:val="both"/>
        <w:rPr>
          <w:rFonts w:ascii="Arial" w:eastAsia="Times New Roman" w:hAnsi="Arial" w:cs="Arial"/>
        </w:rPr>
      </w:pPr>
      <w:r w:rsidRPr="00766470">
        <w:rPr>
          <w:rFonts w:ascii="Arial" w:hAnsi="Arial" w:cs="Arial"/>
          <w:u w:val="single"/>
        </w:rPr>
        <w:t>Weighted Moving Average (WMA)</w:t>
      </w:r>
      <w:r w:rsidRPr="00766470">
        <w:rPr>
          <w:rFonts w:ascii="Arial" w:hAnsi="Arial" w:cs="Arial"/>
        </w:rPr>
        <w:t xml:space="preserve">. Following </w:t>
      </w:r>
      <w:r w:rsidRPr="00766470">
        <w:rPr>
          <w:rFonts w:ascii="Arial" w:eastAsia="Times New Roman" w:hAnsi="Arial" w:cs="Arial"/>
        </w:rPr>
        <w:fldChar w:fldCharType="begin"/>
      </w:r>
      <w:r>
        <w:rPr>
          <w:rFonts w:ascii="Arial" w:eastAsia="Times New Roman" w:hAnsi="Arial" w:cs="Arial"/>
        </w:rPr>
        <w:instrText xml:space="preserve"> ADDIN ZOTERO_ITEM CSL_CITATION {"citationID":"z3NTae32","properties":{"formattedCitation":"(Ramadhani et al., 2023)","plainCitation":"(Ramadhani et al., 2023)","dontUpdate":true,"noteIndex":0},"citationItems":[{"id":96,"uris":["http://zotero.org/users/10918866/items/HXTGZHN6"],"itemData":{"id":96,"type":"article-journal","abstract":"This study aims to forecast the share price of the technology sector listed on the Indonesia Stock Exchange (IDX). We sampled 26 of the 34 technology companies listed on the IDX in 2022.  The data used is secondary data from the official website of the Indonesia Stock Exchange, namely www.idx.co.id and finance.yahoo.co.id for 9 months, namely the period January – September 2022. The results showed that the calculation of the Weight Moving Average (WMA) for the average value of the Absolute value of forecast error 16,374.70, and the value of the Absolute value of the Percentage of Error is 531.10%. The forecasting assessment method uses Mean Absolute Percent Error (MAPE). The resulting MAPE value is 3.02%. The highest MAPE score was Kioson Komersial Indonesia Tbk (KIOS) with a score of 5.99% while the lowest score was Sat Nusapersada Tbk (PTSN) with a score of 1.23%. From the results of MAPE for technology sector companies, it can be concluded that using the WMA Method and MAPE error valuation falls into the category of excellent forecasting ability in forecasting stock prices.","container-title":"Journal of Applied Business, Taxation and Economics Research","DOI":"10.54408/jabter.v3i1.185","ISSN":"2808-263X","issue":"1","language":"en","license":"Copyright (c) 2023 Syefira Ramadhani, Nurafni Eltivia , Nur Indah Riwajanti","note":"number: 1","page":"1-13","source":"equatorscience.com","title":"Stock Price Forecasting with the Weight Moving Average Method in Technology Sector Companies on the Indonesia Stock Exchange (IDX)","volume":"3","author":[{"family":"Ramadhani","given":"Syefira"},{"family":"Eltivia","given":"Nurafni"},{"family":"Riwajanti","given":"Nur Indah"}],"issued":{"date-parts":[["2023",10,10]]}}}],"schema":"https://github.com/citation-style-language/schema/raw/master/csl-citation.json"} </w:instrText>
      </w:r>
      <w:r w:rsidRPr="00766470">
        <w:rPr>
          <w:rFonts w:ascii="Arial" w:eastAsia="Times New Roman" w:hAnsi="Arial" w:cs="Arial"/>
        </w:rPr>
        <w:fldChar w:fldCharType="separate"/>
      </w:r>
      <w:r w:rsidRPr="00766470">
        <w:rPr>
          <w:rFonts w:ascii="Arial" w:hAnsi="Arial" w:cs="Arial"/>
        </w:rPr>
        <w:t xml:space="preserve">Ramadhani </w:t>
      </w:r>
      <w:r w:rsidRPr="00766470">
        <w:rPr>
          <w:rFonts w:ascii="Arial" w:hAnsi="Arial" w:cs="Arial"/>
          <w:i/>
          <w:iCs/>
        </w:rPr>
        <w:t>et al</w:t>
      </w:r>
      <w:r w:rsidRPr="00766470">
        <w:rPr>
          <w:rFonts w:ascii="Arial" w:hAnsi="Arial" w:cs="Arial"/>
        </w:rPr>
        <w:t>., (2023)</w:t>
      </w:r>
      <w:r w:rsidRPr="00766470">
        <w:rPr>
          <w:rFonts w:ascii="Arial" w:eastAsia="Times New Roman" w:hAnsi="Arial" w:cs="Arial"/>
        </w:rPr>
        <w:fldChar w:fldCharType="end"/>
      </w:r>
      <w:r w:rsidRPr="00766470">
        <w:rPr>
          <w:rFonts w:ascii="Arial" w:eastAsia="Times New Roman" w:hAnsi="Arial" w:cs="Arial"/>
        </w:rPr>
        <w:t>, the WMA method aims to smooth out market fluctuations and allow for evolving conditions over several years to be reflected in the forecast. It is recommended that the most recent five years of price (</w:t>
      </w:r>
      <w:r w:rsidRPr="00766470">
        <w:rPr>
          <w:rFonts w:ascii="Arial" w:eastAsia="Times New Roman" w:hAnsi="Arial" w:cs="Arial"/>
          <w:i/>
          <w:iCs/>
        </w:rPr>
        <w:t>P</w:t>
      </w:r>
      <w:r w:rsidRPr="00766470">
        <w:rPr>
          <w:rFonts w:ascii="Arial" w:eastAsia="Times New Roman" w:hAnsi="Arial" w:cs="Arial"/>
        </w:rPr>
        <w:t>) data be used for the calculation of each moving average, and that a weighting system be adopted so that more recent years are given a higher weight (</w:t>
      </w:r>
      <w:r w:rsidRPr="00766470">
        <w:rPr>
          <w:rFonts w:ascii="Arial" w:eastAsia="Times New Roman" w:hAnsi="Arial" w:cs="Arial"/>
          <w:i/>
          <w:iCs/>
        </w:rPr>
        <w:t>W</w:t>
      </w:r>
      <w:r w:rsidRPr="00766470">
        <w:rPr>
          <w:rFonts w:ascii="Arial" w:eastAsia="Times New Roman" w:hAnsi="Arial" w:cs="Arial"/>
        </w:rPr>
        <w:t>) (for example, with W</w:t>
      </w:r>
      <w:r w:rsidRPr="00766470">
        <w:rPr>
          <w:rFonts w:ascii="Arial" w:eastAsia="Times New Roman" w:hAnsi="Arial" w:cs="Arial"/>
          <w:sz w:val="14"/>
          <w:szCs w:val="14"/>
        </w:rPr>
        <w:t>1</w:t>
      </w:r>
      <w:r w:rsidRPr="00766470">
        <w:rPr>
          <w:rFonts w:ascii="Arial" w:eastAsia="Times New Roman" w:hAnsi="Arial" w:cs="Arial"/>
        </w:rPr>
        <w:t xml:space="preserve"> = 0.35, W</w:t>
      </w:r>
      <w:r w:rsidRPr="00766470">
        <w:rPr>
          <w:rFonts w:ascii="Arial" w:eastAsia="Times New Roman" w:hAnsi="Arial" w:cs="Arial"/>
          <w:sz w:val="14"/>
          <w:szCs w:val="14"/>
        </w:rPr>
        <w:t>2</w:t>
      </w:r>
      <w:r w:rsidRPr="00766470">
        <w:rPr>
          <w:rFonts w:ascii="Arial" w:eastAsia="Times New Roman" w:hAnsi="Arial" w:cs="Arial"/>
        </w:rPr>
        <w:t xml:space="preserve"> = 0.25, W</w:t>
      </w:r>
      <w:r w:rsidRPr="00766470">
        <w:rPr>
          <w:rFonts w:ascii="Arial" w:eastAsia="Times New Roman" w:hAnsi="Arial" w:cs="Arial"/>
          <w:sz w:val="14"/>
          <w:szCs w:val="14"/>
        </w:rPr>
        <w:t>3</w:t>
      </w:r>
      <w:r w:rsidRPr="00766470">
        <w:rPr>
          <w:rFonts w:ascii="Arial" w:eastAsia="Times New Roman" w:hAnsi="Arial" w:cs="Arial"/>
        </w:rPr>
        <w:t xml:space="preserve"> = 0.20, W</w:t>
      </w:r>
      <w:r w:rsidRPr="00766470">
        <w:rPr>
          <w:rFonts w:ascii="Arial" w:eastAsia="Times New Roman" w:hAnsi="Arial" w:cs="Arial"/>
          <w:sz w:val="14"/>
          <w:szCs w:val="14"/>
        </w:rPr>
        <w:t>4</w:t>
      </w:r>
      <w:r w:rsidRPr="00766470">
        <w:rPr>
          <w:rFonts w:ascii="Arial" w:eastAsia="Times New Roman" w:hAnsi="Arial" w:cs="Arial"/>
        </w:rPr>
        <w:t xml:space="preserve"> = 0.15, W</w:t>
      </w:r>
      <w:r w:rsidRPr="00766470">
        <w:rPr>
          <w:rFonts w:ascii="Arial" w:eastAsia="Times New Roman" w:hAnsi="Arial" w:cs="Arial"/>
          <w:sz w:val="14"/>
          <w:szCs w:val="14"/>
        </w:rPr>
        <w:t>5</w:t>
      </w:r>
      <w:r w:rsidRPr="00766470">
        <w:rPr>
          <w:rFonts w:ascii="Arial" w:eastAsia="Times New Roman" w:hAnsi="Arial" w:cs="Arial"/>
        </w:rPr>
        <w:t xml:space="preserve"> = 0.05), as shown in the equation below. </w:t>
      </w:r>
    </w:p>
    <w:p w14:paraId="6DCAA9AC" w14:textId="77777777" w:rsidR="00BE51B1" w:rsidRPr="00766470" w:rsidRDefault="00000000" w:rsidP="00BE51B1">
      <w:pPr>
        <w:spacing w:line="276" w:lineRule="auto"/>
        <w:ind w:left="720"/>
        <w:rPr>
          <w:rFonts w:ascii="Arial" w:eastAsia="Times New Roman" w:hAnsi="Arial" w:cs="Arial"/>
          <w:lang w:val="fr-FR"/>
        </w:rPr>
      </w:pPr>
      <m:oMath>
        <m:sSub>
          <m:sSubPr>
            <m:ctrlPr>
              <w:rPr>
                <w:rFonts w:ascii="Cambria Math" w:hAnsi="Cambria Math" w:cs="Arial"/>
              </w:rPr>
            </m:ctrlPr>
          </m:sSubPr>
          <m:e>
            <m:r>
              <w:rPr>
                <w:rFonts w:ascii="Cambria Math" w:hAnsi="Cambria Math" w:cs="Arial"/>
              </w:rPr>
              <m:t>P</m:t>
            </m:r>
          </m:e>
          <m:sub>
            <m:r>
              <w:rPr>
                <w:rFonts w:ascii="Cambria Math" w:hAnsi="Cambria Math" w:cs="Arial"/>
              </w:rPr>
              <m:t>n</m:t>
            </m:r>
          </m:sub>
        </m:sSub>
        <m:r>
          <w:rPr>
            <w:rFonts w:ascii="Cambria Math" w:hAnsi="Cambria Math" w:cs="Arial"/>
            <w:lang w:val="fr-FR"/>
          </w:rPr>
          <m:t>=</m:t>
        </m:r>
        <m:nary>
          <m:naryPr>
            <m:chr m:val="∑"/>
            <m:ctrlPr>
              <w:rPr>
                <w:rFonts w:ascii="Cambria Math" w:hAnsi="Cambria Math" w:cs="Arial"/>
              </w:rPr>
            </m:ctrlPr>
          </m:naryPr>
          <m:sub>
            <m:r>
              <w:rPr>
                <w:rFonts w:ascii="Cambria Math" w:hAnsi="Cambria Math" w:cs="Arial"/>
              </w:rPr>
              <m:t>i</m:t>
            </m:r>
            <m:r>
              <w:rPr>
                <w:rFonts w:ascii="Cambria Math" w:hAnsi="Cambria Math" w:cs="Arial"/>
                <w:lang w:val="fr-FR"/>
              </w:rPr>
              <m:t>=1</m:t>
            </m:r>
          </m:sub>
          <m:sup>
            <m:r>
              <w:rPr>
                <w:rFonts w:ascii="Cambria Math" w:hAnsi="Cambria Math" w:cs="Arial"/>
                <w:lang w:val="fr-FR"/>
              </w:rPr>
              <m:t>5</m:t>
            </m:r>
          </m:sup>
          <m:e>
            <m:sSub>
              <m:sSubPr>
                <m:ctrlPr>
                  <w:rPr>
                    <w:rFonts w:ascii="Cambria Math" w:hAnsi="Cambria Math" w:cs="Arial"/>
                  </w:rPr>
                </m:ctrlPr>
              </m:sSubPr>
              <m:e>
                <m:r>
                  <w:rPr>
                    <w:rFonts w:ascii="Cambria Math" w:hAnsi="Cambria Math" w:cs="Arial"/>
                  </w:rPr>
                  <m:t>W</m:t>
                </m:r>
              </m:e>
              <m:sub>
                <m:r>
                  <w:rPr>
                    <w:rFonts w:ascii="Cambria Math" w:hAnsi="Cambria Math" w:cs="Arial"/>
                  </w:rPr>
                  <m:t>i</m:t>
                </m:r>
              </m:sub>
            </m:sSub>
          </m:e>
        </m:nary>
        <m:sSub>
          <m:sSubPr>
            <m:ctrlPr>
              <w:rPr>
                <w:rFonts w:ascii="Cambria Math" w:hAnsi="Cambria Math" w:cs="Arial"/>
              </w:rPr>
            </m:ctrlPr>
          </m:sSubPr>
          <m:e>
            <m:r>
              <w:rPr>
                <w:rFonts w:ascii="Cambria Math" w:hAnsi="Cambria Math" w:cs="Arial"/>
              </w:rPr>
              <m:t>P</m:t>
            </m:r>
          </m:e>
          <m:sub>
            <m:d>
              <m:dPr>
                <m:ctrlPr>
                  <w:rPr>
                    <w:rFonts w:ascii="Cambria Math" w:hAnsi="Cambria Math" w:cs="Arial"/>
                  </w:rPr>
                </m:ctrlPr>
              </m:dPr>
              <m:e>
                <m:r>
                  <w:rPr>
                    <w:rFonts w:ascii="Cambria Math" w:hAnsi="Cambria Math" w:cs="Arial"/>
                  </w:rPr>
                  <m:t>n</m:t>
                </m:r>
                <m:r>
                  <w:rPr>
                    <w:rFonts w:ascii="Cambria Math" w:hAnsi="Cambria Math" w:cs="Arial"/>
                    <w:lang w:val="fr-FR"/>
                  </w:rPr>
                  <m:t>-</m:t>
                </m:r>
                <m:r>
                  <w:rPr>
                    <w:rFonts w:ascii="Cambria Math" w:hAnsi="Cambria Math" w:cs="Arial"/>
                  </w:rPr>
                  <m:t>i</m:t>
                </m:r>
              </m:e>
            </m:d>
          </m:sub>
        </m:sSub>
      </m:oMath>
      <w:r w:rsidR="00BE51B1" w:rsidRPr="00766470">
        <w:rPr>
          <w:rFonts w:ascii="Arial" w:eastAsia="Times New Roman" w:hAnsi="Arial" w:cs="Arial"/>
          <w:lang w:val="fr-FR"/>
        </w:rPr>
        <w:t xml:space="preserve">                                                                                                      </w:t>
      </w:r>
    </w:p>
    <w:p w14:paraId="228D9BCF" w14:textId="77777777" w:rsidR="00BE51B1" w:rsidRDefault="00BE51B1" w:rsidP="00BE51B1">
      <w:pPr>
        <w:pStyle w:val="ListParagraph"/>
        <w:spacing w:line="276" w:lineRule="auto"/>
        <w:jc w:val="both"/>
        <w:rPr>
          <w:rFonts w:ascii="Arial" w:hAnsi="Arial" w:cs="Arial"/>
        </w:rPr>
      </w:pPr>
      <w:r w:rsidRPr="00766470">
        <w:rPr>
          <w:rFonts w:ascii="Arial" w:hAnsi="Arial" w:cs="Arial"/>
          <w:noProof/>
          <w:shd w:val="clear" w:color="auto" w:fill="92D050"/>
        </w:rPr>
        <w:drawing>
          <wp:inline distT="0" distB="0" distL="0" distR="0" wp14:anchorId="387614EF" wp14:editId="250DEC31">
            <wp:extent cx="3978977" cy="1993900"/>
            <wp:effectExtent l="0" t="0" r="0" b="0"/>
            <wp:docPr id="1924759065" name="Picture 821625650" descr="A graph of a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9065" name="Picture 821625650" descr="A graph of a price&#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00325" cy="2004598"/>
                    </a:xfrm>
                    <a:prstGeom prst="rect">
                      <a:avLst/>
                    </a:prstGeom>
                  </pic:spPr>
                </pic:pic>
              </a:graphicData>
            </a:graphic>
          </wp:inline>
        </w:drawing>
      </w:r>
    </w:p>
    <w:p w14:paraId="01D0C35F" w14:textId="28FD7532" w:rsidR="009F3AF4" w:rsidRPr="009F3AF4" w:rsidRDefault="009F3AF4" w:rsidP="009F3AF4">
      <w:pPr>
        <w:pStyle w:val="Caption"/>
      </w:pPr>
      <w:bookmarkStart w:id="68" w:name="_Ref214444921"/>
      <w:bookmarkStart w:id="69" w:name="_Toc211272397"/>
      <w:r>
        <w:t xml:space="preserve">Figure </w:t>
      </w:r>
      <w:fldSimple w:instr=" SEQ Figure \* ARABIC ">
        <w:r w:rsidR="00E1763F">
          <w:rPr>
            <w:noProof/>
          </w:rPr>
          <w:t>14</w:t>
        </w:r>
      </w:fldSimple>
      <w:bookmarkEnd w:id="68"/>
      <w:r w:rsidRPr="009F3AF4">
        <w:t>: Illustration of Weighted Moving Average (WMA) methodology for forecasting price of copper</w:t>
      </w:r>
      <w:bookmarkEnd w:id="69"/>
    </w:p>
    <w:p w14:paraId="0E4EC5E7" w14:textId="77777777" w:rsidR="009F3AF4" w:rsidRPr="00766470" w:rsidRDefault="009F3AF4" w:rsidP="00BE51B1">
      <w:pPr>
        <w:pStyle w:val="ListParagraph"/>
        <w:spacing w:line="276" w:lineRule="auto"/>
        <w:jc w:val="both"/>
        <w:rPr>
          <w:rFonts w:ascii="Arial" w:hAnsi="Arial" w:cs="Arial"/>
        </w:rPr>
      </w:pPr>
    </w:p>
    <w:p w14:paraId="2D9F1756" w14:textId="77777777" w:rsidR="00BE51B1" w:rsidRPr="00766470" w:rsidRDefault="00BE51B1" w:rsidP="00BE51B1">
      <w:pPr>
        <w:pStyle w:val="ListParagraph"/>
        <w:spacing w:line="276" w:lineRule="auto"/>
        <w:rPr>
          <w:rFonts w:ascii="Arial" w:hAnsi="Arial" w:cs="Arial"/>
        </w:rPr>
      </w:pPr>
    </w:p>
    <w:p w14:paraId="4B4F0E7D" w14:textId="2F1E841D" w:rsidR="00BE51B1" w:rsidRPr="00766470" w:rsidRDefault="00BE51B1" w:rsidP="00BE51B1">
      <w:pPr>
        <w:pStyle w:val="ListParagraph"/>
        <w:numPr>
          <w:ilvl w:val="0"/>
          <w:numId w:val="1"/>
        </w:numPr>
        <w:spacing w:line="276" w:lineRule="auto"/>
        <w:jc w:val="both"/>
        <w:rPr>
          <w:rFonts w:ascii="Arial" w:eastAsia="Times New Roman" w:hAnsi="Arial" w:cs="Arial"/>
        </w:rPr>
      </w:pPr>
      <w:r w:rsidRPr="00766470">
        <w:rPr>
          <w:rFonts w:ascii="Arial" w:hAnsi="Arial" w:cs="Arial"/>
          <w:u w:val="single"/>
        </w:rPr>
        <w:t>Market Growth Rate (MGR)</w:t>
      </w:r>
      <w:r w:rsidRPr="00766470">
        <w:rPr>
          <w:rFonts w:ascii="Arial" w:hAnsi="Arial" w:cs="Arial"/>
        </w:rPr>
        <w:t>. Following</w:t>
      </w:r>
      <w:r w:rsidRPr="00766470">
        <w:rPr>
          <w:rFonts w:ascii="Arial" w:eastAsia="Times New Roman" w:hAnsi="Arial" w:cs="Arial"/>
        </w:rPr>
        <w:fldChar w:fldCharType="begin"/>
      </w:r>
      <w:r w:rsidR="007E07E0">
        <w:rPr>
          <w:rFonts w:ascii="Arial" w:eastAsia="Times New Roman" w:hAnsi="Arial" w:cs="Arial"/>
        </w:rPr>
        <w:instrText xml:space="preserve"> ADDIN ZOTERO_ITEM CSL_CITATION {"citationID":"gdq2icbX","properties":{"formattedCitation":"\\super 84\\nosupersub{}","plainCitation":"84","noteIndex":0},"citationItems":[{"id":95,"uris":["http://zotero.org/users/10918866/items/DMT5W95I"],"itemData":{"id":95,"type":"article-journal","abstract":"Renewable energy is one of the fastest growing segments of energy consumption and wind energy is one of the most widely used sources of renewable energy. There is, however, much less known about the main drivers of wind energy consumption at the country level. This paper uses the logarithmic mean Divisia index (LMDI) method to study the driving factors in wind energy consumption for a group of 17 countries (Australia, Canada, China, Denmark, France, Germany, Greece, India, Ireland, Italy, Japan, Netherlands, Portugal, Spain, Sweden, United Kingdom, and the United States) that are major consumers of wind energy. The renewable energy share component has the largest impact on wind energy consumption. Improvements in energy intensity are the largest driver of reductions in wind energy consumption. Wind energy consumption forecasts for each country in the business as usual (BAU) scenario for the years 2018–2025 show that compound annual growth rates (CAGRs) for wind energy consumption are highest for Canada, Sweden, China, and Germany. Countries that have high shares of renewable energy like Spain, Portugal, and Denmark have low forecast values of CAGRs. Wind energy forecasts are also calculated for a high growth rate scenario and a low growth rate scenario. Future increases in wind energy consumption are going to depend upon the continued increase in renewable energy share which in turn is affected by energy policy designed to promote fuel switching from fossil fuels to renewables.","container-title":"Journal of Cleaner Production","DOI":"10.1016/j.jclepro.2020.125779","ISSN":"0959-6526","journalAbbreviation":"Journal of Cleaner Production","page":"125779","source":"ScienceDirect","title":"Wind energy for sustainable development: Driving factors and future outlook","title-short":"Wind energy for sustainable development","volume":"289","author":[{"family":"Sadorsky","given":"Perry"}],"issued":{"date-parts":[["2021",3,20]]}}}],"schema":"https://github.com/citation-style-language/schema/raw/master/csl-citation.json"} </w:instrText>
      </w:r>
      <w:r w:rsidRPr="00766470">
        <w:rPr>
          <w:rFonts w:ascii="Arial" w:eastAsia="Times New Roman" w:hAnsi="Arial" w:cs="Arial"/>
        </w:rPr>
        <w:fldChar w:fldCharType="separate"/>
      </w:r>
      <w:r w:rsidR="007E07E0" w:rsidRPr="007E07E0">
        <w:rPr>
          <w:rFonts w:ascii="Arial" w:hAnsi="Arial" w:cs="Arial"/>
          <w:kern w:val="0"/>
          <w:vertAlign w:val="superscript"/>
        </w:rPr>
        <w:t>84</w:t>
      </w:r>
      <w:r w:rsidRPr="00766470">
        <w:rPr>
          <w:rFonts w:ascii="Arial" w:eastAsia="Times New Roman" w:hAnsi="Arial" w:cs="Arial"/>
        </w:rPr>
        <w:fldChar w:fldCharType="end"/>
      </w:r>
      <w:r w:rsidRPr="00766470">
        <w:rPr>
          <w:rFonts w:ascii="Arial" w:hAnsi="Arial" w:cs="Arial"/>
        </w:rPr>
        <w:t xml:space="preserve">, a Compound Annual Growth Rate (CAGR) is calculated to </w:t>
      </w:r>
      <w:r w:rsidRPr="00766470">
        <w:rPr>
          <w:rFonts w:ascii="Arial" w:eastAsia="Times New Roman" w:hAnsi="Arial" w:cs="Arial"/>
        </w:rPr>
        <w:t>provide a smoothed annual growth rate that reflects the overall trends in the market over the specified period, as shown in the equation below. The CAGR used for projection purposes is taken from the literature as indicated in</w:t>
      </w:r>
      <w:r w:rsidR="00B8490A">
        <w:rPr>
          <w:rFonts w:ascii="Arial" w:eastAsia="Times New Roman" w:hAnsi="Arial" w:cs="Arial"/>
          <w:b/>
          <w:bCs/>
          <w:color w:val="000000" w:themeColor="text1"/>
        </w:rPr>
        <w:t xml:space="preserve"> </w:t>
      </w:r>
      <w:r w:rsidR="00B8490A">
        <w:rPr>
          <w:rFonts w:ascii="Arial" w:eastAsia="Times New Roman" w:hAnsi="Arial" w:cs="Arial"/>
          <w:b/>
          <w:bCs/>
          <w:color w:val="000000" w:themeColor="text1"/>
        </w:rPr>
        <w:fldChar w:fldCharType="begin"/>
      </w:r>
      <w:r w:rsidR="00B8490A">
        <w:rPr>
          <w:rFonts w:ascii="Arial" w:eastAsia="Times New Roman" w:hAnsi="Arial" w:cs="Arial"/>
          <w:b/>
          <w:bCs/>
          <w:color w:val="000000" w:themeColor="text1"/>
        </w:rPr>
        <w:instrText xml:space="preserve"> REF _Ref214444971 \h </w:instrText>
      </w:r>
      <w:r w:rsidR="00B8490A">
        <w:rPr>
          <w:rFonts w:ascii="Arial" w:eastAsia="Times New Roman" w:hAnsi="Arial" w:cs="Arial"/>
          <w:b/>
          <w:bCs/>
          <w:color w:val="000000" w:themeColor="text1"/>
        </w:rPr>
      </w:r>
      <w:r w:rsidR="00B8490A">
        <w:rPr>
          <w:rFonts w:ascii="Arial" w:eastAsia="Times New Roman" w:hAnsi="Arial" w:cs="Arial"/>
          <w:b/>
          <w:bCs/>
          <w:color w:val="000000" w:themeColor="text1"/>
        </w:rPr>
        <w:fldChar w:fldCharType="separate"/>
      </w:r>
      <w:r w:rsidR="00B8490A">
        <w:t xml:space="preserve">Table </w:t>
      </w:r>
      <w:r w:rsidR="00B8490A">
        <w:rPr>
          <w:noProof/>
        </w:rPr>
        <w:t>9</w:t>
      </w:r>
      <w:r w:rsidR="00B8490A">
        <w:rPr>
          <w:rFonts w:ascii="Arial" w:eastAsia="Times New Roman" w:hAnsi="Arial" w:cs="Arial"/>
          <w:b/>
          <w:bCs/>
          <w:color w:val="000000" w:themeColor="text1"/>
        </w:rPr>
        <w:fldChar w:fldCharType="end"/>
      </w:r>
      <w:r w:rsidRPr="00766470">
        <w:rPr>
          <w:rFonts w:ascii="Arial" w:eastAsia="Times New Roman" w:hAnsi="Arial" w:cs="Arial"/>
        </w:rPr>
        <w:t>. It is important to note that the CAGR does not account for market volatility, economic cycles, or unforeseen events that could impact material prices, and hence should be complemented by a broader analysis that includes qualitative factors and potential market disruptions.</w:t>
      </w:r>
    </w:p>
    <w:p w14:paraId="32EBBFDB" w14:textId="32AAA1A7" w:rsidR="00BE51B1" w:rsidRPr="00766470" w:rsidRDefault="00BE51B1" w:rsidP="00F51365">
      <w:pPr>
        <w:pStyle w:val="ListParagraph"/>
        <w:spacing w:line="257" w:lineRule="auto"/>
        <w:jc w:val="center"/>
        <w:rPr>
          <w:rFonts w:ascii="Arial" w:eastAsia="Times New Roman" w:hAnsi="Arial" w:cs="Arial"/>
          <w:lang w:val="fr-FR"/>
        </w:rPr>
      </w:pPr>
      <m:oMathPara>
        <m:oMath>
          <m:r>
            <w:rPr>
              <w:rFonts w:ascii="Cambria Math" w:hAnsi="Cambria Math" w:cs="Arial"/>
            </w:rPr>
            <m:t>CAGR</m:t>
          </m:r>
          <m:r>
            <w:rPr>
              <w:rFonts w:ascii="Cambria Math" w:hAnsi="Cambria Math" w:cs="Arial"/>
              <w:lang w:val="fr-FR"/>
            </w:rPr>
            <m:t>=</m:t>
          </m:r>
          <m:sSup>
            <m:sSupPr>
              <m:ctrlPr>
                <w:rPr>
                  <w:rFonts w:ascii="Cambria Math" w:hAnsi="Cambria Math" w:cs="Arial"/>
                </w:rPr>
              </m:ctrlPr>
            </m:sSupPr>
            <m:e>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w:rPr>
                              <w:rFonts w:ascii="Cambria Math" w:hAnsi="Cambria Math" w:cs="Arial"/>
                            </w:rPr>
                            <m:t>b</m:t>
                          </m:r>
                        </m:sub>
                      </m:sSub>
                    </m:num>
                    <m:den>
                      <m:sSub>
                        <m:sSubPr>
                          <m:ctrlPr>
                            <w:rPr>
                              <w:rFonts w:ascii="Cambria Math" w:hAnsi="Cambria Math" w:cs="Arial"/>
                            </w:rPr>
                          </m:ctrlPr>
                        </m:sSubPr>
                        <m:e>
                          <m:r>
                            <w:rPr>
                              <w:rFonts w:ascii="Cambria Math" w:hAnsi="Cambria Math" w:cs="Arial"/>
                            </w:rPr>
                            <m:t>P</m:t>
                          </m:r>
                        </m:e>
                        <m:sub>
                          <m:r>
                            <w:rPr>
                              <w:rFonts w:ascii="Cambria Math" w:hAnsi="Cambria Math" w:cs="Arial"/>
                              <w:lang w:val="fr-FR"/>
                            </w:rPr>
                            <m:t>0</m:t>
                          </m:r>
                        </m:sub>
                      </m:sSub>
                    </m:den>
                  </m:f>
                </m:e>
              </m:d>
            </m:e>
            <m:sup>
              <m:f>
                <m:fPr>
                  <m:ctrlPr>
                    <w:rPr>
                      <w:rFonts w:ascii="Cambria Math" w:hAnsi="Cambria Math" w:cs="Arial"/>
                    </w:rPr>
                  </m:ctrlPr>
                </m:fPr>
                <m:num>
                  <m:r>
                    <w:rPr>
                      <w:rFonts w:ascii="Cambria Math" w:hAnsi="Cambria Math" w:cs="Arial"/>
                      <w:lang w:val="fr-FR"/>
                    </w:rPr>
                    <m:t>1</m:t>
                  </m:r>
                </m:num>
                <m:den>
                  <m:r>
                    <w:rPr>
                      <w:rFonts w:ascii="Cambria Math" w:hAnsi="Cambria Math" w:cs="Arial"/>
                    </w:rPr>
                    <m:t>b</m:t>
                  </m:r>
                </m:den>
              </m:f>
            </m:sup>
          </m:sSup>
          <m:r>
            <w:rPr>
              <w:rFonts w:ascii="Cambria Math" w:hAnsi="Cambria Math" w:cs="Arial"/>
              <w:lang w:val="fr-FR"/>
            </w:rPr>
            <m:t>-1</m:t>
          </m:r>
        </m:oMath>
      </m:oMathPara>
    </w:p>
    <w:p w14:paraId="48B0020E" w14:textId="77777777" w:rsidR="00BE51B1" w:rsidRPr="00766470" w:rsidRDefault="00BE51B1" w:rsidP="00BE51B1">
      <w:pPr>
        <w:spacing w:line="257" w:lineRule="auto"/>
        <w:jc w:val="center"/>
        <w:rPr>
          <w:rFonts w:ascii="Arial" w:hAnsi="Arial" w:cs="Arial"/>
        </w:rPr>
      </w:pPr>
      <w:r w:rsidRPr="00766470">
        <w:rPr>
          <w:rFonts w:ascii="Arial" w:hAnsi="Arial" w:cs="Arial"/>
          <w:noProof/>
        </w:rPr>
        <w:lastRenderedPageBreak/>
        <w:drawing>
          <wp:inline distT="0" distB="0" distL="0" distR="0" wp14:anchorId="222AE5B3" wp14:editId="62BACBF5">
            <wp:extent cx="4232416" cy="2120900"/>
            <wp:effectExtent l="0" t="0" r="0" b="0"/>
            <wp:docPr id="1807990284" name="Picture 626752820" descr="A graph of a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0284" name="Picture 626752820" descr="A graph of a price&#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54733" cy="2132083"/>
                    </a:xfrm>
                    <a:prstGeom prst="rect">
                      <a:avLst/>
                    </a:prstGeom>
                  </pic:spPr>
                </pic:pic>
              </a:graphicData>
            </a:graphic>
          </wp:inline>
        </w:drawing>
      </w:r>
    </w:p>
    <w:p w14:paraId="34EA9886" w14:textId="48B7BEE9" w:rsidR="009F3AF4" w:rsidRPr="009F3AF4" w:rsidRDefault="009F3AF4" w:rsidP="009F3AF4">
      <w:pPr>
        <w:pStyle w:val="Caption"/>
      </w:pPr>
      <w:bookmarkStart w:id="70" w:name="_Ref214444943"/>
      <w:bookmarkStart w:id="71" w:name="_Toc211272398"/>
      <w:bookmarkStart w:id="72" w:name="_Ref190747426"/>
      <w:r>
        <w:t xml:space="preserve">Figure </w:t>
      </w:r>
      <w:fldSimple w:instr=" SEQ Figure \* ARABIC ">
        <w:r w:rsidR="00E1763F">
          <w:rPr>
            <w:noProof/>
          </w:rPr>
          <w:t>15</w:t>
        </w:r>
      </w:fldSimple>
      <w:bookmarkEnd w:id="70"/>
      <w:r w:rsidRPr="009F3AF4">
        <w:t>: Illustration of Market Growth Rate (MGR) methodology for forecasting price of copper</w:t>
      </w:r>
      <w:bookmarkEnd w:id="71"/>
    </w:p>
    <w:p w14:paraId="234BBB9D" w14:textId="77777777" w:rsidR="00BE51B1" w:rsidRDefault="00BE51B1" w:rsidP="00BE51B1"/>
    <w:p w14:paraId="2B69386C" w14:textId="4B791858" w:rsidR="00BE51B1" w:rsidRPr="009F3AF4" w:rsidRDefault="00B8490A" w:rsidP="00B8490A">
      <w:pPr>
        <w:pStyle w:val="Caption"/>
      </w:pPr>
      <w:bookmarkStart w:id="73" w:name="_Ref214444971"/>
      <w:bookmarkStart w:id="74" w:name="_Toc211509404"/>
      <w:bookmarkEnd w:id="72"/>
      <w:r>
        <w:t xml:space="preserve">Table </w:t>
      </w:r>
      <w:fldSimple w:instr=" SEQ Table \* ARABIC ">
        <w:r w:rsidR="00615C28">
          <w:t>9</w:t>
        </w:r>
      </w:fldSimple>
      <w:bookmarkEnd w:id="73"/>
      <w:r w:rsidR="00BE51B1" w:rsidRPr="009F3AF4">
        <w:t>: CAGR of prices and literature sources</w:t>
      </w:r>
      <w:bookmarkEnd w:id="74"/>
    </w:p>
    <w:tbl>
      <w:tblPr>
        <w:tblW w:w="467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1337"/>
        <w:gridCol w:w="2197"/>
        <w:gridCol w:w="1141"/>
      </w:tblGrid>
      <w:tr w:rsidR="00BE51B1" w:rsidRPr="007D3F22" w14:paraId="41CA5214" w14:textId="77777777" w:rsidTr="00F51365">
        <w:trPr>
          <w:trHeight w:val="300"/>
          <w:jc w:val="center"/>
        </w:trPr>
        <w:tc>
          <w:tcPr>
            <w:tcW w:w="1337" w:type="dxa"/>
            <w:shd w:val="clear" w:color="auto" w:fill="B7D4EF" w:themeFill="text2" w:themeFillTint="33"/>
            <w:tcMar>
              <w:left w:w="108" w:type="dxa"/>
              <w:right w:w="108" w:type="dxa"/>
            </w:tcMar>
            <w:vAlign w:val="center"/>
          </w:tcPr>
          <w:p w14:paraId="7EA65E86" w14:textId="77777777" w:rsidR="00BE51B1" w:rsidRPr="00766470" w:rsidRDefault="00BE51B1" w:rsidP="00877C15">
            <w:pPr>
              <w:spacing w:before="40" w:after="40"/>
              <w:jc w:val="center"/>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Mineral</w:t>
            </w:r>
          </w:p>
        </w:tc>
        <w:tc>
          <w:tcPr>
            <w:tcW w:w="2197" w:type="dxa"/>
            <w:shd w:val="clear" w:color="auto" w:fill="B7D4EF" w:themeFill="text2" w:themeFillTint="33"/>
            <w:tcMar>
              <w:left w:w="108" w:type="dxa"/>
              <w:right w:w="108" w:type="dxa"/>
            </w:tcMar>
            <w:vAlign w:val="center"/>
          </w:tcPr>
          <w:p w14:paraId="4F852BF8" w14:textId="77777777" w:rsidR="00BE51B1" w:rsidRPr="00766470" w:rsidRDefault="00BE51B1" w:rsidP="00877C15">
            <w:pPr>
              <w:spacing w:before="40" w:after="40"/>
              <w:jc w:val="center"/>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CAGR of prices (%)</w:t>
            </w:r>
          </w:p>
        </w:tc>
        <w:tc>
          <w:tcPr>
            <w:tcW w:w="1141" w:type="dxa"/>
            <w:shd w:val="clear" w:color="auto" w:fill="B7D4EF" w:themeFill="text2" w:themeFillTint="33"/>
          </w:tcPr>
          <w:p w14:paraId="42F4BB82" w14:textId="77777777" w:rsidR="00BE51B1" w:rsidRPr="00766470" w:rsidRDefault="00BE51B1" w:rsidP="00877C15">
            <w:pPr>
              <w:spacing w:before="40" w:after="40"/>
              <w:jc w:val="center"/>
              <w:rPr>
                <w:rFonts w:ascii="Arial" w:eastAsia="Times New Roman" w:hAnsi="Arial" w:cs="Arial"/>
                <w:b/>
                <w:bCs/>
                <w:color w:val="156082" w:themeColor="accent1"/>
                <w:sz w:val="20"/>
                <w:szCs w:val="20"/>
              </w:rPr>
            </w:pPr>
            <w:r>
              <w:rPr>
                <w:rFonts w:ascii="Arial" w:eastAsia="Times New Roman" w:hAnsi="Arial" w:cs="Arial"/>
                <w:b/>
                <w:bCs/>
                <w:color w:val="156082" w:themeColor="accent1"/>
                <w:sz w:val="20"/>
                <w:szCs w:val="20"/>
              </w:rPr>
              <w:t>S</w:t>
            </w:r>
            <w:r w:rsidRPr="00766470">
              <w:rPr>
                <w:rFonts w:ascii="Arial" w:eastAsia="Times New Roman" w:hAnsi="Arial" w:cs="Arial"/>
                <w:b/>
                <w:bCs/>
                <w:color w:val="156082" w:themeColor="accent1"/>
                <w:sz w:val="20"/>
                <w:szCs w:val="20"/>
              </w:rPr>
              <w:t>ources</w:t>
            </w:r>
          </w:p>
        </w:tc>
      </w:tr>
      <w:tr w:rsidR="00BE51B1" w:rsidRPr="007D3F22" w14:paraId="31F609A8" w14:textId="77777777" w:rsidTr="00F51365">
        <w:trPr>
          <w:trHeight w:val="300"/>
          <w:jc w:val="center"/>
        </w:trPr>
        <w:tc>
          <w:tcPr>
            <w:tcW w:w="1337" w:type="dxa"/>
            <w:tcMar>
              <w:left w:w="108" w:type="dxa"/>
              <w:right w:w="108" w:type="dxa"/>
            </w:tcMar>
            <w:vAlign w:val="center"/>
          </w:tcPr>
          <w:p w14:paraId="09BB99AB"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Copper</w:t>
            </w:r>
          </w:p>
        </w:tc>
        <w:tc>
          <w:tcPr>
            <w:tcW w:w="2197" w:type="dxa"/>
            <w:tcMar>
              <w:left w:w="108" w:type="dxa"/>
              <w:right w:w="108" w:type="dxa"/>
            </w:tcMar>
            <w:vAlign w:val="center"/>
          </w:tcPr>
          <w:p w14:paraId="7D02E4C6" w14:textId="77777777" w:rsidR="00BE51B1" w:rsidRPr="00766470" w:rsidRDefault="00BE51B1" w:rsidP="00877C15">
            <w:pPr>
              <w:spacing w:before="40" w:after="40"/>
              <w:jc w:val="center"/>
              <w:rPr>
                <w:rFonts w:ascii="Arial" w:hAnsi="Arial" w:cs="Arial"/>
                <w:sz w:val="20"/>
                <w:szCs w:val="20"/>
              </w:rPr>
            </w:pPr>
            <w:r w:rsidRPr="00766470">
              <w:rPr>
                <w:rFonts w:ascii="Arial" w:eastAsia="Times New Roman" w:hAnsi="Arial" w:cs="Arial"/>
                <w:color w:val="000000" w:themeColor="text1"/>
                <w:sz w:val="20"/>
                <w:szCs w:val="20"/>
              </w:rPr>
              <w:t>6.7</w:t>
            </w:r>
          </w:p>
        </w:tc>
        <w:tc>
          <w:tcPr>
            <w:tcW w:w="1141" w:type="dxa"/>
          </w:tcPr>
          <w:p w14:paraId="730F6DD9" w14:textId="527A5CF5" w:rsidR="00BE51B1" w:rsidRPr="00766470" w:rsidRDefault="00BE51B1" w:rsidP="00877C15">
            <w:pPr>
              <w:spacing w:before="40" w:after="40"/>
              <w:rPr>
                <w:rFonts w:ascii="Arial" w:eastAsia="Times New Roman" w:hAnsi="Arial" w:cs="Arial"/>
                <w:color w:val="000000" w:themeColor="text1"/>
                <w:sz w:val="20"/>
                <w:szCs w:val="20"/>
              </w:rPr>
            </w:pP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rPr>
              <w:instrText xml:space="preserve"> ADDIN ZOTERO_ITEM CSL_CITATION {"citationID":"DPzMAdbZ","properties":{"formattedCitation":"\\super 85\\nosupersub{}","plainCitation":"85","noteIndex":0},"citationItems":[{"id":94,"uris":["http://zotero.org/users/10918866/items/E7ZFRQLD"],"itemData":{"id":94,"type":"article-journal","abstract":"Electric vehicles (EVs) will be an important part of a low-carbon economy. Future EV adoption depends on overcoming multiple barriers, including charging infrastructure, sufficient electricity generation, and the availability of battery raw materials at acceptable costs, including cobalt, copper and nickel – which typically are co-produced. Various EV projections have been made, along with associated requirements for battery raw materials (demand). There have been separate assessments of the availability of raw materials (supply). However, integrated assessments of supply and demand and their interaction over time are lacking to support decision-making. Using a dynamic market model that reflects the co-produced nature of cobalt, copper and nickel production as well as recycling, we estimate global output of these three metals under different EV growth scenarios from 2020 to 2040. Results suggest that starting in 2025, replacement demand for battery raw materials becomes important. Thus, estimates for future material demand that consider only demands from new EVs are incomplete and misleading. EV deployment and associated increased demand for raw materials will have a greater impact on prices for cobalt than nickel and, in turn, for nickel than copper. High EV deployment scenarios will be difficult to achieve without larger supplies of copper, nickel and cobalt than forthcoming under the conditions modeled here, which anticipates a six-year time lag between a demand increase and the expansion of metal-production capacity. Shortening battery lifetimes and improving collection and recycling rates increase secondary supply, but the extent to which these factors support additional EV deployment is mixed.","container-title":"Resources, Conservation and Recycling","DOI":"10.1016/j.resconrec.2020.105198","ISSN":"0921-3449","journalAbbreviation":"Resources, Conservation and Recycling","page":"105198","source":"ScienceDirect","title":"Global Electrification of Vehicles and Intertwined Material Supply Chains of Cobalt, Copper and Nickel","volume":"167","author":[{"family":"Nguyen","given":"Ruby T."},{"family":"Eggert","given":"Roderick G."},{"family":"Severson","given":"Mike H."},{"family":"Anderson","given":"Corby G."}],"issued":{"date-parts":[["2021",4,1]]}}}],"schema":"https://github.com/citation-style-language/schema/raw/master/csl-citation.json"}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85</w:t>
            </w:r>
            <w:r w:rsidRPr="00766470">
              <w:rPr>
                <w:rFonts w:ascii="Arial" w:eastAsia="Times New Roman" w:hAnsi="Arial" w:cs="Arial"/>
                <w:color w:val="000000" w:themeColor="text1"/>
                <w:sz w:val="20"/>
                <w:szCs w:val="20"/>
              </w:rPr>
              <w:fldChar w:fldCharType="end"/>
            </w:r>
          </w:p>
        </w:tc>
      </w:tr>
      <w:tr w:rsidR="00BE51B1" w:rsidRPr="007D3F22" w14:paraId="065FEEE3" w14:textId="77777777" w:rsidTr="00F51365">
        <w:trPr>
          <w:trHeight w:val="300"/>
          <w:jc w:val="center"/>
        </w:trPr>
        <w:tc>
          <w:tcPr>
            <w:tcW w:w="1337" w:type="dxa"/>
            <w:tcMar>
              <w:left w:w="108" w:type="dxa"/>
              <w:right w:w="108" w:type="dxa"/>
            </w:tcMar>
            <w:vAlign w:val="center"/>
          </w:tcPr>
          <w:p w14:paraId="46DD3431"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Cobalt</w:t>
            </w:r>
          </w:p>
        </w:tc>
        <w:tc>
          <w:tcPr>
            <w:tcW w:w="2197" w:type="dxa"/>
            <w:tcMar>
              <w:left w:w="108" w:type="dxa"/>
              <w:right w:w="108" w:type="dxa"/>
            </w:tcMar>
            <w:vAlign w:val="center"/>
          </w:tcPr>
          <w:p w14:paraId="2F28248D" w14:textId="77777777" w:rsidR="00BE51B1" w:rsidRPr="00766470" w:rsidRDefault="00BE51B1" w:rsidP="00877C15">
            <w:pPr>
              <w:spacing w:before="40" w:after="40" w:line="257" w:lineRule="auto"/>
              <w:jc w:val="center"/>
              <w:rPr>
                <w:rFonts w:ascii="Arial" w:hAnsi="Arial" w:cs="Arial"/>
                <w:sz w:val="20"/>
                <w:szCs w:val="20"/>
              </w:rPr>
            </w:pPr>
            <w:r w:rsidRPr="00766470">
              <w:rPr>
                <w:rFonts w:ascii="Arial" w:eastAsia="Times New Roman" w:hAnsi="Arial" w:cs="Arial"/>
                <w:color w:val="000000" w:themeColor="text1"/>
                <w:sz w:val="20"/>
                <w:szCs w:val="20"/>
              </w:rPr>
              <w:t>6.0</w:t>
            </w:r>
          </w:p>
        </w:tc>
        <w:tc>
          <w:tcPr>
            <w:tcW w:w="1141" w:type="dxa"/>
          </w:tcPr>
          <w:p w14:paraId="320F0C84" w14:textId="45F1D26F" w:rsidR="00BE51B1" w:rsidRPr="00766470" w:rsidRDefault="00BE51B1" w:rsidP="00877C15">
            <w:pPr>
              <w:spacing w:before="40" w:after="40" w:line="257" w:lineRule="auto"/>
              <w:rPr>
                <w:rFonts w:ascii="Arial" w:eastAsia="Times New Roman" w:hAnsi="Arial" w:cs="Arial"/>
                <w:color w:val="000000" w:themeColor="text1"/>
                <w:sz w:val="20"/>
                <w:szCs w:val="20"/>
              </w:rPr>
            </w:pPr>
            <w:r w:rsidRPr="00766470">
              <w:rPr>
                <w:rFonts w:ascii="Arial" w:eastAsia="Times New Roman" w:hAnsi="Arial" w:cs="Arial"/>
                <w:color w:val="000000" w:themeColor="text1"/>
                <w:sz w:val="20"/>
                <w:szCs w:val="20"/>
              </w:rPr>
              <w:fldChar w:fldCharType="begin"/>
            </w:r>
            <w:r w:rsidR="0016542D">
              <w:rPr>
                <w:rFonts w:ascii="Arial" w:eastAsia="Times New Roman" w:hAnsi="Arial" w:cs="Arial"/>
                <w:color w:val="000000" w:themeColor="text1"/>
                <w:sz w:val="20"/>
                <w:szCs w:val="20"/>
              </w:rPr>
              <w:instrText xml:space="preserve"> ADDIN ZOTERO_ITEM CSL_CITATION {"citationID":"ER1ZYrVs","properties":{"formattedCitation":"\\super 86\\nosupersub{}","plainCitation":"86","noteIndex":0},"citationItems":[{"id":92,"uris":["http://zotero.org/users/10918866/items/HJPF86K2"],"itemData":{"id":92,"type":"article-journal","abstract":"Lithium-ion battery demand, particularly for electric vehicles, is projected to increase by over 300% throughout the next decade. With these expected increases in demand, cobalt (Co)-dependent technologies face the risk of significant impact from supply concentration and mining limitations in the short term. Increased extraction and secondary recovery form the basis of modeling scenarios that examine implications on Co supply to 2030. Demand for Co is estimated to range from 235 to 430 ktonnes in 2030. This upper bound on Co demand in 2030 corresponds to 280% of world refinery capacity in 2016. Supply from scheduled and unscheduled production as well as secondary production is estimated to range from 320 to 460 ktonnes. Our analysis suggests the following: (1) Co price will remain relatively stable in the short term, given that this range suggests even a supply surplus, (2) future Co supply will become more diversified geographically and mined more as a byproduct of nickel (Ni) over this period, and (3) for this demand to be met, attention should be paid to sustained investments in refined supply of Co and secondary recovery.","container-title":"Environmental Science &amp; Technology","DOI":"10.1021/acs.est.9b04975","ISSN":"0013-936X","issue":"5","journalAbbreviation":"Environ. Sci. Technol.","page":"2985-2993","publisher":"American Chemical Society","source":"ACS Publications","title":"Perspectives on Cobalt Supply through 2030 in the Face of Changing Demand","volume":"54","author":[{"family":"Fu","given":"Xinkai"},{"family":"Beatty","given":"Danielle N."},{"family":"Gaustad","given":"Gabrielle G."},{"family":"Ceder","given":"Gerbrand"},{"family":"Roth","given":"Richard"},{"family":"Kirchain","given":"Randolph E."},{"family":"Bustamante","given":"Michele"},{"family":"Babbitt","given":"Callie"},{"family":"Olivetti","given":"Elsa A."}],"issued":{"date-parts":[["2020",3,3]]}}}],"schema":"https://github.com/citation-style-language/schema/raw/master/csl-citation.json"}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86</w:t>
            </w:r>
            <w:r w:rsidRPr="00766470">
              <w:rPr>
                <w:rFonts w:ascii="Arial" w:eastAsia="Times New Roman" w:hAnsi="Arial" w:cs="Arial"/>
                <w:color w:val="000000" w:themeColor="text1"/>
                <w:sz w:val="20"/>
                <w:szCs w:val="20"/>
              </w:rPr>
              <w:fldChar w:fldCharType="end"/>
            </w:r>
            <w:r w:rsidRPr="00766470">
              <w:rPr>
                <w:rFonts w:ascii="Arial" w:eastAsia="Times New Roman" w:hAnsi="Arial" w:cs="Arial"/>
                <w:color w:val="000000" w:themeColor="text1"/>
                <w:sz w:val="20"/>
                <w:szCs w:val="20"/>
              </w:rPr>
              <w:t xml:space="preserve"> </w:t>
            </w: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rPr>
              <w:instrText xml:space="preserve"> ADDIN ZOTERO_ITEM CSL_CITATION {"citationID":"1wbrPeOm","properties":{"formattedCitation":"\\super 85\\nosupersub{}","plainCitation":"85","noteIndex":0},"citationItems":[{"id":94,"uris":["http://zotero.org/users/10918866/items/E7ZFRQLD"],"itemData":{"id":94,"type":"article-journal","abstract":"Electric vehicles (EVs) will be an important part of a low-carbon economy. Future EV adoption depends on overcoming multiple barriers, including charging infrastructure, sufficient electricity generation, and the availability of battery raw materials at acceptable costs, including cobalt, copper and nickel – which typically are co-produced. Various EV projections have been made, along with associated requirements for battery raw materials (demand). There have been separate assessments of the availability of raw materials (supply). However, integrated assessments of supply and demand and their interaction over time are lacking to support decision-making. Using a dynamic market model that reflects the co-produced nature of cobalt, copper and nickel production as well as recycling, we estimate global output of these three metals under different EV growth scenarios from 2020 to 2040. Results suggest that starting in 2025, replacement demand for battery raw materials becomes important. Thus, estimates for future material demand that consider only demands from new EVs are incomplete and misleading. EV deployment and associated increased demand for raw materials will have a greater impact on prices for cobalt than nickel and, in turn, for nickel than copper. High EV deployment scenarios will be difficult to achieve without larger supplies of copper, nickel and cobalt than forthcoming under the conditions modeled here, which anticipates a six-year time lag between a demand increase and the expansion of metal-production capacity. Shortening battery lifetimes and improving collection and recycling rates increase secondary supply, but the extent to which these factors support additional EV deployment is mixed.","container-title":"Resources, Conservation and Recycling","DOI":"10.1016/j.resconrec.2020.105198","ISSN":"0921-3449","journalAbbreviation":"Resources, Conservation and Recycling","page":"105198","source":"ScienceDirect","title":"Global Electrification of Vehicles and Intertwined Material Supply Chains of Cobalt, Copper and Nickel","volume":"167","author":[{"family":"Nguyen","given":"Ruby T."},{"family":"Eggert","given":"Roderick G."},{"family":"Severson","given":"Mike H."},{"family":"Anderson","given":"Corby G."}],"issued":{"date-parts":[["2021",4,1]]}}}],"schema":"https://github.com/citation-style-language/schema/raw/master/csl-citation.json"}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85</w:t>
            </w:r>
            <w:r w:rsidRPr="00766470">
              <w:rPr>
                <w:rFonts w:ascii="Arial" w:eastAsia="Times New Roman" w:hAnsi="Arial" w:cs="Arial"/>
                <w:color w:val="000000" w:themeColor="text1"/>
                <w:sz w:val="20"/>
                <w:szCs w:val="20"/>
              </w:rPr>
              <w:fldChar w:fldCharType="end"/>
            </w:r>
          </w:p>
        </w:tc>
      </w:tr>
      <w:tr w:rsidR="00BE51B1" w:rsidRPr="00534069" w14:paraId="73A7C3FF" w14:textId="77777777" w:rsidTr="00F51365">
        <w:trPr>
          <w:trHeight w:val="300"/>
          <w:jc w:val="center"/>
        </w:trPr>
        <w:tc>
          <w:tcPr>
            <w:tcW w:w="1337" w:type="dxa"/>
            <w:tcMar>
              <w:left w:w="108" w:type="dxa"/>
              <w:right w:w="108" w:type="dxa"/>
            </w:tcMar>
            <w:vAlign w:val="center"/>
          </w:tcPr>
          <w:p w14:paraId="295C2028"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Nickel</w:t>
            </w:r>
          </w:p>
        </w:tc>
        <w:tc>
          <w:tcPr>
            <w:tcW w:w="2197" w:type="dxa"/>
            <w:tcMar>
              <w:left w:w="108" w:type="dxa"/>
              <w:right w:w="108" w:type="dxa"/>
            </w:tcMar>
            <w:vAlign w:val="center"/>
          </w:tcPr>
          <w:p w14:paraId="4E4A6005" w14:textId="77777777" w:rsidR="00BE51B1" w:rsidRPr="00766470" w:rsidRDefault="00BE51B1" w:rsidP="00877C15">
            <w:pPr>
              <w:spacing w:before="40" w:after="40"/>
              <w:jc w:val="center"/>
              <w:rPr>
                <w:rFonts w:ascii="Arial" w:hAnsi="Arial" w:cs="Arial"/>
                <w:sz w:val="20"/>
                <w:szCs w:val="20"/>
              </w:rPr>
            </w:pPr>
            <w:r w:rsidRPr="00766470">
              <w:rPr>
                <w:rFonts w:ascii="Arial" w:eastAsia="Times New Roman" w:hAnsi="Arial" w:cs="Arial"/>
                <w:color w:val="000000" w:themeColor="text1"/>
                <w:sz w:val="20"/>
                <w:szCs w:val="20"/>
              </w:rPr>
              <w:t>7.3</w:t>
            </w:r>
          </w:p>
        </w:tc>
        <w:tc>
          <w:tcPr>
            <w:tcW w:w="1141" w:type="dxa"/>
          </w:tcPr>
          <w:p w14:paraId="16527038" w14:textId="18463BA1" w:rsidR="00BE51B1" w:rsidRPr="00766470" w:rsidRDefault="00BE51B1" w:rsidP="00877C15">
            <w:pPr>
              <w:spacing w:before="40" w:after="40"/>
              <w:rPr>
                <w:rFonts w:ascii="Arial" w:eastAsia="Times New Roman" w:hAnsi="Arial" w:cs="Arial"/>
                <w:color w:val="000000" w:themeColor="text1"/>
                <w:sz w:val="20"/>
                <w:szCs w:val="20"/>
                <w:lang w:val="es-ES"/>
              </w:rPr>
            </w:pP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lang w:val="es-ES"/>
              </w:rPr>
              <w:instrText xml:space="preserve"> ADDIN ZOTERO_ITEM CSL_CITATION {"citationID":"ZPqUy2ha","properties":{"formattedCitation":"\\super 87\\nosupersub{}","plainCitation":"87","noteIndex":0},"citationItems":[{"id":90,"uris":["http://zotero.org/users/10918866/items/M7N4NWVN"],"itemData":{"id":90,"type":"article-journal","abstract":"Raw materials form an industrial base to provide the wide range of products and services demanded by industry and society. In particular, manganese, nickel, and natural graphite are examples of materials having a globally consolidated supply chain with interlinked use in steelmaking and essential role in clean energy systems and e-mobility. A stable material supply chain is hence a priority for import-dependent regions like the EU and builds upon quantitative system understanding. To this aim, the EU Material System Analysis is applied to analyze the anthropogenic cycle of manganese, nickel, and natural graphite from 2012 to 2016. We provide a detailed characterization of their material stocks, flows, and changes in selected performance indicators including end-of-life recycling rate (51% ± 3%, 49% ± 8%, and 8% ± 0% for manganese, nickel, and natural graphite, respectively), self-sufficiency potential (40% ± 3%, 32% ± 5%, and 5% ± 1%), old scrap ratio (31% ± 0%, 22% ± 2%, and 90% ± 1%), recycling input rate (25% ± 1%, 38% ± 2%, and 3% ± 0%), recycling process efficiency rate (84% ± 2%, 85% ± 6%, and 48% ± 3%), and pre-consumer losses rate (83% ± 3%, 5% ± 1%, and 24% ± 2%). The achieved results may inform decision-makers engaged with raw materials recovery and recycling as well as the strategic securement of a reliable material supply to the EU for resilient industrial ecosystems.","container-title":"Journal of Industrial Ecology","DOI":"10.1111/jiec.13226","ISSN":"1530-9290","issue":"4","language":"en","license":"© 2022 The Authors. Journal of Industrial Ecology published by Wiley Periodicals LLC on behalf of the International Society for Industrial Ecology.","note":"_eprint: https://onlinelibrary.wiley.com/doi/pdf/10.1111/jiec.13226","page":"1247-1260","source":"Wiley Online Library","title":"Material system analysis: Characterization of flows, stocks, and performance indicators of manganese, nickel, and natural graphite in the EU, 2012–2016","title-short":"Material system analysis","volume":"26","author":[{"family":"Ciacci","given":"Luca"},{"family":"Matos","given":"Cristina T.","non-dropping-particle":"de"},{"family":"Reck","given":"Barbara K."},{"family":"Wittmer","given":"Dominic"},{"family":"Bernardi","given":"Elena"},{"family":"Mathieux","given":"Fabrice"},{"family":"Passarini","given":"Fabrizio"}],"issued":{"date-parts":[["2022"]]}}}],"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87</w:t>
            </w:r>
            <w:r w:rsidRPr="00766470">
              <w:rPr>
                <w:rFonts w:ascii="Arial" w:eastAsia="Times New Roman" w:hAnsi="Arial" w:cs="Arial"/>
                <w:color w:val="000000" w:themeColor="text1"/>
                <w:sz w:val="20"/>
                <w:szCs w:val="20"/>
              </w:rPr>
              <w:fldChar w:fldCharType="end"/>
            </w:r>
            <w:r w:rsidRPr="00766470">
              <w:rPr>
                <w:rFonts w:ascii="Arial" w:eastAsia="Times New Roman" w:hAnsi="Arial" w:cs="Arial"/>
                <w:color w:val="000000" w:themeColor="text1"/>
                <w:sz w:val="20"/>
                <w:szCs w:val="20"/>
                <w:lang w:val="es-ES"/>
              </w:rPr>
              <w:t xml:space="preserve"> </w:t>
            </w: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lang w:val="es-ES"/>
              </w:rPr>
              <w:instrText xml:space="preserve"> ADDIN ZOTERO_ITEM CSL_CITATION {"citationID":"Xci2sq45","properties":{"formattedCitation":"\\super 85\\nosupersub{}","plainCitation":"85","noteIndex":0},"citationItems":[{"id":94,"uris":["http://zotero.org/users/10918866/items/E7ZFRQLD"],"itemData":{"id":94,"type":"article-journal","abstract":"Electric vehicles (EVs) will be an important part of a low-carbon economy. Future EV adoption depends on overcoming multiple barriers, including charging infrastructure, sufficient electricity generation, and the availability of battery raw materials at acceptable costs, including cobalt, copper and nickel – which typically are co-produced. Various EV projections have been made, along with associated requirements for battery raw materials (demand). There have been separate assessments of the availability of raw materials (supply). However, integrated assessments of supply and demand and their interaction over time are lacking to support decision-making. Using a dynamic market model that reflects the co-produced nature of cobalt, copper and nickel production as well as recycling, we estimate global output of these three metals under different EV growth scenarios from 2020 to 2040. Results suggest that starting in 2025, replacement demand for battery raw materials becomes important. Thus, estimates for future material demand that consider only demands from new EVs are incomplete and misleading. EV deployment and associated increased demand for raw materials will have a greater impact on prices for cobalt than nickel and, in turn, for nickel than copper. High EV deployment scenarios will be difficult to achieve without larger supplies of copper, nickel and cobalt than forthcoming under the conditions modeled here, which anticipates a six-year time lag between a demand increase and the expansion of metal-production capacity. Shortening battery lifetimes and improving collection and recycling rates increase secondary supply, but the extent to which these factors support additional EV deployment is mixed.","container-title":"Resources, Conservation and Recycling","DOI":"10.1016/j.resconrec.2020.105198","ISSN":"0921-3449","journalAbbreviation":"Resources, Conservation and Recycling","page":"105198","source":"ScienceDirect","title":"Global Electrification of Vehicles and Intertwined Material Supply Chains of Cobalt, Copper and Nickel","volume":"167","author":[{"family":"Nguyen","given":"Ruby T."},{"family":"Eggert","given":"Roderick G."},{"family":"Severson","given":"Mike H."},{"family":"Anderson","given":"Corby G."}],"issued":{"date-parts":[["2021",4,1]]}}}],"schema":"https://github.com/citation-style-language/schema/raw/master/csl-citation.json"}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85</w:t>
            </w:r>
            <w:r w:rsidRPr="00766470">
              <w:rPr>
                <w:rFonts w:ascii="Arial" w:eastAsia="Times New Roman" w:hAnsi="Arial" w:cs="Arial"/>
                <w:color w:val="000000" w:themeColor="text1"/>
                <w:sz w:val="20"/>
                <w:szCs w:val="20"/>
              </w:rPr>
              <w:fldChar w:fldCharType="end"/>
            </w:r>
          </w:p>
        </w:tc>
      </w:tr>
      <w:tr w:rsidR="00BE51B1" w:rsidRPr="007D3F22" w14:paraId="3D2F7137" w14:textId="77777777" w:rsidTr="00F51365">
        <w:trPr>
          <w:trHeight w:val="300"/>
          <w:jc w:val="center"/>
        </w:trPr>
        <w:tc>
          <w:tcPr>
            <w:tcW w:w="1337" w:type="dxa"/>
            <w:tcMar>
              <w:left w:w="108" w:type="dxa"/>
              <w:right w:w="108" w:type="dxa"/>
            </w:tcMar>
            <w:vAlign w:val="center"/>
          </w:tcPr>
          <w:p w14:paraId="0616FB8F"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Lithium</w:t>
            </w:r>
          </w:p>
        </w:tc>
        <w:tc>
          <w:tcPr>
            <w:tcW w:w="2197" w:type="dxa"/>
            <w:tcMar>
              <w:left w:w="108" w:type="dxa"/>
              <w:right w:w="108" w:type="dxa"/>
            </w:tcMar>
            <w:vAlign w:val="center"/>
          </w:tcPr>
          <w:p w14:paraId="3ABD6269" w14:textId="77777777" w:rsidR="00BE51B1" w:rsidRPr="00766470" w:rsidRDefault="00BE51B1" w:rsidP="00877C15">
            <w:pPr>
              <w:spacing w:before="40" w:after="40"/>
              <w:jc w:val="center"/>
              <w:rPr>
                <w:rFonts w:ascii="Arial" w:hAnsi="Arial" w:cs="Arial"/>
                <w:sz w:val="20"/>
                <w:szCs w:val="20"/>
              </w:rPr>
            </w:pPr>
            <w:r w:rsidRPr="00766470">
              <w:rPr>
                <w:rFonts w:ascii="Arial" w:eastAsia="Times New Roman" w:hAnsi="Arial" w:cs="Arial"/>
                <w:color w:val="000000" w:themeColor="text1"/>
                <w:sz w:val="20"/>
                <w:szCs w:val="20"/>
              </w:rPr>
              <w:t>9.4</w:t>
            </w:r>
          </w:p>
        </w:tc>
        <w:tc>
          <w:tcPr>
            <w:tcW w:w="1141" w:type="dxa"/>
          </w:tcPr>
          <w:p w14:paraId="0E75183C" w14:textId="6AD3AA5A" w:rsidR="00BE51B1" w:rsidRPr="00766470" w:rsidRDefault="00BE51B1" w:rsidP="00877C15">
            <w:pPr>
              <w:spacing w:before="40" w:after="40"/>
              <w:rPr>
                <w:rFonts w:ascii="Arial" w:eastAsia="Times New Roman" w:hAnsi="Arial" w:cs="Arial"/>
                <w:color w:val="000000" w:themeColor="text1"/>
                <w:sz w:val="20"/>
                <w:szCs w:val="20"/>
              </w:rPr>
            </w:pP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rPr>
              <w:instrText xml:space="preserve"> ADDIN ZOTERO_ITEM CSL_CITATION {"citationID":"tLpmAtur","properties":{"formattedCitation":"\\super 88\\nosupersub{}","plainCitation":"88","noteIndex":0},"citationItems":[{"id":93,"uris":["http://zotero.org/users/10918866/items/3UD4K9XL"],"itemData":{"id":93,"type":"article-journal","abstract":"Over the past century lithium went from being a minor metal with very limited application to being one of the core elements for the electrification revolution of the automotive sector. In spite of, or perhaps because of its strategic importance in many industrial fields, lithium extraction and trade has historically been underreported. This research aims to provide a clear analysis and data for lithium extraction and trade in the United States, which was, until a few decades ago, both the largest lithium producer and end-user in the world. The analysis covers the period 1910–2016, and reports lithium flows for the mining, chemical, and end-use sectors. The data show that lithium extraction in the United States peaked in 1974 (5.0 Gg), decreasing to 1.1 Gg by 2016, and that U.S. trade of lithium ores and brines is nearly non-existent. In the chemical sector, domestic use has remained relatively constant since the 1950′s (2.3 Gg), while exports have been significant since the 1980′s (1.8 Gg year</w:instrText>
            </w:r>
            <w:r w:rsidR="007E07E0">
              <w:rPr>
                <w:rFonts w:ascii="Cambria Math" w:eastAsia="Times New Roman" w:hAnsi="Cambria Math" w:cs="Cambria Math"/>
                <w:color w:val="000000" w:themeColor="text1"/>
                <w:sz w:val="20"/>
                <w:szCs w:val="20"/>
              </w:rPr>
              <w:instrText>⁻</w:instrText>
            </w:r>
            <w:r w:rsidR="007E07E0">
              <w:rPr>
                <w:rFonts w:ascii="Arial" w:eastAsia="Times New Roman" w:hAnsi="Arial" w:cs="Arial"/>
                <w:color w:val="000000" w:themeColor="text1"/>
                <w:sz w:val="20"/>
                <w:szCs w:val="20"/>
              </w:rPr>
              <w:instrText xml:space="preserve">1 on average). Imports became of critical importance in 1998, with the closure of the last domestic lithium mine. The end-use sector has grown over time, reaching 6.5 Gg in 2016, and is now dominated by lithium used in batteries (2.8 Gg). Except for batteries, there appears to be little potential for lithium recovery and reuse.","container-title":"Resources, Conservation and Recycling","DOI":"10.1016/j.resconrec.2020.105034","ISSN":"0921-3449","journalAbbreviation":"Resources, Conservation and Recycling","page":"105034","source":"ScienceDirect","title":"The rise and fall of American lithium","volume":"162","author":[{"family":"Miatto","given":"Alessio"},{"family":"Reck","given":"Barbara K."},{"family":"West","given":"James"},{"family":"Graedel","given":"Thomas E."}],"issued":{"date-parts":[["2020",11,1]]}}}],"schema":"https://github.com/citation-style-language/schema/raw/master/csl-citation.json"}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88</w:t>
            </w:r>
            <w:r w:rsidRPr="00766470">
              <w:rPr>
                <w:rFonts w:ascii="Arial" w:eastAsia="Times New Roman" w:hAnsi="Arial" w:cs="Arial"/>
                <w:color w:val="000000" w:themeColor="text1"/>
                <w:sz w:val="20"/>
                <w:szCs w:val="20"/>
              </w:rPr>
              <w:fldChar w:fldCharType="end"/>
            </w:r>
          </w:p>
        </w:tc>
      </w:tr>
      <w:tr w:rsidR="00BE51B1" w:rsidRPr="007D3F22" w14:paraId="41BD981C" w14:textId="77777777" w:rsidTr="00F51365">
        <w:trPr>
          <w:trHeight w:val="300"/>
          <w:jc w:val="center"/>
        </w:trPr>
        <w:tc>
          <w:tcPr>
            <w:tcW w:w="1337" w:type="dxa"/>
            <w:tcMar>
              <w:left w:w="108" w:type="dxa"/>
              <w:right w:w="108" w:type="dxa"/>
            </w:tcMar>
            <w:vAlign w:val="center"/>
          </w:tcPr>
          <w:p w14:paraId="60172664"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Manganese</w:t>
            </w:r>
          </w:p>
        </w:tc>
        <w:tc>
          <w:tcPr>
            <w:tcW w:w="2197" w:type="dxa"/>
            <w:tcMar>
              <w:left w:w="108" w:type="dxa"/>
              <w:right w:w="108" w:type="dxa"/>
            </w:tcMar>
            <w:vAlign w:val="center"/>
          </w:tcPr>
          <w:p w14:paraId="7328BB3E" w14:textId="77777777" w:rsidR="00BE51B1" w:rsidRPr="00766470" w:rsidRDefault="00BE51B1" w:rsidP="00877C15">
            <w:pPr>
              <w:spacing w:before="40" w:after="40"/>
              <w:jc w:val="center"/>
              <w:rPr>
                <w:rFonts w:ascii="Arial" w:hAnsi="Arial" w:cs="Arial"/>
                <w:sz w:val="20"/>
                <w:szCs w:val="20"/>
              </w:rPr>
            </w:pPr>
            <w:r w:rsidRPr="00766470">
              <w:rPr>
                <w:rFonts w:ascii="Arial" w:eastAsia="Times New Roman" w:hAnsi="Arial" w:cs="Arial"/>
                <w:color w:val="000000" w:themeColor="text1"/>
                <w:sz w:val="20"/>
                <w:szCs w:val="20"/>
              </w:rPr>
              <w:t>5.0</w:t>
            </w:r>
          </w:p>
        </w:tc>
        <w:tc>
          <w:tcPr>
            <w:tcW w:w="1141" w:type="dxa"/>
          </w:tcPr>
          <w:p w14:paraId="7CA42F75" w14:textId="5D8F8C2E" w:rsidR="00BE51B1" w:rsidRPr="00766470" w:rsidRDefault="00BE51B1" w:rsidP="00877C15">
            <w:pPr>
              <w:spacing w:before="40" w:after="40"/>
              <w:rPr>
                <w:rFonts w:ascii="Arial" w:eastAsia="Times New Roman" w:hAnsi="Arial" w:cs="Arial"/>
                <w:color w:val="000000" w:themeColor="text1"/>
                <w:sz w:val="20"/>
                <w:szCs w:val="20"/>
              </w:rPr>
            </w:pP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rPr>
              <w:instrText xml:space="preserve"> ADDIN ZOTERO_ITEM CSL_CITATION {"citationID":"JERoZvN7","properties":{"formattedCitation":"\\super 87\\nosupersub{}","plainCitation":"87","noteIndex":0},"citationItems":[{"id":90,"uris":["http://zotero.org/users/10918866/items/M7N4NWVN"],"itemData":{"id":90,"type":"article-journal","abstract":"Raw materials form an industrial base to provide the wide range of products and services demanded by industry and society. In particular, manganese, nickel, and natural graphite are examples of materials having a globally consolidated supply chain with interlinked use in steelmaking and essential role in clean energy systems and e-mobility. A stable material supply chain is hence a priority for import-dependent regions like the EU and builds upon quantitative system understanding. To this aim, the EU Material System Analysis is applied to analyze the anthropogenic cycle of manganese, nickel, and natural graphite from 2012 to 2016. We provide a detailed characterization of their material stocks, flows, and changes in selected performance indicators including end-of-life recycling rate (51% ± 3%, 49% ± 8%, and 8% ± 0% for manganese, nickel, and natural graphite, respectively), self-sufficiency potential (40% ± 3%, 32% ± 5%, and 5% ± 1%), old scrap ratio (31% ± 0%, 22% ± 2%, and 90% ± 1%), recycling input rate (25% ± 1%, 38% ± 2%, and 3% ± 0%), recycling process efficiency rate (84% ± 2%, 85% ± 6%, and 48% ± 3%), and pre-consumer losses rate (83% ± 3%, 5% ± 1%, and 24% ± 2%). The achieved results may inform decision-makers engaged with raw materials recovery and recycling as well as the strategic securement of a reliable material supply to the EU for resilient industrial ecosystems.","container-title":"Journal of Industrial Ecology","DOI":"10.1111/jiec.13226","ISSN":"1530-9290","issue":"4","language":"en","license":"© 2022 The Authors. Journal of Industrial Ecology published by Wiley Periodicals LLC on behalf of the International Society for Industrial Ecology.","note":"_eprint: https://onlinelibrary.wiley.com/doi/pdf/10.1111/jiec.13226","page":"1247-1260","source":"Wiley Online Library","title":"Material system analysis: Characterization of flows, stocks, and performance indicators of manganese, nickel, and natural graphite in the EU, 2012–2016","title-short":"Material system analysis","volume":"26","author":[{"family":"Ciacci","given":"Luca"},{"family":"Matos","given":"Cristina T.","non-dropping-particle":"de"},{"family":"Reck","given":"Barbara K."},{"family":"Wittmer","given":"Dominic"},{"family":"Bernardi","given":"Elena"},{"family":"Mathieux","given":"Fabrice"},{"family":"Passarini","given":"Fabrizio"}],"issued":{"date-parts":[["2022"]]}}}],"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87</w:t>
            </w:r>
            <w:r w:rsidRPr="00766470">
              <w:rPr>
                <w:rFonts w:ascii="Arial" w:eastAsia="Times New Roman" w:hAnsi="Arial" w:cs="Arial"/>
                <w:color w:val="000000" w:themeColor="text1"/>
                <w:sz w:val="20"/>
                <w:szCs w:val="20"/>
              </w:rPr>
              <w:fldChar w:fldCharType="end"/>
            </w:r>
          </w:p>
        </w:tc>
      </w:tr>
      <w:tr w:rsidR="00BE51B1" w:rsidRPr="007D3F22" w14:paraId="240A2F09" w14:textId="77777777" w:rsidTr="00F51365">
        <w:trPr>
          <w:trHeight w:val="300"/>
          <w:jc w:val="center"/>
        </w:trPr>
        <w:tc>
          <w:tcPr>
            <w:tcW w:w="1337" w:type="dxa"/>
            <w:tcMar>
              <w:left w:w="108" w:type="dxa"/>
              <w:right w:w="108" w:type="dxa"/>
            </w:tcMar>
            <w:vAlign w:val="center"/>
          </w:tcPr>
          <w:p w14:paraId="218146B6" w14:textId="77777777" w:rsidR="00BE51B1" w:rsidRPr="00766470" w:rsidRDefault="00BE51B1" w:rsidP="00877C15">
            <w:pPr>
              <w:spacing w:before="40" w:after="40"/>
              <w:rPr>
                <w:rFonts w:ascii="Arial" w:hAnsi="Arial" w:cs="Arial"/>
                <w:b/>
                <w:bCs/>
                <w:color w:val="156082" w:themeColor="accent1"/>
                <w:sz w:val="20"/>
                <w:szCs w:val="20"/>
              </w:rPr>
            </w:pPr>
            <w:r w:rsidRPr="00766470">
              <w:rPr>
                <w:rFonts w:ascii="Arial" w:eastAsia="Times New Roman" w:hAnsi="Arial" w:cs="Arial"/>
                <w:b/>
                <w:bCs/>
                <w:color w:val="156082" w:themeColor="accent1"/>
                <w:sz w:val="20"/>
                <w:szCs w:val="20"/>
              </w:rPr>
              <w:t>Graphite</w:t>
            </w:r>
          </w:p>
        </w:tc>
        <w:tc>
          <w:tcPr>
            <w:tcW w:w="2197" w:type="dxa"/>
            <w:tcMar>
              <w:left w:w="108" w:type="dxa"/>
              <w:right w:w="108" w:type="dxa"/>
            </w:tcMar>
            <w:vAlign w:val="center"/>
          </w:tcPr>
          <w:p w14:paraId="7782741A" w14:textId="77777777" w:rsidR="00BE51B1" w:rsidRPr="00766470" w:rsidRDefault="00BE51B1" w:rsidP="00877C15">
            <w:pPr>
              <w:spacing w:before="40" w:after="40"/>
              <w:jc w:val="center"/>
              <w:rPr>
                <w:rFonts w:ascii="Arial" w:hAnsi="Arial" w:cs="Arial"/>
                <w:sz w:val="20"/>
                <w:szCs w:val="20"/>
              </w:rPr>
            </w:pPr>
            <w:r w:rsidRPr="00766470">
              <w:rPr>
                <w:rFonts w:ascii="Arial" w:eastAsia="Times New Roman" w:hAnsi="Arial" w:cs="Arial"/>
                <w:color w:val="000000" w:themeColor="text1"/>
                <w:sz w:val="20"/>
                <w:szCs w:val="20"/>
              </w:rPr>
              <w:t>6.4</w:t>
            </w:r>
          </w:p>
        </w:tc>
        <w:tc>
          <w:tcPr>
            <w:tcW w:w="1141" w:type="dxa"/>
          </w:tcPr>
          <w:p w14:paraId="62AD0E4B" w14:textId="74146A6C" w:rsidR="00BE51B1" w:rsidRPr="00766470" w:rsidRDefault="00BE51B1" w:rsidP="00877C15">
            <w:pPr>
              <w:spacing w:before="40" w:after="40"/>
              <w:rPr>
                <w:rFonts w:ascii="Arial" w:eastAsia="Times New Roman" w:hAnsi="Arial" w:cs="Arial"/>
                <w:color w:val="000000" w:themeColor="text1"/>
                <w:sz w:val="20"/>
                <w:szCs w:val="20"/>
              </w:rPr>
            </w:pPr>
            <w:r w:rsidRPr="00766470">
              <w:rPr>
                <w:rFonts w:ascii="Arial" w:eastAsia="Times New Roman" w:hAnsi="Arial" w:cs="Arial"/>
                <w:color w:val="000000" w:themeColor="text1"/>
                <w:sz w:val="20"/>
                <w:szCs w:val="20"/>
              </w:rPr>
              <w:fldChar w:fldCharType="begin"/>
            </w:r>
            <w:r w:rsidR="0016542D">
              <w:rPr>
                <w:rFonts w:ascii="Arial" w:eastAsia="Times New Roman" w:hAnsi="Arial" w:cs="Arial"/>
                <w:color w:val="000000" w:themeColor="text1"/>
                <w:sz w:val="20"/>
                <w:szCs w:val="20"/>
              </w:rPr>
              <w:instrText xml:space="preserve"> ADDIN ZOTERO_ITEM CSL_CITATION {"citationID":"5VLvCMng","properties":{"formattedCitation":"\\super 89\\nosupersub{}","plainCitation":"89","noteIndex":0},"citationItems":[{"id":91,"uris":["http://zotero.org/users/10918866/items/EBKW4BFV"],"itemData":{"id":91,"type":"article-journal","DOI":"10.7922/G2GQ6W38","language":"en","publisher":"UC Davis Institute of Transportation Studies","source":"DOI.org (Datacite)","title":"Releasing the Pressure: Graphite Value Chains and Implications for Supply Diversification","title-short":"Releasing the Pressure","URL":"https://escholarship.org/uc/item/0q83t5fd","author":[{"family":"Ramji","given":"Aditya"}],"accessed":{"date-parts":[["2024",11,21]]},"issued":{"date-parts":[["2024"]]}}}],"schema":"https://github.com/citation-style-language/schema/raw/master/csl-citation.json"}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89</w:t>
            </w:r>
            <w:r w:rsidRPr="00766470">
              <w:rPr>
                <w:rFonts w:ascii="Arial" w:eastAsia="Times New Roman" w:hAnsi="Arial" w:cs="Arial"/>
                <w:color w:val="000000" w:themeColor="text1"/>
                <w:sz w:val="20"/>
                <w:szCs w:val="20"/>
              </w:rPr>
              <w:fldChar w:fldCharType="end"/>
            </w:r>
            <w:r w:rsidRPr="00766470">
              <w:rPr>
                <w:rFonts w:ascii="Arial" w:eastAsia="Times New Roman" w:hAnsi="Arial" w:cs="Arial"/>
                <w:color w:val="000000" w:themeColor="text1"/>
                <w:sz w:val="20"/>
                <w:szCs w:val="20"/>
              </w:rPr>
              <w:t xml:space="preserve"> </w:t>
            </w:r>
            <w:r w:rsidRPr="00766470">
              <w:rPr>
                <w:rFonts w:ascii="Arial" w:eastAsia="Times New Roman" w:hAnsi="Arial" w:cs="Arial"/>
                <w:color w:val="000000" w:themeColor="text1"/>
                <w:sz w:val="20"/>
                <w:szCs w:val="20"/>
              </w:rPr>
              <w:fldChar w:fldCharType="begin"/>
            </w:r>
            <w:r w:rsidR="007E07E0">
              <w:rPr>
                <w:rFonts w:ascii="Arial" w:eastAsia="Times New Roman" w:hAnsi="Arial" w:cs="Arial"/>
                <w:color w:val="000000" w:themeColor="text1"/>
                <w:sz w:val="20"/>
                <w:szCs w:val="20"/>
              </w:rPr>
              <w:instrText xml:space="preserve"> ADDIN ZOTERO_ITEM CSL_CITATION {"citationID":"nSYDpQTh","properties":{"formattedCitation":"\\super 87\\nosupersub{}","plainCitation":"87","noteIndex":0},"citationItems":[{"id":90,"uris":["http://zotero.org/users/10918866/items/M7N4NWVN"],"itemData":{"id":90,"type":"article-journal","abstract":"Raw materials form an industrial base to provide the wide range of products and services demanded by industry and society. In particular, manganese, nickel, and natural graphite are examples of materials having a globally consolidated supply chain with interlinked use in steelmaking and essential role in clean energy systems and e-mobility. A stable material supply chain is hence a priority for import-dependent regions like the EU and builds upon quantitative system understanding. To this aim, the EU Material System Analysis is applied to analyze the anthropogenic cycle of manganese, nickel, and natural graphite from 2012 to 2016. We provide a detailed characterization of their material stocks, flows, and changes in selected performance indicators including end-of-life recycling rate (51% ± 3%, 49% ± 8%, and 8% ± 0% for manganese, nickel, and natural graphite, respectively), self-sufficiency potential (40% ± 3%, 32% ± 5%, and 5% ± 1%), old scrap ratio (31% ± 0%, 22% ± 2%, and 90% ± 1%), recycling input rate (25% ± 1%, 38% ± 2%, and 3% ± 0%), recycling process efficiency rate (84% ± 2%, 85% ± 6%, and 48% ± 3%), and pre-consumer losses rate (83% ± 3%, 5% ± 1%, and 24% ± 2%). The achieved results may inform decision-makers engaged with raw materials recovery and recycling as well as the strategic securement of a reliable material supply to the EU for resilient industrial ecosystems.","container-title":"Journal of Industrial Ecology","DOI":"10.1111/jiec.13226","ISSN":"1530-9290","issue":"4","language":"en","license":"© 2022 The Authors. Journal of Industrial Ecology published by Wiley Periodicals LLC on behalf of the International Society for Industrial Ecology.","note":"_eprint: https://onlinelibrary.wiley.com/doi/pdf/10.1111/jiec.13226","page":"1247-1260","source":"Wiley Online Library","title":"Material system analysis: Characterization of flows, stocks, and performance indicators of manganese, nickel, and natural graphite in the EU, 2012–2016","title-short":"Material system analysis","volume":"26","author":[{"family":"Ciacci","given":"Luca"},{"family":"Matos","given":"Cristina T.","non-dropping-particle":"de"},{"family":"Reck","given":"Barbara K."},{"family":"Wittmer","given":"Dominic"},{"family":"Bernardi","given":"Elena"},{"family":"Mathieux","given":"Fabrice"},{"family":"Passarini","given":"Fabrizio"}],"issued":{"date-parts":[["2022"]]}}}],"schema":"https://github.com/citation-style-language/schema/raw/master/csl-citation.json"} </w:instrText>
            </w:r>
            <w:r w:rsidRPr="00766470">
              <w:rPr>
                <w:rFonts w:ascii="Arial" w:eastAsia="Times New Roman" w:hAnsi="Arial" w:cs="Arial"/>
                <w:color w:val="000000" w:themeColor="text1"/>
                <w:sz w:val="20"/>
                <w:szCs w:val="20"/>
              </w:rPr>
              <w:fldChar w:fldCharType="separate"/>
            </w:r>
            <w:r w:rsidR="007E07E0" w:rsidRPr="007E07E0">
              <w:rPr>
                <w:rFonts w:ascii="Arial" w:hAnsi="Arial" w:cs="Arial"/>
                <w:kern w:val="0"/>
                <w:sz w:val="20"/>
                <w:vertAlign w:val="superscript"/>
              </w:rPr>
              <w:t>87</w:t>
            </w:r>
            <w:r w:rsidRPr="00766470">
              <w:rPr>
                <w:rFonts w:ascii="Arial" w:eastAsia="Times New Roman" w:hAnsi="Arial" w:cs="Arial"/>
                <w:color w:val="000000" w:themeColor="text1"/>
                <w:sz w:val="20"/>
                <w:szCs w:val="20"/>
              </w:rPr>
              <w:fldChar w:fldCharType="end"/>
            </w:r>
          </w:p>
        </w:tc>
      </w:tr>
    </w:tbl>
    <w:p w14:paraId="35BB334D" w14:textId="77777777" w:rsidR="00BE51B1" w:rsidRPr="00766470" w:rsidRDefault="00BE51B1" w:rsidP="00BE51B1">
      <w:pPr>
        <w:spacing w:line="257" w:lineRule="auto"/>
        <w:jc w:val="both"/>
        <w:rPr>
          <w:rFonts w:ascii="Arial" w:eastAsia="Times New Roman" w:hAnsi="Arial" w:cs="Arial"/>
        </w:rPr>
      </w:pPr>
    </w:p>
    <w:p w14:paraId="69ABF24D" w14:textId="17DFA24B" w:rsidR="00BE51B1" w:rsidRPr="00766470" w:rsidRDefault="00BE51B1" w:rsidP="00BE51B1">
      <w:pPr>
        <w:spacing w:line="257" w:lineRule="auto"/>
        <w:jc w:val="both"/>
        <w:rPr>
          <w:rFonts w:ascii="Arial" w:eastAsia="Times New Roman" w:hAnsi="Arial" w:cs="Arial"/>
        </w:rPr>
      </w:pPr>
      <w:r w:rsidRPr="00766470">
        <w:rPr>
          <w:rFonts w:ascii="Arial" w:eastAsia="Times New Roman" w:hAnsi="Arial" w:cs="Arial"/>
        </w:rPr>
        <w:t>For this study, the final average global projected price for each mineral at each stage of processing is calculated using MGR and is reported in</w:t>
      </w:r>
      <w:r w:rsidR="00B8490A">
        <w:rPr>
          <w:rFonts w:ascii="Arial" w:eastAsia="Times New Roman" w:hAnsi="Arial" w:cs="Arial"/>
          <w:b/>
          <w:bCs/>
          <w:color w:val="000000" w:themeColor="text1"/>
        </w:rPr>
        <w:t xml:space="preserve"> </w:t>
      </w:r>
      <w:r w:rsidR="00B8490A">
        <w:rPr>
          <w:rFonts w:ascii="Arial" w:eastAsia="Times New Roman" w:hAnsi="Arial" w:cs="Arial"/>
          <w:b/>
          <w:bCs/>
          <w:color w:val="000000" w:themeColor="text1"/>
        </w:rPr>
        <w:fldChar w:fldCharType="begin"/>
      </w:r>
      <w:r w:rsidR="00B8490A">
        <w:rPr>
          <w:rFonts w:ascii="Arial" w:eastAsia="Times New Roman" w:hAnsi="Arial" w:cs="Arial"/>
          <w:b/>
          <w:bCs/>
          <w:color w:val="000000" w:themeColor="text1"/>
        </w:rPr>
        <w:instrText xml:space="preserve"> REF _Ref214444992 \h </w:instrText>
      </w:r>
      <w:r w:rsidR="00B8490A">
        <w:rPr>
          <w:rFonts w:ascii="Arial" w:eastAsia="Times New Roman" w:hAnsi="Arial" w:cs="Arial"/>
          <w:b/>
          <w:bCs/>
          <w:color w:val="000000" w:themeColor="text1"/>
        </w:rPr>
      </w:r>
      <w:r w:rsidR="00B8490A">
        <w:rPr>
          <w:rFonts w:ascii="Arial" w:eastAsia="Times New Roman" w:hAnsi="Arial" w:cs="Arial"/>
          <w:b/>
          <w:bCs/>
          <w:color w:val="000000" w:themeColor="text1"/>
        </w:rPr>
        <w:fldChar w:fldCharType="separate"/>
      </w:r>
      <w:r w:rsidR="00B8490A">
        <w:t xml:space="preserve">Table </w:t>
      </w:r>
      <w:r w:rsidR="00B8490A">
        <w:rPr>
          <w:noProof/>
        </w:rPr>
        <w:t>10</w:t>
      </w:r>
      <w:r w:rsidR="00B8490A">
        <w:rPr>
          <w:rFonts w:ascii="Arial" w:eastAsia="Times New Roman" w:hAnsi="Arial" w:cs="Arial"/>
          <w:b/>
          <w:bCs/>
          <w:color w:val="000000" w:themeColor="text1"/>
        </w:rPr>
        <w:fldChar w:fldCharType="end"/>
      </w:r>
      <w:r w:rsidRPr="00766470">
        <w:rPr>
          <w:rFonts w:ascii="Arial" w:eastAsia="Times New Roman" w:hAnsi="Arial" w:cs="Arial"/>
        </w:rPr>
        <w:t>.</w:t>
      </w:r>
    </w:p>
    <w:p w14:paraId="047B724E" w14:textId="77777777" w:rsidR="00BE51B1" w:rsidRDefault="00BE51B1" w:rsidP="00BE51B1">
      <w:bookmarkStart w:id="75" w:name="_Ref190747452"/>
      <w:r>
        <w:br w:type="page"/>
      </w:r>
    </w:p>
    <w:p w14:paraId="0EDCD742" w14:textId="22C479A9" w:rsidR="00BE51B1" w:rsidRPr="009F3AF4" w:rsidRDefault="00B8490A" w:rsidP="00B8490A">
      <w:pPr>
        <w:pStyle w:val="Caption"/>
      </w:pPr>
      <w:bookmarkStart w:id="76" w:name="_Ref214444992"/>
      <w:bookmarkStart w:id="77" w:name="_Toc211509405"/>
      <w:bookmarkEnd w:id="75"/>
      <w:r>
        <w:lastRenderedPageBreak/>
        <w:t xml:space="preserve">Table </w:t>
      </w:r>
      <w:fldSimple w:instr=" SEQ Table \* ARABIC ">
        <w:r w:rsidR="00615C28">
          <w:t>10</w:t>
        </w:r>
      </w:fldSimple>
      <w:bookmarkEnd w:id="76"/>
      <w:r w:rsidR="00BE51B1" w:rsidRPr="009F3AF4">
        <w:t>: Projected average global commodity prices</w:t>
      </w:r>
      <w:bookmarkEnd w:id="77"/>
    </w:p>
    <w:tbl>
      <w:tblPr>
        <w:tblW w:w="60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2962"/>
        <w:gridCol w:w="1134"/>
        <w:gridCol w:w="992"/>
        <w:gridCol w:w="993"/>
      </w:tblGrid>
      <w:tr w:rsidR="00BE51B1" w:rsidRPr="007D3F22" w14:paraId="1CA02CC8" w14:textId="77777777" w:rsidTr="00877C15">
        <w:trPr>
          <w:trHeight w:val="300"/>
          <w:jc w:val="center"/>
        </w:trPr>
        <w:tc>
          <w:tcPr>
            <w:tcW w:w="2962" w:type="dxa"/>
            <w:shd w:val="clear" w:color="auto" w:fill="B7D4EF" w:themeFill="text2" w:themeFillTint="33"/>
            <w:tcMar>
              <w:top w:w="15" w:type="dxa"/>
              <w:left w:w="15" w:type="dxa"/>
              <w:right w:w="15" w:type="dxa"/>
            </w:tcMar>
            <w:vAlign w:val="bottom"/>
          </w:tcPr>
          <w:p w14:paraId="493AA5F0" w14:textId="77777777" w:rsidR="00BE51B1" w:rsidRPr="00766470" w:rsidRDefault="00BE51B1" w:rsidP="00877C15">
            <w:pPr>
              <w:spacing w:before="40" w:after="40"/>
              <w:ind w:left="113" w:right="57"/>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Commodity Prices (US$/tonne)</w:t>
            </w:r>
          </w:p>
        </w:tc>
        <w:tc>
          <w:tcPr>
            <w:tcW w:w="1134" w:type="dxa"/>
            <w:shd w:val="clear" w:color="auto" w:fill="B7D4EF" w:themeFill="text2" w:themeFillTint="33"/>
            <w:tcMar>
              <w:top w:w="15" w:type="dxa"/>
              <w:left w:w="15" w:type="dxa"/>
              <w:right w:w="15" w:type="dxa"/>
            </w:tcMar>
            <w:vAlign w:val="bottom"/>
          </w:tcPr>
          <w:p w14:paraId="69FCD368" w14:textId="77777777" w:rsidR="00BE51B1" w:rsidRPr="00766470" w:rsidRDefault="00BE51B1" w:rsidP="00877C15">
            <w:pPr>
              <w:spacing w:before="40" w:after="40"/>
              <w:ind w:left="113" w:right="57"/>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Stage</w:t>
            </w:r>
          </w:p>
        </w:tc>
        <w:tc>
          <w:tcPr>
            <w:tcW w:w="992" w:type="dxa"/>
            <w:shd w:val="clear" w:color="auto" w:fill="B7D4EF" w:themeFill="text2" w:themeFillTint="33"/>
            <w:tcMar>
              <w:top w:w="15" w:type="dxa"/>
              <w:left w:w="15" w:type="dxa"/>
              <w:right w:w="15" w:type="dxa"/>
            </w:tcMar>
            <w:vAlign w:val="bottom"/>
          </w:tcPr>
          <w:p w14:paraId="23473A37" w14:textId="77777777" w:rsidR="00BE51B1" w:rsidRPr="00766470" w:rsidRDefault="00BE51B1" w:rsidP="00877C15">
            <w:pPr>
              <w:spacing w:before="40" w:after="40"/>
              <w:ind w:left="113" w:right="57"/>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2022</w:t>
            </w:r>
          </w:p>
        </w:tc>
        <w:tc>
          <w:tcPr>
            <w:tcW w:w="993" w:type="dxa"/>
            <w:shd w:val="clear" w:color="auto" w:fill="B7D4EF" w:themeFill="text2" w:themeFillTint="33"/>
            <w:tcMar>
              <w:top w:w="15" w:type="dxa"/>
              <w:left w:w="15" w:type="dxa"/>
              <w:right w:w="15" w:type="dxa"/>
            </w:tcMar>
            <w:vAlign w:val="bottom"/>
          </w:tcPr>
          <w:p w14:paraId="7E910600" w14:textId="77777777" w:rsidR="00BE51B1" w:rsidRPr="00766470" w:rsidRDefault="00BE51B1" w:rsidP="00877C15">
            <w:pPr>
              <w:spacing w:before="40" w:after="40"/>
              <w:ind w:left="113" w:right="57"/>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2040</w:t>
            </w:r>
          </w:p>
        </w:tc>
      </w:tr>
      <w:tr w:rsidR="00BE51B1" w:rsidRPr="007D3F22" w14:paraId="3B55F3EC" w14:textId="77777777" w:rsidTr="00877C15">
        <w:trPr>
          <w:trHeight w:val="300"/>
          <w:jc w:val="center"/>
        </w:trPr>
        <w:tc>
          <w:tcPr>
            <w:tcW w:w="2962" w:type="dxa"/>
            <w:vMerge w:val="restart"/>
            <w:tcMar>
              <w:top w:w="15" w:type="dxa"/>
              <w:left w:w="15" w:type="dxa"/>
              <w:right w:w="15" w:type="dxa"/>
            </w:tcMar>
            <w:vAlign w:val="center"/>
          </w:tcPr>
          <w:p w14:paraId="47E2B505"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Copper </w:t>
            </w:r>
          </w:p>
        </w:tc>
        <w:tc>
          <w:tcPr>
            <w:tcW w:w="1134" w:type="dxa"/>
            <w:tcMar>
              <w:top w:w="15" w:type="dxa"/>
              <w:left w:w="15" w:type="dxa"/>
              <w:right w:w="15" w:type="dxa"/>
            </w:tcMar>
            <w:vAlign w:val="bottom"/>
          </w:tcPr>
          <w:p w14:paraId="5F475BC7"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4F98CEC3"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1,575</w:t>
            </w:r>
          </w:p>
        </w:tc>
        <w:tc>
          <w:tcPr>
            <w:tcW w:w="993" w:type="dxa"/>
            <w:tcMar>
              <w:top w:w="15" w:type="dxa"/>
              <w:left w:w="15" w:type="dxa"/>
              <w:right w:w="15" w:type="dxa"/>
            </w:tcMar>
          </w:tcPr>
          <w:p w14:paraId="3440F724"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3,714</w:t>
            </w:r>
          </w:p>
        </w:tc>
      </w:tr>
      <w:tr w:rsidR="00BE51B1" w:rsidRPr="007D3F22" w14:paraId="468B48CF" w14:textId="77777777" w:rsidTr="00877C15">
        <w:trPr>
          <w:trHeight w:val="300"/>
          <w:jc w:val="center"/>
        </w:trPr>
        <w:tc>
          <w:tcPr>
            <w:tcW w:w="2962" w:type="dxa"/>
            <w:vMerge/>
            <w:tcMar>
              <w:top w:w="15" w:type="dxa"/>
              <w:left w:w="15" w:type="dxa"/>
              <w:right w:w="15" w:type="dxa"/>
            </w:tcMar>
            <w:vAlign w:val="center"/>
          </w:tcPr>
          <w:p w14:paraId="6B7B8863"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7D2C2E21"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2 </w:t>
            </w:r>
          </w:p>
        </w:tc>
        <w:tc>
          <w:tcPr>
            <w:tcW w:w="992" w:type="dxa"/>
            <w:tcMar>
              <w:top w:w="15" w:type="dxa"/>
              <w:left w:w="15" w:type="dxa"/>
              <w:right w:w="15" w:type="dxa"/>
            </w:tcMar>
          </w:tcPr>
          <w:p w14:paraId="22F2A50C"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8,</w:t>
            </w:r>
            <w:r>
              <w:rPr>
                <w:rFonts w:ascii="Arial" w:hAnsi="Arial" w:cs="Arial"/>
                <w:sz w:val="18"/>
                <w:szCs w:val="18"/>
              </w:rPr>
              <w:t>300</w:t>
            </w:r>
          </w:p>
        </w:tc>
        <w:tc>
          <w:tcPr>
            <w:tcW w:w="993" w:type="dxa"/>
            <w:tcMar>
              <w:top w:w="15" w:type="dxa"/>
              <w:left w:w="15" w:type="dxa"/>
              <w:right w:w="15" w:type="dxa"/>
            </w:tcMar>
          </w:tcPr>
          <w:p w14:paraId="51B276F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24,61</w:t>
            </w:r>
            <w:r>
              <w:rPr>
                <w:rFonts w:ascii="Arial" w:hAnsi="Arial" w:cs="Arial"/>
                <w:sz w:val="18"/>
                <w:szCs w:val="18"/>
              </w:rPr>
              <w:t>8</w:t>
            </w:r>
          </w:p>
        </w:tc>
      </w:tr>
      <w:tr w:rsidR="00BE51B1" w:rsidRPr="007D3F22" w14:paraId="35C459AE" w14:textId="77777777" w:rsidTr="00877C15">
        <w:trPr>
          <w:trHeight w:val="300"/>
          <w:jc w:val="center"/>
        </w:trPr>
        <w:tc>
          <w:tcPr>
            <w:tcW w:w="2962" w:type="dxa"/>
            <w:vMerge/>
            <w:tcMar>
              <w:top w:w="15" w:type="dxa"/>
              <w:left w:w="15" w:type="dxa"/>
              <w:right w:w="15" w:type="dxa"/>
            </w:tcMar>
            <w:vAlign w:val="center"/>
          </w:tcPr>
          <w:p w14:paraId="68750DEE"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6DA45067"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992" w:type="dxa"/>
            <w:tcMar>
              <w:top w:w="15" w:type="dxa"/>
              <w:left w:w="15" w:type="dxa"/>
              <w:right w:w="15" w:type="dxa"/>
            </w:tcMar>
          </w:tcPr>
          <w:p w14:paraId="53AD83A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8,469</w:t>
            </w:r>
          </w:p>
        </w:tc>
        <w:tc>
          <w:tcPr>
            <w:tcW w:w="993" w:type="dxa"/>
            <w:tcMar>
              <w:top w:w="15" w:type="dxa"/>
              <w:left w:w="15" w:type="dxa"/>
              <w:right w:w="15" w:type="dxa"/>
            </w:tcMar>
          </w:tcPr>
          <w:p w14:paraId="42A1018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25,1</w:t>
            </w:r>
            <w:r>
              <w:rPr>
                <w:rFonts w:ascii="Arial" w:hAnsi="Arial" w:cs="Arial"/>
                <w:sz w:val="18"/>
                <w:szCs w:val="18"/>
              </w:rPr>
              <w:t>20</w:t>
            </w:r>
          </w:p>
        </w:tc>
      </w:tr>
      <w:tr w:rsidR="00BE51B1" w:rsidRPr="007D3F22" w14:paraId="5870F073" w14:textId="77777777" w:rsidTr="00877C15">
        <w:trPr>
          <w:trHeight w:val="300"/>
          <w:jc w:val="center"/>
        </w:trPr>
        <w:tc>
          <w:tcPr>
            <w:tcW w:w="2962" w:type="dxa"/>
            <w:vMerge/>
            <w:tcMar>
              <w:top w:w="15" w:type="dxa"/>
              <w:left w:w="15" w:type="dxa"/>
              <w:right w:w="15" w:type="dxa"/>
            </w:tcMar>
            <w:vAlign w:val="center"/>
          </w:tcPr>
          <w:p w14:paraId="48B1468C"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53EC36A2"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4.3 </w:t>
            </w:r>
          </w:p>
        </w:tc>
        <w:tc>
          <w:tcPr>
            <w:tcW w:w="992" w:type="dxa"/>
            <w:tcMar>
              <w:top w:w="15" w:type="dxa"/>
              <w:left w:w="15" w:type="dxa"/>
              <w:right w:w="15" w:type="dxa"/>
            </w:tcMar>
          </w:tcPr>
          <w:p w14:paraId="27F8D38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2,59</w:t>
            </w:r>
            <w:r>
              <w:rPr>
                <w:rFonts w:ascii="Arial" w:hAnsi="Arial" w:cs="Arial"/>
                <w:sz w:val="18"/>
                <w:szCs w:val="18"/>
              </w:rPr>
              <w:t>3</w:t>
            </w:r>
          </w:p>
        </w:tc>
        <w:tc>
          <w:tcPr>
            <w:tcW w:w="993" w:type="dxa"/>
            <w:tcMar>
              <w:top w:w="15" w:type="dxa"/>
              <w:left w:w="15" w:type="dxa"/>
              <w:right w:w="15" w:type="dxa"/>
            </w:tcMar>
          </w:tcPr>
          <w:p w14:paraId="0FD77A0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5,79</w:t>
            </w:r>
            <w:r>
              <w:rPr>
                <w:rFonts w:ascii="Arial" w:hAnsi="Arial" w:cs="Arial"/>
                <w:sz w:val="18"/>
                <w:szCs w:val="18"/>
              </w:rPr>
              <w:t>1</w:t>
            </w:r>
          </w:p>
        </w:tc>
      </w:tr>
      <w:tr w:rsidR="00BE51B1" w:rsidRPr="007D3F22" w14:paraId="06FCA371" w14:textId="77777777" w:rsidTr="00877C15">
        <w:trPr>
          <w:trHeight w:val="300"/>
          <w:jc w:val="center"/>
        </w:trPr>
        <w:tc>
          <w:tcPr>
            <w:tcW w:w="2962" w:type="dxa"/>
            <w:vMerge/>
            <w:tcMar>
              <w:top w:w="15" w:type="dxa"/>
              <w:left w:w="15" w:type="dxa"/>
              <w:right w:w="15" w:type="dxa"/>
            </w:tcMar>
            <w:vAlign w:val="center"/>
          </w:tcPr>
          <w:p w14:paraId="7FC5556C"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506B14C8"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992" w:type="dxa"/>
            <w:tcMar>
              <w:top w:w="15" w:type="dxa"/>
              <w:left w:w="15" w:type="dxa"/>
              <w:right w:w="15" w:type="dxa"/>
            </w:tcMar>
          </w:tcPr>
          <w:p w14:paraId="370922EF"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2,88</w:t>
            </w:r>
            <w:r>
              <w:rPr>
                <w:rFonts w:ascii="Arial" w:hAnsi="Arial" w:cs="Arial"/>
                <w:sz w:val="18"/>
                <w:szCs w:val="18"/>
              </w:rPr>
              <w:t>1</w:t>
            </w:r>
          </w:p>
        </w:tc>
        <w:tc>
          <w:tcPr>
            <w:tcW w:w="993" w:type="dxa"/>
            <w:tcMar>
              <w:top w:w="15" w:type="dxa"/>
              <w:left w:w="15" w:type="dxa"/>
              <w:right w:w="15" w:type="dxa"/>
            </w:tcMar>
          </w:tcPr>
          <w:p w14:paraId="748E025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6,434</w:t>
            </w:r>
          </w:p>
        </w:tc>
      </w:tr>
      <w:tr w:rsidR="00BE51B1" w:rsidRPr="007D3F22" w14:paraId="74EE0F4C" w14:textId="77777777" w:rsidTr="00877C15">
        <w:trPr>
          <w:trHeight w:val="300"/>
          <w:jc w:val="center"/>
        </w:trPr>
        <w:tc>
          <w:tcPr>
            <w:tcW w:w="2962" w:type="dxa"/>
            <w:vMerge w:val="restart"/>
            <w:tcMar>
              <w:top w:w="15" w:type="dxa"/>
              <w:left w:w="15" w:type="dxa"/>
              <w:right w:w="15" w:type="dxa"/>
            </w:tcMar>
            <w:vAlign w:val="center"/>
          </w:tcPr>
          <w:p w14:paraId="2516E5D1"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Cobalt </w:t>
            </w:r>
          </w:p>
        </w:tc>
        <w:tc>
          <w:tcPr>
            <w:tcW w:w="1134" w:type="dxa"/>
            <w:tcMar>
              <w:top w:w="15" w:type="dxa"/>
              <w:left w:w="15" w:type="dxa"/>
              <w:right w:w="15" w:type="dxa"/>
            </w:tcMar>
            <w:vAlign w:val="bottom"/>
          </w:tcPr>
          <w:p w14:paraId="7A7B4C81"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6732D8F0"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8,078</w:t>
            </w:r>
          </w:p>
        </w:tc>
        <w:tc>
          <w:tcPr>
            <w:tcW w:w="993" w:type="dxa"/>
            <w:tcMar>
              <w:top w:w="15" w:type="dxa"/>
              <w:left w:w="15" w:type="dxa"/>
              <w:right w:w="15" w:type="dxa"/>
            </w:tcMar>
          </w:tcPr>
          <w:p w14:paraId="24B95491"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28,65</w:t>
            </w:r>
            <w:r>
              <w:rPr>
                <w:rFonts w:ascii="Arial" w:hAnsi="Arial" w:cs="Arial"/>
                <w:sz w:val="18"/>
                <w:szCs w:val="18"/>
              </w:rPr>
              <w:t>6</w:t>
            </w:r>
          </w:p>
        </w:tc>
      </w:tr>
      <w:tr w:rsidR="00BE51B1" w:rsidRPr="007D3F22" w14:paraId="4DF22BF5" w14:textId="77777777" w:rsidTr="00877C15">
        <w:trPr>
          <w:trHeight w:val="300"/>
          <w:jc w:val="center"/>
        </w:trPr>
        <w:tc>
          <w:tcPr>
            <w:tcW w:w="2962" w:type="dxa"/>
            <w:vMerge/>
            <w:tcMar>
              <w:top w:w="15" w:type="dxa"/>
              <w:left w:w="15" w:type="dxa"/>
              <w:right w:w="15" w:type="dxa"/>
            </w:tcMar>
            <w:vAlign w:val="center"/>
          </w:tcPr>
          <w:p w14:paraId="6BCDC188"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4F86600A"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2 </w:t>
            </w:r>
          </w:p>
        </w:tc>
        <w:tc>
          <w:tcPr>
            <w:tcW w:w="992" w:type="dxa"/>
            <w:tcMar>
              <w:top w:w="15" w:type="dxa"/>
              <w:left w:w="15" w:type="dxa"/>
              <w:right w:w="15" w:type="dxa"/>
            </w:tcMar>
          </w:tcPr>
          <w:p w14:paraId="711F2D2E"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63,75</w:t>
            </w:r>
            <w:r>
              <w:rPr>
                <w:rFonts w:ascii="Arial" w:hAnsi="Arial" w:cs="Arial"/>
                <w:sz w:val="18"/>
                <w:szCs w:val="18"/>
              </w:rPr>
              <w:t>5</w:t>
            </w:r>
          </w:p>
        </w:tc>
        <w:tc>
          <w:tcPr>
            <w:tcW w:w="993" w:type="dxa"/>
            <w:tcMar>
              <w:top w:w="15" w:type="dxa"/>
              <w:left w:w="15" w:type="dxa"/>
              <w:right w:w="15" w:type="dxa"/>
            </w:tcMar>
          </w:tcPr>
          <w:p w14:paraId="54153DD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173,026</w:t>
            </w:r>
          </w:p>
        </w:tc>
      </w:tr>
      <w:tr w:rsidR="00BE51B1" w:rsidRPr="007D3F22" w14:paraId="5C7DF9D4" w14:textId="77777777" w:rsidTr="00877C15">
        <w:trPr>
          <w:trHeight w:val="300"/>
          <w:jc w:val="center"/>
        </w:trPr>
        <w:tc>
          <w:tcPr>
            <w:tcW w:w="2962" w:type="dxa"/>
            <w:vMerge/>
            <w:tcMar>
              <w:top w:w="15" w:type="dxa"/>
              <w:left w:w="15" w:type="dxa"/>
              <w:right w:w="15" w:type="dxa"/>
            </w:tcMar>
            <w:vAlign w:val="center"/>
          </w:tcPr>
          <w:p w14:paraId="5E8D4173"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6C14C4BF"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992" w:type="dxa"/>
            <w:tcMar>
              <w:top w:w="15" w:type="dxa"/>
              <w:left w:w="15" w:type="dxa"/>
              <w:right w:w="15" w:type="dxa"/>
            </w:tcMar>
          </w:tcPr>
          <w:p w14:paraId="73CCC9C5"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70,83</w:t>
            </w:r>
            <w:r>
              <w:rPr>
                <w:rFonts w:ascii="Arial" w:hAnsi="Arial" w:cs="Arial"/>
                <w:sz w:val="18"/>
                <w:szCs w:val="18"/>
              </w:rPr>
              <w:t>9</w:t>
            </w:r>
          </w:p>
        </w:tc>
        <w:tc>
          <w:tcPr>
            <w:tcW w:w="993" w:type="dxa"/>
            <w:tcMar>
              <w:top w:w="15" w:type="dxa"/>
              <w:left w:w="15" w:type="dxa"/>
              <w:right w:w="15" w:type="dxa"/>
            </w:tcMar>
          </w:tcPr>
          <w:p w14:paraId="12658A79"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192,25</w:t>
            </w:r>
            <w:r>
              <w:rPr>
                <w:rFonts w:ascii="Arial" w:hAnsi="Arial" w:cs="Arial"/>
                <w:sz w:val="18"/>
                <w:szCs w:val="18"/>
              </w:rPr>
              <w:t>2</w:t>
            </w:r>
          </w:p>
        </w:tc>
      </w:tr>
      <w:tr w:rsidR="00BE51B1" w:rsidRPr="007D3F22" w14:paraId="68E9E7C5" w14:textId="77777777" w:rsidTr="00877C15">
        <w:trPr>
          <w:trHeight w:val="300"/>
          <w:jc w:val="center"/>
        </w:trPr>
        <w:tc>
          <w:tcPr>
            <w:tcW w:w="2962" w:type="dxa"/>
            <w:vMerge/>
            <w:tcMar>
              <w:top w:w="15" w:type="dxa"/>
              <w:left w:w="15" w:type="dxa"/>
              <w:right w:w="15" w:type="dxa"/>
            </w:tcMar>
            <w:vAlign w:val="center"/>
          </w:tcPr>
          <w:p w14:paraId="67E62ADB"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04070288"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4.1 </w:t>
            </w:r>
          </w:p>
        </w:tc>
        <w:tc>
          <w:tcPr>
            <w:tcW w:w="992" w:type="dxa"/>
            <w:tcMar>
              <w:top w:w="15" w:type="dxa"/>
              <w:left w:w="15" w:type="dxa"/>
              <w:right w:w="15" w:type="dxa"/>
            </w:tcMar>
          </w:tcPr>
          <w:p w14:paraId="1BF8CF42"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20,7</w:t>
            </w:r>
            <w:r>
              <w:rPr>
                <w:rFonts w:ascii="Arial" w:hAnsi="Arial" w:cs="Arial"/>
                <w:sz w:val="18"/>
                <w:szCs w:val="18"/>
              </w:rPr>
              <w:t>70</w:t>
            </w:r>
          </w:p>
        </w:tc>
        <w:tc>
          <w:tcPr>
            <w:tcW w:w="993" w:type="dxa"/>
            <w:tcMar>
              <w:top w:w="15" w:type="dxa"/>
              <w:left w:w="15" w:type="dxa"/>
              <w:right w:w="15" w:type="dxa"/>
            </w:tcMar>
          </w:tcPr>
          <w:p w14:paraId="3333E521"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63,964</w:t>
            </w:r>
          </w:p>
        </w:tc>
      </w:tr>
      <w:tr w:rsidR="00BE51B1" w:rsidRPr="007D3F22" w14:paraId="077F4490" w14:textId="77777777" w:rsidTr="00877C15">
        <w:trPr>
          <w:trHeight w:val="300"/>
          <w:jc w:val="center"/>
        </w:trPr>
        <w:tc>
          <w:tcPr>
            <w:tcW w:w="2962" w:type="dxa"/>
            <w:vMerge/>
            <w:tcMar>
              <w:top w:w="15" w:type="dxa"/>
              <w:left w:w="15" w:type="dxa"/>
              <w:right w:w="15" w:type="dxa"/>
            </w:tcMar>
            <w:vAlign w:val="center"/>
          </w:tcPr>
          <w:p w14:paraId="706D6707"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3016580D"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992" w:type="dxa"/>
            <w:tcMar>
              <w:top w:w="15" w:type="dxa"/>
              <w:left w:w="15" w:type="dxa"/>
              <w:right w:w="15" w:type="dxa"/>
            </w:tcMar>
          </w:tcPr>
          <w:p w14:paraId="643CC2C3"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13,160</w:t>
            </w:r>
          </w:p>
        </w:tc>
        <w:tc>
          <w:tcPr>
            <w:tcW w:w="993" w:type="dxa"/>
            <w:tcMar>
              <w:top w:w="15" w:type="dxa"/>
              <w:left w:w="15" w:type="dxa"/>
              <w:right w:w="15" w:type="dxa"/>
            </w:tcMar>
          </w:tcPr>
          <w:p w14:paraId="0A089D17"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40,88</w:t>
            </w:r>
            <w:r>
              <w:rPr>
                <w:rFonts w:ascii="Arial" w:hAnsi="Arial" w:cs="Arial"/>
                <w:sz w:val="18"/>
                <w:szCs w:val="18"/>
              </w:rPr>
              <w:t>5</w:t>
            </w:r>
          </w:p>
        </w:tc>
      </w:tr>
      <w:tr w:rsidR="00BE51B1" w:rsidRPr="007D3F22" w14:paraId="221C8711" w14:textId="77777777" w:rsidTr="00877C15">
        <w:trPr>
          <w:trHeight w:val="300"/>
          <w:jc w:val="center"/>
        </w:trPr>
        <w:tc>
          <w:tcPr>
            <w:tcW w:w="2962" w:type="dxa"/>
            <w:vMerge w:val="restart"/>
            <w:tcMar>
              <w:top w:w="15" w:type="dxa"/>
              <w:left w:w="15" w:type="dxa"/>
              <w:right w:w="15" w:type="dxa"/>
            </w:tcMar>
            <w:vAlign w:val="center"/>
          </w:tcPr>
          <w:p w14:paraId="38760D8C"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Nickel </w:t>
            </w:r>
          </w:p>
        </w:tc>
        <w:tc>
          <w:tcPr>
            <w:tcW w:w="1134" w:type="dxa"/>
            <w:tcMar>
              <w:top w:w="15" w:type="dxa"/>
              <w:left w:w="15" w:type="dxa"/>
              <w:right w:w="15" w:type="dxa"/>
            </w:tcMar>
            <w:vAlign w:val="bottom"/>
          </w:tcPr>
          <w:p w14:paraId="23F28768"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2A416890"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1,775</w:t>
            </w:r>
          </w:p>
        </w:tc>
        <w:tc>
          <w:tcPr>
            <w:tcW w:w="993" w:type="dxa"/>
            <w:tcMar>
              <w:top w:w="15" w:type="dxa"/>
              <w:left w:w="15" w:type="dxa"/>
              <w:right w:w="15" w:type="dxa"/>
            </w:tcMar>
          </w:tcPr>
          <w:p w14:paraId="2A55369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6,3</w:t>
            </w:r>
            <w:r>
              <w:rPr>
                <w:rFonts w:ascii="Arial" w:hAnsi="Arial" w:cs="Arial"/>
                <w:sz w:val="18"/>
                <w:szCs w:val="18"/>
              </w:rPr>
              <w:t>10</w:t>
            </w:r>
          </w:p>
        </w:tc>
      </w:tr>
      <w:tr w:rsidR="00BE51B1" w:rsidRPr="007D3F22" w14:paraId="22E482FC" w14:textId="77777777" w:rsidTr="00877C15">
        <w:trPr>
          <w:trHeight w:val="300"/>
          <w:jc w:val="center"/>
        </w:trPr>
        <w:tc>
          <w:tcPr>
            <w:tcW w:w="2962" w:type="dxa"/>
            <w:vMerge/>
            <w:tcMar>
              <w:top w:w="15" w:type="dxa"/>
              <w:left w:w="15" w:type="dxa"/>
              <w:right w:w="15" w:type="dxa"/>
            </w:tcMar>
            <w:vAlign w:val="center"/>
          </w:tcPr>
          <w:p w14:paraId="3B7657D7"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4614A394"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2 </w:t>
            </w:r>
          </w:p>
        </w:tc>
        <w:tc>
          <w:tcPr>
            <w:tcW w:w="992" w:type="dxa"/>
            <w:tcMar>
              <w:top w:w="15" w:type="dxa"/>
              <w:left w:w="15" w:type="dxa"/>
              <w:right w:w="15" w:type="dxa"/>
            </w:tcMar>
          </w:tcPr>
          <w:p w14:paraId="20D441C1"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18,425</w:t>
            </w:r>
          </w:p>
        </w:tc>
        <w:tc>
          <w:tcPr>
            <w:tcW w:w="993" w:type="dxa"/>
            <w:tcMar>
              <w:top w:w="15" w:type="dxa"/>
              <w:left w:w="15" w:type="dxa"/>
              <w:right w:w="15" w:type="dxa"/>
            </w:tcMar>
            <w:vAlign w:val="bottom"/>
          </w:tcPr>
          <w:p w14:paraId="09EB4C8D"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28,53</w:t>
            </w:r>
            <w:r>
              <w:rPr>
                <w:rFonts w:ascii="Arial" w:eastAsia="Calibri" w:hAnsi="Arial" w:cs="Arial"/>
                <w:color w:val="000000" w:themeColor="text1"/>
                <w:sz w:val="18"/>
                <w:szCs w:val="18"/>
              </w:rPr>
              <w:t>6</w:t>
            </w:r>
          </w:p>
        </w:tc>
      </w:tr>
      <w:tr w:rsidR="00BE51B1" w:rsidRPr="007D3F22" w14:paraId="7BBD83E3" w14:textId="77777777" w:rsidTr="00877C15">
        <w:trPr>
          <w:trHeight w:val="300"/>
          <w:jc w:val="center"/>
        </w:trPr>
        <w:tc>
          <w:tcPr>
            <w:tcW w:w="2962" w:type="dxa"/>
            <w:vMerge/>
            <w:tcMar>
              <w:top w:w="15" w:type="dxa"/>
              <w:left w:w="15" w:type="dxa"/>
              <w:right w:w="15" w:type="dxa"/>
            </w:tcMar>
            <w:vAlign w:val="center"/>
          </w:tcPr>
          <w:p w14:paraId="3381B525"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120F1DBE"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992" w:type="dxa"/>
            <w:tcMar>
              <w:top w:w="15" w:type="dxa"/>
              <w:left w:w="15" w:type="dxa"/>
              <w:right w:w="15" w:type="dxa"/>
            </w:tcMar>
            <w:vAlign w:val="bottom"/>
          </w:tcPr>
          <w:p w14:paraId="68F4B892"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15,289</w:t>
            </w:r>
          </w:p>
        </w:tc>
        <w:tc>
          <w:tcPr>
            <w:tcW w:w="993" w:type="dxa"/>
            <w:tcMar>
              <w:top w:w="15" w:type="dxa"/>
              <w:left w:w="15" w:type="dxa"/>
              <w:right w:w="15" w:type="dxa"/>
            </w:tcMar>
            <w:vAlign w:val="bottom"/>
          </w:tcPr>
          <w:p w14:paraId="0F599BDF"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54,34</w:t>
            </w:r>
            <w:r>
              <w:rPr>
                <w:rFonts w:ascii="Arial" w:eastAsia="Calibri" w:hAnsi="Arial" w:cs="Arial"/>
                <w:color w:val="000000" w:themeColor="text1"/>
                <w:sz w:val="18"/>
                <w:szCs w:val="18"/>
              </w:rPr>
              <w:t>8</w:t>
            </w:r>
          </w:p>
        </w:tc>
      </w:tr>
      <w:tr w:rsidR="00BE51B1" w:rsidRPr="007D3F22" w14:paraId="42D492F5" w14:textId="77777777" w:rsidTr="00877C15">
        <w:trPr>
          <w:trHeight w:val="300"/>
          <w:jc w:val="center"/>
        </w:trPr>
        <w:tc>
          <w:tcPr>
            <w:tcW w:w="2962" w:type="dxa"/>
            <w:vMerge/>
            <w:tcMar>
              <w:top w:w="15" w:type="dxa"/>
              <w:left w:w="15" w:type="dxa"/>
              <w:right w:w="15" w:type="dxa"/>
            </w:tcMar>
            <w:vAlign w:val="center"/>
          </w:tcPr>
          <w:p w14:paraId="30799F6A"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44E57A67"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992" w:type="dxa"/>
            <w:tcMar>
              <w:top w:w="15" w:type="dxa"/>
              <w:left w:w="15" w:type="dxa"/>
              <w:right w:w="15" w:type="dxa"/>
            </w:tcMar>
          </w:tcPr>
          <w:p w14:paraId="3295938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eastAsia="Calibri" w:hAnsi="Arial" w:cs="Arial"/>
                <w:color w:val="000000" w:themeColor="text1"/>
                <w:sz w:val="18"/>
                <w:szCs w:val="18"/>
              </w:rPr>
              <w:t>5,839</w:t>
            </w:r>
          </w:p>
        </w:tc>
        <w:tc>
          <w:tcPr>
            <w:tcW w:w="993" w:type="dxa"/>
            <w:tcMar>
              <w:top w:w="15" w:type="dxa"/>
              <w:left w:w="15" w:type="dxa"/>
              <w:right w:w="15" w:type="dxa"/>
            </w:tcMar>
          </w:tcPr>
          <w:p w14:paraId="2F49F1F8"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19,87</w:t>
            </w:r>
            <w:r>
              <w:rPr>
                <w:rFonts w:ascii="Arial" w:hAnsi="Arial" w:cs="Arial"/>
                <w:sz w:val="18"/>
                <w:szCs w:val="18"/>
              </w:rPr>
              <w:t>8</w:t>
            </w:r>
          </w:p>
        </w:tc>
      </w:tr>
      <w:tr w:rsidR="00BE51B1" w:rsidRPr="007D3F22" w14:paraId="2AD0B4BE" w14:textId="77777777" w:rsidTr="00877C15">
        <w:trPr>
          <w:trHeight w:val="300"/>
          <w:jc w:val="center"/>
        </w:trPr>
        <w:tc>
          <w:tcPr>
            <w:tcW w:w="2962" w:type="dxa"/>
            <w:vMerge w:val="restart"/>
            <w:tcMar>
              <w:top w:w="15" w:type="dxa"/>
              <w:left w:w="15" w:type="dxa"/>
              <w:right w:w="15" w:type="dxa"/>
            </w:tcMar>
            <w:vAlign w:val="center"/>
          </w:tcPr>
          <w:p w14:paraId="70168F00"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Lithium </w:t>
            </w:r>
          </w:p>
        </w:tc>
        <w:tc>
          <w:tcPr>
            <w:tcW w:w="1134" w:type="dxa"/>
            <w:tcMar>
              <w:top w:w="15" w:type="dxa"/>
              <w:left w:w="15" w:type="dxa"/>
              <w:right w:w="15" w:type="dxa"/>
            </w:tcMar>
            <w:vAlign w:val="bottom"/>
          </w:tcPr>
          <w:p w14:paraId="2C78F693"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37983DBE"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5,75</w:t>
            </w:r>
            <w:r>
              <w:rPr>
                <w:rFonts w:ascii="Arial" w:hAnsi="Arial" w:cs="Arial"/>
                <w:sz w:val="18"/>
                <w:szCs w:val="18"/>
              </w:rPr>
              <w:t>2</w:t>
            </w:r>
          </w:p>
        </w:tc>
        <w:tc>
          <w:tcPr>
            <w:tcW w:w="993" w:type="dxa"/>
            <w:tcMar>
              <w:top w:w="15" w:type="dxa"/>
              <w:left w:w="15" w:type="dxa"/>
              <w:right w:w="15" w:type="dxa"/>
            </w:tcMar>
          </w:tcPr>
          <w:p w14:paraId="668581C8"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28,939</w:t>
            </w:r>
          </w:p>
        </w:tc>
      </w:tr>
      <w:tr w:rsidR="00BE51B1" w:rsidRPr="007D3F22" w14:paraId="14B7FD08" w14:textId="77777777" w:rsidTr="00877C15">
        <w:trPr>
          <w:trHeight w:val="300"/>
          <w:jc w:val="center"/>
        </w:trPr>
        <w:tc>
          <w:tcPr>
            <w:tcW w:w="2962" w:type="dxa"/>
            <w:vMerge/>
            <w:tcMar>
              <w:top w:w="15" w:type="dxa"/>
              <w:left w:w="15" w:type="dxa"/>
              <w:right w:w="15" w:type="dxa"/>
            </w:tcMar>
            <w:vAlign w:val="center"/>
          </w:tcPr>
          <w:p w14:paraId="23B2A3C2"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17410EF0"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 </w:t>
            </w:r>
          </w:p>
        </w:tc>
        <w:tc>
          <w:tcPr>
            <w:tcW w:w="992" w:type="dxa"/>
            <w:tcMar>
              <w:top w:w="15" w:type="dxa"/>
              <w:left w:w="15" w:type="dxa"/>
              <w:right w:w="15" w:type="dxa"/>
            </w:tcMar>
          </w:tcPr>
          <w:p w14:paraId="35E6CF4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39,122</w:t>
            </w:r>
          </w:p>
        </w:tc>
        <w:tc>
          <w:tcPr>
            <w:tcW w:w="993" w:type="dxa"/>
            <w:tcMar>
              <w:top w:w="15" w:type="dxa"/>
              <w:left w:w="15" w:type="dxa"/>
              <w:right w:w="15" w:type="dxa"/>
            </w:tcMar>
          </w:tcPr>
          <w:p w14:paraId="72AA9235"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164,461</w:t>
            </w:r>
          </w:p>
        </w:tc>
      </w:tr>
      <w:tr w:rsidR="00BE51B1" w:rsidRPr="007D3F22" w14:paraId="13CFFD4A" w14:textId="77777777" w:rsidTr="00877C15">
        <w:trPr>
          <w:trHeight w:val="300"/>
          <w:jc w:val="center"/>
        </w:trPr>
        <w:tc>
          <w:tcPr>
            <w:tcW w:w="2962" w:type="dxa"/>
            <w:vMerge/>
            <w:tcMar>
              <w:top w:w="15" w:type="dxa"/>
              <w:left w:w="15" w:type="dxa"/>
              <w:right w:w="15" w:type="dxa"/>
            </w:tcMar>
            <w:vAlign w:val="center"/>
          </w:tcPr>
          <w:p w14:paraId="7172E675"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60000C70"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4.2 </w:t>
            </w:r>
          </w:p>
        </w:tc>
        <w:tc>
          <w:tcPr>
            <w:tcW w:w="992" w:type="dxa"/>
            <w:tcMar>
              <w:top w:w="15" w:type="dxa"/>
              <w:left w:w="15" w:type="dxa"/>
              <w:right w:w="15" w:type="dxa"/>
            </w:tcMar>
          </w:tcPr>
          <w:p w14:paraId="7CEA214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42,27</w:t>
            </w:r>
            <w:r>
              <w:rPr>
                <w:rFonts w:ascii="Arial" w:hAnsi="Arial" w:cs="Arial"/>
                <w:sz w:val="18"/>
                <w:szCs w:val="18"/>
              </w:rPr>
              <w:t>8</w:t>
            </w:r>
          </w:p>
        </w:tc>
        <w:tc>
          <w:tcPr>
            <w:tcW w:w="993" w:type="dxa"/>
            <w:tcMar>
              <w:top w:w="15" w:type="dxa"/>
              <w:left w:w="15" w:type="dxa"/>
              <w:right w:w="15" w:type="dxa"/>
            </w:tcMar>
          </w:tcPr>
          <w:p w14:paraId="3D0C16B5"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212,67</w:t>
            </w:r>
            <w:r>
              <w:rPr>
                <w:rFonts w:ascii="Arial" w:hAnsi="Arial" w:cs="Arial"/>
                <w:sz w:val="18"/>
                <w:szCs w:val="18"/>
              </w:rPr>
              <w:t>1</w:t>
            </w:r>
          </w:p>
        </w:tc>
      </w:tr>
      <w:tr w:rsidR="00BE51B1" w:rsidRPr="007D3F22" w14:paraId="4E63A99D" w14:textId="77777777" w:rsidTr="00877C15">
        <w:trPr>
          <w:trHeight w:val="300"/>
          <w:jc w:val="center"/>
        </w:trPr>
        <w:tc>
          <w:tcPr>
            <w:tcW w:w="2962" w:type="dxa"/>
            <w:vMerge w:val="restart"/>
            <w:tcMar>
              <w:top w:w="15" w:type="dxa"/>
              <w:left w:w="15" w:type="dxa"/>
              <w:right w:w="15" w:type="dxa"/>
            </w:tcMar>
            <w:vAlign w:val="center"/>
          </w:tcPr>
          <w:p w14:paraId="2D34CA10"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Manganese </w:t>
            </w:r>
          </w:p>
        </w:tc>
        <w:tc>
          <w:tcPr>
            <w:tcW w:w="1134" w:type="dxa"/>
            <w:tcMar>
              <w:top w:w="15" w:type="dxa"/>
              <w:left w:w="15" w:type="dxa"/>
              <w:right w:w="15" w:type="dxa"/>
            </w:tcMar>
            <w:vAlign w:val="bottom"/>
          </w:tcPr>
          <w:p w14:paraId="5D389AE8"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5F9BA0F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32</w:t>
            </w:r>
            <w:r>
              <w:rPr>
                <w:rFonts w:ascii="Arial" w:hAnsi="Arial" w:cs="Arial"/>
                <w:sz w:val="18"/>
                <w:szCs w:val="18"/>
              </w:rPr>
              <w:t>1</w:t>
            </w:r>
          </w:p>
        </w:tc>
        <w:tc>
          <w:tcPr>
            <w:tcW w:w="993" w:type="dxa"/>
            <w:tcMar>
              <w:top w:w="15" w:type="dxa"/>
              <w:left w:w="15" w:type="dxa"/>
              <w:right w:w="15" w:type="dxa"/>
            </w:tcMar>
          </w:tcPr>
          <w:p w14:paraId="707B89D5"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774</w:t>
            </w:r>
          </w:p>
        </w:tc>
      </w:tr>
      <w:tr w:rsidR="00BE51B1" w:rsidRPr="007D3F22" w14:paraId="3FB53B63" w14:textId="77777777" w:rsidTr="00877C15">
        <w:trPr>
          <w:trHeight w:val="300"/>
          <w:jc w:val="center"/>
        </w:trPr>
        <w:tc>
          <w:tcPr>
            <w:tcW w:w="2962" w:type="dxa"/>
            <w:vMerge/>
            <w:tcMar>
              <w:top w:w="15" w:type="dxa"/>
              <w:left w:w="15" w:type="dxa"/>
              <w:right w:w="15" w:type="dxa"/>
            </w:tcMar>
            <w:vAlign w:val="center"/>
          </w:tcPr>
          <w:p w14:paraId="606EC1FA"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14147AC6"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3.1 </w:t>
            </w:r>
          </w:p>
        </w:tc>
        <w:tc>
          <w:tcPr>
            <w:tcW w:w="992" w:type="dxa"/>
            <w:tcMar>
              <w:top w:w="15" w:type="dxa"/>
              <w:left w:w="15" w:type="dxa"/>
              <w:right w:w="15" w:type="dxa"/>
            </w:tcMar>
          </w:tcPr>
          <w:p w14:paraId="70B6C76F"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1,48</w:t>
            </w:r>
            <w:r>
              <w:rPr>
                <w:rFonts w:ascii="Arial" w:hAnsi="Arial" w:cs="Arial"/>
                <w:sz w:val="18"/>
                <w:szCs w:val="18"/>
              </w:rPr>
              <w:t>5</w:t>
            </w:r>
          </w:p>
        </w:tc>
        <w:tc>
          <w:tcPr>
            <w:tcW w:w="993" w:type="dxa"/>
            <w:tcMar>
              <w:top w:w="15" w:type="dxa"/>
              <w:left w:w="15" w:type="dxa"/>
              <w:right w:w="15" w:type="dxa"/>
            </w:tcMar>
          </w:tcPr>
          <w:p w14:paraId="2F0DCE6F"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3,58</w:t>
            </w:r>
            <w:r>
              <w:rPr>
                <w:rFonts w:ascii="Arial" w:hAnsi="Arial" w:cs="Arial"/>
                <w:sz w:val="18"/>
                <w:szCs w:val="18"/>
              </w:rPr>
              <w:t>5</w:t>
            </w:r>
          </w:p>
        </w:tc>
      </w:tr>
      <w:tr w:rsidR="00BE51B1" w:rsidRPr="007D3F22" w14:paraId="09AC6A56" w14:textId="77777777" w:rsidTr="00877C15">
        <w:trPr>
          <w:trHeight w:val="300"/>
          <w:jc w:val="center"/>
        </w:trPr>
        <w:tc>
          <w:tcPr>
            <w:tcW w:w="2962" w:type="dxa"/>
            <w:vMerge/>
            <w:tcMar>
              <w:top w:w="15" w:type="dxa"/>
              <w:left w:w="15" w:type="dxa"/>
              <w:right w:w="15" w:type="dxa"/>
            </w:tcMar>
            <w:vAlign w:val="center"/>
          </w:tcPr>
          <w:p w14:paraId="26B40E3F" w14:textId="77777777" w:rsidR="00BE51B1" w:rsidRPr="00766470" w:rsidRDefault="00BE51B1" w:rsidP="00877C15">
            <w:pPr>
              <w:spacing w:before="40" w:after="40"/>
              <w:ind w:left="113" w:right="57"/>
              <w:rPr>
                <w:rFonts w:ascii="Arial" w:hAnsi="Arial" w:cs="Arial"/>
                <w:b/>
                <w:bCs/>
                <w:color w:val="156082" w:themeColor="accent1"/>
              </w:rPr>
            </w:pPr>
          </w:p>
        </w:tc>
        <w:tc>
          <w:tcPr>
            <w:tcW w:w="1134" w:type="dxa"/>
            <w:tcMar>
              <w:top w:w="15" w:type="dxa"/>
              <w:left w:w="15" w:type="dxa"/>
              <w:right w:w="15" w:type="dxa"/>
            </w:tcMar>
            <w:vAlign w:val="bottom"/>
          </w:tcPr>
          <w:p w14:paraId="64935316"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4.1 </w:t>
            </w:r>
          </w:p>
        </w:tc>
        <w:tc>
          <w:tcPr>
            <w:tcW w:w="992" w:type="dxa"/>
            <w:tcMar>
              <w:top w:w="15" w:type="dxa"/>
              <w:left w:w="15" w:type="dxa"/>
              <w:right w:w="15" w:type="dxa"/>
            </w:tcMar>
          </w:tcPr>
          <w:p w14:paraId="02E768C9"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1,100</w:t>
            </w:r>
          </w:p>
        </w:tc>
        <w:tc>
          <w:tcPr>
            <w:tcW w:w="993" w:type="dxa"/>
            <w:tcMar>
              <w:top w:w="15" w:type="dxa"/>
              <w:left w:w="15" w:type="dxa"/>
              <w:right w:w="15" w:type="dxa"/>
            </w:tcMar>
          </w:tcPr>
          <w:p w14:paraId="02AB88D1"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2,656</w:t>
            </w:r>
          </w:p>
        </w:tc>
      </w:tr>
      <w:tr w:rsidR="00BE51B1" w:rsidRPr="007D3F22" w14:paraId="6C118DB4" w14:textId="77777777" w:rsidTr="00877C15">
        <w:trPr>
          <w:trHeight w:val="300"/>
          <w:jc w:val="center"/>
        </w:trPr>
        <w:tc>
          <w:tcPr>
            <w:tcW w:w="2962" w:type="dxa"/>
            <w:vMerge w:val="restart"/>
            <w:tcMar>
              <w:top w:w="15" w:type="dxa"/>
              <w:left w:w="15" w:type="dxa"/>
              <w:right w:w="15" w:type="dxa"/>
            </w:tcMar>
            <w:vAlign w:val="center"/>
          </w:tcPr>
          <w:p w14:paraId="36781664" w14:textId="77777777" w:rsidR="00BE51B1" w:rsidRPr="00766470" w:rsidRDefault="00BE51B1" w:rsidP="00877C15">
            <w:pPr>
              <w:spacing w:before="40" w:after="40"/>
              <w:ind w:left="113" w:right="57"/>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 xml:space="preserve">Graphite </w:t>
            </w:r>
          </w:p>
        </w:tc>
        <w:tc>
          <w:tcPr>
            <w:tcW w:w="1134" w:type="dxa"/>
            <w:tcMar>
              <w:top w:w="15" w:type="dxa"/>
              <w:left w:w="15" w:type="dxa"/>
              <w:right w:w="15" w:type="dxa"/>
            </w:tcMar>
            <w:vAlign w:val="bottom"/>
          </w:tcPr>
          <w:p w14:paraId="37FFD28A"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1 </w:t>
            </w:r>
          </w:p>
        </w:tc>
        <w:tc>
          <w:tcPr>
            <w:tcW w:w="992" w:type="dxa"/>
            <w:tcMar>
              <w:top w:w="15" w:type="dxa"/>
              <w:left w:w="15" w:type="dxa"/>
              <w:right w:w="15" w:type="dxa"/>
            </w:tcMar>
          </w:tcPr>
          <w:p w14:paraId="6C3CC216"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937</w:t>
            </w:r>
          </w:p>
        </w:tc>
        <w:tc>
          <w:tcPr>
            <w:tcW w:w="993" w:type="dxa"/>
            <w:tcMar>
              <w:top w:w="15" w:type="dxa"/>
              <w:left w:w="15" w:type="dxa"/>
              <w:right w:w="15" w:type="dxa"/>
            </w:tcMar>
          </w:tcPr>
          <w:p w14:paraId="71EEAA8B"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2,863</w:t>
            </w:r>
          </w:p>
        </w:tc>
      </w:tr>
      <w:tr w:rsidR="00BE51B1" w:rsidRPr="007D3F22" w14:paraId="3D3E2169" w14:textId="77777777" w:rsidTr="00877C15">
        <w:trPr>
          <w:trHeight w:val="300"/>
          <w:jc w:val="center"/>
        </w:trPr>
        <w:tc>
          <w:tcPr>
            <w:tcW w:w="2962" w:type="dxa"/>
            <w:vMerge/>
            <w:tcMar>
              <w:top w:w="15" w:type="dxa"/>
              <w:left w:w="15" w:type="dxa"/>
              <w:right w:w="15" w:type="dxa"/>
            </w:tcMar>
            <w:vAlign w:val="bottom"/>
          </w:tcPr>
          <w:p w14:paraId="7876324A" w14:textId="77777777" w:rsidR="00BE51B1" w:rsidRPr="00766470" w:rsidRDefault="00BE51B1" w:rsidP="00877C15">
            <w:pPr>
              <w:spacing w:before="40" w:after="40"/>
              <w:ind w:left="113" w:right="57"/>
              <w:rPr>
                <w:rFonts w:ascii="Arial" w:hAnsi="Arial" w:cs="Arial"/>
              </w:rPr>
            </w:pPr>
          </w:p>
        </w:tc>
        <w:tc>
          <w:tcPr>
            <w:tcW w:w="1134" w:type="dxa"/>
            <w:tcMar>
              <w:top w:w="15" w:type="dxa"/>
              <w:left w:w="15" w:type="dxa"/>
              <w:right w:w="15" w:type="dxa"/>
            </w:tcMar>
            <w:vAlign w:val="bottom"/>
          </w:tcPr>
          <w:p w14:paraId="6974437B"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Stage 3</w:t>
            </w:r>
          </w:p>
        </w:tc>
        <w:tc>
          <w:tcPr>
            <w:tcW w:w="992" w:type="dxa"/>
            <w:tcMar>
              <w:top w:w="15" w:type="dxa"/>
              <w:left w:w="15" w:type="dxa"/>
              <w:right w:w="15" w:type="dxa"/>
            </w:tcMar>
          </w:tcPr>
          <w:p w14:paraId="2C4DB69A"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3,000</w:t>
            </w:r>
          </w:p>
        </w:tc>
        <w:tc>
          <w:tcPr>
            <w:tcW w:w="993" w:type="dxa"/>
            <w:tcMar>
              <w:top w:w="15" w:type="dxa"/>
              <w:left w:w="15" w:type="dxa"/>
              <w:right w:w="15" w:type="dxa"/>
            </w:tcMar>
          </w:tcPr>
          <w:p w14:paraId="3C630185"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9,16</w:t>
            </w:r>
            <w:r>
              <w:rPr>
                <w:rFonts w:ascii="Arial" w:hAnsi="Arial" w:cs="Arial"/>
                <w:sz w:val="18"/>
                <w:szCs w:val="18"/>
              </w:rPr>
              <w:t>4</w:t>
            </w:r>
          </w:p>
        </w:tc>
      </w:tr>
      <w:tr w:rsidR="00BE51B1" w:rsidRPr="007D3F22" w14:paraId="7864A9C9" w14:textId="77777777" w:rsidTr="00877C15">
        <w:trPr>
          <w:trHeight w:val="300"/>
          <w:jc w:val="center"/>
        </w:trPr>
        <w:tc>
          <w:tcPr>
            <w:tcW w:w="2962" w:type="dxa"/>
            <w:vMerge/>
            <w:tcMar>
              <w:top w:w="15" w:type="dxa"/>
              <w:left w:w="15" w:type="dxa"/>
              <w:right w:w="15" w:type="dxa"/>
            </w:tcMar>
            <w:vAlign w:val="bottom"/>
          </w:tcPr>
          <w:p w14:paraId="139487AC" w14:textId="77777777" w:rsidR="00BE51B1" w:rsidRPr="00766470" w:rsidRDefault="00BE51B1" w:rsidP="00877C15">
            <w:pPr>
              <w:spacing w:before="40" w:after="40"/>
              <w:ind w:left="113" w:right="57"/>
              <w:rPr>
                <w:rFonts w:ascii="Arial" w:hAnsi="Arial" w:cs="Arial"/>
              </w:rPr>
            </w:pPr>
          </w:p>
        </w:tc>
        <w:tc>
          <w:tcPr>
            <w:tcW w:w="1134" w:type="dxa"/>
            <w:tcMar>
              <w:top w:w="15" w:type="dxa"/>
              <w:left w:w="15" w:type="dxa"/>
              <w:right w:w="15" w:type="dxa"/>
            </w:tcMar>
            <w:vAlign w:val="bottom"/>
          </w:tcPr>
          <w:p w14:paraId="442592BF"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4 </w:t>
            </w:r>
          </w:p>
        </w:tc>
        <w:tc>
          <w:tcPr>
            <w:tcW w:w="992" w:type="dxa"/>
            <w:tcMar>
              <w:top w:w="15" w:type="dxa"/>
              <w:left w:w="15" w:type="dxa"/>
              <w:right w:w="15" w:type="dxa"/>
            </w:tcMar>
          </w:tcPr>
          <w:p w14:paraId="707B8B3E"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3,600</w:t>
            </w:r>
          </w:p>
        </w:tc>
        <w:tc>
          <w:tcPr>
            <w:tcW w:w="993" w:type="dxa"/>
            <w:tcMar>
              <w:top w:w="15" w:type="dxa"/>
              <w:left w:w="15" w:type="dxa"/>
              <w:right w:w="15" w:type="dxa"/>
            </w:tcMar>
          </w:tcPr>
          <w:p w14:paraId="4E99ABE7"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10,996</w:t>
            </w:r>
          </w:p>
        </w:tc>
      </w:tr>
      <w:tr w:rsidR="00BE51B1" w:rsidRPr="007D3F22" w14:paraId="408460D8" w14:textId="77777777" w:rsidTr="00877C15">
        <w:trPr>
          <w:trHeight w:val="300"/>
          <w:jc w:val="center"/>
        </w:trPr>
        <w:tc>
          <w:tcPr>
            <w:tcW w:w="2962" w:type="dxa"/>
            <w:vMerge/>
            <w:tcMar>
              <w:top w:w="15" w:type="dxa"/>
              <w:left w:w="15" w:type="dxa"/>
              <w:right w:w="15" w:type="dxa"/>
            </w:tcMar>
            <w:vAlign w:val="bottom"/>
          </w:tcPr>
          <w:p w14:paraId="48D2814D" w14:textId="77777777" w:rsidR="00BE51B1" w:rsidRPr="00766470" w:rsidRDefault="00BE51B1" w:rsidP="00877C15">
            <w:pPr>
              <w:spacing w:before="40" w:after="40"/>
              <w:ind w:left="113" w:right="57"/>
              <w:rPr>
                <w:rFonts w:ascii="Arial" w:hAnsi="Arial" w:cs="Arial"/>
              </w:rPr>
            </w:pPr>
          </w:p>
        </w:tc>
        <w:tc>
          <w:tcPr>
            <w:tcW w:w="1134" w:type="dxa"/>
            <w:tcMar>
              <w:top w:w="15" w:type="dxa"/>
              <w:left w:w="15" w:type="dxa"/>
              <w:right w:w="15" w:type="dxa"/>
            </w:tcMar>
            <w:vAlign w:val="bottom"/>
          </w:tcPr>
          <w:p w14:paraId="4EB7356C" w14:textId="77777777" w:rsidR="00BE51B1" w:rsidRPr="00766470" w:rsidRDefault="00BE51B1" w:rsidP="00877C15">
            <w:pPr>
              <w:spacing w:before="40" w:after="40"/>
              <w:ind w:left="113" w:right="57"/>
              <w:rPr>
                <w:rFonts w:ascii="Arial" w:eastAsia="Calibri" w:hAnsi="Arial" w:cs="Arial"/>
                <w:color w:val="000000" w:themeColor="text1"/>
                <w:sz w:val="18"/>
                <w:szCs w:val="18"/>
              </w:rPr>
            </w:pPr>
            <w:r w:rsidRPr="00766470">
              <w:rPr>
                <w:rFonts w:ascii="Arial" w:eastAsia="Calibri" w:hAnsi="Arial" w:cs="Arial"/>
                <w:color w:val="000000" w:themeColor="text1"/>
                <w:sz w:val="18"/>
                <w:szCs w:val="18"/>
              </w:rPr>
              <w:t xml:space="preserve">Stage 5 </w:t>
            </w:r>
          </w:p>
        </w:tc>
        <w:tc>
          <w:tcPr>
            <w:tcW w:w="992" w:type="dxa"/>
            <w:tcMar>
              <w:top w:w="15" w:type="dxa"/>
              <w:left w:w="15" w:type="dxa"/>
              <w:right w:w="15" w:type="dxa"/>
            </w:tcMar>
          </w:tcPr>
          <w:p w14:paraId="658950E4"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8,000</w:t>
            </w:r>
          </w:p>
        </w:tc>
        <w:tc>
          <w:tcPr>
            <w:tcW w:w="993" w:type="dxa"/>
            <w:tcMar>
              <w:top w:w="15" w:type="dxa"/>
              <w:left w:w="15" w:type="dxa"/>
              <w:right w:w="15" w:type="dxa"/>
            </w:tcMar>
          </w:tcPr>
          <w:p w14:paraId="5FF120CE" w14:textId="77777777" w:rsidR="00BE51B1" w:rsidRPr="00862D7C" w:rsidRDefault="00BE51B1" w:rsidP="00877C15">
            <w:pPr>
              <w:spacing w:before="40" w:after="40"/>
              <w:ind w:left="113" w:right="57"/>
              <w:jc w:val="center"/>
              <w:rPr>
                <w:rFonts w:ascii="Arial" w:eastAsia="Calibri" w:hAnsi="Arial" w:cs="Arial"/>
                <w:color w:val="000000" w:themeColor="text1"/>
                <w:sz w:val="18"/>
                <w:szCs w:val="18"/>
              </w:rPr>
            </w:pPr>
            <w:r w:rsidRPr="00862D7C">
              <w:rPr>
                <w:rFonts w:ascii="Arial" w:hAnsi="Arial" w:cs="Arial"/>
                <w:sz w:val="18"/>
                <w:szCs w:val="18"/>
              </w:rPr>
              <w:t>24,43</w:t>
            </w:r>
            <w:r>
              <w:rPr>
                <w:rFonts w:ascii="Arial" w:hAnsi="Arial" w:cs="Arial"/>
                <w:sz w:val="18"/>
                <w:szCs w:val="18"/>
              </w:rPr>
              <w:t>7</w:t>
            </w:r>
          </w:p>
        </w:tc>
      </w:tr>
    </w:tbl>
    <w:p w14:paraId="3184086D" w14:textId="77777777" w:rsidR="00BE51B1" w:rsidRPr="00766470" w:rsidRDefault="00BE51B1" w:rsidP="00BE51B1">
      <w:pPr>
        <w:spacing w:line="257" w:lineRule="auto"/>
        <w:jc w:val="center"/>
        <w:rPr>
          <w:rFonts w:ascii="Arial" w:eastAsia="Calibri" w:hAnsi="Arial" w:cs="Arial"/>
          <w:b/>
          <w:bCs/>
        </w:rPr>
      </w:pPr>
    </w:p>
    <w:p w14:paraId="3143FBCA" w14:textId="77777777" w:rsidR="00BE51B1" w:rsidRPr="00766470" w:rsidRDefault="00BE51B1" w:rsidP="00BE51B1">
      <w:pPr>
        <w:rPr>
          <w:rFonts w:ascii="Arial" w:eastAsia="Calibri" w:hAnsi="Arial" w:cs="Arial"/>
          <w:b/>
          <w:bCs/>
        </w:rPr>
      </w:pPr>
      <w:r w:rsidRPr="00766470">
        <w:rPr>
          <w:rFonts w:ascii="Arial" w:eastAsia="Calibri" w:hAnsi="Arial" w:cs="Arial"/>
          <w:b/>
          <w:bCs/>
        </w:rPr>
        <w:br w:type="page"/>
      </w:r>
    </w:p>
    <w:p w14:paraId="181F4515" w14:textId="4C89E271" w:rsidR="00BE51B1" w:rsidRPr="00766470" w:rsidRDefault="00BE51B1" w:rsidP="00512EE5">
      <w:pPr>
        <w:pStyle w:val="Heading1"/>
        <w:numPr>
          <w:ilvl w:val="0"/>
          <w:numId w:val="60"/>
        </w:numPr>
        <w:rPr>
          <w:rFonts w:ascii="Arial" w:hAnsi="Arial" w:cs="Arial"/>
        </w:rPr>
      </w:pPr>
      <w:bookmarkStart w:id="78" w:name="_Toc211272290"/>
      <w:r w:rsidRPr="00766470">
        <w:rPr>
          <w:rFonts w:ascii="Arial" w:hAnsi="Arial" w:cs="Arial"/>
        </w:rPr>
        <w:lastRenderedPageBreak/>
        <w:t>Modelling Transport Along Critical Minerals Value Chains</w:t>
      </w:r>
      <w:bookmarkEnd w:id="78"/>
    </w:p>
    <w:p w14:paraId="4F2195F7" w14:textId="04DC7122" w:rsidR="00BE51B1" w:rsidRPr="00766470" w:rsidRDefault="00BE51B1" w:rsidP="00BE51B1">
      <w:pPr>
        <w:spacing w:line="276" w:lineRule="auto"/>
        <w:jc w:val="both"/>
        <w:rPr>
          <w:rFonts w:ascii="Arial" w:eastAsia="Calibri" w:hAnsi="Arial" w:cs="Arial"/>
        </w:rPr>
      </w:pPr>
      <w:r w:rsidRPr="00766470">
        <w:rPr>
          <w:rFonts w:ascii="Arial" w:hAnsi="Arial" w:cs="Arial"/>
        </w:rPr>
        <w:t xml:space="preserve">This </w:t>
      </w:r>
      <w:r w:rsidR="00A869C2">
        <w:rPr>
          <w:rFonts w:ascii="Arial" w:hAnsi="Arial" w:cs="Arial"/>
        </w:rPr>
        <w:t>section</w:t>
      </w:r>
      <w:r w:rsidRPr="00766470">
        <w:rPr>
          <w:rFonts w:ascii="Arial" w:hAnsi="Arial" w:cs="Arial"/>
        </w:rPr>
        <w:t xml:space="preserve"> documents the detailed methodological steps used to model transport of minerals along critical minerals value chains. This is based on progressing from an international trading matrix to a more granular origin–destination matrix, and then to a mapping of specific transport routes based on an optimisation algorithm.</w:t>
      </w:r>
    </w:p>
    <w:p w14:paraId="568311FA" w14:textId="77777777" w:rsidR="00BE51B1" w:rsidRPr="00EF4D89" w:rsidRDefault="00BE51B1" w:rsidP="00BE51B1">
      <w:pPr>
        <w:pStyle w:val="Heading2"/>
        <w:rPr>
          <w:rFonts w:ascii="Arial" w:hAnsi="Arial" w:cs="Arial"/>
          <w:b/>
          <w:bCs/>
          <w:color w:val="E97132" w:themeColor="accent2"/>
          <w:sz w:val="24"/>
          <w:szCs w:val="24"/>
        </w:rPr>
      </w:pPr>
      <w:bookmarkStart w:id="79" w:name="_Toc211272291"/>
      <w:r w:rsidRPr="00EF4D89">
        <w:rPr>
          <w:rFonts w:ascii="Arial" w:hAnsi="Arial" w:cs="Arial"/>
          <w:b/>
          <w:bCs/>
          <w:color w:val="E97132" w:themeColor="accent2"/>
          <w:sz w:val="24"/>
          <w:szCs w:val="24"/>
        </w:rPr>
        <w:t>4.1 Developing an international trading matrix</w:t>
      </w:r>
      <w:bookmarkEnd w:id="79"/>
    </w:p>
    <w:p w14:paraId="7D558E37" w14:textId="05B37F40" w:rsidR="00BE51B1" w:rsidRPr="00766470" w:rsidRDefault="00BE51B1" w:rsidP="00BE51B1">
      <w:pPr>
        <w:spacing w:line="257" w:lineRule="auto"/>
        <w:jc w:val="both"/>
        <w:rPr>
          <w:rFonts w:ascii="Arial" w:eastAsia="Calibri" w:hAnsi="Arial" w:cs="Arial"/>
        </w:rPr>
      </w:pPr>
      <w:r>
        <w:rPr>
          <w:rFonts w:ascii="Arial" w:eastAsia="Calibri" w:hAnsi="Arial" w:cs="Arial"/>
        </w:rPr>
        <w:br/>
      </w:r>
      <w:r w:rsidRPr="00766470">
        <w:rPr>
          <w:rFonts w:ascii="Arial" w:eastAsia="Calibri" w:hAnsi="Arial" w:cs="Arial"/>
        </w:rPr>
        <w:t>An overview of this process is provided in</w:t>
      </w:r>
      <w:r w:rsidR="00B8490A">
        <w:rPr>
          <w:rFonts w:ascii="Arial" w:eastAsia="Calibri" w:hAnsi="Arial" w:cs="Arial"/>
        </w:rPr>
        <w:t xml:space="preserve"> </w:t>
      </w:r>
      <w:r w:rsidR="00B8490A">
        <w:rPr>
          <w:rFonts w:ascii="Arial" w:eastAsia="Calibri" w:hAnsi="Arial" w:cs="Arial"/>
        </w:rPr>
        <w:fldChar w:fldCharType="begin"/>
      </w:r>
      <w:r w:rsidR="00B8490A">
        <w:rPr>
          <w:rFonts w:ascii="Arial" w:eastAsia="Calibri" w:hAnsi="Arial" w:cs="Arial"/>
        </w:rPr>
        <w:instrText xml:space="preserve"> REF _Ref214445014 \h </w:instrText>
      </w:r>
      <w:r w:rsidR="00B8490A">
        <w:rPr>
          <w:rFonts w:ascii="Arial" w:eastAsia="Calibri" w:hAnsi="Arial" w:cs="Arial"/>
        </w:rPr>
      </w:r>
      <w:r w:rsidR="00B8490A">
        <w:rPr>
          <w:rFonts w:ascii="Arial" w:eastAsia="Calibri" w:hAnsi="Arial" w:cs="Arial"/>
        </w:rPr>
        <w:fldChar w:fldCharType="separate"/>
      </w:r>
      <w:r w:rsidR="00B8490A">
        <w:t xml:space="preserve">Figure </w:t>
      </w:r>
      <w:r w:rsidR="00B8490A">
        <w:rPr>
          <w:noProof/>
        </w:rPr>
        <w:t>16</w:t>
      </w:r>
      <w:r w:rsidR="00B8490A">
        <w:rPr>
          <w:rFonts w:ascii="Arial" w:eastAsia="Calibri" w:hAnsi="Arial" w:cs="Arial"/>
        </w:rPr>
        <w:fldChar w:fldCharType="end"/>
      </w:r>
      <w:r w:rsidRPr="00766470">
        <w:rPr>
          <w:rFonts w:ascii="Arial" w:eastAsia="Calibri" w:hAnsi="Arial" w:cs="Arial"/>
        </w:rPr>
        <w:t>, with each step described in greater detail below.</w:t>
      </w:r>
    </w:p>
    <w:p w14:paraId="1C9A657B" w14:textId="77777777" w:rsidR="00BE51B1" w:rsidRDefault="00BE51B1" w:rsidP="00BE51B1">
      <w:pPr>
        <w:spacing w:line="257" w:lineRule="auto"/>
        <w:jc w:val="center"/>
        <w:rPr>
          <w:rFonts w:ascii="Arial" w:eastAsia="Calibri" w:hAnsi="Arial" w:cs="Arial"/>
          <w:b/>
          <w:bCs/>
        </w:rPr>
      </w:pPr>
      <w:r>
        <w:rPr>
          <w:rFonts w:ascii="Arial" w:eastAsia="Calibri" w:hAnsi="Arial" w:cs="Arial"/>
          <w:b/>
          <w:bCs/>
          <w:noProof/>
        </w:rPr>
        <w:drawing>
          <wp:inline distT="0" distB="0" distL="0" distR="0" wp14:anchorId="332F5E3B" wp14:editId="7AA494D9">
            <wp:extent cx="5787899" cy="2714611"/>
            <wp:effectExtent l="0" t="0" r="3810" b="0"/>
            <wp:docPr id="635658657" name="Picture 13" descr="A diagram of exporting s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58657" name="Picture 13" descr="A diagram of exporting stages&#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88185" cy="2714745"/>
                    </a:xfrm>
                    <a:prstGeom prst="rect">
                      <a:avLst/>
                    </a:prstGeom>
                    <a:noFill/>
                  </pic:spPr>
                </pic:pic>
              </a:graphicData>
            </a:graphic>
          </wp:inline>
        </w:drawing>
      </w:r>
    </w:p>
    <w:p w14:paraId="3490F853" w14:textId="588AD3E8" w:rsidR="009F3AF4" w:rsidRPr="009F3AF4" w:rsidRDefault="009F3AF4" w:rsidP="009F3AF4">
      <w:pPr>
        <w:pStyle w:val="Caption"/>
      </w:pPr>
      <w:bookmarkStart w:id="80" w:name="_Ref214445014"/>
      <w:bookmarkStart w:id="81" w:name="_Toc211272399"/>
      <w:r>
        <w:t xml:space="preserve">Figure </w:t>
      </w:r>
      <w:fldSimple w:instr=" SEQ Figure \* ARABIC ">
        <w:r w:rsidR="00E1763F">
          <w:rPr>
            <w:noProof/>
          </w:rPr>
          <w:t>16</w:t>
        </w:r>
      </w:fldSimple>
      <w:bookmarkEnd w:id="80"/>
      <w:r w:rsidRPr="009F3AF4">
        <w:t>: Flowchart for the development of an international trading matrix</w:t>
      </w:r>
      <w:bookmarkEnd w:id="81"/>
    </w:p>
    <w:p w14:paraId="57C42460" w14:textId="77777777" w:rsidR="009F3AF4" w:rsidRPr="00766470" w:rsidRDefault="009F3AF4" w:rsidP="00BE51B1">
      <w:pPr>
        <w:spacing w:line="257" w:lineRule="auto"/>
        <w:jc w:val="center"/>
        <w:rPr>
          <w:rFonts w:ascii="Arial" w:eastAsia="Calibri" w:hAnsi="Arial" w:cs="Arial"/>
          <w:b/>
          <w:bCs/>
        </w:rPr>
      </w:pPr>
    </w:p>
    <w:p w14:paraId="6A33D495" w14:textId="77777777" w:rsidR="00BE51B1" w:rsidRPr="00766470" w:rsidRDefault="00BE51B1" w:rsidP="00BE51B1">
      <w:pPr>
        <w:pStyle w:val="Heading3"/>
        <w:rPr>
          <w:rFonts w:ascii="Arial" w:hAnsi="Arial" w:cs="Arial"/>
          <w:b/>
          <w:bCs/>
          <w:sz w:val="22"/>
          <w:szCs w:val="22"/>
        </w:rPr>
      </w:pPr>
      <w:bookmarkStart w:id="82" w:name="_Toc211272292"/>
      <w:r>
        <w:rPr>
          <w:rFonts w:ascii="Arial" w:hAnsi="Arial" w:cs="Arial"/>
          <w:b/>
          <w:bCs/>
          <w:sz w:val="22"/>
          <w:szCs w:val="22"/>
        </w:rPr>
        <w:t>4</w:t>
      </w:r>
      <w:r w:rsidRPr="00766470">
        <w:rPr>
          <w:rFonts w:ascii="Arial" w:hAnsi="Arial" w:cs="Arial"/>
          <w:b/>
          <w:bCs/>
          <w:sz w:val="22"/>
          <w:szCs w:val="22"/>
        </w:rPr>
        <w:t>.1.1</w:t>
      </w:r>
      <w:r>
        <w:rPr>
          <w:rFonts w:ascii="Arial" w:hAnsi="Arial" w:cs="Arial"/>
          <w:b/>
          <w:bCs/>
          <w:sz w:val="22"/>
          <w:szCs w:val="22"/>
        </w:rPr>
        <w:t xml:space="preserve"> </w:t>
      </w:r>
      <w:r w:rsidRPr="00766470">
        <w:rPr>
          <w:rFonts w:ascii="Arial" w:hAnsi="Arial" w:cs="Arial"/>
          <w:b/>
          <w:bCs/>
          <w:sz w:val="22"/>
          <w:szCs w:val="22"/>
        </w:rPr>
        <w:t>Processed minerals of interest were matched against international trade data.</w:t>
      </w:r>
      <w:bookmarkEnd w:id="82"/>
      <w:r w:rsidRPr="00766470">
        <w:rPr>
          <w:rFonts w:ascii="Arial" w:hAnsi="Arial" w:cs="Arial"/>
          <w:b/>
          <w:bCs/>
          <w:sz w:val="22"/>
          <w:szCs w:val="22"/>
        </w:rPr>
        <w:t xml:space="preserve"> </w:t>
      </w:r>
    </w:p>
    <w:p w14:paraId="616F3B1C" w14:textId="2B003F4D" w:rsidR="00BE51B1" w:rsidRPr="00766470" w:rsidRDefault="00BE51B1" w:rsidP="00BE51B1">
      <w:pPr>
        <w:spacing w:line="257" w:lineRule="auto"/>
        <w:jc w:val="both"/>
        <w:rPr>
          <w:rFonts w:ascii="Arial" w:eastAsia="Calibri" w:hAnsi="Arial" w:cs="Arial"/>
        </w:rPr>
      </w:pPr>
      <w:r>
        <w:rPr>
          <w:rFonts w:ascii="Arial" w:eastAsia="Calibri" w:hAnsi="Arial" w:cs="Arial"/>
        </w:rPr>
        <w:br/>
      </w:r>
      <w:r w:rsidRPr="00766470">
        <w:rPr>
          <w:rFonts w:ascii="Arial" w:eastAsia="Calibri" w:hAnsi="Arial" w:cs="Arial"/>
        </w:rPr>
        <w:t xml:space="preserve">To have an accurate estimation of material flows, ideally mine-level information regarding the tonnage of mineral produced, processed, and shipped to various locations globally would be needed. Unfortunately, such detailed information is not available. However, it is known that mineral production in Africa is predominantly export-oriented </w:t>
      </w:r>
      <w:r w:rsidRPr="00766470">
        <w:rPr>
          <w:rFonts w:ascii="Arial" w:eastAsia="Calibri" w:hAnsi="Arial" w:cs="Arial"/>
        </w:rPr>
        <w:fldChar w:fldCharType="begin"/>
      </w:r>
      <w:r w:rsidR="007E07E0">
        <w:rPr>
          <w:rFonts w:ascii="Arial" w:eastAsia="Calibri" w:hAnsi="Arial" w:cs="Arial"/>
        </w:rPr>
        <w:instrText xml:space="preserve"> ADDIN ZOTERO_ITEM CSL_CITATION {"citationID":"JsZvnQkW","properties":{"formattedCitation":"\\super 90\\nosupersub{}","plainCitation":"90","noteIndex":0},"citationItems":[{"id":1912,"uris":["http://zotero.org/users/10918866/items/ZCNJNYNQ"],"itemData":{"id":1912,"type":"article-journal","abstract":"There is currently an exponential growth in the global demand for critical minerals, particularly lithium, to meet clean energy and decarbonisation objectives. However, sustainable supply of these minerals is at risk due to declining ore grades, available extraction and processing technologies, socio-environmental concerns, and geopolitical challenges. Africa hosts substantial critical minerals resources, and the continent is currently being positioned as a major global player in the critical minerals supply chain. As a result, there is a rush for Africa's critical mineral resources through investment in exploration activities and license acquisition by foreign mining companies. Drawing on the case of lithium mining in Africa, we analysed the urgency claims of critical minerals in the African context and assessed the inherent socio-ecological impacts. We found that the urgency claims of critical minerals largely serve the geostrategic and economic interests of western countries and China. The rush for Africa's critical minerals is producing significant socio-ecological impacts, including driving loss of rich biodiversity, displacement of communities and breeding new forms of illegalities in the resource sector. Based on our findings, we argue that the current race for Africa's critical mineral resources does not serve the interest of Africa and it is likely to create adverse long-term socio-ecological impacts rather than benefits for the continent unless appropriate sustainable measures, including strategic planning, are carefully considered, and fully implemented. Our findings have implications for policies seeking to promote sustainable and responsible mining in Africa, and elsewhere with similar challenges.","container-title":"Resources Policy","DOI":"10.1016/j.resourpol.2024.105046","ISSN":"0301-4207","journalAbbreviation":"Resources Policy","page":"105046","source":"ScienceDirect","title":"The race for critical minerals in Africa: A blessing or another resource curse?","title-short":"The race for critical minerals in Africa","volume":"93","author":[{"family":"Boafo","given":"James"},{"family":"Obodai","given":"Jacob"},{"family":"Stemn","given":"Eric"},{"family":"Nkrumah","given":"Philip Nti"}],"issued":{"date-parts":[["2024",6,1]]}}}],"schema":"https://github.com/citation-style-language/schema/raw/master/csl-citation.json"}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90</w:t>
      </w:r>
      <w:r w:rsidRPr="00766470">
        <w:rPr>
          <w:rFonts w:ascii="Arial" w:eastAsia="Calibri" w:hAnsi="Arial" w:cs="Arial"/>
        </w:rPr>
        <w:fldChar w:fldCharType="end"/>
      </w:r>
      <w:r w:rsidRPr="00766470">
        <w:rPr>
          <w:rFonts w:ascii="Arial" w:eastAsia="Calibri" w:hAnsi="Arial" w:cs="Arial"/>
        </w:rPr>
        <w:t xml:space="preserve">, suggesting that global trade datasets could be used to determine material flows between countries.  </w:t>
      </w:r>
    </w:p>
    <w:p w14:paraId="033B78FE" w14:textId="6E7A9A06" w:rsidR="00BE51B1" w:rsidRPr="00766470" w:rsidRDefault="00BE51B1" w:rsidP="00BE51B1">
      <w:pPr>
        <w:spacing w:after="0"/>
        <w:jc w:val="both"/>
        <w:rPr>
          <w:rFonts w:ascii="Arial" w:eastAsia="Calibri" w:hAnsi="Arial" w:cs="Arial"/>
        </w:rPr>
      </w:pPr>
      <w:r w:rsidRPr="00766470">
        <w:rPr>
          <w:rFonts w:ascii="Arial" w:eastAsia="Calibri" w:hAnsi="Arial" w:cs="Arial"/>
        </w:rPr>
        <w:t>The reference global database of international trade at product level is BACI (</w:t>
      </w:r>
      <w:r w:rsidRPr="00766470">
        <w:rPr>
          <w:rFonts w:ascii="Arial" w:hAnsi="Arial" w:cs="Arial"/>
        </w:rPr>
        <w:t>Base pour l’Analyse du Commerce International</w:t>
      </w:r>
      <w:r w:rsidRPr="00766470">
        <w:rPr>
          <w:rFonts w:ascii="Arial" w:eastAsia="Calibri" w:hAnsi="Arial" w:cs="Arial"/>
        </w:rPr>
        <w:t>)</w:t>
      </w:r>
      <w:r w:rsidRPr="00766470">
        <w:rPr>
          <w:rFonts w:ascii="Arial" w:eastAsia="Calibri" w:hAnsi="Arial" w:cs="Arial"/>
        </w:rPr>
        <w:fldChar w:fldCharType="begin"/>
      </w:r>
      <w:r w:rsidR="007E07E0">
        <w:rPr>
          <w:rFonts w:ascii="Arial" w:eastAsia="Calibri" w:hAnsi="Arial" w:cs="Arial"/>
        </w:rPr>
        <w:instrText xml:space="preserve"> ADDIN ZOTERO_ITEM CSL_CITATION {"citationID":"3qPXPc3r","properties":{"formattedCitation":"\\super 91\\nosupersub{}","plainCitation":"91","noteIndex":0},"citationItems":[{"id":2087,"uris":["http://zotero.org/users/10918866/items/PR337KUB"],"itemData":{"id":2087,"type":"article-journal","abstract":"This paper documents the construction of BACI, our international trade database, which covers more than 200 countries and 5,000 products, between 1994 and 2007. New approaches have been developed to reconcile data reported by almost 150 countries to the United Nations Statistics Division, collated via COMTRADE. When both exporting and importing countries report to Comtrade, we have two different ﬁgures for the same ﬂow, so it is useful to reconcile these into a single ﬁgure. To do this, ﬁrstly, as import values are reported CIF (cost, insurance and freight) while exports are reported FOB (free on board), transport and insurance rates have to be estimated and removed from import values. We regress the observed CIF/FOB ratios for a given ﬂow on gravity variables and a product-speciﬁc world median unit value. In a second step we evaluate the reliability of countries reporting. We decompose the absolute value of the ratios of mirror ﬂows using a (weighted) variance analysis. These measures of the reliability of reported data are used as weights in the reconciliation of each bilateral trade ﬂow which is reported twice. Taking advantage of this bilateral information on each ﬂow, we end up with a large coverage of countries and more reliable data, especially in terms of unit-values. BACI is freely available online to users of COMTRADE database, in different product classiﬁcations.","container-title":"SSRN Electronic Journal","DOI":"10.2139/ssrn.1994500","ISSN":"1556-5068","journalAbbreviation":"SSRN Journal","language":"en","source":"DOI.org (Crossref)","title":"BACI: International Trade Database at the Product-Level (the 1994-2007 Version)","title-short":"BACI","URL":"http://www.ssrn.com/abstract=1994500","author":[{"family":"Gaulier","given":"Guillaume"},{"family":"Zignago","given":"Soledad"}],"accessed":{"date-parts":[["2024",11,19]]},"issued":{"date-parts":[["2010"]]}}}],"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91</w:t>
      </w:r>
      <w:r w:rsidRPr="00766470">
        <w:rPr>
          <w:rFonts w:ascii="Arial" w:eastAsia="Calibri" w:hAnsi="Arial" w:cs="Arial"/>
        </w:rPr>
        <w:fldChar w:fldCharType="end"/>
      </w:r>
      <w:r w:rsidRPr="00766470">
        <w:rPr>
          <w:rFonts w:ascii="Arial" w:eastAsia="Calibri" w:hAnsi="Arial" w:cs="Arial"/>
        </w:rPr>
        <w:t>, which is derived from the United Nations Commodity Trade Statistics Database</w:t>
      </w:r>
      <w:r w:rsidRPr="00766470">
        <w:rPr>
          <w:rFonts w:ascii="Arial" w:eastAsia="Calibri" w:hAnsi="Arial" w:cs="Arial"/>
        </w:rPr>
        <w:fldChar w:fldCharType="begin"/>
      </w:r>
      <w:r w:rsidR="007E07E0">
        <w:rPr>
          <w:rFonts w:ascii="Arial" w:eastAsia="Calibri" w:hAnsi="Arial" w:cs="Arial"/>
        </w:rPr>
        <w:instrText xml:space="preserve"> ADDIN ZOTERO_ITEM CSL_CITATION {"citationID":"JTVtPcqr","properties":{"formattedCitation":"\\super 92\\nosupersub{}","plainCitation":"92","noteIndex":0},"citationItems":[{"id":2088,"uris":["http://zotero.org/users/10918866/items/3B5PGPDE"],"itemData":{"id":2088,"type":"webpage","title":"UN Comtrade","URL":"https://comtradeplus.un.org/","author":[{"family":"United Nations","given":""}],"accessed":{"date-parts":[["2024",11,19]]},"issued":{"date-parts":[["2024"]]}}}],"schema":"https://github.com/citation-style-language/schema/raw/master/csl-citation.json"}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92</w:t>
      </w:r>
      <w:r w:rsidRPr="00766470">
        <w:rPr>
          <w:rFonts w:ascii="Arial" w:eastAsia="Calibri" w:hAnsi="Arial" w:cs="Arial"/>
        </w:rPr>
        <w:fldChar w:fldCharType="end"/>
      </w:r>
      <w:r w:rsidRPr="00766470">
        <w:rPr>
          <w:rFonts w:ascii="Arial" w:eastAsia="Calibri" w:hAnsi="Arial" w:cs="Arial"/>
        </w:rPr>
        <w:t>. BACI combines UN Comtrade data to give bilateral flows between 200 countries in both tonnes and US dollars for over 5,000 globally aggregated products as per a harmonised system (HS) of 6-digit product codes</w:t>
      </w:r>
      <w:r w:rsidRPr="00766470">
        <w:rPr>
          <w:rFonts w:ascii="Arial" w:eastAsia="Calibri" w:hAnsi="Arial" w:cs="Arial"/>
        </w:rPr>
        <w:fldChar w:fldCharType="begin"/>
      </w:r>
      <w:r w:rsidR="007E07E0">
        <w:rPr>
          <w:rFonts w:ascii="Arial" w:eastAsia="Calibri" w:hAnsi="Arial" w:cs="Arial"/>
        </w:rPr>
        <w:instrText xml:space="preserve"> ADDIN ZOTERO_ITEM CSL_CITATION {"citationID":"AIIend4g","properties":{"formattedCitation":"\\super 93\\nosupersub{}","plainCitation":"93","noteIndex":0},"citationItems":[{"id":2067,"uris":["http://zotero.org/users/10918866/items/287TDPAW"],"itemData":{"id":2067,"type":"webpage","title":"World Customs Organization - Harmonized System","URL":"https://www.wcoomd.org/en/topics/nomenclature/overview/what-is-the-harmonized-system.aspx","author":[{"family":"WCO","given":""}],"accessed":{"date-parts":[["2024",11,19]]},"issued":{"date-parts":[["2024"]]}}}],"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93</w:t>
      </w:r>
      <w:r w:rsidRPr="00766470">
        <w:rPr>
          <w:rFonts w:ascii="Arial" w:eastAsia="Calibri" w:hAnsi="Arial" w:cs="Arial"/>
        </w:rPr>
        <w:fldChar w:fldCharType="end"/>
      </w:r>
      <w:r w:rsidRPr="00766470">
        <w:rPr>
          <w:rFonts w:ascii="Arial" w:eastAsia="Calibri" w:hAnsi="Arial" w:cs="Arial"/>
        </w:rPr>
        <w:t xml:space="preserve">. </w:t>
      </w:r>
      <w:r>
        <w:rPr>
          <w:rFonts w:ascii="Arial" w:eastAsia="Calibri" w:hAnsi="Arial" w:cs="Arial"/>
        </w:rPr>
        <w:t xml:space="preserve">These HS digits include several minerals and commodities of them with some </w:t>
      </w:r>
      <w:r>
        <w:rPr>
          <w:rFonts w:ascii="Arial" w:eastAsia="Calibri" w:hAnsi="Arial" w:cs="Arial"/>
        </w:rPr>
        <w:lastRenderedPageBreak/>
        <w:t>logic. In some cases, the codes are used for unique enough types of compounds, while in other cases, compounds are grouped into a single category.</w:t>
      </w:r>
      <w:r w:rsidRPr="00766470">
        <w:rPr>
          <w:rFonts w:ascii="Arial" w:eastAsia="Calibri" w:hAnsi="Arial" w:cs="Arial"/>
        </w:rPr>
        <w:t xml:space="preserve"> </w:t>
      </w:r>
    </w:p>
    <w:p w14:paraId="1B9D5742" w14:textId="77777777" w:rsidR="00BE51B1" w:rsidRPr="00766470" w:rsidRDefault="00BE51B1" w:rsidP="00BE51B1">
      <w:pPr>
        <w:spacing w:after="0" w:line="240" w:lineRule="auto"/>
        <w:jc w:val="both"/>
        <w:rPr>
          <w:rFonts w:ascii="Arial" w:eastAsia="Calibri" w:hAnsi="Arial" w:cs="Arial"/>
        </w:rPr>
      </w:pPr>
    </w:p>
    <w:p w14:paraId="7E292E2E" w14:textId="6AE2708D" w:rsidR="00BE51B1" w:rsidRPr="00766470" w:rsidRDefault="00BE51B1" w:rsidP="00BE51B1">
      <w:pPr>
        <w:spacing w:after="0"/>
        <w:jc w:val="both"/>
        <w:rPr>
          <w:rFonts w:ascii="Arial" w:eastAsia="Calibri" w:hAnsi="Arial" w:cs="Arial"/>
        </w:rPr>
      </w:pPr>
      <w:r w:rsidRPr="00766470">
        <w:rPr>
          <w:rFonts w:ascii="Arial" w:eastAsia="Calibri" w:hAnsi="Arial" w:cs="Arial"/>
        </w:rPr>
        <w:t>From BACI</w:t>
      </w:r>
      <w:r>
        <w:rPr>
          <w:rFonts w:ascii="Arial" w:eastAsia="Calibri" w:hAnsi="Arial" w:cs="Arial"/>
        </w:rPr>
        <w:t>,</w:t>
      </w:r>
      <w:r w:rsidRPr="00766470">
        <w:rPr>
          <w:rFonts w:ascii="Arial" w:eastAsia="Calibri" w:hAnsi="Arial" w:cs="Arial"/>
        </w:rPr>
        <w:t xml:space="preserve"> specific product names and codes that best match the different minerals and their stages were mapped and </w:t>
      </w:r>
      <w:r>
        <w:rPr>
          <w:rFonts w:ascii="Arial" w:eastAsia="Calibri" w:hAnsi="Arial" w:cs="Arial"/>
        </w:rPr>
        <w:t xml:space="preserve">used to extract </w:t>
      </w:r>
      <w:r w:rsidRPr="00766470">
        <w:rPr>
          <w:rFonts w:ascii="Arial" w:eastAsia="Calibri" w:hAnsi="Arial" w:cs="Arial"/>
        </w:rPr>
        <w:t>their full global trade data. The outcome of the matching process is detailed in</w:t>
      </w:r>
      <w:r w:rsidR="00B8490A">
        <w:rPr>
          <w:rFonts w:ascii="Arial" w:eastAsia="Calibri" w:hAnsi="Arial" w:cs="Arial"/>
          <w:b/>
          <w:bCs/>
        </w:rPr>
        <w:t xml:space="preserve"> </w:t>
      </w:r>
      <w:r w:rsidR="00B8490A">
        <w:rPr>
          <w:rFonts w:ascii="Arial" w:eastAsia="Calibri" w:hAnsi="Arial" w:cs="Arial"/>
          <w:b/>
          <w:bCs/>
        </w:rPr>
        <w:fldChar w:fldCharType="begin"/>
      </w:r>
      <w:r w:rsidR="00B8490A">
        <w:rPr>
          <w:rFonts w:ascii="Arial" w:eastAsia="Calibri" w:hAnsi="Arial" w:cs="Arial"/>
          <w:b/>
          <w:bCs/>
        </w:rPr>
        <w:instrText xml:space="preserve"> REF _Ref214445039 \h </w:instrText>
      </w:r>
      <w:r w:rsidR="00B8490A">
        <w:rPr>
          <w:rFonts w:ascii="Arial" w:eastAsia="Calibri" w:hAnsi="Arial" w:cs="Arial"/>
          <w:b/>
          <w:bCs/>
        </w:rPr>
      </w:r>
      <w:r w:rsidR="00B8490A">
        <w:rPr>
          <w:rFonts w:ascii="Arial" w:eastAsia="Calibri" w:hAnsi="Arial" w:cs="Arial"/>
          <w:b/>
          <w:bCs/>
        </w:rPr>
        <w:fldChar w:fldCharType="separate"/>
      </w:r>
      <w:r w:rsidR="00B8490A">
        <w:t xml:space="preserve">Table </w:t>
      </w:r>
      <w:r w:rsidR="00B8490A">
        <w:rPr>
          <w:noProof/>
        </w:rPr>
        <w:t>11</w:t>
      </w:r>
      <w:r w:rsidR="00B8490A">
        <w:rPr>
          <w:rFonts w:ascii="Arial" w:eastAsia="Calibri" w:hAnsi="Arial" w:cs="Arial"/>
          <w:b/>
          <w:bCs/>
        </w:rPr>
        <w:fldChar w:fldCharType="end"/>
      </w:r>
      <w:r w:rsidRPr="00766470">
        <w:rPr>
          <w:rFonts w:ascii="Arial" w:eastAsia="Calibri" w:hAnsi="Arial" w:cs="Arial"/>
        </w:rPr>
        <w:t>, highlighting varying degrees of correspondence between mineral processing stages of interest to this study and BACI codes. The main points of note are as follows.</w:t>
      </w:r>
    </w:p>
    <w:p w14:paraId="0CDD9C31" w14:textId="18E2C5A1" w:rsidR="00BE51B1" w:rsidRPr="00766470"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Cobalt</w:t>
      </w:r>
      <w:r>
        <w:rPr>
          <w:rFonts w:ascii="Arial" w:hAnsi="Arial" w:cs="Arial"/>
        </w:rPr>
        <w:t>: Stage 4.1 (hydroxide) is supposed to be mapped directly to its BACI code. However, an analysis if production revealed that DRC reports stage 4.1 in the code 810520. Thus, such code was used for stage 4.1 in most countries except for Zambia and Madagascar where some mines produce cobalt metal (stage 3) in which case, this is the category corresponding to it.</w:t>
      </w:r>
      <w:r w:rsidRPr="00766470">
        <w:rPr>
          <w:rFonts w:ascii="Arial" w:hAnsi="Arial" w:cs="Arial"/>
        </w:rPr>
        <w:t xml:space="preserve"> There was no BACI code corresponding to Stage 5 processing, which was instead proxied by the broader code </w:t>
      </w:r>
      <w:r w:rsidRPr="00766470">
        <w:rPr>
          <w:rFonts w:ascii="Arial" w:eastAsia="Calibri" w:hAnsi="Arial" w:cs="Arial"/>
        </w:rPr>
        <w:t xml:space="preserve">283329: “Sulphates: n.e.c. in item no 2833.2” </w:t>
      </w:r>
      <w:r w:rsidRPr="00766470">
        <w:rPr>
          <w:rFonts w:ascii="Arial" w:eastAsia="Calibri" w:hAnsi="Arial" w:cs="Arial"/>
        </w:rPr>
        <w:fldChar w:fldCharType="begin"/>
      </w:r>
      <w:r w:rsidR="007E07E0">
        <w:rPr>
          <w:rFonts w:ascii="Arial" w:eastAsia="Calibri" w:hAnsi="Arial" w:cs="Arial"/>
        </w:rPr>
        <w:instrText xml:space="preserve"> ADDIN ZOTERO_ITEM CSL_CITATION {"citationID":"7C96LJ1D","properties":{"formattedCitation":"\\super 94\\nosupersub{}","plainCitation":"94","noteIndex":0},"citationItems":[{"id":2080,"uris":["http://zotero.org/users/10918866/items/CE3STWS6"],"itemData":{"id":2080,"type":"webpage","title":"Global Value Chains: Cobalt in Lithium-ion Batteries for Electric Vehicles","URL":"https://www.usitc.gov/publications/332/working_papers/id_wp_cobalt_final_052120-compliant.pdf","author":[{"family":"Matthews","given":"Daniel"}],"accessed":{"date-parts":[["2024",11,19]]},"issued":{"date-parts":[["2020"]]}}}],"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94</w:t>
      </w:r>
      <w:r w:rsidRPr="00766470">
        <w:rPr>
          <w:rFonts w:ascii="Arial" w:eastAsia="Calibri" w:hAnsi="Arial" w:cs="Arial"/>
        </w:rPr>
        <w:fldChar w:fldCharType="end"/>
      </w:r>
      <w:r w:rsidRPr="00766470">
        <w:rPr>
          <w:rFonts w:ascii="Arial" w:eastAsia="Calibri" w:hAnsi="Arial" w:cs="Arial"/>
        </w:rPr>
        <w:t>.</w:t>
      </w:r>
    </w:p>
    <w:p w14:paraId="2CBDB27C" w14:textId="77777777" w:rsidR="00BE51B1" w:rsidRPr="00766470"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Copper</w:t>
      </w:r>
      <w:r>
        <w:rPr>
          <w:rFonts w:ascii="Arial" w:hAnsi="Arial" w:cs="Arial"/>
          <w:u w:val="single"/>
        </w:rPr>
        <w:t>:</w:t>
      </w:r>
      <w:r w:rsidRPr="00766470">
        <w:rPr>
          <w:rFonts w:ascii="Arial" w:hAnsi="Arial" w:cs="Arial"/>
        </w:rPr>
        <w:t xml:space="preserve"> T</w:t>
      </w:r>
      <w:r w:rsidRPr="00766470">
        <w:rPr>
          <w:rFonts w:ascii="Arial" w:eastAsia="Calibri" w:hAnsi="Arial" w:cs="Arial"/>
        </w:rPr>
        <w:t xml:space="preserve">here was a direct one-to-one mapping between the identified mineral processing stages and the BACI commodity codes. </w:t>
      </w:r>
    </w:p>
    <w:p w14:paraId="0474F8BF" w14:textId="77777777" w:rsidR="00BE51B1" w:rsidRPr="00766470"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Graphite</w:t>
      </w:r>
      <w:r>
        <w:rPr>
          <w:rFonts w:ascii="Arial" w:hAnsi="Arial" w:cs="Arial"/>
          <w:u w:val="single"/>
        </w:rPr>
        <w:t>:</w:t>
      </w:r>
      <w:r w:rsidRPr="00766470">
        <w:rPr>
          <w:rFonts w:ascii="Arial" w:hAnsi="Arial" w:cs="Arial"/>
        </w:rPr>
        <w:t xml:space="preserve"> There </w:t>
      </w:r>
      <w:r>
        <w:rPr>
          <w:rFonts w:ascii="Arial" w:hAnsi="Arial" w:cs="Arial"/>
        </w:rPr>
        <w:t>are two</w:t>
      </w:r>
      <w:r w:rsidRPr="00766470">
        <w:rPr>
          <w:rFonts w:ascii="Arial" w:hAnsi="Arial" w:cs="Arial"/>
        </w:rPr>
        <w:t xml:space="preserve"> BACI code corresponding to graphite, </w:t>
      </w:r>
      <w:r w:rsidRPr="00766470">
        <w:rPr>
          <w:rFonts w:ascii="Arial" w:eastAsia="Calibri" w:hAnsi="Arial" w:cs="Arial"/>
        </w:rPr>
        <w:t xml:space="preserve">250410, “graphite: nature, power or in flakes”, </w:t>
      </w:r>
      <w:r>
        <w:rPr>
          <w:rFonts w:ascii="Arial" w:eastAsia="Calibri" w:hAnsi="Arial" w:cs="Arial"/>
        </w:rPr>
        <w:t xml:space="preserve">and </w:t>
      </w:r>
      <w:r w:rsidRPr="00BA72E9">
        <w:rPr>
          <w:rFonts w:ascii="Arial" w:eastAsia="Calibri" w:hAnsi="Arial" w:cs="Arial"/>
        </w:rPr>
        <w:t>250490</w:t>
      </w:r>
      <w:r>
        <w:rPr>
          <w:rFonts w:ascii="Arial" w:eastAsia="Calibri" w:hAnsi="Arial" w:cs="Arial"/>
        </w:rPr>
        <w:t>, “</w:t>
      </w:r>
      <w:r w:rsidRPr="00BA72E9">
        <w:rPr>
          <w:rFonts w:ascii="Arial" w:eastAsia="Calibri" w:hAnsi="Arial" w:cs="Arial"/>
        </w:rPr>
        <w:t>graphite: natural, in other forms, excluding powder or flakes</w:t>
      </w:r>
      <w:r>
        <w:rPr>
          <w:rFonts w:ascii="Arial" w:eastAsia="Calibri" w:hAnsi="Arial" w:cs="Arial"/>
        </w:rPr>
        <w:t>”</w:t>
      </w:r>
      <w:r>
        <w:rPr>
          <w:rFonts w:ascii="Arial" w:hAnsi="Arial" w:cs="Arial"/>
        </w:rPr>
        <w:t xml:space="preserve">. Code 250410 </w:t>
      </w:r>
      <w:r w:rsidRPr="00766470">
        <w:rPr>
          <w:rFonts w:ascii="Arial" w:hAnsi="Arial" w:cs="Arial"/>
        </w:rPr>
        <w:t xml:space="preserve">was used as a proxy of trading patterns for </w:t>
      </w:r>
      <w:r>
        <w:rPr>
          <w:rFonts w:ascii="Arial" w:hAnsi="Arial" w:cs="Arial"/>
        </w:rPr>
        <w:t>stages past beneficiation (stage 1)</w:t>
      </w:r>
      <w:r w:rsidRPr="00766470">
        <w:rPr>
          <w:rFonts w:ascii="Arial" w:hAnsi="Arial" w:cs="Arial"/>
        </w:rPr>
        <w:t>.</w:t>
      </w:r>
      <w:r>
        <w:rPr>
          <w:rFonts w:ascii="Arial" w:hAnsi="Arial" w:cs="Arial"/>
        </w:rPr>
        <w:t xml:space="preserve"> </w:t>
      </w:r>
    </w:p>
    <w:p w14:paraId="1677659F" w14:textId="2B8270BA" w:rsidR="00BE51B1" w:rsidRPr="00766470"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Lithium</w:t>
      </w:r>
      <w:r>
        <w:rPr>
          <w:rFonts w:ascii="Arial" w:hAnsi="Arial" w:cs="Arial"/>
        </w:rPr>
        <w:t>:</w:t>
      </w:r>
      <w:r w:rsidRPr="00766470">
        <w:rPr>
          <w:rFonts w:ascii="Arial" w:hAnsi="Arial" w:cs="Arial"/>
        </w:rPr>
        <w:t xml:space="preserve"> There was no BACI code for Stage 1 processing, which was proxied by the broader code </w:t>
      </w:r>
      <w:r w:rsidRPr="00766470">
        <w:rPr>
          <w:rFonts w:ascii="Arial" w:eastAsia="Calibri" w:hAnsi="Arial" w:cs="Arial"/>
        </w:rPr>
        <w:t xml:space="preserve">253090, “Arsenic sulfides, alunite, pozzolana, earth colours and other mineral substances, n.e.s.” </w:t>
      </w:r>
      <w:r w:rsidRPr="00766470">
        <w:rPr>
          <w:rFonts w:ascii="Arial" w:eastAsia="Calibri" w:hAnsi="Arial" w:cs="Arial"/>
        </w:rPr>
        <w:fldChar w:fldCharType="begin"/>
      </w:r>
      <w:r w:rsidR="007E07E0">
        <w:rPr>
          <w:rFonts w:ascii="Arial" w:eastAsia="Calibri" w:hAnsi="Arial" w:cs="Arial"/>
        </w:rPr>
        <w:instrText xml:space="preserve"> ADDIN ZOTERO_ITEM CSL_CITATION {"citationID":"ivKMFNLT","properties":{"formattedCitation":"\\super 95\\nosupersub{}","plainCitation":"95","noteIndex":0},"citationItems":[{"id":2072,"uris":["http://zotero.org/users/10918866/items/2333T3EQ"],"itemData":{"id":2072,"type":"article-journal","language":"en","source":"Zotero","title":"Technical note on critical minerals: Supply chains, trade flows and value addition","URL":"https://unctad.org/system/files/official-document/ditcmisc2023d1_en_0.pdf","author":[{"family":"UNCTAD","given":""}],"accessed":{"date-parts":[["2024",11,19]]},"issued":{"date-parts":[["2023"]]}}}],"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95</w:t>
      </w:r>
      <w:r w:rsidRPr="00766470">
        <w:rPr>
          <w:rFonts w:ascii="Arial" w:eastAsia="Calibri" w:hAnsi="Arial" w:cs="Arial"/>
        </w:rPr>
        <w:fldChar w:fldCharType="end"/>
      </w:r>
      <w:r w:rsidRPr="00766470">
        <w:rPr>
          <w:rFonts w:ascii="Arial" w:eastAsia="Calibri" w:hAnsi="Arial" w:cs="Arial"/>
        </w:rPr>
        <w:t>.</w:t>
      </w:r>
      <w:r>
        <w:rPr>
          <w:rFonts w:ascii="Arial" w:eastAsia="Calibri" w:hAnsi="Arial" w:cs="Arial"/>
        </w:rPr>
        <w:t xml:space="preserve"> This code is known to contain lithium products of interest.</w:t>
      </w:r>
    </w:p>
    <w:p w14:paraId="7D823B02" w14:textId="77777777" w:rsidR="00BE51B1" w:rsidRPr="00766470"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Manganese</w:t>
      </w:r>
      <w:r>
        <w:rPr>
          <w:rFonts w:ascii="Arial" w:hAnsi="Arial" w:cs="Arial"/>
          <w:u w:val="single"/>
        </w:rPr>
        <w:t>:</w:t>
      </w:r>
      <w:r w:rsidRPr="00766470">
        <w:rPr>
          <w:rFonts w:ascii="Arial" w:hAnsi="Arial" w:cs="Arial"/>
        </w:rPr>
        <w:t xml:space="preserve"> There was no BACI code for Stage 5 processing, which was instead captured under a broader code </w:t>
      </w:r>
      <w:r w:rsidRPr="00766470">
        <w:rPr>
          <w:rFonts w:ascii="Arial" w:eastAsia="Calibri" w:hAnsi="Arial" w:cs="Arial"/>
        </w:rPr>
        <w:t>283329: “Sulphates: n.e.c. in item no 2833.2” (Matthews, 2020).</w:t>
      </w:r>
      <w:r>
        <w:rPr>
          <w:rFonts w:ascii="Arial" w:eastAsia="Calibri" w:hAnsi="Arial" w:cs="Arial"/>
        </w:rPr>
        <w:t xml:space="preserve"> Generally, there is a low representation of manganese trade compared to mineral production.</w:t>
      </w:r>
    </w:p>
    <w:p w14:paraId="081EA90D" w14:textId="77777777" w:rsidR="00BE51B1" w:rsidRPr="0089076B" w:rsidRDefault="00BE51B1" w:rsidP="00BE51B1">
      <w:pPr>
        <w:pStyle w:val="ListParagraph"/>
        <w:numPr>
          <w:ilvl w:val="0"/>
          <w:numId w:val="22"/>
        </w:numPr>
        <w:spacing w:after="0" w:line="259" w:lineRule="auto"/>
        <w:jc w:val="both"/>
        <w:rPr>
          <w:rFonts w:ascii="Arial" w:hAnsi="Arial" w:cs="Arial"/>
        </w:rPr>
      </w:pPr>
      <w:r w:rsidRPr="00766470">
        <w:rPr>
          <w:rFonts w:ascii="Arial" w:hAnsi="Arial" w:cs="Arial"/>
          <w:u w:val="single"/>
        </w:rPr>
        <w:t>Nickel</w:t>
      </w:r>
      <w:r>
        <w:rPr>
          <w:rFonts w:ascii="Arial" w:hAnsi="Arial" w:cs="Arial"/>
        </w:rPr>
        <w:t>:</w:t>
      </w:r>
      <w:r w:rsidRPr="00766470">
        <w:rPr>
          <w:rFonts w:ascii="Arial" w:hAnsi="Arial" w:cs="Arial"/>
        </w:rPr>
        <w:t xml:space="preserve"> </w:t>
      </w:r>
      <w:r w:rsidRPr="003111F7">
        <w:rPr>
          <w:rFonts w:ascii="Arial" w:hAnsi="Arial" w:cs="Arial"/>
        </w:rPr>
        <w:t>T</w:t>
      </w:r>
      <w:r w:rsidRPr="003111F7">
        <w:rPr>
          <w:rFonts w:ascii="Arial" w:eastAsia="Calibri" w:hAnsi="Arial" w:cs="Arial"/>
        </w:rPr>
        <w:t>here was a direct one-to-one mapping between the identified mineral processing stages and the BACI commodity codes.</w:t>
      </w:r>
    </w:p>
    <w:p w14:paraId="1B480BCD" w14:textId="77777777" w:rsidR="00BE51B1" w:rsidRDefault="00BE51B1" w:rsidP="00BE51B1">
      <w:pPr>
        <w:rPr>
          <w:rFonts w:ascii="Arial" w:hAnsi="Arial" w:cs="Arial"/>
        </w:rPr>
      </w:pPr>
      <w:r>
        <w:rPr>
          <w:rFonts w:ascii="Arial" w:hAnsi="Arial" w:cs="Arial"/>
        </w:rPr>
        <w:br w:type="page"/>
      </w:r>
    </w:p>
    <w:p w14:paraId="35F9742A" w14:textId="77777777" w:rsidR="00BE51B1" w:rsidRPr="00766470" w:rsidRDefault="00BE51B1" w:rsidP="00BE51B1">
      <w:pPr>
        <w:spacing w:after="0"/>
        <w:jc w:val="center"/>
        <w:rPr>
          <w:rFonts w:ascii="Arial" w:hAnsi="Arial" w:cs="Arial"/>
          <w:color w:val="A02B93" w:themeColor="accent5"/>
          <w:sz w:val="20"/>
          <w:szCs w:val="20"/>
        </w:rPr>
      </w:pPr>
    </w:p>
    <w:p w14:paraId="3DEA4E0B" w14:textId="29B66572" w:rsidR="00BE51B1" w:rsidRPr="009F3AF4" w:rsidRDefault="00B8490A" w:rsidP="00B8490A">
      <w:pPr>
        <w:pStyle w:val="Caption"/>
      </w:pPr>
      <w:bookmarkStart w:id="83" w:name="_Ref214445039"/>
      <w:bookmarkStart w:id="84" w:name="_Toc211509406"/>
      <w:r>
        <w:t xml:space="preserve">Table </w:t>
      </w:r>
      <w:fldSimple w:instr=" SEQ Table \* ARABIC ">
        <w:r w:rsidR="00615C28">
          <w:t>11</w:t>
        </w:r>
      </w:fldSimple>
      <w:bookmarkEnd w:id="83"/>
      <w:r w:rsidR="00BE51B1" w:rsidRPr="009F3AF4">
        <w:t>: BACI codes matched to mineral refining stage</w:t>
      </w:r>
      <w:bookmarkEnd w:id="84"/>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9"/>
        <w:gridCol w:w="6090"/>
        <w:gridCol w:w="994"/>
        <w:gridCol w:w="1227"/>
      </w:tblGrid>
      <w:tr w:rsidR="00BE51B1" w:rsidRPr="00AE3744" w14:paraId="6F4B3CF9" w14:textId="77777777" w:rsidTr="00877C15">
        <w:trPr>
          <w:trHeight w:val="320"/>
        </w:trPr>
        <w:tc>
          <w:tcPr>
            <w:tcW w:w="393" w:type="pct"/>
            <w:noWrap/>
            <w:vAlign w:val="bottom"/>
            <w:hideMark/>
          </w:tcPr>
          <w:p w14:paraId="60C0CD37" w14:textId="77777777" w:rsidR="00BE51B1" w:rsidRPr="00E434C9" w:rsidRDefault="00BE51B1" w:rsidP="00877C15">
            <w:pPr>
              <w:spacing w:after="0" w:line="240" w:lineRule="auto"/>
              <w:rPr>
                <w:rFonts w:ascii="Arial" w:eastAsia="Times New Roman" w:hAnsi="Arial" w:cs="Arial"/>
                <w:kern w:val="0"/>
                <w:sz w:val="18"/>
                <w:szCs w:val="18"/>
                <w:lang w:eastAsia="en-GB"/>
                <w14:ligatures w14:val="none"/>
              </w:rPr>
            </w:pPr>
          </w:p>
        </w:tc>
        <w:tc>
          <w:tcPr>
            <w:tcW w:w="3376" w:type="pct"/>
            <w:noWrap/>
            <w:vAlign w:val="bottom"/>
            <w:hideMark/>
          </w:tcPr>
          <w:p w14:paraId="5F8DB349"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BACI product description</w:t>
            </w:r>
          </w:p>
        </w:tc>
        <w:tc>
          <w:tcPr>
            <w:tcW w:w="551" w:type="pct"/>
            <w:noWrap/>
            <w:vAlign w:val="bottom"/>
            <w:hideMark/>
          </w:tcPr>
          <w:p w14:paraId="5A23DE78"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BACI code</w:t>
            </w:r>
          </w:p>
        </w:tc>
        <w:tc>
          <w:tcPr>
            <w:tcW w:w="680" w:type="pct"/>
            <w:noWrap/>
            <w:vAlign w:val="bottom"/>
            <w:hideMark/>
          </w:tcPr>
          <w:p w14:paraId="2D1A9177"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Refining stage</w:t>
            </w:r>
          </w:p>
        </w:tc>
      </w:tr>
      <w:tr w:rsidR="00BE51B1" w:rsidRPr="00AE3744" w14:paraId="097F43B4" w14:textId="77777777" w:rsidTr="00877C15">
        <w:trPr>
          <w:trHeight w:val="320"/>
        </w:trPr>
        <w:tc>
          <w:tcPr>
            <w:tcW w:w="393" w:type="pct"/>
            <w:vMerge w:val="restart"/>
            <w:shd w:val="clear" w:color="000000" w:fill="F1A983"/>
            <w:noWrap/>
            <w:vAlign w:val="center"/>
            <w:hideMark/>
          </w:tcPr>
          <w:p w14:paraId="346F05E2"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Cu</w:t>
            </w:r>
          </w:p>
        </w:tc>
        <w:tc>
          <w:tcPr>
            <w:tcW w:w="3376" w:type="pct"/>
            <w:shd w:val="clear" w:color="000000" w:fill="F1A983"/>
            <w:vAlign w:val="bottom"/>
            <w:hideMark/>
          </w:tcPr>
          <w:p w14:paraId="22417875"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copper ores and concentrates</w:t>
            </w:r>
          </w:p>
        </w:tc>
        <w:tc>
          <w:tcPr>
            <w:tcW w:w="551" w:type="pct"/>
            <w:shd w:val="clear" w:color="000000" w:fill="F1A983"/>
            <w:vAlign w:val="bottom"/>
            <w:hideMark/>
          </w:tcPr>
          <w:p w14:paraId="44B6F3AD"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260300</w:t>
            </w:r>
          </w:p>
        </w:tc>
        <w:tc>
          <w:tcPr>
            <w:tcW w:w="680" w:type="pct"/>
            <w:shd w:val="clear" w:color="000000" w:fill="F1A983"/>
            <w:vAlign w:val="bottom"/>
            <w:hideMark/>
          </w:tcPr>
          <w:p w14:paraId="39AEFF27"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7C4D943F" w14:textId="77777777" w:rsidTr="00877C15">
        <w:trPr>
          <w:trHeight w:val="320"/>
        </w:trPr>
        <w:tc>
          <w:tcPr>
            <w:tcW w:w="393" w:type="pct"/>
            <w:vMerge/>
            <w:vAlign w:val="center"/>
            <w:hideMark/>
          </w:tcPr>
          <w:p w14:paraId="7254FD45"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1A983"/>
            <w:vAlign w:val="bottom"/>
            <w:hideMark/>
          </w:tcPr>
          <w:p w14:paraId="418538B4"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copper: unrefined, copper anodes for electrolytic refining</w:t>
            </w:r>
          </w:p>
        </w:tc>
        <w:tc>
          <w:tcPr>
            <w:tcW w:w="551" w:type="pct"/>
            <w:shd w:val="clear" w:color="000000" w:fill="F1A983"/>
            <w:vAlign w:val="bottom"/>
            <w:hideMark/>
          </w:tcPr>
          <w:p w14:paraId="2EDD15F4"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740200</w:t>
            </w:r>
          </w:p>
        </w:tc>
        <w:tc>
          <w:tcPr>
            <w:tcW w:w="680" w:type="pct"/>
            <w:shd w:val="clear" w:color="000000" w:fill="F1A983"/>
            <w:vAlign w:val="bottom"/>
            <w:hideMark/>
          </w:tcPr>
          <w:p w14:paraId="729FECD5"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w:t>
            </w:r>
          </w:p>
        </w:tc>
      </w:tr>
      <w:tr w:rsidR="00BE51B1" w:rsidRPr="00AE3744" w14:paraId="47753FA8" w14:textId="77777777" w:rsidTr="00877C15">
        <w:trPr>
          <w:trHeight w:val="320"/>
        </w:trPr>
        <w:tc>
          <w:tcPr>
            <w:tcW w:w="393" w:type="pct"/>
            <w:vMerge/>
            <w:vAlign w:val="center"/>
            <w:hideMark/>
          </w:tcPr>
          <w:p w14:paraId="473D323E"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1A983"/>
            <w:vAlign w:val="bottom"/>
            <w:hideMark/>
          </w:tcPr>
          <w:p w14:paraId="11BD4A05"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copper: refined, unwrought, cathodes and sections of cathodes</w:t>
            </w:r>
          </w:p>
        </w:tc>
        <w:tc>
          <w:tcPr>
            <w:tcW w:w="551" w:type="pct"/>
            <w:shd w:val="clear" w:color="000000" w:fill="F1A983"/>
            <w:vAlign w:val="bottom"/>
            <w:hideMark/>
          </w:tcPr>
          <w:p w14:paraId="25CD5EF6"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740311</w:t>
            </w:r>
          </w:p>
        </w:tc>
        <w:tc>
          <w:tcPr>
            <w:tcW w:w="680" w:type="pct"/>
            <w:shd w:val="clear" w:color="000000" w:fill="F1A983"/>
            <w:vAlign w:val="bottom"/>
            <w:hideMark/>
          </w:tcPr>
          <w:p w14:paraId="52C0BF3C"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w:t>
            </w:r>
          </w:p>
        </w:tc>
      </w:tr>
      <w:tr w:rsidR="00BE51B1" w:rsidRPr="00AE3744" w14:paraId="4C8074A3" w14:textId="77777777" w:rsidTr="00877C15">
        <w:trPr>
          <w:trHeight w:val="320"/>
        </w:trPr>
        <w:tc>
          <w:tcPr>
            <w:tcW w:w="393" w:type="pct"/>
            <w:vMerge/>
            <w:vAlign w:val="center"/>
            <w:hideMark/>
          </w:tcPr>
          <w:p w14:paraId="7817E838"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1A983"/>
            <w:vAlign w:val="bottom"/>
            <w:hideMark/>
          </w:tcPr>
          <w:p w14:paraId="4834A487"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copper oxides and hydroxides</w:t>
            </w:r>
          </w:p>
        </w:tc>
        <w:tc>
          <w:tcPr>
            <w:tcW w:w="551" w:type="pct"/>
            <w:shd w:val="clear" w:color="000000" w:fill="F1A983"/>
            <w:vAlign w:val="bottom"/>
            <w:hideMark/>
          </w:tcPr>
          <w:p w14:paraId="2698B65F"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282550</w:t>
            </w:r>
          </w:p>
        </w:tc>
        <w:tc>
          <w:tcPr>
            <w:tcW w:w="680" w:type="pct"/>
            <w:shd w:val="clear" w:color="000000" w:fill="F1A983"/>
            <w:vAlign w:val="bottom"/>
            <w:hideMark/>
          </w:tcPr>
          <w:p w14:paraId="4B99207F"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4.3</w:t>
            </w:r>
          </w:p>
        </w:tc>
      </w:tr>
      <w:tr w:rsidR="00BE51B1" w:rsidRPr="00AE3744" w14:paraId="78E2A5DD" w14:textId="77777777" w:rsidTr="00877C15">
        <w:trPr>
          <w:trHeight w:val="320"/>
        </w:trPr>
        <w:tc>
          <w:tcPr>
            <w:tcW w:w="393" w:type="pct"/>
            <w:vMerge/>
            <w:vAlign w:val="center"/>
            <w:hideMark/>
          </w:tcPr>
          <w:p w14:paraId="77077C82"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1A983"/>
            <w:vAlign w:val="bottom"/>
            <w:hideMark/>
          </w:tcPr>
          <w:p w14:paraId="75408B9F"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sulphates: of copper</w:t>
            </w:r>
          </w:p>
        </w:tc>
        <w:tc>
          <w:tcPr>
            <w:tcW w:w="551" w:type="pct"/>
            <w:shd w:val="clear" w:color="000000" w:fill="F1A983"/>
            <w:vAlign w:val="bottom"/>
            <w:hideMark/>
          </w:tcPr>
          <w:p w14:paraId="48395177"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283325</w:t>
            </w:r>
          </w:p>
        </w:tc>
        <w:tc>
          <w:tcPr>
            <w:tcW w:w="680" w:type="pct"/>
            <w:shd w:val="clear" w:color="000000" w:fill="F1A983"/>
            <w:vAlign w:val="bottom"/>
            <w:hideMark/>
          </w:tcPr>
          <w:p w14:paraId="59F72210"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5</w:t>
            </w:r>
          </w:p>
        </w:tc>
      </w:tr>
      <w:tr w:rsidR="00BE51B1" w:rsidRPr="00AE3744" w14:paraId="22E5C291" w14:textId="77777777" w:rsidTr="00877C15">
        <w:trPr>
          <w:trHeight w:val="320"/>
        </w:trPr>
        <w:tc>
          <w:tcPr>
            <w:tcW w:w="393" w:type="pct"/>
            <w:vMerge w:val="restart"/>
            <w:shd w:val="clear" w:color="000000" w:fill="C1F0C8"/>
            <w:noWrap/>
            <w:vAlign w:val="center"/>
            <w:hideMark/>
          </w:tcPr>
          <w:p w14:paraId="2A01F843"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Co</w:t>
            </w:r>
          </w:p>
        </w:tc>
        <w:tc>
          <w:tcPr>
            <w:tcW w:w="3376" w:type="pct"/>
            <w:shd w:val="clear" w:color="000000" w:fill="C1F0C8"/>
            <w:vAlign w:val="bottom"/>
            <w:hideMark/>
          </w:tcPr>
          <w:p w14:paraId="289DE840"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cobalt ores and concentrates</w:t>
            </w:r>
          </w:p>
        </w:tc>
        <w:tc>
          <w:tcPr>
            <w:tcW w:w="551" w:type="pct"/>
            <w:shd w:val="clear" w:color="000000" w:fill="C1F0C8"/>
            <w:vAlign w:val="bottom"/>
            <w:hideMark/>
          </w:tcPr>
          <w:p w14:paraId="4CE3A4C8"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260500</w:t>
            </w:r>
          </w:p>
        </w:tc>
        <w:tc>
          <w:tcPr>
            <w:tcW w:w="680" w:type="pct"/>
            <w:shd w:val="clear" w:color="000000" w:fill="C1F0C8"/>
            <w:vAlign w:val="bottom"/>
            <w:hideMark/>
          </w:tcPr>
          <w:p w14:paraId="54357C13"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33A46722" w14:textId="77777777" w:rsidTr="00877C15">
        <w:trPr>
          <w:trHeight w:val="640"/>
        </w:trPr>
        <w:tc>
          <w:tcPr>
            <w:tcW w:w="393" w:type="pct"/>
            <w:vMerge/>
            <w:vAlign w:val="center"/>
            <w:hideMark/>
          </w:tcPr>
          <w:p w14:paraId="6365EA19"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C1F0C8"/>
            <w:vAlign w:val="bottom"/>
            <w:hideMark/>
          </w:tcPr>
          <w:p w14:paraId="57D2AE7A"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cobalt: mattes and other intermediate products of cobalt metallurgy, unwrought cobalt, powders</w:t>
            </w:r>
          </w:p>
        </w:tc>
        <w:tc>
          <w:tcPr>
            <w:tcW w:w="551" w:type="pct"/>
            <w:shd w:val="clear" w:color="000000" w:fill="C1F0C8"/>
            <w:vAlign w:val="bottom"/>
            <w:hideMark/>
          </w:tcPr>
          <w:p w14:paraId="487C5FA7"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810520</w:t>
            </w:r>
          </w:p>
        </w:tc>
        <w:tc>
          <w:tcPr>
            <w:tcW w:w="680" w:type="pct"/>
            <w:shd w:val="clear" w:color="000000" w:fill="C1F0C8"/>
            <w:vAlign w:val="bottom"/>
            <w:hideMark/>
          </w:tcPr>
          <w:p w14:paraId="666E61A2"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w:t>
            </w:r>
          </w:p>
        </w:tc>
      </w:tr>
      <w:tr w:rsidR="00BE51B1" w:rsidRPr="00AE3744" w14:paraId="22F79C15" w14:textId="77777777" w:rsidTr="00877C15">
        <w:trPr>
          <w:trHeight w:val="640"/>
        </w:trPr>
        <w:tc>
          <w:tcPr>
            <w:tcW w:w="393" w:type="pct"/>
            <w:vMerge/>
            <w:vAlign w:val="center"/>
            <w:hideMark/>
          </w:tcPr>
          <w:p w14:paraId="451550AD"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C1F0C8"/>
            <w:vAlign w:val="bottom"/>
            <w:hideMark/>
          </w:tcPr>
          <w:p w14:paraId="5DC4E812"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cobalt: mattes and other intermediate products of cobalt metallurgy, unwrought cobalt, powders</w:t>
            </w:r>
          </w:p>
        </w:tc>
        <w:tc>
          <w:tcPr>
            <w:tcW w:w="551" w:type="pct"/>
            <w:shd w:val="clear" w:color="000000" w:fill="C1F0C8"/>
            <w:noWrap/>
            <w:vAlign w:val="bottom"/>
            <w:hideMark/>
          </w:tcPr>
          <w:p w14:paraId="6607D19B"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810520</w:t>
            </w:r>
          </w:p>
        </w:tc>
        <w:tc>
          <w:tcPr>
            <w:tcW w:w="680" w:type="pct"/>
            <w:shd w:val="clear" w:color="000000" w:fill="C1F0C8"/>
            <w:vAlign w:val="bottom"/>
            <w:hideMark/>
          </w:tcPr>
          <w:p w14:paraId="550103B2"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w:t>
            </w:r>
          </w:p>
        </w:tc>
      </w:tr>
      <w:tr w:rsidR="00BE51B1" w:rsidRPr="00AE3744" w14:paraId="035D6A15" w14:textId="77777777" w:rsidTr="00877C15">
        <w:trPr>
          <w:trHeight w:val="320"/>
        </w:trPr>
        <w:tc>
          <w:tcPr>
            <w:tcW w:w="393" w:type="pct"/>
            <w:vMerge/>
            <w:vAlign w:val="center"/>
            <w:hideMark/>
          </w:tcPr>
          <w:p w14:paraId="102B91FF"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C1F0C8"/>
            <w:vAlign w:val="bottom"/>
            <w:hideMark/>
          </w:tcPr>
          <w:p w14:paraId="728C983C"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cobalt oxides and hydroxides: commercial cobalt oxides</w:t>
            </w:r>
          </w:p>
        </w:tc>
        <w:tc>
          <w:tcPr>
            <w:tcW w:w="551" w:type="pct"/>
            <w:shd w:val="clear" w:color="000000" w:fill="C1F0C8"/>
            <w:vAlign w:val="bottom"/>
            <w:hideMark/>
          </w:tcPr>
          <w:p w14:paraId="16B92345"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282200</w:t>
            </w:r>
          </w:p>
        </w:tc>
        <w:tc>
          <w:tcPr>
            <w:tcW w:w="680" w:type="pct"/>
            <w:shd w:val="clear" w:color="000000" w:fill="C1F0C8"/>
            <w:vAlign w:val="bottom"/>
            <w:hideMark/>
          </w:tcPr>
          <w:p w14:paraId="578AD014"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4.1</w:t>
            </w:r>
          </w:p>
        </w:tc>
      </w:tr>
      <w:tr w:rsidR="00BE51B1" w:rsidRPr="00AE3744" w14:paraId="0C945CBC" w14:textId="77777777" w:rsidTr="00877C15">
        <w:trPr>
          <w:trHeight w:val="320"/>
        </w:trPr>
        <w:tc>
          <w:tcPr>
            <w:tcW w:w="393" w:type="pct"/>
            <w:vMerge/>
            <w:vAlign w:val="center"/>
            <w:hideMark/>
          </w:tcPr>
          <w:p w14:paraId="31BB60CD"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C1F0C8"/>
            <w:vAlign w:val="bottom"/>
            <w:hideMark/>
          </w:tcPr>
          <w:p w14:paraId="7C7D62A6"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Sulphates: n.e.c. in item no. 2833.2</w:t>
            </w:r>
          </w:p>
        </w:tc>
        <w:tc>
          <w:tcPr>
            <w:tcW w:w="551" w:type="pct"/>
            <w:shd w:val="clear" w:color="000000" w:fill="C1F0C8"/>
            <w:vAlign w:val="bottom"/>
            <w:hideMark/>
          </w:tcPr>
          <w:p w14:paraId="713E73C3"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283329</w:t>
            </w:r>
          </w:p>
        </w:tc>
        <w:tc>
          <w:tcPr>
            <w:tcW w:w="680" w:type="pct"/>
            <w:shd w:val="clear" w:color="000000" w:fill="C1F0C8"/>
            <w:vAlign w:val="bottom"/>
            <w:hideMark/>
          </w:tcPr>
          <w:p w14:paraId="03EBEA9E"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5</w:t>
            </w:r>
          </w:p>
        </w:tc>
      </w:tr>
      <w:tr w:rsidR="00BE51B1" w:rsidRPr="00AE3744" w14:paraId="5ED69020" w14:textId="77777777" w:rsidTr="00877C15">
        <w:trPr>
          <w:trHeight w:val="320"/>
        </w:trPr>
        <w:tc>
          <w:tcPr>
            <w:tcW w:w="393" w:type="pct"/>
            <w:vMerge w:val="restart"/>
            <w:shd w:val="clear" w:color="000000" w:fill="DAE9F8"/>
            <w:noWrap/>
            <w:vAlign w:val="center"/>
            <w:hideMark/>
          </w:tcPr>
          <w:p w14:paraId="32B647A7"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Ni</w:t>
            </w:r>
          </w:p>
        </w:tc>
        <w:tc>
          <w:tcPr>
            <w:tcW w:w="3376" w:type="pct"/>
            <w:shd w:val="clear" w:color="000000" w:fill="DAE9F8"/>
            <w:vAlign w:val="bottom"/>
            <w:hideMark/>
          </w:tcPr>
          <w:p w14:paraId="15E7A3B8"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nickel ores and concentrates</w:t>
            </w:r>
          </w:p>
        </w:tc>
        <w:tc>
          <w:tcPr>
            <w:tcW w:w="551" w:type="pct"/>
            <w:shd w:val="clear" w:color="000000" w:fill="DAE9F8"/>
            <w:vAlign w:val="bottom"/>
            <w:hideMark/>
          </w:tcPr>
          <w:p w14:paraId="72807958"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260400</w:t>
            </w:r>
          </w:p>
        </w:tc>
        <w:tc>
          <w:tcPr>
            <w:tcW w:w="680" w:type="pct"/>
            <w:shd w:val="clear" w:color="000000" w:fill="DAE9F8"/>
            <w:vAlign w:val="bottom"/>
            <w:hideMark/>
          </w:tcPr>
          <w:p w14:paraId="45BC2B5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6E4E391D" w14:textId="77777777" w:rsidTr="00877C15">
        <w:trPr>
          <w:trHeight w:val="320"/>
        </w:trPr>
        <w:tc>
          <w:tcPr>
            <w:tcW w:w="393" w:type="pct"/>
            <w:vMerge/>
            <w:vAlign w:val="center"/>
            <w:hideMark/>
          </w:tcPr>
          <w:p w14:paraId="68640353"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AE9F8"/>
            <w:vAlign w:val="bottom"/>
            <w:hideMark/>
          </w:tcPr>
          <w:p w14:paraId="5FE06FFA"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nickel: nickel mattes</w:t>
            </w:r>
          </w:p>
        </w:tc>
        <w:tc>
          <w:tcPr>
            <w:tcW w:w="551" w:type="pct"/>
            <w:shd w:val="clear" w:color="000000" w:fill="DAE9F8"/>
            <w:vAlign w:val="bottom"/>
            <w:hideMark/>
          </w:tcPr>
          <w:p w14:paraId="4034A815"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750110</w:t>
            </w:r>
          </w:p>
        </w:tc>
        <w:tc>
          <w:tcPr>
            <w:tcW w:w="680" w:type="pct"/>
            <w:shd w:val="clear" w:color="000000" w:fill="DAE9F8"/>
            <w:vAlign w:val="bottom"/>
            <w:hideMark/>
          </w:tcPr>
          <w:p w14:paraId="3F20F470"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w:t>
            </w:r>
          </w:p>
        </w:tc>
      </w:tr>
      <w:tr w:rsidR="00BE51B1" w:rsidRPr="00AE3744" w14:paraId="122BEBF0" w14:textId="77777777" w:rsidTr="00877C15">
        <w:trPr>
          <w:trHeight w:val="320"/>
        </w:trPr>
        <w:tc>
          <w:tcPr>
            <w:tcW w:w="393" w:type="pct"/>
            <w:vMerge/>
            <w:vAlign w:val="center"/>
            <w:hideMark/>
          </w:tcPr>
          <w:p w14:paraId="49F1F1DD"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AE9F8"/>
            <w:vAlign w:val="bottom"/>
            <w:hideMark/>
          </w:tcPr>
          <w:p w14:paraId="61D88D84"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nickel: powders and flakes</w:t>
            </w:r>
          </w:p>
        </w:tc>
        <w:tc>
          <w:tcPr>
            <w:tcW w:w="551" w:type="pct"/>
            <w:shd w:val="clear" w:color="000000" w:fill="DAE9F8"/>
            <w:vAlign w:val="bottom"/>
            <w:hideMark/>
          </w:tcPr>
          <w:p w14:paraId="4BB9DFD0"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750400</w:t>
            </w:r>
          </w:p>
        </w:tc>
        <w:tc>
          <w:tcPr>
            <w:tcW w:w="680" w:type="pct"/>
            <w:shd w:val="clear" w:color="000000" w:fill="DAE9F8"/>
            <w:vAlign w:val="bottom"/>
            <w:hideMark/>
          </w:tcPr>
          <w:p w14:paraId="34CC06C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w:t>
            </w:r>
          </w:p>
        </w:tc>
      </w:tr>
      <w:tr w:rsidR="00BE51B1" w:rsidRPr="00AE3744" w14:paraId="784E06E7" w14:textId="77777777" w:rsidTr="00877C15">
        <w:trPr>
          <w:trHeight w:val="320"/>
        </w:trPr>
        <w:tc>
          <w:tcPr>
            <w:tcW w:w="393" w:type="pct"/>
            <w:vMerge/>
            <w:vAlign w:val="center"/>
            <w:hideMark/>
          </w:tcPr>
          <w:p w14:paraId="3A071727"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AE9F8"/>
            <w:vAlign w:val="bottom"/>
            <w:hideMark/>
          </w:tcPr>
          <w:p w14:paraId="3D0FF927"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sulphates: of nickel</w:t>
            </w:r>
          </w:p>
        </w:tc>
        <w:tc>
          <w:tcPr>
            <w:tcW w:w="551" w:type="pct"/>
            <w:shd w:val="clear" w:color="000000" w:fill="DAE9F8"/>
            <w:vAlign w:val="bottom"/>
            <w:hideMark/>
          </w:tcPr>
          <w:p w14:paraId="28D619AC"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283324</w:t>
            </w:r>
          </w:p>
        </w:tc>
        <w:tc>
          <w:tcPr>
            <w:tcW w:w="680" w:type="pct"/>
            <w:shd w:val="clear" w:color="000000" w:fill="DAE9F8"/>
            <w:vAlign w:val="bottom"/>
            <w:hideMark/>
          </w:tcPr>
          <w:p w14:paraId="38A3A06B"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5</w:t>
            </w:r>
          </w:p>
        </w:tc>
      </w:tr>
      <w:tr w:rsidR="00BE51B1" w:rsidRPr="00AE3744" w14:paraId="723D62A9" w14:textId="77777777" w:rsidTr="00877C15">
        <w:trPr>
          <w:trHeight w:val="320"/>
        </w:trPr>
        <w:tc>
          <w:tcPr>
            <w:tcW w:w="393" w:type="pct"/>
            <w:vMerge w:val="restart"/>
            <w:shd w:val="clear" w:color="000000" w:fill="D0D0D0"/>
            <w:noWrap/>
            <w:vAlign w:val="center"/>
            <w:hideMark/>
          </w:tcPr>
          <w:p w14:paraId="646BCA8B"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Gr</w:t>
            </w:r>
          </w:p>
        </w:tc>
        <w:tc>
          <w:tcPr>
            <w:tcW w:w="3376" w:type="pct"/>
            <w:shd w:val="clear" w:color="000000" w:fill="D0D0D0"/>
            <w:noWrap/>
            <w:vAlign w:val="bottom"/>
            <w:hideMark/>
          </w:tcPr>
          <w:p w14:paraId="164635CD"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graphite: natural, in other forms, excluding powder or flakes</w:t>
            </w:r>
          </w:p>
        </w:tc>
        <w:tc>
          <w:tcPr>
            <w:tcW w:w="551" w:type="pct"/>
            <w:shd w:val="clear" w:color="000000" w:fill="D0D0D0"/>
            <w:noWrap/>
            <w:vAlign w:val="bottom"/>
            <w:hideMark/>
          </w:tcPr>
          <w:p w14:paraId="1E8AC44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250490</w:t>
            </w:r>
          </w:p>
        </w:tc>
        <w:tc>
          <w:tcPr>
            <w:tcW w:w="680" w:type="pct"/>
            <w:shd w:val="clear" w:color="000000" w:fill="D0D0D0"/>
            <w:vAlign w:val="bottom"/>
            <w:hideMark/>
          </w:tcPr>
          <w:p w14:paraId="4C97AFBA"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3E86BDA1" w14:textId="77777777" w:rsidTr="00877C15">
        <w:trPr>
          <w:trHeight w:val="320"/>
        </w:trPr>
        <w:tc>
          <w:tcPr>
            <w:tcW w:w="393" w:type="pct"/>
            <w:vMerge/>
            <w:vAlign w:val="center"/>
            <w:hideMark/>
          </w:tcPr>
          <w:p w14:paraId="37FEE368"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0D0D0"/>
            <w:vAlign w:val="bottom"/>
            <w:hideMark/>
          </w:tcPr>
          <w:p w14:paraId="4866E9EB"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graphite: natural, in powder or in flakes</w:t>
            </w:r>
          </w:p>
        </w:tc>
        <w:tc>
          <w:tcPr>
            <w:tcW w:w="551" w:type="pct"/>
            <w:shd w:val="clear" w:color="000000" w:fill="D0D0D0"/>
            <w:vAlign w:val="bottom"/>
            <w:hideMark/>
          </w:tcPr>
          <w:p w14:paraId="2F28ADBF"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250410</w:t>
            </w:r>
          </w:p>
        </w:tc>
        <w:tc>
          <w:tcPr>
            <w:tcW w:w="680" w:type="pct"/>
            <w:shd w:val="clear" w:color="000000" w:fill="D0D0D0"/>
            <w:vAlign w:val="bottom"/>
            <w:hideMark/>
          </w:tcPr>
          <w:p w14:paraId="469E35E7"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67967586" w14:textId="77777777" w:rsidTr="00877C15">
        <w:trPr>
          <w:trHeight w:val="320"/>
        </w:trPr>
        <w:tc>
          <w:tcPr>
            <w:tcW w:w="393" w:type="pct"/>
            <w:vMerge/>
            <w:vAlign w:val="center"/>
            <w:hideMark/>
          </w:tcPr>
          <w:p w14:paraId="522593BE"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0D0D0"/>
            <w:vAlign w:val="bottom"/>
            <w:hideMark/>
          </w:tcPr>
          <w:p w14:paraId="06A1BA17"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graphite: natural, in powder or in flakes</w:t>
            </w:r>
          </w:p>
        </w:tc>
        <w:tc>
          <w:tcPr>
            <w:tcW w:w="551" w:type="pct"/>
            <w:shd w:val="clear" w:color="000000" w:fill="D0D0D0"/>
            <w:vAlign w:val="bottom"/>
            <w:hideMark/>
          </w:tcPr>
          <w:p w14:paraId="056CC493"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250410</w:t>
            </w:r>
          </w:p>
        </w:tc>
        <w:tc>
          <w:tcPr>
            <w:tcW w:w="680" w:type="pct"/>
            <w:shd w:val="clear" w:color="000000" w:fill="D0D0D0"/>
            <w:vAlign w:val="bottom"/>
            <w:hideMark/>
          </w:tcPr>
          <w:p w14:paraId="38BDE21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w:t>
            </w:r>
          </w:p>
        </w:tc>
      </w:tr>
      <w:tr w:rsidR="00BE51B1" w:rsidRPr="00AE3744" w14:paraId="387ED1CF" w14:textId="77777777" w:rsidTr="00877C15">
        <w:trPr>
          <w:trHeight w:val="320"/>
        </w:trPr>
        <w:tc>
          <w:tcPr>
            <w:tcW w:w="393" w:type="pct"/>
            <w:vMerge/>
            <w:vAlign w:val="center"/>
            <w:hideMark/>
          </w:tcPr>
          <w:p w14:paraId="12277D3C"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D0D0D0"/>
            <w:vAlign w:val="bottom"/>
            <w:hideMark/>
          </w:tcPr>
          <w:p w14:paraId="0FFC1B53"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graphite: natural, in powder or in flakes</w:t>
            </w:r>
          </w:p>
        </w:tc>
        <w:tc>
          <w:tcPr>
            <w:tcW w:w="551" w:type="pct"/>
            <w:shd w:val="clear" w:color="000000" w:fill="D0D0D0"/>
            <w:vAlign w:val="bottom"/>
            <w:hideMark/>
          </w:tcPr>
          <w:p w14:paraId="55B0FF4A"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250410</w:t>
            </w:r>
          </w:p>
        </w:tc>
        <w:tc>
          <w:tcPr>
            <w:tcW w:w="680" w:type="pct"/>
            <w:shd w:val="clear" w:color="000000" w:fill="D0D0D0"/>
            <w:vAlign w:val="bottom"/>
            <w:hideMark/>
          </w:tcPr>
          <w:p w14:paraId="023EA64F"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4</w:t>
            </w:r>
          </w:p>
        </w:tc>
      </w:tr>
      <w:tr w:rsidR="00BE51B1" w:rsidRPr="00AE3744" w14:paraId="05F783C3" w14:textId="77777777" w:rsidTr="00877C15">
        <w:trPr>
          <w:trHeight w:val="960"/>
        </w:trPr>
        <w:tc>
          <w:tcPr>
            <w:tcW w:w="393" w:type="pct"/>
            <w:vMerge w:val="restart"/>
            <w:shd w:val="clear" w:color="000000" w:fill="F2CEEF"/>
            <w:noWrap/>
            <w:vAlign w:val="center"/>
            <w:hideMark/>
          </w:tcPr>
          <w:p w14:paraId="7443B303"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Mn</w:t>
            </w:r>
          </w:p>
        </w:tc>
        <w:tc>
          <w:tcPr>
            <w:tcW w:w="3376" w:type="pct"/>
            <w:shd w:val="clear" w:color="000000" w:fill="F2CEEF"/>
            <w:vAlign w:val="bottom"/>
            <w:hideMark/>
          </w:tcPr>
          <w:p w14:paraId="64376F80"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manganese ores and concentrates, including ferruginous manganese ores and concentrates with a manganese content of 20% or more, calculated on the dry weight</w:t>
            </w:r>
          </w:p>
        </w:tc>
        <w:tc>
          <w:tcPr>
            <w:tcW w:w="551" w:type="pct"/>
            <w:shd w:val="clear" w:color="000000" w:fill="F2CEEF"/>
            <w:vAlign w:val="bottom"/>
            <w:hideMark/>
          </w:tcPr>
          <w:p w14:paraId="3DBD739E"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260200</w:t>
            </w:r>
          </w:p>
        </w:tc>
        <w:tc>
          <w:tcPr>
            <w:tcW w:w="680" w:type="pct"/>
            <w:shd w:val="clear" w:color="000000" w:fill="F2CEEF"/>
            <w:vAlign w:val="bottom"/>
            <w:hideMark/>
          </w:tcPr>
          <w:p w14:paraId="2809406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73FF5FA0" w14:textId="77777777" w:rsidTr="00877C15">
        <w:trPr>
          <w:trHeight w:val="320"/>
        </w:trPr>
        <w:tc>
          <w:tcPr>
            <w:tcW w:w="393" w:type="pct"/>
            <w:vMerge/>
            <w:vAlign w:val="center"/>
            <w:hideMark/>
          </w:tcPr>
          <w:p w14:paraId="03867E00"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2CEEF"/>
            <w:vAlign w:val="bottom"/>
            <w:hideMark/>
          </w:tcPr>
          <w:p w14:paraId="599C7547"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manganese oxides: excluding manganese dioxide</w:t>
            </w:r>
          </w:p>
        </w:tc>
        <w:tc>
          <w:tcPr>
            <w:tcW w:w="551" w:type="pct"/>
            <w:shd w:val="clear" w:color="000000" w:fill="F2CEEF"/>
            <w:vAlign w:val="bottom"/>
            <w:hideMark/>
          </w:tcPr>
          <w:p w14:paraId="624C163C"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282090</w:t>
            </w:r>
          </w:p>
        </w:tc>
        <w:tc>
          <w:tcPr>
            <w:tcW w:w="680" w:type="pct"/>
            <w:shd w:val="clear" w:color="000000" w:fill="F2CEEF"/>
            <w:vAlign w:val="bottom"/>
            <w:hideMark/>
          </w:tcPr>
          <w:p w14:paraId="1BFDD5CA"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3.1</w:t>
            </w:r>
          </w:p>
        </w:tc>
      </w:tr>
      <w:tr w:rsidR="00BE51B1" w:rsidRPr="00AE3744" w14:paraId="005BE57F" w14:textId="77777777" w:rsidTr="00877C15">
        <w:trPr>
          <w:trHeight w:val="320"/>
        </w:trPr>
        <w:tc>
          <w:tcPr>
            <w:tcW w:w="393" w:type="pct"/>
            <w:vMerge/>
            <w:vAlign w:val="center"/>
            <w:hideMark/>
          </w:tcPr>
          <w:p w14:paraId="270474A3"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F2CEEF"/>
            <w:vAlign w:val="bottom"/>
            <w:hideMark/>
          </w:tcPr>
          <w:p w14:paraId="70FB6043"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Sulphates: n.e.c. in item no. 2833.2</w:t>
            </w:r>
          </w:p>
        </w:tc>
        <w:tc>
          <w:tcPr>
            <w:tcW w:w="551" w:type="pct"/>
            <w:shd w:val="clear" w:color="000000" w:fill="F2CEEF"/>
            <w:vAlign w:val="bottom"/>
            <w:hideMark/>
          </w:tcPr>
          <w:p w14:paraId="76A8DC61"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283329</w:t>
            </w:r>
          </w:p>
        </w:tc>
        <w:tc>
          <w:tcPr>
            <w:tcW w:w="680" w:type="pct"/>
            <w:shd w:val="clear" w:color="000000" w:fill="F2CEEF"/>
            <w:vAlign w:val="bottom"/>
            <w:hideMark/>
          </w:tcPr>
          <w:p w14:paraId="471B60C3"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4.1</w:t>
            </w:r>
          </w:p>
        </w:tc>
      </w:tr>
      <w:tr w:rsidR="00BE51B1" w:rsidRPr="00AE3744" w14:paraId="4778D390" w14:textId="77777777" w:rsidTr="00877C15">
        <w:trPr>
          <w:trHeight w:val="640"/>
        </w:trPr>
        <w:tc>
          <w:tcPr>
            <w:tcW w:w="393" w:type="pct"/>
            <w:vMerge w:val="restart"/>
            <w:shd w:val="clear" w:color="000000" w:fill="94DCF8"/>
            <w:noWrap/>
            <w:vAlign w:val="center"/>
            <w:hideMark/>
          </w:tcPr>
          <w:p w14:paraId="607FE5A4" w14:textId="77777777" w:rsidR="00BE51B1" w:rsidRPr="00E434C9" w:rsidRDefault="00BE51B1" w:rsidP="00877C15">
            <w:pPr>
              <w:spacing w:after="0" w:line="240" w:lineRule="auto"/>
              <w:jc w:val="center"/>
              <w:rPr>
                <w:rFonts w:ascii="Arial" w:eastAsia="Times New Roman" w:hAnsi="Arial" w:cs="Arial"/>
                <w:b/>
                <w:bCs/>
                <w:color w:val="000000"/>
                <w:kern w:val="0"/>
                <w:sz w:val="18"/>
                <w:szCs w:val="18"/>
                <w:lang w:eastAsia="en-GB"/>
                <w14:ligatures w14:val="none"/>
              </w:rPr>
            </w:pPr>
            <w:r w:rsidRPr="00E434C9">
              <w:rPr>
                <w:rFonts w:ascii="Arial" w:eastAsia="Times New Roman" w:hAnsi="Arial" w:cs="Arial"/>
                <w:b/>
                <w:bCs/>
                <w:color w:val="000000"/>
                <w:kern w:val="0"/>
                <w:sz w:val="18"/>
                <w:szCs w:val="18"/>
                <w:lang w:eastAsia="en-GB"/>
                <w14:ligatures w14:val="none"/>
              </w:rPr>
              <w:t>Li</w:t>
            </w:r>
          </w:p>
        </w:tc>
        <w:tc>
          <w:tcPr>
            <w:tcW w:w="3376" w:type="pct"/>
            <w:shd w:val="clear" w:color="000000" w:fill="94DCF8"/>
            <w:vAlign w:val="bottom"/>
            <w:hideMark/>
          </w:tcPr>
          <w:p w14:paraId="2599C0BD"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Arsenic sulfides, alunite, pozzuolana, earth colours and other mineral substances, n.e.s.</w:t>
            </w:r>
          </w:p>
        </w:tc>
        <w:tc>
          <w:tcPr>
            <w:tcW w:w="551" w:type="pct"/>
            <w:shd w:val="clear" w:color="000000" w:fill="94DCF8"/>
            <w:vAlign w:val="bottom"/>
            <w:hideMark/>
          </w:tcPr>
          <w:p w14:paraId="1683D3B3"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253090</w:t>
            </w:r>
          </w:p>
        </w:tc>
        <w:tc>
          <w:tcPr>
            <w:tcW w:w="680" w:type="pct"/>
            <w:shd w:val="clear" w:color="000000" w:fill="94DCF8"/>
            <w:vAlign w:val="bottom"/>
            <w:hideMark/>
          </w:tcPr>
          <w:p w14:paraId="5A5D46FA"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1</w:t>
            </w:r>
          </w:p>
        </w:tc>
      </w:tr>
      <w:tr w:rsidR="00BE51B1" w:rsidRPr="00AE3744" w14:paraId="1D314A93" w14:textId="77777777" w:rsidTr="00877C15">
        <w:trPr>
          <w:trHeight w:val="320"/>
        </w:trPr>
        <w:tc>
          <w:tcPr>
            <w:tcW w:w="393" w:type="pct"/>
            <w:vMerge/>
            <w:vAlign w:val="center"/>
            <w:hideMark/>
          </w:tcPr>
          <w:p w14:paraId="015926FD"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94DCF8"/>
            <w:vAlign w:val="bottom"/>
            <w:hideMark/>
          </w:tcPr>
          <w:p w14:paraId="54396C0F"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carbonates: lithium carbonate</w:t>
            </w:r>
          </w:p>
        </w:tc>
        <w:tc>
          <w:tcPr>
            <w:tcW w:w="551" w:type="pct"/>
            <w:shd w:val="clear" w:color="000000" w:fill="94DCF8"/>
            <w:vAlign w:val="bottom"/>
            <w:hideMark/>
          </w:tcPr>
          <w:p w14:paraId="39F3657A"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283691</w:t>
            </w:r>
          </w:p>
        </w:tc>
        <w:tc>
          <w:tcPr>
            <w:tcW w:w="680" w:type="pct"/>
            <w:shd w:val="clear" w:color="000000" w:fill="94DCF8"/>
            <w:vAlign w:val="bottom"/>
            <w:hideMark/>
          </w:tcPr>
          <w:p w14:paraId="4988B916"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3</w:t>
            </w:r>
          </w:p>
        </w:tc>
      </w:tr>
      <w:tr w:rsidR="00BE51B1" w:rsidRPr="00AE3744" w14:paraId="15D8C180" w14:textId="77777777" w:rsidTr="00877C15">
        <w:trPr>
          <w:trHeight w:val="60"/>
        </w:trPr>
        <w:tc>
          <w:tcPr>
            <w:tcW w:w="393" w:type="pct"/>
            <w:vMerge/>
            <w:vAlign w:val="center"/>
            <w:hideMark/>
          </w:tcPr>
          <w:p w14:paraId="0706AB1E" w14:textId="77777777" w:rsidR="00BE51B1" w:rsidRPr="00E434C9" w:rsidRDefault="00BE51B1" w:rsidP="00877C15">
            <w:pPr>
              <w:spacing w:after="0" w:line="240" w:lineRule="auto"/>
              <w:rPr>
                <w:rFonts w:ascii="Arial" w:eastAsia="Times New Roman" w:hAnsi="Arial" w:cs="Arial"/>
                <w:b/>
                <w:bCs/>
                <w:color w:val="000000"/>
                <w:kern w:val="0"/>
                <w:sz w:val="18"/>
                <w:szCs w:val="18"/>
                <w:lang w:eastAsia="en-GB"/>
                <w14:ligatures w14:val="none"/>
              </w:rPr>
            </w:pPr>
          </w:p>
        </w:tc>
        <w:tc>
          <w:tcPr>
            <w:tcW w:w="3376" w:type="pct"/>
            <w:shd w:val="clear" w:color="000000" w:fill="94DCF8"/>
            <w:vAlign w:val="bottom"/>
            <w:hideMark/>
          </w:tcPr>
          <w:p w14:paraId="25DF5CD7" w14:textId="77777777" w:rsidR="00BE51B1" w:rsidRPr="00E434C9" w:rsidRDefault="00BE51B1" w:rsidP="00877C15">
            <w:pPr>
              <w:spacing w:after="0" w:line="240" w:lineRule="auto"/>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lithium oxide and hydroxide</w:t>
            </w:r>
          </w:p>
        </w:tc>
        <w:tc>
          <w:tcPr>
            <w:tcW w:w="551" w:type="pct"/>
            <w:shd w:val="clear" w:color="000000" w:fill="94DCF8"/>
            <w:vAlign w:val="bottom"/>
            <w:hideMark/>
          </w:tcPr>
          <w:p w14:paraId="04F96DC4"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282520</w:t>
            </w:r>
          </w:p>
        </w:tc>
        <w:tc>
          <w:tcPr>
            <w:tcW w:w="680" w:type="pct"/>
            <w:shd w:val="clear" w:color="000000" w:fill="94DCF8"/>
            <w:vAlign w:val="bottom"/>
            <w:hideMark/>
          </w:tcPr>
          <w:p w14:paraId="6FF49A85" w14:textId="77777777" w:rsidR="00BE51B1" w:rsidRPr="00E434C9" w:rsidRDefault="00BE51B1" w:rsidP="00877C15">
            <w:pPr>
              <w:spacing w:after="0" w:line="240" w:lineRule="auto"/>
              <w:jc w:val="right"/>
              <w:rPr>
                <w:rFonts w:ascii="Arial" w:eastAsia="Times New Roman" w:hAnsi="Arial" w:cs="Arial"/>
                <w:color w:val="000000"/>
                <w:kern w:val="0"/>
                <w:sz w:val="18"/>
                <w:szCs w:val="18"/>
                <w:lang w:eastAsia="en-GB"/>
                <w14:ligatures w14:val="none"/>
              </w:rPr>
            </w:pPr>
            <w:r w:rsidRPr="00E434C9">
              <w:rPr>
                <w:rFonts w:ascii="Arial" w:eastAsia="Times New Roman" w:hAnsi="Arial" w:cs="Arial"/>
                <w:color w:val="000000"/>
                <w:kern w:val="0"/>
                <w:sz w:val="18"/>
                <w:szCs w:val="18"/>
                <w:lang w:eastAsia="en-GB"/>
                <w14:ligatures w14:val="none"/>
              </w:rPr>
              <w:t>4.2</w:t>
            </w:r>
          </w:p>
        </w:tc>
      </w:tr>
    </w:tbl>
    <w:p w14:paraId="3784159B" w14:textId="77777777" w:rsidR="00BE51B1" w:rsidRPr="00766470" w:rsidRDefault="00BE51B1" w:rsidP="00BE51B1">
      <w:pPr>
        <w:spacing w:line="257" w:lineRule="auto"/>
        <w:jc w:val="both"/>
        <w:rPr>
          <w:rFonts w:ascii="Arial" w:eastAsia="Calibri" w:hAnsi="Arial" w:cs="Arial"/>
        </w:rPr>
      </w:pPr>
    </w:p>
    <w:p w14:paraId="613DA76F" w14:textId="77777777" w:rsidR="00BE51B1" w:rsidRPr="009F2BF5" w:rsidRDefault="00BE51B1" w:rsidP="00BE51B1">
      <w:pPr>
        <w:pStyle w:val="Heading3"/>
        <w:rPr>
          <w:rFonts w:ascii="Arial" w:hAnsi="Arial" w:cs="Arial"/>
          <w:b/>
          <w:bCs/>
          <w:sz w:val="22"/>
          <w:szCs w:val="22"/>
        </w:rPr>
      </w:pPr>
      <w:r w:rsidRPr="009F2BF5">
        <w:rPr>
          <w:rFonts w:ascii="Arial" w:hAnsi="Arial" w:cs="Arial"/>
          <w:b/>
          <w:bCs/>
          <w:sz w:val="22"/>
          <w:szCs w:val="22"/>
        </w:rPr>
        <w:br/>
      </w:r>
      <w:bookmarkStart w:id="85" w:name="_Toc211272293"/>
      <w:r w:rsidRPr="009F2BF5">
        <w:rPr>
          <w:rFonts w:ascii="Arial" w:hAnsi="Arial" w:cs="Arial"/>
          <w:b/>
          <w:bCs/>
          <w:sz w:val="22"/>
          <w:szCs w:val="22"/>
        </w:rPr>
        <w:t>4.1.2 International trade data was converted into equivalent metal tonnages.</w:t>
      </w:r>
      <w:bookmarkEnd w:id="85"/>
      <w:r w:rsidRPr="009F2BF5">
        <w:rPr>
          <w:rFonts w:ascii="Arial" w:hAnsi="Arial" w:cs="Arial"/>
          <w:b/>
          <w:bCs/>
          <w:sz w:val="22"/>
          <w:szCs w:val="22"/>
        </w:rPr>
        <w:t xml:space="preserve"> </w:t>
      </w:r>
    </w:p>
    <w:p w14:paraId="154D3C25" w14:textId="6D8D9561" w:rsidR="00BE51B1" w:rsidRPr="00766470" w:rsidRDefault="00BE51B1" w:rsidP="00BE51B1">
      <w:pPr>
        <w:spacing w:line="257" w:lineRule="auto"/>
        <w:jc w:val="both"/>
        <w:rPr>
          <w:rFonts w:ascii="Arial" w:hAnsi="Arial" w:cs="Arial"/>
        </w:rPr>
      </w:pPr>
      <w:r>
        <w:rPr>
          <w:rFonts w:ascii="Arial" w:eastAsia="Calibri" w:hAnsi="Arial" w:cs="Arial"/>
        </w:rPr>
        <w:br/>
      </w:r>
      <w:r w:rsidRPr="00766470">
        <w:rPr>
          <w:rFonts w:ascii="Arial" w:eastAsia="Calibri" w:hAnsi="Arial" w:cs="Arial"/>
        </w:rPr>
        <w:t xml:space="preserve">For the purposes of the transport analysis, it was necessary to understand physical volumes of material flowing along the mineral supply chains. Although the BACI data provided physical tonnages, the aggregation of multiple different stages of processed minerals with widely differing metal contents into single BACI codes made this information </w:t>
      </w:r>
      <w:r>
        <w:rPr>
          <w:rFonts w:ascii="Arial" w:eastAsia="Calibri" w:hAnsi="Arial" w:cs="Arial"/>
        </w:rPr>
        <w:t>difficult to use</w:t>
      </w:r>
      <w:r w:rsidRPr="00766470">
        <w:rPr>
          <w:rFonts w:ascii="Arial" w:eastAsia="Calibri" w:hAnsi="Arial" w:cs="Arial"/>
        </w:rPr>
        <w:t xml:space="preserve">. For example, copper ores and concentrates are grouped together under a single BACI code, when copper ore typically has a metal concentration of 0.5%, while copper concentrates contain around 30% copper </w:t>
      </w:r>
      <w:r w:rsidRPr="00766470">
        <w:rPr>
          <w:rFonts w:ascii="Arial" w:eastAsia="Calibri" w:hAnsi="Arial" w:cs="Arial"/>
        </w:rPr>
        <w:fldChar w:fldCharType="begin"/>
      </w:r>
      <w:r w:rsidR="0016542D">
        <w:rPr>
          <w:rFonts w:ascii="Arial" w:eastAsia="Calibri" w:hAnsi="Arial" w:cs="Arial"/>
        </w:rPr>
        <w:instrText xml:space="preserve"> ADDIN ZOTERO_ITEM CSL_CITATION {"citationID":"647gXIVs","properties":{"formattedCitation":"\\super 96,97\\nosupersub{}","plainCitation":"96,97","noteIndex":0},"citationItems":[{"id":41,"uris":["http://zotero.org/users/10918866/items/2356QZWC"],"itemData":{"id":41,"type":"article-journal","abstract":"The concept of “peak oil” has been explored and debated extensively within the literature. However there has been comparatively little research examining the concept of “peak minerals”, particularly in-depth analyses for individual metals. This paper presents scenarios for mined copper production based upon a detailed assessment of global copper resources and historic mine production. Scenarios for production from major copper deposit types and from individual countries or regions were developed using the Geologic Resources Supply-Demand Model (GeRS-DeMo). These scenarios were extended using cumulative grade-tonnage data, derived from our resource database, to produce estimates of potential rates of copper ore grade decline. The scenarios indicate that there are sufficient identified copper resources to grow mined copper production for at least the next twenty years. The future rate of ore grade decline may be less than has historically been the case, as mined grades are approaching the average resource grade and there is still significant copper endowment in high grade ore bodies. Despite increasing demand for copper as the developing world experiences economic growth, the economic and environmental impacts associated with increased production rates and declining ore grades (particularly those relating to energy consumption, water consumption and greenhouse gas emissions) will present barriers to the continued expansion of the industry. For these reasons peak mined copper production may well be realised during this century.","container-title":"Resources, Conservation and Recycling","DOI":"10.1016/j.resconrec.2013.10.005","ISSN":"0921-3449","journalAbbreviation":"Resources, Conservation and Recycling","page":"190-201","source":"ScienceDirect","title":"Modelling future copper ore grade decline based on a detailed assessment of copper resources and mining","volume":"83","author":[{"family":"Northey","given":"S."},{"family":"Mohr","given":"S."},{"family":"Mudd","given":"G. M."},{"family":"Weng","given":"Z."},{"family":"Giurco","given":"D."}],"issued":{"date-parts":[["2014",2,1]]}}},{"id":2089,"uris":["http://zotero.org/users/10918866/items/EJ8HPPW4"],"itemData":{"id":2089,"type":"chapter","abstract":"This chapter describes the investment and production costs of producing copper metal from ore and discusses how these costs are affected by such factors as ore grade, process route, and inflation. The total direct plus indirect cost of producing electrorefined copper from ore by conventional mining/concentration/smelting/refining is in the range of $3–$6 per kg of copper. The total direct plus indirect cost of producing electrowon copper cathodes from oxide and chalcocite ores (including mining) is $1–$2 per kg of copper. Copper extraction is distinctly profitable when the selling price of copper is above $6/kg. It is unprofitable for some operations when the selling price falls below $3/kg. At the former price, the industry tends to expand. At the latter, it begins to contract. The selling price of copper in mid-2011 was </w:instrText>
      </w:r>
      <w:r w:rsidR="0016542D">
        <w:rPr>
          <w:rFonts w:ascii="Cambria Math" w:eastAsia="Calibri" w:hAnsi="Cambria Math" w:cs="Cambria Math"/>
        </w:rPr>
        <w:instrText>∼</w:instrText>
      </w:r>
      <w:r w:rsidR="0016542D">
        <w:rPr>
          <w:rFonts w:ascii="Arial" w:eastAsia="Calibri" w:hAnsi="Arial" w:cs="Arial"/>
        </w:rPr>
        <w:instrText xml:space="preserve">$9/kg. Virtually all existing operations are profitable and the industry is expanding.","container-title":"Extractive Metallurgy of Copper (Fifth Edition)","DOI":"10.1016/B978-0-08-096789-9.10022-8","ISBN":"978-0-08-096789-9","page":"427-439","publisher":"Elsevier","publisher-place":"Oxford","source":"ScienceDirect","title":"Chapter 22 - Costs of Copper Production","URL":"https://www.sciencedirect.com/science/article/pii/B9780080967899100228","author":[{"family":"Schlesinger","given":"Mark E."},{"family":"King","given":"Matthew J."},{"family":"Sole","given":"Kathryn C."},{"family":"Davenport","given":"William G."}],"editor":[{"family":"Schlesinger","given":"Mark E."},{"family":"King","given":"Matthew J."},{"family":"Sole","given":"Kathryn C."},{"family":"Davenport","given":"William G."}],"accessed":{"date-parts":[["2024",11,19]]},"issued":{"date-parts":[["2011",1,1]]}}}],"schema":"https://github.com/citation-style-language/schema/raw/master/csl-citation.json"}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96,97</w:t>
      </w:r>
      <w:r w:rsidRPr="00766470">
        <w:rPr>
          <w:rFonts w:ascii="Arial" w:eastAsia="Calibri" w:hAnsi="Arial" w:cs="Arial"/>
        </w:rPr>
        <w:fldChar w:fldCharType="end"/>
      </w:r>
      <w:r w:rsidRPr="00766470">
        <w:rPr>
          <w:rStyle w:val="CommentReference"/>
          <w:rFonts w:ascii="Arial" w:hAnsi="Arial" w:cs="Arial"/>
        </w:rPr>
        <w:t xml:space="preserve"> </w:t>
      </w:r>
      <w:r w:rsidRPr="00766470">
        <w:rPr>
          <w:rFonts w:ascii="Arial" w:eastAsia="Calibri" w:hAnsi="Arial" w:cs="Arial"/>
        </w:rPr>
        <w:t xml:space="preserve">. </w:t>
      </w:r>
    </w:p>
    <w:p w14:paraId="4F0923B8" w14:textId="77777777" w:rsidR="00BE51B1" w:rsidRPr="00766470" w:rsidRDefault="00BE51B1" w:rsidP="00BE51B1">
      <w:pPr>
        <w:spacing w:after="0"/>
        <w:jc w:val="both"/>
        <w:rPr>
          <w:rFonts w:ascii="Arial" w:hAnsi="Arial" w:cs="Arial"/>
        </w:rPr>
      </w:pPr>
      <w:r>
        <w:rPr>
          <w:rFonts w:ascii="Arial" w:eastAsia="Calibri" w:hAnsi="Arial" w:cs="Arial"/>
        </w:rPr>
        <w:lastRenderedPageBreak/>
        <w:t>S</w:t>
      </w:r>
      <w:r w:rsidRPr="00766470">
        <w:rPr>
          <w:rFonts w:ascii="Arial" w:eastAsia="Calibri" w:hAnsi="Arial" w:cs="Arial"/>
        </w:rPr>
        <w:t xml:space="preserve">ome of the commodity codes </w:t>
      </w:r>
      <w:r>
        <w:rPr>
          <w:rFonts w:ascii="Arial" w:eastAsia="Calibri" w:hAnsi="Arial" w:cs="Arial"/>
        </w:rPr>
        <w:t xml:space="preserve">in BACI </w:t>
      </w:r>
      <w:r w:rsidRPr="00766470">
        <w:rPr>
          <w:rFonts w:ascii="Arial" w:eastAsia="Calibri" w:hAnsi="Arial" w:cs="Arial"/>
        </w:rPr>
        <w:t xml:space="preserve">were generic and only a subset of the type of products within each commodity code could be expected to be used as battery precursors. </w:t>
      </w:r>
      <w:r>
        <w:rPr>
          <w:rFonts w:ascii="Arial" w:eastAsia="Calibri" w:hAnsi="Arial" w:cs="Arial"/>
        </w:rPr>
        <w:t>A</w:t>
      </w:r>
      <w:r w:rsidRPr="00766470">
        <w:rPr>
          <w:rFonts w:ascii="Arial" w:eastAsia="Calibri" w:hAnsi="Arial" w:cs="Arial"/>
        </w:rPr>
        <w:t>djustments to complete the conversion to estimates of actual country-to-country tonnages that were being transported was done in the BACI trade data as follows.</w:t>
      </w:r>
    </w:p>
    <w:p w14:paraId="2CAC203D" w14:textId="77777777" w:rsidR="00BE51B1" w:rsidRPr="00766470" w:rsidRDefault="00BE51B1" w:rsidP="00BE51B1">
      <w:pPr>
        <w:pStyle w:val="ListParagraph"/>
        <w:numPr>
          <w:ilvl w:val="0"/>
          <w:numId w:val="12"/>
        </w:numPr>
        <w:spacing w:after="0" w:line="259" w:lineRule="auto"/>
        <w:ind w:left="360"/>
        <w:jc w:val="both"/>
        <w:rPr>
          <w:rFonts w:ascii="Arial" w:eastAsia="Calibri" w:hAnsi="Arial" w:cs="Arial"/>
        </w:rPr>
      </w:pPr>
      <w:r w:rsidRPr="00766470">
        <w:rPr>
          <w:rFonts w:ascii="Arial" w:eastAsia="Calibri" w:hAnsi="Arial" w:cs="Arial"/>
        </w:rPr>
        <w:t>The mine-level data (see Section 1) contained estimates of the total reported metal content produced by a country for all uses. This provided an estimate of the total feasible amount of metal that would be processed into other stages.</w:t>
      </w:r>
    </w:p>
    <w:p w14:paraId="625D8831" w14:textId="3A5A7C15" w:rsidR="00BE51B1" w:rsidRPr="00766470" w:rsidRDefault="00BE51B1" w:rsidP="00BE51B1">
      <w:pPr>
        <w:pStyle w:val="ListParagraph"/>
        <w:numPr>
          <w:ilvl w:val="0"/>
          <w:numId w:val="12"/>
        </w:numPr>
        <w:spacing w:after="0" w:line="259" w:lineRule="auto"/>
        <w:ind w:left="360"/>
        <w:jc w:val="both"/>
        <w:rPr>
          <w:rFonts w:ascii="Arial" w:eastAsia="Calibri" w:hAnsi="Arial" w:cs="Arial"/>
        </w:rPr>
      </w:pPr>
      <w:r w:rsidRPr="00766470">
        <w:rPr>
          <w:rFonts w:ascii="Arial" w:eastAsia="Calibri" w:hAnsi="Arial" w:cs="Arial"/>
        </w:rPr>
        <w:t xml:space="preserve">Known mineral stage-specific material conversion factors were used, which gave estimates of the </w:t>
      </w:r>
      <w:r>
        <w:rPr>
          <w:rFonts w:ascii="Arial" w:eastAsia="Calibri" w:hAnsi="Arial" w:cs="Arial"/>
        </w:rPr>
        <w:t xml:space="preserve">amount </w:t>
      </w:r>
      <w:r w:rsidRPr="00766470">
        <w:rPr>
          <w:rFonts w:ascii="Arial" w:eastAsia="Calibri" w:hAnsi="Arial" w:cs="Arial"/>
        </w:rPr>
        <w:t xml:space="preserve">(kg) of a given stage </w:t>
      </w:r>
      <w:r>
        <w:rPr>
          <w:rFonts w:ascii="Arial" w:eastAsia="Calibri" w:hAnsi="Arial" w:cs="Arial"/>
        </w:rPr>
        <w:t>out</w:t>
      </w:r>
      <w:r w:rsidRPr="00766470">
        <w:rPr>
          <w:rFonts w:ascii="Arial" w:eastAsia="Calibri" w:hAnsi="Arial" w:cs="Arial"/>
        </w:rPr>
        <w:t xml:space="preserve">put </w:t>
      </w:r>
      <w:r>
        <w:rPr>
          <w:rFonts w:ascii="Arial" w:eastAsia="Calibri" w:hAnsi="Arial" w:cs="Arial"/>
        </w:rPr>
        <w:t xml:space="preserve">produced per one </w:t>
      </w:r>
      <w:r w:rsidRPr="00766470">
        <w:rPr>
          <w:rFonts w:ascii="Arial" w:eastAsia="Calibri" w:hAnsi="Arial" w:cs="Arial"/>
        </w:rPr>
        <w:t xml:space="preserve">unit weight (1 kg) of </w:t>
      </w:r>
      <w:r>
        <w:rPr>
          <w:rFonts w:ascii="Arial" w:eastAsia="Calibri" w:hAnsi="Arial" w:cs="Arial"/>
        </w:rPr>
        <w:t>metal or mineral (for graphite) in the ore</w:t>
      </w:r>
      <w:r w:rsidRPr="00766470">
        <w:rPr>
          <w:rFonts w:ascii="Arial" w:eastAsia="Calibri" w:hAnsi="Arial" w:cs="Arial"/>
        </w:rPr>
        <w:t xml:space="preserve">. </w:t>
      </w:r>
      <w:r w:rsidR="00B8490A">
        <w:rPr>
          <w:rFonts w:ascii="Arial" w:eastAsia="Calibri" w:hAnsi="Arial" w:cs="Arial"/>
        </w:rPr>
        <w:fldChar w:fldCharType="begin"/>
      </w:r>
      <w:r w:rsidR="00B8490A">
        <w:rPr>
          <w:rFonts w:ascii="Arial" w:eastAsia="Calibri" w:hAnsi="Arial" w:cs="Arial"/>
        </w:rPr>
        <w:instrText xml:space="preserve"> REF _Ref214445070 \h </w:instrText>
      </w:r>
      <w:r w:rsidR="00B8490A">
        <w:rPr>
          <w:rFonts w:ascii="Arial" w:eastAsia="Calibri" w:hAnsi="Arial" w:cs="Arial"/>
        </w:rPr>
      </w:r>
      <w:r w:rsidR="00B8490A">
        <w:rPr>
          <w:rFonts w:ascii="Arial" w:eastAsia="Calibri" w:hAnsi="Arial" w:cs="Arial"/>
        </w:rPr>
        <w:fldChar w:fldCharType="separate"/>
      </w:r>
      <w:r w:rsidR="00B8490A">
        <w:t xml:space="preserve">Figure </w:t>
      </w:r>
      <w:r w:rsidR="00B8490A">
        <w:rPr>
          <w:noProof/>
        </w:rPr>
        <w:t>17</w:t>
      </w:r>
      <w:r w:rsidR="00B8490A">
        <w:rPr>
          <w:rFonts w:ascii="Arial" w:eastAsia="Calibri" w:hAnsi="Arial" w:cs="Arial"/>
        </w:rPr>
        <w:fldChar w:fldCharType="end"/>
      </w:r>
      <w:r w:rsidR="00B8490A">
        <w:rPr>
          <w:rFonts w:ascii="Arial" w:eastAsia="Calibri" w:hAnsi="Arial" w:cs="Arial"/>
        </w:rPr>
        <w:t xml:space="preserve"> </w:t>
      </w:r>
      <w:r w:rsidRPr="001E0E81">
        <w:rPr>
          <w:rFonts w:ascii="Arial" w:eastAsia="Calibri" w:hAnsi="Arial" w:cs="Arial"/>
        </w:rPr>
        <w:t>shows the conversion factors starting from</w:t>
      </w:r>
      <w:r>
        <w:rPr>
          <w:rFonts w:ascii="Arial" w:eastAsia="Calibri" w:hAnsi="Arial" w:cs="Arial"/>
        </w:rPr>
        <w:t xml:space="preserve"> the mining and beneficiation stage all the way to the desired stages related to battery precursor production</w:t>
      </w:r>
      <w:r w:rsidRPr="001E0E81">
        <w:rPr>
          <w:rFonts w:ascii="Arial" w:eastAsia="Calibri" w:hAnsi="Arial" w:cs="Arial"/>
        </w:rPr>
        <w:t xml:space="preserve">. </w:t>
      </w:r>
    </w:p>
    <w:p w14:paraId="393EBD4E" w14:textId="3042EC13" w:rsidR="00BE51B1" w:rsidRPr="00766470" w:rsidRDefault="00BE51B1" w:rsidP="00BE51B1">
      <w:pPr>
        <w:pStyle w:val="ListParagraph"/>
        <w:numPr>
          <w:ilvl w:val="0"/>
          <w:numId w:val="12"/>
        </w:numPr>
        <w:spacing w:after="0" w:line="259" w:lineRule="auto"/>
        <w:ind w:left="360"/>
        <w:jc w:val="both"/>
        <w:rPr>
          <w:rFonts w:ascii="Arial" w:hAnsi="Arial" w:cs="Arial"/>
        </w:rPr>
      </w:pPr>
      <w:r w:rsidRPr="00766470">
        <w:rPr>
          <w:rFonts w:ascii="Arial" w:eastAsia="Calibri" w:hAnsi="Arial" w:cs="Arial"/>
        </w:rPr>
        <w:t xml:space="preserve">The material conversion factors were next applied sequentially to the initially corrected BACI trade data, where mass-balance checks were applied to estimate if the total country-level exports at </w:t>
      </w:r>
      <w:r>
        <w:rPr>
          <w:rFonts w:ascii="Arial" w:eastAsia="Calibri" w:hAnsi="Arial" w:cs="Arial"/>
        </w:rPr>
        <w:t>all</w:t>
      </w:r>
      <w:r w:rsidRPr="00766470">
        <w:rPr>
          <w:rFonts w:ascii="Arial" w:eastAsia="Calibri" w:hAnsi="Arial" w:cs="Arial"/>
        </w:rPr>
        <w:t xml:space="preserve"> stages would be possible by converting the remaining metal content at mine level (left after factoring in previous stage exports) and </w:t>
      </w:r>
      <w:r w:rsidRPr="0049083B">
        <w:rPr>
          <w:rFonts w:ascii="Arial" w:eastAsia="Calibri" w:hAnsi="Arial" w:cs="Arial"/>
        </w:rPr>
        <w:t>import tonnages of lower stages to the higher stage product using the conversion factors from</w:t>
      </w:r>
      <w:r w:rsidR="00B8490A">
        <w:rPr>
          <w:rFonts w:ascii="Arial" w:eastAsia="Calibri" w:hAnsi="Arial" w:cs="Arial"/>
        </w:rPr>
        <w:t xml:space="preserve"> </w:t>
      </w:r>
      <w:r w:rsidR="00B8490A">
        <w:rPr>
          <w:rFonts w:ascii="Arial" w:eastAsia="Calibri" w:hAnsi="Arial" w:cs="Arial"/>
        </w:rPr>
        <w:fldChar w:fldCharType="begin"/>
      </w:r>
      <w:r w:rsidR="00B8490A">
        <w:rPr>
          <w:rFonts w:ascii="Arial" w:eastAsia="Calibri" w:hAnsi="Arial" w:cs="Arial"/>
        </w:rPr>
        <w:instrText xml:space="preserve"> REF _Ref214445070 \h </w:instrText>
      </w:r>
      <w:r w:rsidR="00B8490A">
        <w:rPr>
          <w:rFonts w:ascii="Arial" w:eastAsia="Calibri" w:hAnsi="Arial" w:cs="Arial"/>
        </w:rPr>
      </w:r>
      <w:r w:rsidR="00B8490A">
        <w:rPr>
          <w:rFonts w:ascii="Arial" w:eastAsia="Calibri" w:hAnsi="Arial" w:cs="Arial"/>
        </w:rPr>
        <w:fldChar w:fldCharType="separate"/>
      </w:r>
      <w:r w:rsidR="00B8490A">
        <w:t xml:space="preserve">Figure </w:t>
      </w:r>
      <w:r w:rsidR="00B8490A">
        <w:rPr>
          <w:noProof/>
        </w:rPr>
        <w:t>17</w:t>
      </w:r>
      <w:r w:rsidR="00B8490A">
        <w:rPr>
          <w:rFonts w:ascii="Arial" w:eastAsia="Calibri" w:hAnsi="Arial" w:cs="Arial"/>
        </w:rPr>
        <w:fldChar w:fldCharType="end"/>
      </w:r>
      <w:r w:rsidRPr="0049083B">
        <w:rPr>
          <w:rFonts w:ascii="Arial" w:eastAsia="Calibri" w:hAnsi="Arial" w:cs="Arial"/>
        </w:rPr>
        <w:t>. If for any mineral exports at any stage the BACI estimated exports wer</w:t>
      </w:r>
      <w:r w:rsidRPr="00766470">
        <w:rPr>
          <w:rFonts w:ascii="Arial" w:eastAsia="Calibri" w:hAnsi="Arial" w:cs="Arial"/>
        </w:rPr>
        <w:t>e lower than the feasible production achieved by adding the converted (to higher stage) volume of remaining metal content production plus the converted (to higher stage) volumes of lower stage imports, no changes were made to the BACI trade data. If the BACI estimated higher stage exports exceeded the feasible production from converting metal content volumes plus converting lower stage imports, then the higher stage exports were reduced to match feasible production values. Lowering a country’s total export estimates would then result in proportional reductions of its existing exports to other trade partner countries and create a new export–import global balance for the particular stage. This would then propagate through the next higher stage of production till the highest stage of product for each mineral was reached.</w:t>
      </w:r>
    </w:p>
    <w:p w14:paraId="36F13CB1" w14:textId="77777777" w:rsidR="00BE51B1" w:rsidRPr="00766470" w:rsidRDefault="00BE51B1" w:rsidP="00BE51B1">
      <w:pPr>
        <w:spacing w:line="257" w:lineRule="auto"/>
        <w:jc w:val="both"/>
        <w:rPr>
          <w:rFonts w:ascii="Arial" w:eastAsia="Calibri" w:hAnsi="Arial" w:cs="Arial"/>
        </w:rPr>
      </w:pPr>
    </w:p>
    <w:p w14:paraId="6AF624C4" w14:textId="77777777" w:rsidR="009F3AF4" w:rsidRDefault="00BE51B1" w:rsidP="009F3AF4">
      <w:pPr>
        <w:pStyle w:val="Caption"/>
        <w:rPr>
          <w:rFonts w:ascii="Arial" w:hAnsi="Arial" w:cs="Arial"/>
          <w:i w:val="0"/>
          <w:iCs w:val="0"/>
          <w:color w:val="auto"/>
          <w:sz w:val="20"/>
          <w:szCs w:val="20"/>
        </w:rPr>
      </w:pPr>
      <w:r>
        <w:rPr>
          <w:rFonts w:ascii="Arial" w:hAnsi="Arial" w:cs="Arial"/>
          <w:i w:val="0"/>
          <w:iCs w:val="0"/>
          <w:color w:val="auto"/>
          <w:sz w:val="20"/>
          <w:szCs w:val="20"/>
        </w:rPr>
        <w:lastRenderedPageBreak/>
        <w:t xml:space="preserve">     </w:t>
      </w:r>
      <w:bookmarkStart w:id="86" w:name="_Ref182907943"/>
      <w:bookmarkStart w:id="87" w:name="_Ref214455330"/>
      <w:bookmarkEnd w:id="86"/>
      <w:r>
        <w:rPr>
          <w:noProof/>
        </w:rPr>
        <w:drawing>
          <wp:inline distT="0" distB="0" distL="0" distR="0" wp14:anchorId="72E42079" wp14:editId="34BEB1C0">
            <wp:extent cx="4749127" cy="5584785"/>
            <wp:effectExtent l="0" t="0" r="0" b="0"/>
            <wp:docPr id="240485323" name="Picture 33"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323" name="Picture 33" descr="A graph with colorful bars&#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32"/>
                    <a:stretch>
                      <a:fillRect/>
                    </a:stretch>
                  </pic:blipFill>
                  <pic:spPr bwMode="auto">
                    <a:xfrm>
                      <a:off x="0" y="0"/>
                      <a:ext cx="4798688" cy="5643067"/>
                    </a:xfrm>
                    <a:prstGeom prst="rect">
                      <a:avLst/>
                    </a:prstGeom>
                    <a:noFill/>
                    <a:ln>
                      <a:noFill/>
                    </a:ln>
                    <a:extLst>
                      <a:ext uri="{53640926-AAD7-44D8-BBD7-CCE9431645EC}">
                        <a14:shadowObscured xmlns:a14="http://schemas.microsoft.com/office/drawing/2010/main"/>
                      </a:ext>
                    </a:extLst>
                  </pic:spPr>
                </pic:pic>
              </a:graphicData>
            </a:graphic>
          </wp:inline>
        </w:drawing>
      </w:r>
    </w:p>
    <w:p w14:paraId="507F7C52" w14:textId="5C0024CD" w:rsidR="00BE51B1" w:rsidRPr="00766470" w:rsidRDefault="009F3AF4" w:rsidP="009F3AF4">
      <w:pPr>
        <w:pStyle w:val="Caption"/>
        <w:rPr>
          <w:rFonts w:ascii="Arial" w:hAnsi="Arial" w:cs="Arial"/>
          <w:color w:val="7F7F7F" w:themeColor="text1" w:themeTint="80"/>
          <w:sz w:val="20"/>
          <w:szCs w:val="20"/>
        </w:rPr>
      </w:pPr>
      <w:bookmarkStart w:id="88" w:name="_Ref214445070"/>
      <w:r>
        <w:t xml:space="preserve">Figure </w:t>
      </w:r>
      <w:fldSimple w:instr=" SEQ Figure \* ARABIC ">
        <w:r w:rsidR="00E1763F">
          <w:rPr>
            <w:noProof/>
          </w:rPr>
          <w:t>17</w:t>
        </w:r>
      </w:fldSimple>
      <w:bookmarkStart w:id="89" w:name="_Toc211272400"/>
      <w:bookmarkEnd w:id="87"/>
      <w:bookmarkEnd w:id="88"/>
      <w:r w:rsidRPr="009F3AF4">
        <w:t>: Mineral stage-specific material conversion factors</w:t>
      </w:r>
      <w:bookmarkEnd w:id="89"/>
      <w:r>
        <w:t xml:space="preserve">. </w:t>
      </w:r>
      <w:r w:rsidR="00BE51B1" w:rsidRPr="009F3AF4">
        <w:t>Note: Material conversion factors showing the volume (in kilograms) of each stage</w:t>
      </w:r>
      <w:r>
        <w:t xml:space="preserve"> </w:t>
      </w:r>
      <w:r w:rsidR="00BE51B1" w:rsidRPr="009F3AF4">
        <w:t xml:space="preserve"> of mineral product produced for unit kilogram (1 kg) of metal or mineral in ore.</w:t>
      </w:r>
    </w:p>
    <w:p w14:paraId="45D12D3B" w14:textId="2074C139" w:rsidR="00BE51B1" w:rsidRPr="008F1BF4" w:rsidRDefault="00BE51B1" w:rsidP="00BE51B1">
      <w:pPr>
        <w:spacing w:line="257" w:lineRule="auto"/>
        <w:jc w:val="both"/>
      </w:pPr>
      <w:r w:rsidRPr="00766470">
        <w:rPr>
          <w:rFonts w:ascii="Arial" w:eastAsia="Calibri" w:hAnsi="Arial" w:cs="Arial"/>
        </w:rPr>
        <w:t>An intermediate result of from the analysis is shown in</w:t>
      </w:r>
      <w:r w:rsidR="00B8490A">
        <w:rPr>
          <w:rFonts w:ascii="Arial" w:eastAsia="Calibri" w:hAnsi="Arial" w:cs="Arial"/>
          <w:b/>
          <w:bCs/>
          <w:color w:val="000000" w:themeColor="text1"/>
        </w:rPr>
        <w:t xml:space="preserve"> </w:t>
      </w:r>
      <w:r w:rsidR="00B8490A">
        <w:rPr>
          <w:rFonts w:ascii="Arial" w:eastAsia="Calibri" w:hAnsi="Arial" w:cs="Arial"/>
          <w:b/>
          <w:bCs/>
          <w:color w:val="000000" w:themeColor="text1"/>
        </w:rPr>
        <w:fldChar w:fldCharType="begin"/>
      </w:r>
      <w:r w:rsidR="00B8490A">
        <w:rPr>
          <w:rFonts w:ascii="Arial" w:eastAsia="Calibri" w:hAnsi="Arial" w:cs="Arial"/>
          <w:b/>
          <w:bCs/>
          <w:color w:val="000000" w:themeColor="text1"/>
        </w:rPr>
        <w:instrText xml:space="preserve"> REF _Ref214445111 \h </w:instrText>
      </w:r>
      <w:r w:rsidR="00B8490A">
        <w:rPr>
          <w:rFonts w:ascii="Arial" w:eastAsia="Calibri" w:hAnsi="Arial" w:cs="Arial"/>
          <w:b/>
          <w:bCs/>
          <w:color w:val="000000" w:themeColor="text1"/>
        </w:rPr>
      </w:r>
      <w:r w:rsidR="00B8490A">
        <w:rPr>
          <w:rFonts w:ascii="Arial" w:eastAsia="Calibri" w:hAnsi="Arial" w:cs="Arial"/>
          <w:b/>
          <w:bCs/>
          <w:color w:val="000000" w:themeColor="text1"/>
        </w:rPr>
        <w:fldChar w:fldCharType="separate"/>
      </w:r>
      <w:r w:rsidR="00B8490A">
        <w:t xml:space="preserve">Table </w:t>
      </w:r>
      <w:r w:rsidR="00B8490A">
        <w:rPr>
          <w:noProof/>
        </w:rPr>
        <w:t>12</w:t>
      </w:r>
      <w:r w:rsidR="00B8490A">
        <w:rPr>
          <w:rFonts w:ascii="Arial" w:eastAsia="Calibri" w:hAnsi="Arial" w:cs="Arial"/>
          <w:b/>
          <w:bCs/>
          <w:color w:val="000000" w:themeColor="text1"/>
        </w:rPr>
        <w:fldChar w:fldCharType="end"/>
      </w:r>
      <w:r w:rsidRPr="00766470">
        <w:rPr>
          <w:rFonts w:ascii="Arial" w:eastAsia="Calibri" w:hAnsi="Arial" w:cs="Arial"/>
        </w:rPr>
        <w:t>, where the estimated country totals of metal (or lithium carbonate) contents utilised in higher stage productions for exports (from BACI data) are compared with the mine-level estimates of total metal productions. Where the values are equal (ie the trade-to-production fraction is 100%) the BACI trade values were proportionally reduced to match mine-level production. For example, in the case of lithium this means that the trade for the generic</w:t>
      </w:r>
      <w:r>
        <w:rPr>
          <w:rFonts w:ascii="Arial" w:eastAsia="Calibri" w:hAnsi="Arial" w:cs="Arial"/>
        </w:rPr>
        <w:t>-looking</w:t>
      </w:r>
      <w:r w:rsidRPr="00766470">
        <w:rPr>
          <w:rFonts w:ascii="Arial" w:eastAsia="Calibri" w:hAnsi="Arial" w:cs="Arial"/>
        </w:rPr>
        <w:t xml:space="preserve"> product code</w:t>
      </w:r>
      <w:r>
        <w:rPr>
          <w:rFonts w:ascii="Arial" w:eastAsia="Calibri" w:hAnsi="Arial" w:cs="Arial"/>
        </w:rPr>
        <w:t xml:space="preserve"> </w:t>
      </w:r>
      <w:r w:rsidRPr="00766470">
        <w:rPr>
          <w:rFonts w:ascii="Arial" w:eastAsia="Calibri" w:hAnsi="Arial" w:cs="Arial"/>
        </w:rPr>
        <w:t>253090 “Arsenic sulfides, alunite, pozzolana, earth colours and other mineral substances, n.e.s.”</w:t>
      </w:r>
      <w:r>
        <w:rPr>
          <w:rFonts w:ascii="Arial" w:eastAsia="Calibri" w:hAnsi="Arial" w:cs="Arial"/>
        </w:rPr>
        <w:t xml:space="preserve"> (which is known for including lithium products relevant to the study)</w:t>
      </w:r>
      <w:r w:rsidRPr="00766470">
        <w:rPr>
          <w:rFonts w:ascii="Arial" w:eastAsia="Calibri" w:hAnsi="Arial" w:cs="Arial"/>
        </w:rPr>
        <w:t xml:space="preserve"> was reduced to capture only lithium-specific trade. Also, it means all the product mine-level outputs would be utilised for production of the chosen higher stage products for exporting. Where the trade-to-production fraction values are less than 100% it means that there were possibly other uses of the metal that were not captured through the selected products in the trade data or there was unaccounted domestic consumption. </w:t>
      </w:r>
      <w:r w:rsidRPr="00CF5132">
        <w:rPr>
          <w:rFonts w:ascii="Arial" w:eastAsia="Calibri" w:hAnsi="Arial" w:cs="Arial"/>
        </w:rPr>
        <w:t>For example, on</w:t>
      </w:r>
      <w:r w:rsidRPr="008F1BF4">
        <w:rPr>
          <w:rFonts w:ascii="Arial" w:eastAsia="Calibri" w:hAnsi="Arial" w:cs="Arial"/>
        </w:rPr>
        <w:t>ly 57% of South Africa’s mine-</w:t>
      </w:r>
      <w:r w:rsidRPr="008F1BF4">
        <w:rPr>
          <w:rFonts w:ascii="Arial" w:eastAsia="Calibri" w:hAnsi="Arial" w:cs="Arial"/>
        </w:rPr>
        <w:lastRenderedPageBreak/>
        <w:t xml:space="preserve">level cobalt production was accounted for in the production of the chosen higher stage products for export, while the remaining 43% went to other nickel-related products that were being used to non-EV battery manufacturing.      </w:t>
      </w:r>
      <w:bookmarkStart w:id="90" w:name="_Ref190748025"/>
    </w:p>
    <w:p w14:paraId="04C1094D" w14:textId="0D4B453E" w:rsidR="00BE51B1" w:rsidRPr="009F3AF4" w:rsidRDefault="00B8490A" w:rsidP="00B8490A">
      <w:pPr>
        <w:pStyle w:val="Caption"/>
      </w:pPr>
      <w:bookmarkStart w:id="91" w:name="_Ref214445111"/>
      <w:bookmarkStart w:id="92" w:name="_Toc211509407"/>
      <w:bookmarkEnd w:id="90"/>
      <w:r>
        <w:t xml:space="preserve">Table </w:t>
      </w:r>
      <w:fldSimple w:instr=" SEQ Table \* ARABIC ">
        <w:r w:rsidR="00615C28">
          <w:t>12</w:t>
        </w:r>
      </w:fldSimple>
      <w:bookmarkEnd w:id="91"/>
      <w:r w:rsidR="00BE51B1" w:rsidRPr="009F3AF4">
        <w:t>: Estimated country totals of metal contents for higher stage productions for exports compared with mine-level estimates of total metal productions</w:t>
      </w:r>
      <w:bookmarkEnd w:id="92"/>
    </w:p>
    <w:tbl>
      <w:tblPr>
        <w:tblStyle w:val="PlainTable2"/>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2"/>
        <w:gridCol w:w="2127"/>
        <w:gridCol w:w="1842"/>
        <w:gridCol w:w="1276"/>
      </w:tblGrid>
      <w:tr w:rsidR="00BE51B1" w:rsidRPr="00AE3744" w14:paraId="59562713" w14:textId="77777777" w:rsidTr="00877C1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B7D4EF" w:themeFill="text2" w:themeFillTint="33"/>
          </w:tcPr>
          <w:p w14:paraId="7C8E92C8"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Mineral</w:t>
            </w:r>
          </w:p>
        </w:tc>
        <w:tc>
          <w:tcPr>
            <w:tcW w:w="1412" w:type="dxa"/>
            <w:tcBorders>
              <w:bottom w:val="none" w:sz="0" w:space="0" w:color="auto"/>
            </w:tcBorders>
            <w:shd w:val="clear" w:color="auto" w:fill="B7D4EF" w:themeFill="text2" w:themeFillTint="33"/>
          </w:tcPr>
          <w:p w14:paraId="04A1EB43" w14:textId="77777777" w:rsidR="00BE51B1" w:rsidRPr="00AE3744"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18"/>
                <w:szCs w:val="18"/>
              </w:rPr>
            </w:pPr>
            <w:r w:rsidRPr="00AE3744">
              <w:rPr>
                <w:rFonts w:ascii="Arial" w:eastAsia="Aptos Narrow" w:hAnsi="Arial" w:cs="Arial"/>
                <w:color w:val="156082" w:themeColor="accent1"/>
                <w:sz w:val="18"/>
                <w:szCs w:val="18"/>
              </w:rPr>
              <w:t>Exporting country (name)</w:t>
            </w:r>
          </w:p>
        </w:tc>
        <w:tc>
          <w:tcPr>
            <w:tcW w:w="2127" w:type="dxa"/>
            <w:tcBorders>
              <w:bottom w:val="none" w:sz="0" w:space="0" w:color="auto"/>
            </w:tcBorders>
            <w:shd w:val="clear" w:color="auto" w:fill="B7D4EF" w:themeFill="text2" w:themeFillTint="33"/>
          </w:tcPr>
          <w:p w14:paraId="52CB0C55" w14:textId="77777777" w:rsidR="00BE51B1" w:rsidRPr="00AE3744"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18"/>
                <w:szCs w:val="18"/>
              </w:rPr>
            </w:pPr>
            <w:r w:rsidRPr="00AE3744">
              <w:rPr>
                <w:rFonts w:ascii="Arial" w:eastAsia="Aptos Narrow" w:hAnsi="Arial" w:cs="Arial"/>
                <w:color w:val="156082" w:themeColor="accent1"/>
                <w:sz w:val="18"/>
                <w:szCs w:val="18"/>
              </w:rPr>
              <w:t>Metal converted to the chosen commodities and exported (tonnes)</w:t>
            </w:r>
          </w:p>
        </w:tc>
        <w:tc>
          <w:tcPr>
            <w:tcW w:w="1842" w:type="dxa"/>
            <w:tcBorders>
              <w:bottom w:val="none" w:sz="0" w:space="0" w:color="auto"/>
            </w:tcBorders>
            <w:shd w:val="clear" w:color="auto" w:fill="B7D4EF" w:themeFill="text2" w:themeFillTint="33"/>
          </w:tcPr>
          <w:p w14:paraId="52A4EC0C" w14:textId="77777777" w:rsidR="00BE51B1" w:rsidRPr="00AE3744"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18"/>
                <w:szCs w:val="18"/>
              </w:rPr>
            </w:pPr>
            <w:r w:rsidRPr="00AE3744">
              <w:rPr>
                <w:rFonts w:ascii="Arial" w:eastAsia="Aptos Narrow" w:hAnsi="Arial" w:cs="Arial"/>
                <w:color w:val="156082" w:themeColor="accent1"/>
                <w:sz w:val="18"/>
                <w:szCs w:val="18"/>
              </w:rPr>
              <w:t>Total mine-level metal production estimates (tonnes)</w:t>
            </w:r>
          </w:p>
        </w:tc>
        <w:tc>
          <w:tcPr>
            <w:tcW w:w="1276" w:type="dxa"/>
            <w:tcBorders>
              <w:bottom w:val="none" w:sz="0" w:space="0" w:color="auto"/>
            </w:tcBorders>
            <w:shd w:val="clear" w:color="auto" w:fill="B7D4EF" w:themeFill="text2" w:themeFillTint="33"/>
          </w:tcPr>
          <w:p w14:paraId="1C007A07" w14:textId="77777777" w:rsidR="00BE51B1" w:rsidRPr="00AE3744"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18"/>
                <w:szCs w:val="18"/>
              </w:rPr>
            </w:pPr>
            <w:r w:rsidRPr="00AE3744">
              <w:rPr>
                <w:rFonts w:ascii="Arial" w:eastAsia="Aptos Narrow" w:hAnsi="Arial" w:cs="Arial"/>
                <w:color w:val="156082" w:themeColor="accent1"/>
                <w:sz w:val="18"/>
                <w:szCs w:val="18"/>
              </w:rPr>
              <w:t>Trade-to-production-fraction (%)</w:t>
            </w:r>
          </w:p>
        </w:tc>
      </w:tr>
      <w:tr w:rsidR="00BE51B1" w:rsidRPr="00AE3744" w14:paraId="463EC623"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bottom w:val="none" w:sz="0" w:space="0" w:color="auto"/>
            </w:tcBorders>
          </w:tcPr>
          <w:p w14:paraId="5925D725"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Cobalt</w:t>
            </w:r>
          </w:p>
        </w:tc>
        <w:tc>
          <w:tcPr>
            <w:tcW w:w="1412" w:type="dxa"/>
            <w:tcBorders>
              <w:top w:val="none" w:sz="0" w:space="0" w:color="auto"/>
              <w:bottom w:val="none" w:sz="0" w:space="0" w:color="auto"/>
            </w:tcBorders>
          </w:tcPr>
          <w:p w14:paraId="1BBB9F14"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DRC</w:t>
            </w:r>
          </w:p>
        </w:tc>
        <w:tc>
          <w:tcPr>
            <w:tcW w:w="2127" w:type="dxa"/>
            <w:tcBorders>
              <w:top w:val="none" w:sz="0" w:space="0" w:color="auto"/>
              <w:bottom w:val="none" w:sz="0" w:space="0" w:color="auto"/>
            </w:tcBorders>
            <w:vAlign w:val="bottom"/>
          </w:tcPr>
          <w:p w14:paraId="07D286AE"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118,077</w:t>
            </w:r>
          </w:p>
        </w:tc>
        <w:tc>
          <w:tcPr>
            <w:tcW w:w="1842" w:type="dxa"/>
            <w:tcBorders>
              <w:top w:val="none" w:sz="0" w:space="0" w:color="auto"/>
              <w:bottom w:val="none" w:sz="0" w:space="0" w:color="auto"/>
            </w:tcBorders>
            <w:vAlign w:val="bottom"/>
          </w:tcPr>
          <w:p w14:paraId="32856E7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118,077</w:t>
            </w:r>
          </w:p>
        </w:tc>
        <w:tc>
          <w:tcPr>
            <w:tcW w:w="1276" w:type="dxa"/>
            <w:tcBorders>
              <w:top w:val="none" w:sz="0" w:space="0" w:color="auto"/>
              <w:bottom w:val="none" w:sz="0" w:space="0" w:color="auto"/>
            </w:tcBorders>
            <w:vAlign w:val="bottom"/>
          </w:tcPr>
          <w:p w14:paraId="43EBC05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497F25E5"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71440235"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59158EC2"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Arial" w:eastAsia="Aptos Narrow" w:hAnsi="Arial" w:cs="Arial"/>
                <w:color w:val="000000" w:themeColor="text1"/>
                <w:sz w:val="18"/>
                <w:szCs w:val="18"/>
              </w:rPr>
              <w:t>Madagascar</w:t>
            </w:r>
          </w:p>
        </w:tc>
        <w:tc>
          <w:tcPr>
            <w:tcW w:w="2127" w:type="dxa"/>
            <w:vAlign w:val="bottom"/>
          </w:tcPr>
          <w:p w14:paraId="2B128AB6"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3,428</w:t>
            </w:r>
          </w:p>
        </w:tc>
        <w:tc>
          <w:tcPr>
            <w:tcW w:w="1842" w:type="dxa"/>
            <w:vAlign w:val="bottom"/>
          </w:tcPr>
          <w:p w14:paraId="0160209E"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3,428</w:t>
            </w:r>
          </w:p>
        </w:tc>
        <w:tc>
          <w:tcPr>
            <w:tcW w:w="1276" w:type="dxa"/>
            <w:vAlign w:val="bottom"/>
          </w:tcPr>
          <w:p w14:paraId="5FCFFF39"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100%</w:t>
            </w:r>
          </w:p>
        </w:tc>
      </w:tr>
      <w:tr w:rsidR="00BE51B1" w:rsidRPr="00AE3744" w14:paraId="080D6008"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2DDD8E9F"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27B527BB"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South Africa</w:t>
            </w:r>
          </w:p>
        </w:tc>
        <w:tc>
          <w:tcPr>
            <w:tcW w:w="2127" w:type="dxa"/>
            <w:vAlign w:val="bottom"/>
          </w:tcPr>
          <w:p w14:paraId="6BC1ECB9"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250</w:t>
            </w:r>
          </w:p>
        </w:tc>
        <w:tc>
          <w:tcPr>
            <w:tcW w:w="1842" w:type="dxa"/>
            <w:vAlign w:val="bottom"/>
          </w:tcPr>
          <w:p w14:paraId="09A37377"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250</w:t>
            </w:r>
          </w:p>
        </w:tc>
        <w:tc>
          <w:tcPr>
            <w:tcW w:w="1276" w:type="dxa"/>
            <w:vAlign w:val="bottom"/>
          </w:tcPr>
          <w:p w14:paraId="5E915241"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430989A4"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0429D346"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539AD907"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Zambia</w:t>
            </w:r>
          </w:p>
        </w:tc>
        <w:tc>
          <w:tcPr>
            <w:tcW w:w="2127" w:type="dxa"/>
            <w:vAlign w:val="bottom"/>
          </w:tcPr>
          <w:p w14:paraId="7684CF03"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940</w:t>
            </w:r>
          </w:p>
        </w:tc>
        <w:tc>
          <w:tcPr>
            <w:tcW w:w="1842" w:type="dxa"/>
            <w:vAlign w:val="bottom"/>
          </w:tcPr>
          <w:p w14:paraId="60068E63"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940</w:t>
            </w:r>
          </w:p>
        </w:tc>
        <w:tc>
          <w:tcPr>
            <w:tcW w:w="1276" w:type="dxa"/>
            <w:vAlign w:val="bottom"/>
          </w:tcPr>
          <w:p w14:paraId="7691662B"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08A5CDE7"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5FF22288"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Copper</w:t>
            </w:r>
          </w:p>
        </w:tc>
        <w:tc>
          <w:tcPr>
            <w:tcW w:w="1412" w:type="dxa"/>
          </w:tcPr>
          <w:p w14:paraId="67239FF5"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Botswana</w:t>
            </w:r>
          </w:p>
        </w:tc>
        <w:tc>
          <w:tcPr>
            <w:tcW w:w="2127" w:type="dxa"/>
            <w:vAlign w:val="bottom"/>
          </w:tcPr>
          <w:p w14:paraId="5CBC7110"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54,849</w:t>
            </w:r>
          </w:p>
        </w:tc>
        <w:tc>
          <w:tcPr>
            <w:tcW w:w="1842" w:type="dxa"/>
            <w:vAlign w:val="bottom"/>
          </w:tcPr>
          <w:p w14:paraId="444A64B4"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59,225</w:t>
            </w:r>
          </w:p>
        </w:tc>
        <w:tc>
          <w:tcPr>
            <w:tcW w:w="1276" w:type="dxa"/>
            <w:vAlign w:val="bottom"/>
          </w:tcPr>
          <w:p w14:paraId="75062AD3"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93%</w:t>
            </w:r>
          </w:p>
        </w:tc>
      </w:tr>
      <w:tr w:rsidR="00BE51B1" w:rsidRPr="00AE3744" w14:paraId="0DC98C72"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5BD8C419"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25E7E13B"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DRC</w:t>
            </w:r>
          </w:p>
        </w:tc>
        <w:tc>
          <w:tcPr>
            <w:tcW w:w="2127" w:type="dxa"/>
            <w:vAlign w:val="bottom"/>
          </w:tcPr>
          <w:p w14:paraId="4BB8485C"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1,797,006</w:t>
            </w:r>
          </w:p>
        </w:tc>
        <w:tc>
          <w:tcPr>
            <w:tcW w:w="1842" w:type="dxa"/>
            <w:vAlign w:val="bottom"/>
          </w:tcPr>
          <w:p w14:paraId="77BCC68A"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2,394,630</w:t>
            </w:r>
          </w:p>
        </w:tc>
        <w:tc>
          <w:tcPr>
            <w:tcW w:w="1276" w:type="dxa"/>
            <w:vAlign w:val="bottom"/>
          </w:tcPr>
          <w:p w14:paraId="20198329"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75%</w:t>
            </w:r>
          </w:p>
        </w:tc>
      </w:tr>
      <w:tr w:rsidR="00BE51B1" w:rsidRPr="00AE3744" w14:paraId="4ACA549A"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081DAF02"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75CF9F0A"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Namibia</w:t>
            </w:r>
          </w:p>
        </w:tc>
        <w:tc>
          <w:tcPr>
            <w:tcW w:w="2127" w:type="dxa"/>
            <w:vAlign w:val="bottom"/>
          </w:tcPr>
          <w:p w14:paraId="39152F21"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3,500</w:t>
            </w:r>
          </w:p>
        </w:tc>
        <w:tc>
          <w:tcPr>
            <w:tcW w:w="1842" w:type="dxa"/>
            <w:vAlign w:val="bottom"/>
          </w:tcPr>
          <w:p w14:paraId="7CBDDF6C"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3,500</w:t>
            </w:r>
          </w:p>
        </w:tc>
        <w:tc>
          <w:tcPr>
            <w:tcW w:w="1276" w:type="dxa"/>
            <w:vAlign w:val="bottom"/>
          </w:tcPr>
          <w:p w14:paraId="1B313BA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723B7671"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4F1C771B"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12121483"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Tanzania</w:t>
            </w:r>
          </w:p>
        </w:tc>
        <w:tc>
          <w:tcPr>
            <w:tcW w:w="2127" w:type="dxa"/>
            <w:vAlign w:val="bottom"/>
          </w:tcPr>
          <w:p w14:paraId="5AA9A6ED"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118,027</w:t>
            </w:r>
          </w:p>
        </w:tc>
        <w:tc>
          <w:tcPr>
            <w:tcW w:w="1842" w:type="dxa"/>
            <w:vAlign w:val="bottom"/>
          </w:tcPr>
          <w:p w14:paraId="3975BAEC"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118,000</w:t>
            </w:r>
          </w:p>
        </w:tc>
        <w:tc>
          <w:tcPr>
            <w:tcW w:w="1276" w:type="dxa"/>
            <w:vAlign w:val="bottom"/>
          </w:tcPr>
          <w:p w14:paraId="7490CDFE"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0B755869"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6E3BBFEA"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053E5F62"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South Africa</w:t>
            </w:r>
          </w:p>
        </w:tc>
        <w:tc>
          <w:tcPr>
            <w:tcW w:w="2127" w:type="dxa"/>
            <w:vAlign w:val="bottom"/>
          </w:tcPr>
          <w:p w14:paraId="44DDF151"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59,533</w:t>
            </w:r>
          </w:p>
        </w:tc>
        <w:tc>
          <w:tcPr>
            <w:tcW w:w="1842" w:type="dxa"/>
            <w:vAlign w:val="bottom"/>
          </w:tcPr>
          <w:p w14:paraId="117F8B8B"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59,528</w:t>
            </w:r>
          </w:p>
        </w:tc>
        <w:tc>
          <w:tcPr>
            <w:tcW w:w="1276" w:type="dxa"/>
            <w:vAlign w:val="bottom"/>
          </w:tcPr>
          <w:p w14:paraId="6519022D"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65FFC5A4"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2FCD6260"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7543D97C"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Zambia</w:t>
            </w:r>
          </w:p>
        </w:tc>
        <w:tc>
          <w:tcPr>
            <w:tcW w:w="2127" w:type="dxa"/>
            <w:vAlign w:val="bottom"/>
          </w:tcPr>
          <w:p w14:paraId="46FB575E"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720,848</w:t>
            </w:r>
          </w:p>
        </w:tc>
        <w:tc>
          <w:tcPr>
            <w:tcW w:w="1842" w:type="dxa"/>
            <w:vAlign w:val="bottom"/>
          </w:tcPr>
          <w:p w14:paraId="33538B97"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763,550</w:t>
            </w:r>
          </w:p>
        </w:tc>
        <w:tc>
          <w:tcPr>
            <w:tcW w:w="1276" w:type="dxa"/>
            <w:vAlign w:val="bottom"/>
          </w:tcPr>
          <w:p w14:paraId="271EDC8D"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94%</w:t>
            </w:r>
          </w:p>
        </w:tc>
      </w:tr>
      <w:tr w:rsidR="00BE51B1" w:rsidRPr="00AE3744" w14:paraId="4743A7B4"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204E1C2A"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6F9B4D33"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Zimbabwe</w:t>
            </w:r>
          </w:p>
        </w:tc>
        <w:tc>
          <w:tcPr>
            <w:tcW w:w="2127" w:type="dxa"/>
            <w:vAlign w:val="bottom"/>
          </w:tcPr>
          <w:p w14:paraId="33ED847B"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201</w:t>
            </w:r>
          </w:p>
        </w:tc>
        <w:tc>
          <w:tcPr>
            <w:tcW w:w="1842" w:type="dxa"/>
            <w:vAlign w:val="bottom"/>
          </w:tcPr>
          <w:p w14:paraId="3A002C57"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12,907</w:t>
            </w:r>
          </w:p>
        </w:tc>
        <w:tc>
          <w:tcPr>
            <w:tcW w:w="1276" w:type="dxa"/>
            <w:vAlign w:val="bottom"/>
          </w:tcPr>
          <w:p w14:paraId="33B1CE49"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2%</w:t>
            </w:r>
          </w:p>
        </w:tc>
      </w:tr>
      <w:tr w:rsidR="00BE51B1" w:rsidRPr="00AE3744" w14:paraId="5176005E"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09856E6C"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Graphite</w:t>
            </w:r>
          </w:p>
        </w:tc>
        <w:tc>
          <w:tcPr>
            <w:tcW w:w="1412" w:type="dxa"/>
          </w:tcPr>
          <w:p w14:paraId="5EE9EA64"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Madagascar</w:t>
            </w:r>
          </w:p>
        </w:tc>
        <w:tc>
          <w:tcPr>
            <w:tcW w:w="2127" w:type="dxa"/>
            <w:vAlign w:val="bottom"/>
          </w:tcPr>
          <w:p w14:paraId="4ED1F144"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116,700</w:t>
            </w:r>
          </w:p>
        </w:tc>
        <w:tc>
          <w:tcPr>
            <w:tcW w:w="1842" w:type="dxa"/>
            <w:vAlign w:val="bottom"/>
          </w:tcPr>
          <w:p w14:paraId="6721AFF7"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116,700</w:t>
            </w:r>
          </w:p>
        </w:tc>
        <w:tc>
          <w:tcPr>
            <w:tcW w:w="1276" w:type="dxa"/>
            <w:vAlign w:val="bottom"/>
          </w:tcPr>
          <w:p w14:paraId="12689703"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2CA80866"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36F8EB6B" w14:textId="77777777" w:rsidR="00BE51B1" w:rsidRPr="00AE3744" w:rsidRDefault="00BE51B1" w:rsidP="00877C15">
            <w:pPr>
              <w:spacing w:before="40" w:after="40"/>
              <w:jc w:val="center"/>
              <w:rPr>
                <w:rFonts w:ascii="Arial" w:eastAsia="Aptos Narrow" w:hAnsi="Arial" w:cs="Arial"/>
                <w:color w:val="156082" w:themeColor="accent1"/>
                <w:sz w:val="18"/>
                <w:szCs w:val="18"/>
              </w:rPr>
            </w:pPr>
          </w:p>
        </w:tc>
        <w:tc>
          <w:tcPr>
            <w:tcW w:w="1412" w:type="dxa"/>
          </w:tcPr>
          <w:p w14:paraId="066C367A"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eastAsia="Aptos Narrow" w:hAnsi="Arial" w:cs="Arial"/>
                <w:color w:val="000000" w:themeColor="text1"/>
                <w:sz w:val="18"/>
                <w:szCs w:val="18"/>
              </w:rPr>
            </w:pPr>
            <w:r w:rsidRPr="00AE3744">
              <w:rPr>
                <w:rFonts w:ascii="Arial" w:eastAsia="Aptos Narrow" w:hAnsi="Arial" w:cs="Arial"/>
                <w:color w:val="000000" w:themeColor="text1"/>
                <w:sz w:val="18"/>
                <w:szCs w:val="18"/>
              </w:rPr>
              <w:t>Mozambique</w:t>
            </w:r>
          </w:p>
        </w:tc>
        <w:tc>
          <w:tcPr>
            <w:tcW w:w="2127" w:type="dxa"/>
            <w:vAlign w:val="bottom"/>
          </w:tcPr>
          <w:p w14:paraId="00728831"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165,932</w:t>
            </w:r>
          </w:p>
        </w:tc>
        <w:tc>
          <w:tcPr>
            <w:tcW w:w="1842" w:type="dxa"/>
            <w:vAlign w:val="bottom"/>
          </w:tcPr>
          <w:p w14:paraId="44DF772C"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165,932</w:t>
            </w:r>
          </w:p>
        </w:tc>
        <w:tc>
          <w:tcPr>
            <w:tcW w:w="1276" w:type="dxa"/>
            <w:vAlign w:val="bottom"/>
          </w:tcPr>
          <w:p w14:paraId="4BEBB5BE"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100%</w:t>
            </w:r>
          </w:p>
        </w:tc>
      </w:tr>
      <w:tr w:rsidR="00BE51B1" w:rsidRPr="00AE3744" w14:paraId="76CAB131"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45570ABE"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3744051F"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Tanzania</w:t>
            </w:r>
          </w:p>
        </w:tc>
        <w:tc>
          <w:tcPr>
            <w:tcW w:w="2127" w:type="dxa"/>
            <w:vAlign w:val="bottom"/>
          </w:tcPr>
          <w:p w14:paraId="478557E5"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9,559</w:t>
            </w:r>
          </w:p>
        </w:tc>
        <w:tc>
          <w:tcPr>
            <w:tcW w:w="1842" w:type="dxa"/>
            <w:vAlign w:val="bottom"/>
          </w:tcPr>
          <w:p w14:paraId="6189B9AA"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38,891</w:t>
            </w:r>
          </w:p>
        </w:tc>
        <w:tc>
          <w:tcPr>
            <w:tcW w:w="1276" w:type="dxa"/>
            <w:vAlign w:val="bottom"/>
          </w:tcPr>
          <w:p w14:paraId="7BA4A7EA"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25%</w:t>
            </w:r>
          </w:p>
        </w:tc>
      </w:tr>
      <w:tr w:rsidR="00BE51B1" w:rsidRPr="00AE3744" w14:paraId="04DC9E1E"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bottom w:val="none" w:sz="0" w:space="0" w:color="auto"/>
            </w:tcBorders>
          </w:tcPr>
          <w:p w14:paraId="58FCA84C"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Lithium</w:t>
            </w:r>
          </w:p>
        </w:tc>
        <w:tc>
          <w:tcPr>
            <w:tcW w:w="1412" w:type="dxa"/>
            <w:tcBorders>
              <w:top w:val="none" w:sz="0" w:space="0" w:color="auto"/>
              <w:bottom w:val="none" w:sz="0" w:space="0" w:color="auto"/>
            </w:tcBorders>
          </w:tcPr>
          <w:p w14:paraId="6FD1636B"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Namibia</w:t>
            </w:r>
          </w:p>
        </w:tc>
        <w:tc>
          <w:tcPr>
            <w:tcW w:w="2127" w:type="dxa"/>
            <w:tcBorders>
              <w:top w:val="none" w:sz="0" w:space="0" w:color="auto"/>
              <w:bottom w:val="none" w:sz="0" w:space="0" w:color="auto"/>
            </w:tcBorders>
            <w:vAlign w:val="bottom"/>
          </w:tcPr>
          <w:p w14:paraId="4EDFEAB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978</w:t>
            </w:r>
          </w:p>
        </w:tc>
        <w:tc>
          <w:tcPr>
            <w:tcW w:w="1842" w:type="dxa"/>
            <w:tcBorders>
              <w:top w:val="none" w:sz="0" w:space="0" w:color="auto"/>
              <w:bottom w:val="none" w:sz="0" w:space="0" w:color="auto"/>
            </w:tcBorders>
            <w:vAlign w:val="bottom"/>
          </w:tcPr>
          <w:p w14:paraId="7F3C6F94"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978</w:t>
            </w:r>
          </w:p>
        </w:tc>
        <w:tc>
          <w:tcPr>
            <w:tcW w:w="1276" w:type="dxa"/>
            <w:tcBorders>
              <w:top w:val="none" w:sz="0" w:space="0" w:color="auto"/>
              <w:bottom w:val="none" w:sz="0" w:space="0" w:color="auto"/>
            </w:tcBorders>
            <w:vAlign w:val="bottom"/>
          </w:tcPr>
          <w:p w14:paraId="4C917FB2"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36CB4E84"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1EAA9F32"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12AA00C8"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Zimbabwe</w:t>
            </w:r>
          </w:p>
        </w:tc>
        <w:tc>
          <w:tcPr>
            <w:tcW w:w="2127" w:type="dxa"/>
            <w:vAlign w:val="bottom"/>
          </w:tcPr>
          <w:p w14:paraId="1EECB44D"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2,342</w:t>
            </w:r>
          </w:p>
        </w:tc>
        <w:tc>
          <w:tcPr>
            <w:tcW w:w="1842" w:type="dxa"/>
            <w:vAlign w:val="bottom"/>
          </w:tcPr>
          <w:p w14:paraId="79CDB7EC"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2,342</w:t>
            </w:r>
          </w:p>
        </w:tc>
        <w:tc>
          <w:tcPr>
            <w:tcW w:w="1276" w:type="dxa"/>
            <w:vAlign w:val="bottom"/>
          </w:tcPr>
          <w:p w14:paraId="6415E3A6"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199B015B"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bottom w:val="none" w:sz="0" w:space="0" w:color="auto"/>
            </w:tcBorders>
          </w:tcPr>
          <w:p w14:paraId="308FF76B"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Manganese</w:t>
            </w:r>
          </w:p>
        </w:tc>
        <w:tc>
          <w:tcPr>
            <w:tcW w:w="1412" w:type="dxa"/>
            <w:tcBorders>
              <w:top w:val="none" w:sz="0" w:space="0" w:color="auto"/>
              <w:bottom w:val="none" w:sz="0" w:space="0" w:color="auto"/>
            </w:tcBorders>
          </w:tcPr>
          <w:p w14:paraId="1E139911"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DRC</w:t>
            </w:r>
          </w:p>
        </w:tc>
        <w:tc>
          <w:tcPr>
            <w:tcW w:w="2127" w:type="dxa"/>
            <w:tcBorders>
              <w:top w:val="none" w:sz="0" w:space="0" w:color="auto"/>
              <w:bottom w:val="none" w:sz="0" w:space="0" w:color="auto"/>
            </w:tcBorders>
            <w:vAlign w:val="bottom"/>
          </w:tcPr>
          <w:p w14:paraId="70E3E8CE"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955</w:t>
            </w:r>
          </w:p>
        </w:tc>
        <w:tc>
          <w:tcPr>
            <w:tcW w:w="1842" w:type="dxa"/>
            <w:tcBorders>
              <w:top w:val="none" w:sz="0" w:space="0" w:color="auto"/>
              <w:bottom w:val="none" w:sz="0" w:space="0" w:color="auto"/>
            </w:tcBorders>
            <w:vAlign w:val="bottom"/>
          </w:tcPr>
          <w:p w14:paraId="7267198C"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1,972</w:t>
            </w:r>
          </w:p>
        </w:tc>
        <w:tc>
          <w:tcPr>
            <w:tcW w:w="1276" w:type="dxa"/>
            <w:tcBorders>
              <w:top w:val="none" w:sz="0" w:space="0" w:color="auto"/>
              <w:bottom w:val="none" w:sz="0" w:space="0" w:color="auto"/>
            </w:tcBorders>
            <w:vAlign w:val="bottom"/>
          </w:tcPr>
          <w:p w14:paraId="784C13A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48%</w:t>
            </w:r>
          </w:p>
        </w:tc>
      </w:tr>
      <w:tr w:rsidR="00BE51B1" w:rsidRPr="00AE3744" w14:paraId="1F8DDE17"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6A8FB422"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25FE5F69"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Namibia</w:t>
            </w:r>
          </w:p>
        </w:tc>
        <w:tc>
          <w:tcPr>
            <w:tcW w:w="2127" w:type="dxa"/>
            <w:vAlign w:val="bottom"/>
          </w:tcPr>
          <w:p w14:paraId="2A9EF791"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84,616</w:t>
            </w:r>
          </w:p>
        </w:tc>
        <w:tc>
          <w:tcPr>
            <w:tcW w:w="1842" w:type="dxa"/>
            <w:vAlign w:val="bottom"/>
          </w:tcPr>
          <w:p w14:paraId="2F8C46E6"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183,441</w:t>
            </w:r>
          </w:p>
        </w:tc>
        <w:tc>
          <w:tcPr>
            <w:tcW w:w="1276" w:type="dxa"/>
            <w:vAlign w:val="bottom"/>
          </w:tcPr>
          <w:p w14:paraId="3388BB80"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46%</w:t>
            </w:r>
          </w:p>
        </w:tc>
      </w:tr>
      <w:tr w:rsidR="00BE51B1" w:rsidRPr="00AE3744" w14:paraId="55D23573"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bottom w:val="none" w:sz="0" w:space="0" w:color="auto"/>
            </w:tcBorders>
          </w:tcPr>
          <w:p w14:paraId="208DE1DD"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Borders>
              <w:top w:val="none" w:sz="0" w:space="0" w:color="auto"/>
              <w:bottom w:val="none" w:sz="0" w:space="0" w:color="auto"/>
            </w:tcBorders>
          </w:tcPr>
          <w:p w14:paraId="7E1E9607"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South Africa</w:t>
            </w:r>
          </w:p>
        </w:tc>
        <w:tc>
          <w:tcPr>
            <w:tcW w:w="2127" w:type="dxa"/>
            <w:tcBorders>
              <w:top w:val="none" w:sz="0" w:space="0" w:color="auto"/>
              <w:bottom w:val="none" w:sz="0" w:space="0" w:color="auto"/>
            </w:tcBorders>
            <w:vAlign w:val="bottom"/>
          </w:tcPr>
          <w:p w14:paraId="766E73F7"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10,783,337</w:t>
            </w:r>
          </w:p>
        </w:tc>
        <w:tc>
          <w:tcPr>
            <w:tcW w:w="1842" w:type="dxa"/>
            <w:tcBorders>
              <w:top w:val="none" w:sz="0" w:space="0" w:color="auto"/>
              <w:bottom w:val="none" w:sz="0" w:space="0" w:color="auto"/>
            </w:tcBorders>
            <w:vAlign w:val="bottom"/>
          </w:tcPr>
          <w:p w14:paraId="0663BA74"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10,777,205</w:t>
            </w:r>
          </w:p>
        </w:tc>
        <w:tc>
          <w:tcPr>
            <w:tcW w:w="1276" w:type="dxa"/>
            <w:tcBorders>
              <w:top w:val="none" w:sz="0" w:space="0" w:color="auto"/>
              <w:bottom w:val="none" w:sz="0" w:space="0" w:color="auto"/>
            </w:tcBorders>
            <w:vAlign w:val="bottom"/>
          </w:tcPr>
          <w:p w14:paraId="3AF4A106"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7F5DFDDF"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7C59678C" w14:textId="77777777" w:rsidR="00BE51B1" w:rsidRPr="00AE3744" w:rsidRDefault="00BE51B1" w:rsidP="00877C15">
            <w:pPr>
              <w:spacing w:before="40" w:after="40"/>
              <w:jc w:val="center"/>
              <w:rPr>
                <w:rFonts w:ascii="Arial" w:hAnsi="Arial" w:cs="Arial"/>
                <w:color w:val="156082" w:themeColor="accent1"/>
                <w:sz w:val="18"/>
                <w:szCs w:val="18"/>
              </w:rPr>
            </w:pPr>
          </w:p>
        </w:tc>
        <w:tc>
          <w:tcPr>
            <w:tcW w:w="1412" w:type="dxa"/>
          </w:tcPr>
          <w:p w14:paraId="0CE65FD9"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Zambia</w:t>
            </w:r>
          </w:p>
        </w:tc>
        <w:tc>
          <w:tcPr>
            <w:tcW w:w="2127" w:type="dxa"/>
            <w:vAlign w:val="bottom"/>
          </w:tcPr>
          <w:p w14:paraId="7CF7B037"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89,024</w:t>
            </w:r>
          </w:p>
        </w:tc>
        <w:tc>
          <w:tcPr>
            <w:tcW w:w="1842" w:type="dxa"/>
            <w:vAlign w:val="bottom"/>
          </w:tcPr>
          <w:p w14:paraId="45302A83"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89,048</w:t>
            </w:r>
          </w:p>
        </w:tc>
        <w:tc>
          <w:tcPr>
            <w:tcW w:w="1276" w:type="dxa"/>
            <w:vAlign w:val="bottom"/>
          </w:tcPr>
          <w:p w14:paraId="63DBB93B"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4A9EAD41"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bottom w:val="none" w:sz="0" w:space="0" w:color="auto"/>
            </w:tcBorders>
          </w:tcPr>
          <w:p w14:paraId="53E1545D" w14:textId="77777777" w:rsidR="00BE51B1" w:rsidRPr="00AE3744" w:rsidRDefault="00BE51B1" w:rsidP="00877C15">
            <w:pPr>
              <w:spacing w:before="40" w:after="40"/>
              <w:jc w:val="center"/>
              <w:rPr>
                <w:rFonts w:ascii="Arial" w:hAnsi="Arial" w:cs="Arial"/>
                <w:color w:val="156082" w:themeColor="accent1"/>
                <w:sz w:val="18"/>
                <w:szCs w:val="18"/>
              </w:rPr>
            </w:pPr>
            <w:r w:rsidRPr="00AE3744">
              <w:rPr>
                <w:rFonts w:ascii="Arial" w:eastAsia="Aptos Narrow" w:hAnsi="Arial" w:cs="Arial"/>
                <w:color w:val="156082" w:themeColor="accent1"/>
                <w:sz w:val="18"/>
                <w:szCs w:val="18"/>
              </w:rPr>
              <w:t>Nickel</w:t>
            </w:r>
          </w:p>
        </w:tc>
        <w:tc>
          <w:tcPr>
            <w:tcW w:w="1412" w:type="dxa"/>
            <w:tcBorders>
              <w:top w:val="none" w:sz="0" w:space="0" w:color="auto"/>
              <w:bottom w:val="none" w:sz="0" w:space="0" w:color="auto"/>
            </w:tcBorders>
          </w:tcPr>
          <w:p w14:paraId="066E5379"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Madagascar</w:t>
            </w:r>
          </w:p>
        </w:tc>
        <w:tc>
          <w:tcPr>
            <w:tcW w:w="2127" w:type="dxa"/>
            <w:tcBorders>
              <w:top w:val="none" w:sz="0" w:space="0" w:color="auto"/>
              <w:bottom w:val="none" w:sz="0" w:space="0" w:color="auto"/>
            </w:tcBorders>
            <w:vAlign w:val="bottom"/>
          </w:tcPr>
          <w:p w14:paraId="5184FAB5"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19,258</w:t>
            </w:r>
          </w:p>
        </w:tc>
        <w:tc>
          <w:tcPr>
            <w:tcW w:w="1842" w:type="dxa"/>
            <w:tcBorders>
              <w:top w:val="none" w:sz="0" w:space="0" w:color="auto"/>
              <w:bottom w:val="none" w:sz="0" w:space="0" w:color="auto"/>
            </w:tcBorders>
            <w:vAlign w:val="bottom"/>
          </w:tcPr>
          <w:p w14:paraId="7592E2F8"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39,780</w:t>
            </w:r>
          </w:p>
        </w:tc>
        <w:tc>
          <w:tcPr>
            <w:tcW w:w="1276" w:type="dxa"/>
            <w:tcBorders>
              <w:top w:val="none" w:sz="0" w:space="0" w:color="auto"/>
              <w:bottom w:val="none" w:sz="0" w:space="0" w:color="auto"/>
            </w:tcBorders>
            <w:vAlign w:val="bottom"/>
          </w:tcPr>
          <w:p w14:paraId="1F1A2F8B"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48%</w:t>
            </w:r>
          </w:p>
        </w:tc>
      </w:tr>
      <w:tr w:rsidR="00BE51B1" w:rsidRPr="00AE3744" w14:paraId="125EA041"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44697493" w14:textId="77777777" w:rsidR="00BE51B1" w:rsidRPr="00AE3744" w:rsidRDefault="00BE51B1" w:rsidP="00877C15">
            <w:pPr>
              <w:spacing w:before="40" w:after="40"/>
              <w:rPr>
                <w:rFonts w:ascii="Arial" w:hAnsi="Arial" w:cs="Arial"/>
                <w:sz w:val="18"/>
                <w:szCs w:val="18"/>
              </w:rPr>
            </w:pPr>
          </w:p>
        </w:tc>
        <w:tc>
          <w:tcPr>
            <w:tcW w:w="1412" w:type="dxa"/>
          </w:tcPr>
          <w:p w14:paraId="1CA9FCB4"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sidRPr="00AE3744">
              <w:rPr>
                <w:rFonts w:ascii="Arial" w:eastAsia="Aptos Narrow" w:hAnsi="Arial" w:cs="Arial"/>
                <w:color w:val="000000" w:themeColor="text1"/>
                <w:sz w:val="18"/>
                <w:szCs w:val="18"/>
              </w:rPr>
              <w:t>South Africa</w:t>
            </w:r>
          </w:p>
        </w:tc>
        <w:tc>
          <w:tcPr>
            <w:tcW w:w="2127" w:type="dxa"/>
            <w:vAlign w:val="bottom"/>
          </w:tcPr>
          <w:p w14:paraId="40503BF0"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28,809</w:t>
            </w:r>
          </w:p>
        </w:tc>
        <w:tc>
          <w:tcPr>
            <w:tcW w:w="1842" w:type="dxa"/>
            <w:vAlign w:val="bottom"/>
          </w:tcPr>
          <w:p w14:paraId="61184904"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50,154</w:t>
            </w:r>
          </w:p>
        </w:tc>
        <w:tc>
          <w:tcPr>
            <w:tcW w:w="1276" w:type="dxa"/>
            <w:vAlign w:val="bottom"/>
          </w:tcPr>
          <w:p w14:paraId="7BB60EB1"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eastAsia="Aptos Narrow" w:hAnsi="Arial" w:cs="Arial"/>
                <w:color w:val="000000" w:themeColor="text1"/>
                <w:sz w:val="18"/>
                <w:szCs w:val="18"/>
              </w:rPr>
            </w:pPr>
            <w:r>
              <w:rPr>
                <w:rFonts w:ascii="Calibri" w:hAnsi="Calibri" w:cs="Calibri"/>
                <w:color w:val="000000"/>
              </w:rPr>
              <w:t>57%</w:t>
            </w:r>
          </w:p>
        </w:tc>
      </w:tr>
      <w:tr w:rsidR="00BE51B1" w:rsidRPr="00AE3744" w14:paraId="31F8555D" w14:textId="77777777" w:rsidTr="00877C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53368C25" w14:textId="77777777" w:rsidR="00BE51B1" w:rsidRPr="00AE3744" w:rsidRDefault="00BE51B1" w:rsidP="00877C15">
            <w:pPr>
              <w:spacing w:before="40" w:after="40"/>
              <w:rPr>
                <w:rFonts w:ascii="Arial" w:hAnsi="Arial" w:cs="Arial"/>
                <w:sz w:val="18"/>
                <w:szCs w:val="18"/>
              </w:rPr>
            </w:pPr>
          </w:p>
        </w:tc>
        <w:tc>
          <w:tcPr>
            <w:tcW w:w="1412" w:type="dxa"/>
          </w:tcPr>
          <w:p w14:paraId="6EAB398F" w14:textId="77777777" w:rsidR="00BE51B1" w:rsidRPr="00AE3744" w:rsidRDefault="00BE51B1" w:rsidP="00877C15">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Zambia</w:t>
            </w:r>
          </w:p>
        </w:tc>
        <w:tc>
          <w:tcPr>
            <w:tcW w:w="2127" w:type="dxa"/>
            <w:vAlign w:val="bottom"/>
          </w:tcPr>
          <w:p w14:paraId="39CC2626"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4,059</w:t>
            </w:r>
          </w:p>
        </w:tc>
        <w:tc>
          <w:tcPr>
            <w:tcW w:w="1842" w:type="dxa"/>
            <w:vAlign w:val="bottom"/>
          </w:tcPr>
          <w:p w14:paraId="67E05BBD"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4,059</w:t>
            </w:r>
          </w:p>
        </w:tc>
        <w:tc>
          <w:tcPr>
            <w:tcW w:w="1276" w:type="dxa"/>
            <w:vAlign w:val="bottom"/>
          </w:tcPr>
          <w:p w14:paraId="252C5CFE" w14:textId="77777777" w:rsidR="00BE51B1" w:rsidRPr="00AE3744" w:rsidRDefault="00BE51B1" w:rsidP="00877C15">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Calibri" w:hAnsi="Calibri" w:cs="Calibri"/>
                <w:color w:val="000000"/>
              </w:rPr>
              <w:t>100%</w:t>
            </w:r>
          </w:p>
        </w:tc>
      </w:tr>
      <w:tr w:rsidR="00BE51B1" w:rsidRPr="00AE3744" w14:paraId="39D95351" w14:textId="77777777" w:rsidTr="00877C15">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vMerge/>
          </w:tcPr>
          <w:p w14:paraId="1EEFA981" w14:textId="77777777" w:rsidR="00BE51B1" w:rsidRPr="00AE3744" w:rsidRDefault="00BE51B1" w:rsidP="00877C15">
            <w:pPr>
              <w:spacing w:before="40" w:after="40"/>
              <w:rPr>
                <w:rFonts w:ascii="Arial" w:hAnsi="Arial" w:cs="Arial"/>
                <w:sz w:val="18"/>
                <w:szCs w:val="18"/>
              </w:rPr>
            </w:pPr>
          </w:p>
        </w:tc>
        <w:tc>
          <w:tcPr>
            <w:tcW w:w="1412" w:type="dxa"/>
          </w:tcPr>
          <w:p w14:paraId="6B466FBC" w14:textId="77777777" w:rsidR="00BE51B1" w:rsidRPr="00AE3744" w:rsidRDefault="00BE51B1" w:rsidP="00877C15">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E3744">
              <w:rPr>
                <w:rFonts w:ascii="Arial" w:eastAsia="Aptos Narrow" w:hAnsi="Arial" w:cs="Arial"/>
                <w:color w:val="000000" w:themeColor="text1"/>
                <w:sz w:val="18"/>
                <w:szCs w:val="18"/>
              </w:rPr>
              <w:t>Zimbabwe</w:t>
            </w:r>
          </w:p>
        </w:tc>
        <w:tc>
          <w:tcPr>
            <w:tcW w:w="2127" w:type="dxa"/>
            <w:vAlign w:val="bottom"/>
          </w:tcPr>
          <w:p w14:paraId="08397025"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615</w:t>
            </w:r>
          </w:p>
        </w:tc>
        <w:tc>
          <w:tcPr>
            <w:tcW w:w="1842" w:type="dxa"/>
            <w:vAlign w:val="bottom"/>
          </w:tcPr>
          <w:p w14:paraId="1E8FDDD6"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20,676</w:t>
            </w:r>
          </w:p>
        </w:tc>
        <w:tc>
          <w:tcPr>
            <w:tcW w:w="1276" w:type="dxa"/>
            <w:vAlign w:val="bottom"/>
          </w:tcPr>
          <w:p w14:paraId="103E1C88" w14:textId="77777777" w:rsidR="00BE51B1" w:rsidRPr="00AE3744" w:rsidRDefault="00BE51B1" w:rsidP="00877C15">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Calibri"/>
                <w:color w:val="000000"/>
              </w:rPr>
              <w:t>3%</w:t>
            </w:r>
          </w:p>
        </w:tc>
      </w:tr>
    </w:tbl>
    <w:p w14:paraId="615E0FF5" w14:textId="77777777" w:rsidR="00BE51B1" w:rsidRPr="009F2BF5" w:rsidRDefault="00BE51B1" w:rsidP="00BE51B1">
      <w:pPr>
        <w:pStyle w:val="Heading3"/>
        <w:rPr>
          <w:rFonts w:ascii="Arial" w:hAnsi="Arial" w:cs="Arial"/>
          <w:b/>
          <w:bCs/>
          <w:sz w:val="22"/>
          <w:szCs w:val="22"/>
        </w:rPr>
      </w:pPr>
      <w:bookmarkStart w:id="93" w:name="_Toc211272294"/>
      <w:r w:rsidRPr="009F2BF5">
        <w:rPr>
          <w:rFonts w:ascii="Arial" w:hAnsi="Arial" w:cs="Arial"/>
          <w:b/>
          <w:bCs/>
          <w:sz w:val="22"/>
          <w:szCs w:val="22"/>
        </w:rPr>
        <w:t>4.1.3 Future patterns of international trade were projected</w:t>
      </w:r>
      <w:bookmarkEnd w:id="93"/>
      <w:r w:rsidRPr="009F2BF5">
        <w:rPr>
          <w:rFonts w:ascii="Arial" w:hAnsi="Arial" w:cs="Arial"/>
          <w:b/>
          <w:bCs/>
          <w:sz w:val="22"/>
          <w:szCs w:val="22"/>
        </w:rPr>
        <w:t xml:space="preserve"> </w:t>
      </w:r>
    </w:p>
    <w:p w14:paraId="7097196B" w14:textId="77777777" w:rsidR="00BE51B1" w:rsidRPr="00766470" w:rsidRDefault="00BE51B1" w:rsidP="00BE51B1">
      <w:pPr>
        <w:spacing w:line="257" w:lineRule="auto"/>
        <w:jc w:val="both"/>
        <w:rPr>
          <w:rFonts w:ascii="Arial" w:eastAsia="Calibri" w:hAnsi="Arial" w:cs="Arial"/>
        </w:rPr>
      </w:pPr>
      <w:r>
        <w:rPr>
          <w:rFonts w:ascii="Arial" w:eastAsia="Calibri" w:hAnsi="Arial" w:cs="Arial"/>
        </w:rPr>
        <w:br/>
      </w:r>
      <w:r w:rsidRPr="00766470">
        <w:rPr>
          <w:rFonts w:ascii="Arial" w:eastAsia="Calibri" w:hAnsi="Arial" w:cs="Arial"/>
        </w:rPr>
        <w:t>Since the aim of the study is to simulate an expansion of future production of more highly processed minerals, it was necessary to use information contained in current trading exchanges to proxy for potential future trading patterns for products that are not yet being produced.</w:t>
      </w:r>
    </w:p>
    <w:p w14:paraId="6FB721E4" w14:textId="77777777" w:rsidR="00BE51B1" w:rsidRPr="00766470" w:rsidRDefault="00BE51B1" w:rsidP="00BE51B1">
      <w:pPr>
        <w:spacing w:line="257" w:lineRule="auto"/>
        <w:jc w:val="both"/>
        <w:rPr>
          <w:rFonts w:ascii="Arial" w:eastAsia="Calibri" w:hAnsi="Arial" w:cs="Arial"/>
        </w:rPr>
      </w:pPr>
      <w:r w:rsidRPr="00766470">
        <w:rPr>
          <w:rFonts w:ascii="Arial" w:eastAsia="Calibri" w:hAnsi="Arial" w:cs="Arial"/>
        </w:rPr>
        <w:lastRenderedPageBreak/>
        <w:t xml:space="preserve">Forecasting future trade patterns between countries is a complex process, subject to considerable uncertainties, and none of the existing methodologies in the literature was suitable for this purpose. </w:t>
      </w:r>
    </w:p>
    <w:p w14:paraId="5F9C2A20" w14:textId="169F8458" w:rsidR="00BE51B1" w:rsidRPr="00766470" w:rsidRDefault="00BE51B1" w:rsidP="00BE51B1">
      <w:pPr>
        <w:pStyle w:val="ListParagraph"/>
        <w:numPr>
          <w:ilvl w:val="0"/>
          <w:numId w:val="24"/>
        </w:numPr>
        <w:spacing w:line="257" w:lineRule="auto"/>
        <w:jc w:val="both"/>
        <w:rPr>
          <w:rFonts w:ascii="Arial" w:eastAsia="Calibri" w:hAnsi="Arial" w:cs="Arial"/>
        </w:rPr>
      </w:pPr>
      <w:r w:rsidRPr="00766470">
        <w:rPr>
          <w:rFonts w:ascii="Arial" w:eastAsia="Calibri" w:hAnsi="Arial" w:cs="Arial"/>
          <w:u w:val="single"/>
        </w:rPr>
        <w:t>Computable General Equilibrium (CGE) Models</w:t>
      </w:r>
      <w:r w:rsidRPr="00766470">
        <w:rPr>
          <w:rFonts w:ascii="Arial" w:eastAsia="Calibri" w:hAnsi="Arial" w:cs="Arial"/>
        </w:rPr>
        <w:t>. A global model for long-term trade evolution has been proposed using dynamic CGE methods, with exogenous inputs of macroeconomic, demographic, sectoral and transport cost projections</w:t>
      </w:r>
      <w:r w:rsidRPr="00766470">
        <w:rPr>
          <w:rFonts w:ascii="Arial" w:eastAsia="Calibri" w:hAnsi="Arial" w:cs="Arial"/>
        </w:rPr>
        <w:fldChar w:fldCharType="begin"/>
      </w:r>
      <w:r w:rsidR="0016542D">
        <w:rPr>
          <w:rFonts w:ascii="Arial" w:eastAsia="Calibri" w:hAnsi="Arial" w:cs="Arial"/>
        </w:rPr>
        <w:instrText xml:space="preserve"> ADDIN ZOTERO_ITEM CSL_CITATION {"citationID":"pK91McwX","properties":{"formattedCitation":"\\super 98\\nosupersub{}","plainCitation":"98","noteIndex":0},"citationItems":[{"id":2082,"uris":["http://zotero.org/users/10918866/items/2BAHGL2B"],"itemData":{"id":2082,"type":"article-journal","abstract":"In this paper, the evolution of global trade patterns until 2050 is projected with a recursive dynamic computable general equilibrium (CGE) model. Feeding the model with exogenous projections on macroeconomic, demographic, sectoral and trade cost variables, the evolution of trade patterns emerges endogenously from the model. The approach is innovative in both modelling approach and exogenous inputs. GDP growth emerges endogenously in the model because of diffusion of ideas as a result of international trade and trade cost changes are based on estimates of technology and trade policy changes. The projections indicate that (i) because of projected reductions in trade costs, trade will grow more than GDP, generating a global trade</w:instrText>
      </w:r>
      <w:r w:rsidR="0016542D">
        <w:rPr>
          <w:rFonts w:ascii="Cambria Math" w:eastAsia="Calibri" w:hAnsi="Cambria Math" w:cs="Cambria Math"/>
        </w:rPr>
        <w:instrText>‐</w:instrText>
      </w:r>
      <w:r w:rsidR="0016542D">
        <w:rPr>
          <w:rFonts w:ascii="Arial" w:eastAsia="Calibri" w:hAnsi="Arial" w:cs="Arial"/>
        </w:rPr>
        <w:instrText>to</w:instrText>
      </w:r>
      <w:r w:rsidR="0016542D">
        <w:rPr>
          <w:rFonts w:ascii="Cambria Math" w:eastAsia="Calibri" w:hAnsi="Cambria Math" w:cs="Cambria Math"/>
        </w:rPr>
        <w:instrText>‐</w:instrText>
      </w:r>
      <w:r w:rsidR="0016542D">
        <w:rPr>
          <w:rFonts w:ascii="Arial" w:eastAsia="Calibri" w:hAnsi="Arial" w:cs="Arial"/>
        </w:rPr>
        <w:instrText>GDP growth rate of 1.1; (ii) because of structural change, the global share of manufacturing trade falls from 64% in 2020 to 52% by 2050, whereas the share of services trade rises substantially from 24% to 38%; and (iii) because of technological catch</w:instrText>
      </w:r>
      <w:r w:rsidR="0016542D">
        <w:rPr>
          <w:rFonts w:ascii="Cambria Math" w:eastAsia="Calibri" w:hAnsi="Cambria Math" w:cs="Cambria Math"/>
        </w:rPr>
        <w:instrText>‐</w:instrText>
      </w:r>
      <w:r w:rsidR="0016542D">
        <w:rPr>
          <w:rFonts w:ascii="Arial" w:eastAsia="Calibri" w:hAnsi="Arial" w:cs="Arial"/>
        </w:rPr>
        <w:instrText>up, the share in global trade of both developing and least</w:instrText>
      </w:r>
      <w:r w:rsidR="0016542D">
        <w:rPr>
          <w:rFonts w:ascii="Cambria Math" w:eastAsia="Calibri" w:hAnsi="Cambria Math" w:cs="Cambria Math"/>
        </w:rPr>
        <w:instrText>‐</w:instrText>
      </w:r>
      <w:r w:rsidR="0016542D">
        <w:rPr>
          <w:rFonts w:ascii="Arial" w:eastAsia="Calibri" w:hAnsi="Arial" w:cs="Arial"/>
        </w:rPr>
        <w:instrText>developed countries (LDCs) will rise (with developing countries overtaking developed economies around 2035), the share of intra</w:instrText>
      </w:r>
      <w:r w:rsidR="0016542D">
        <w:rPr>
          <w:rFonts w:ascii="Cambria Math" w:eastAsia="Calibri" w:hAnsi="Cambria Math" w:cs="Cambria Math"/>
        </w:rPr>
        <w:instrText>‐</w:instrText>
      </w:r>
      <w:r w:rsidR="0016542D">
        <w:rPr>
          <w:rFonts w:ascii="Arial" w:eastAsia="Calibri" w:hAnsi="Arial" w:cs="Arial"/>
        </w:rPr>
        <w:instrText>developed country trade will fall, whereas the share of intra</w:instrText>
      </w:r>
      <w:r w:rsidR="0016542D">
        <w:rPr>
          <w:rFonts w:ascii="Cambria Math" w:eastAsia="Calibri" w:hAnsi="Cambria Math" w:cs="Cambria Math"/>
        </w:rPr>
        <w:instrText>‐</w:instrText>
      </w:r>
      <w:r w:rsidR="0016542D">
        <w:rPr>
          <w:rFonts w:ascii="Arial" w:eastAsia="Calibri" w:hAnsi="Arial" w:cs="Arial"/>
        </w:rPr>
        <w:instrText xml:space="preserve">developing country trade and those between developing and developed countries will rise.","container-title":"The World Economy","issue":"8","language":"en","page":"3578-3617","publisher":"Wiley Blackwell","source":"ideas.repec.org","title":"How will global trade patterns evolve in the long run?","volume":"47","author":[{"family":"Bekkers","given":"Eddy"},{"family":"Corong","given":"Erwin"},{"family":"Métivier","given":"Jeanne"},{"family":"Orlov","given":"Daniil"}],"issued":{"date-parts":[["2024"]]}}}],"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98</w:t>
      </w:r>
      <w:r w:rsidRPr="00766470">
        <w:rPr>
          <w:rFonts w:ascii="Arial" w:eastAsia="Calibri" w:hAnsi="Arial" w:cs="Arial"/>
        </w:rPr>
        <w:fldChar w:fldCharType="end"/>
      </w:r>
      <w:r w:rsidRPr="00766470">
        <w:rPr>
          <w:rFonts w:ascii="Arial" w:eastAsia="Calibri" w:hAnsi="Arial" w:cs="Arial"/>
        </w:rPr>
        <w:t>. However, the model is at a very aggregated scale of 25 regional clusters (with Africa divided into 2 broad clusters) and 4 sectors (agriculture, services, extractives, and manufacturing), which does not provide adequate resolution for the countries and commodities under consideration.</w:t>
      </w:r>
    </w:p>
    <w:p w14:paraId="05090909" w14:textId="77777777" w:rsidR="00BE51B1" w:rsidRPr="00766470" w:rsidRDefault="00BE51B1" w:rsidP="00BE51B1">
      <w:pPr>
        <w:pStyle w:val="ListParagraph"/>
        <w:numPr>
          <w:ilvl w:val="0"/>
          <w:numId w:val="24"/>
        </w:numPr>
        <w:spacing w:line="257" w:lineRule="auto"/>
        <w:jc w:val="both"/>
        <w:rPr>
          <w:rFonts w:ascii="Arial" w:eastAsia="Calibri" w:hAnsi="Arial" w:cs="Arial"/>
        </w:rPr>
      </w:pPr>
      <w:r w:rsidRPr="00766470">
        <w:rPr>
          <w:rFonts w:ascii="Arial" w:eastAsia="Calibri" w:hAnsi="Arial" w:cs="Arial"/>
          <w:u w:val="single"/>
        </w:rPr>
        <w:t>Network Complexity-Based Models</w:t>
      </w:r>
      <w:r w:rsidRPr="00766470">
        <w:rPr>
          <w:rFonts w:ascii="Arial" w:eastAsia="Calibri" w:hAnsi="Arial" w:cs="Arial"/>
        </w:rPr>
        <w:t xml:space="preserve">. </w:t>
      </w:r>
      <w:r w:rsidRPr="00766470">
        <w:rPr>
          <w:rFonts w:ascii="Arial" w:eastAsia="Calibri" w:hAnsi="Arial" w:cs="Arial"/>
        </w:rPr>
        <w:fldChar w:fldCharType="begin"/>
      </w:r>
      <w:r>
        <w:rPr>
          <w:rFonts w:ascii="Arial" w:eastAsia="Calibri" w:hAnsi="Arial" w:cs="Arial"/>
        </w:rPr>
        <w:instrText xml:space="preserve"> ADDIN ZOTERO_ITEM CSL_CITATION {"citationID":"WHvfxlFV","properties":{"formattedCitation":"(Zhang et al., 2023)","plainCitation":"(Zhang et al., 2023)","dontUpdate":true,"noteIndex":0},"citationItems":[{"id":2066,"uris":["http://zotero.org/users/10918866/items/LRP6HUQ2"],"itemData":{"id":2066,"type":"article-journal","abstract":"In recent years, with the rapid development of the lithium-ion battery industry, the massive upstream consumption of mineral raw materials has led to great crises and challenges in balancing global supply and demand. A diversity of trading partners can effectively alleviate the pressure of supply and demand for raw materials; so, it is particularly important for trading countries to find suitable trading partners. This study takes nine important minerals contained in the main element raw materials of lithium-ion batteries as the research object, and the international trade data range from 2011 to 2020. The study combines complex networks and motifs and links prediction methods to predict the potential international trade relations of the nine minerals based on the actual network topology. We summarize three trade link rules as follows. (1) The predicted links have a timeliness requirement, and they generally turn into actual trade links within 3 years. (2) When looking for trading partners, trading countries tend to establish long-term and stable trade relations. (3) The existing trade relations will promote the establishment of predicted trade relations. In addition, we find that successfully predicted links will promote the formation of important motifs in the network. This study can provide a theoretical basis for trading countries to find suitable trading partners and can strengthen the safety of trading countries in the trade of the main element minerals for lithium-ion batteries.","container-title":"International Journal of Energy Research","DOI":"10.1155/2023/2280027","ISSN":"1099-114X","issue":"1","language":"en","license":"Copyright © 2023 Yichi Zhang et al.","note":"_eprint: https://onlinelibrary.wiley.com/doi/pdf/10.1155/2023/2280027","page":"2280027","source":"Wiley Online Library","title":"Prediction of the Potential Trade Relationship of Lithium-Ion Battery’s Main Element Raw Material Minerals Combined with the Local Characteristics of the Trade Network","volume":"2023","author":[{"family":"Zhang","given":"Yichi"},{"family":"Dong","given":"Zhiliang"},{"family":"Liu","given":"Sen"},{"family":"Yang","given":"Qiaoran"},{"family":"Jia","given":"Yanjing"}],"issued":{"date-parts":[["2023"]]}}}],"schema":"https://github.com/citation-style-language/schema/raw/master/csl-citation.json"} </w:instrText>
      </w:r>
      <w:r w:rsidRPr="00766470">
        <w:rPr>
          <w:rFonts w:ascii="Arial" w:eastAsia="Calibri" w:hAnsi="Arial" w:cs="Arial"/>
        </w:rPr>
        <w:fldChar w:fldCharType="separate"/>
      </w:r>
      <w:r w:rsidRPr="00766470">
        <w:rPr>
          <w:rFonts w:ascii="Arial" w:hAnsi="Arial" w:cs="Arial"/>
        </w:rPr>
        <w:t xml:space="preserve">Zhang </w:t>
      </w:r>
      <w:r w:rsidRPr="00766470">
        <w:rPr>
          <w:rFonts w:ascii="Arial" w:hAnsi="Arial" w:cs="Arial"/>
          <w:i/>
          <w:iCs/>
        </w:rPr>
        <w:t>et al</w:t>
      </w:r>
      <w:r w:rsidRPr="00766470">
        <w:rPr>
          <w:rFonts w:ascii="Arial" w:hAnsi="Arial" w:cs="Arial"/>
        </w:rPr>
        <w:t>. (2023)</w:t>
      </w:r>
      <w:r w:rsidRPr="00766470">
        <w:rPr>
          <w:rFonts w:ascii="Arial" w:eastAsia="Calibri" w:hAnsi="Arial" w:cs="Arial"/>
        </w:rPr>
        <w:fldChar w:fldCharType="end"/>
      </w:r>
      <w:r w:rsidRPr="00766470">
        <w:rPr>
          <w:rFonts w:ascii="Arial" w:eastAsia="Calibri" w:hAnsi="Arial" w:cs="Arial"/>
        </w:rPr>
        <w:t xml:space="preserve"> developed a network complexity-based model to predict trade links between 254 countries for 9 raw critical minerals products used in the lithium-ion battery chain, using UN Comtrade data from 2011 to 2020. However, their model relied on preserving the types of products countries were producing and did not consider countries moving up towards higher stage processing and exporting new products. </w:t>
      </w:r>
    </w:p>
    <w:p w14:paraId="46AC57F7" w14:textId="24A65414" w:rsidR="00BE51B1" w:rsidRPr="00766470" w:rsidRDefault="00BE51B1" w:rsidP="00BE51B1">
      <w:pPr>
        <w:pStyle w:val="ListParagraph"/>
        <w:numPr>
          <w:ilvl w:val="0"/>
          <w:numId w:val="24"/>
        </w:numPr>
        <w:spacing w:line="257" w:lineRule="auto"/>
        <w:jc w:val="both"/>
        <w:rPr>
          <w:rFonts w:ascii="Arial" w:eastAsia="Calibri" w:hAnsi="Arial" w:cs="Arial"/>
        </w:rPr>
      </w:pPr>
      <w:r w:rsidRPr="00766470">
        <w:rPr>
          <w:rFonts w:ascii="Arial" w:eastAsia="Calibri" w:hAnsi="Arial" w:cs="Arial"/>
          <w:u w:val="single"/>
        </w:rPr>
        <w:t>Regression Models</w:t>
      </w:r>
      <w:r w:rsidRPr="00766470">
        <w:rPr>
          <w:rFonts w:ascii="Arial" w:eastAsia="Calibri" w:hAnsi="Arial" w:cs="Arial"/>
        </w:rPr>
        <w:t xml:space="preserve">. Approaches using regression and material flow analysis to quantify evolution of stocks and demand for critical minerals were also developed </w:t>
      </w:r>
      <w:r w:rsidRPr="00766470">
        <w:rPr>
          <w:rFonts w:ascii="Arial" w:eastAsia="Calibri" w:hAnsi="Arial" w:cs="Arial"/>
        </w:rPr>
        <w:fldChar w:fldCharType="begin"/>
      </w:r>
      <w:r w:rsidR="007E07E0">
        <w:rPr>
          <w:rFonts w:ascii="Arial" w:eastAsia="Calibri" w:hAnsi="Arial" w:cs="Arial"/>
        </w:rPr>
        <w:instrText xml:space="preserve"> ADDIN ZOTERO_ITEM CSL_CITATION {"citationID":"e2rPZ7M2","properties":{"formattedCitation":"\\super 100\\nosupersub{}","plainCitation":"100","noteIndex":0},"citationItems":[{"id":2075,"uris":["http://zotero.org/users/10918866/items/TBRLZUG3"],"itemData":{"id":2075,"type":"article-journal","abstract":"Future global copper demand is expected to keep rising due to copper’s indispensable role in modern technologies. Unfortunately, increasing copper extraction and decreasing ore grades intensify energy use and generate higher environmental impact. A potential solution would be reaching a circular economy of copper, in which secondary production provides a large part of the demand. A necessary first step in this direction is to understand future copper demand. In this study, we estimated the copper demand until 2100 under different scenarios with regression and stock dynamics methods. For the stock dynamics method, a strong growth of copper demand is found in the scenarios with a high share of renewable energy, in which a much higher copper intensity for the electricity system and the transport sector is seen. The regression predicts a wider range of copper demand depending on the scenario. The regression method requires less data but lacks the ability to incorporate the expected decoupling of material use and GDP when the stock saturates, limiting its applicability for long-term estimations. Under all considered scenarios, the projected increase in demand for copper results in the exhaustion of the identified copper resources, unless high end-of-life recovery rates are achieved. These results highlight the urgency for a transition towards the circular economy of copper.","container-title":"Resources, Conservation and Recycling","DOI":"10.1016/j.resconrec.2018.01.004","ISSN":"0921-3449","journalAbbreviation":"Resources, Conservation and Recycling","page":"28-36","source":"ScienceDirect","title":"Estimating global copper demand until 2100 with regression and stock dynamics","volume":"132","author":[{"family":"Schipper","given":"Branco W."},{"family":"Lin","given":"Hsiu-Chuan"},{"family":"Meloni","given":"Marco A."},{"family":"Wansleeben","given":"Kjell"},{"family":"Heijungs","given":"Reinout"},{"family":"Voet","given":"Ester","non-dropping-particle":"van der"}],"issued":{"date-parts":[["2018",5,1]]}}}],"schema":"https://github.com/citation-style-language/schema/raw/master/csl-citation.json"}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100</w:t>
      </w:r>
      <w:r w:rsidRPr="00766470">
        <w:rPr>
          <w:rFonts w:ascii="Arial" w:eastAsia="Calibri" w:hAnsi="Arial" w:cs="Arial"/>
        </w:rPr>
        <w:fldChar w:fldCharType="end"/>
      </w:r>
      <w:r w:rsidRPr="00766470">
        <w:rPr>
          <w:rFonts w:ascii="Arial" w:eastAsia="Calibri" w:hAnsi="Arial" w:cs="Arial"/>
        </w:rPr>
        <w:t xml:space="preserve">; however, they lack the geographic details needed in this case.    </w:t>
      </w:r>
    </w:p>
    <w:p w14:paraId="5CB77353" w14:textId="77777777" w:rsidR="00BE51B1" w:rsidRPr="00766470" w:rsidRDefault="00BE51B1" w:rsidP="00BE51B1">
      <w:pPr>
        <w:spacing w:line="257" w:lineRule="auto"/>
        <w:jc w:val="both"/>
        <w:rPr>
          <w:rFonts w:ascii="Arial" w:eastAsia="Calibri" w:hAnsi="Arial" w:cs="Arial"/>
        </w:rPr>
      </w:pPr>
      <w:r w:rsidRPr="00766470">
        <w:rPr>
          <w:rFonts w:ascii="Arial" w:eastAsia="Calibri" w:hAnsi="Arial" w:cs="Arial"/>
        </w:rPr>
        <w:t>Since there were no readily available approaches for estimating the type of future trade matrices needed for this study, a new approach was proposed. Future trade matrices for 2040 were created specifically to reflect changes in global exports and import for the 14 African countries, based on the following steps.</w:t>
      </w:r>
    </w:p>
    <w:p w14:paraId="04D013C5" w14:textId="32A447B1"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 xml:space="preserve">The future mine-level metal content estimates for 2040 were added up to get the country-level production of total metal content (see </w:t>
      </w:r>
      <w:r w:rsidR="009F3AF4">
        <w:rPr>
          <w:rFonts w:ascii="Arial" w:eastAsia="Calibri" w:hAnsi="Arial" w:cs="Arial"/>
          <w:b/>
          <w:bCs/>
        </w:rPr>
        <w:t>Section</w:t>
      </w:r>
      <w:r w:rsidRPr="004C079A">
        <w:rPr>
          <w:rFonts w:ascii="Arial" w:eastAsia="Calibri" w:hAnsi="Arial" w:cs="Arial"/>
          <w:b/>
          <w:bCs/>
        </w:rPr>
        <w:t xml:space="preserve"> 2</w:t>
      </w:r>
      <w:r w:rsidRPr="00766470">
        <w:rPr>
          <w:rFonts w:ascii="Arial" w:eastAsia="Calibri" w:hAnsi="Arial" w:cs="Arial"/>
        </w:rPr>
        <w:t>).</w:t>
      </w:r>
    </w:p>
    <w:p w14:paraId="3D930D29" w14:textId="741DAEF8"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The baseline (2022) BACI trade matrix was used to infer existing and future trade relationships between countries. The baseline trade-to-production fraction (%) values (see</w:t>
      </w:r>
      <w:r w:rsidR="00B8490A">
        <w:rPr>
          <w:rFonts w:ascii="Arial" w:eastAsia="Calibri" w:hAnsi="Arial" w:cs="Arial"/>
          <w:b/>
          <w:bCs/>
          <w:color w:val="000000" w:themeColor="text1"/>
        </w:rPr>
        <w:t xml:space="preserve"> </w:t>
      </w:r>
      <w:r w:rsidR="00B8490A">
        <w:rPr>
          <w:rFonts w:ascii="Arial" w:eastAsia="Calibri" w:hAnsi="Arial" w:cs="Arial"/>
          <w:b/>
          <w:bCs/>
          <w:color w:val="000000" w:themeColor="text1"/>
        </w:rPr>
        <w:fldChar w:fldCharType="begin"/>
      </w:r>
      <w:r w:rsidR="00B8490A">
        <w:rPr>
          <w:rFonts w:ascii="Arial" w:eastAsia="Calibri" w:hAnsi="Arial" w:cs="Arial"/>
          <w:b/>
          <w:bCs/>
          <w:color w:val="000000" w:themeColor="text1"/>
        </w:rPr>
        <w:instrText xml:space="preserve"> REF _Ref214445111 \h </w:instrText>
      </w:r>
      <w:r w:rsidR="00B8490A">
        <w:rPr>
          <w:rFonts w:ascii="Arial" w:eastAsia="Calibri" w:hAnsi="Arial" w:cs="Arial"/>
          <w:b/>
          <w:bCs/>
          <w:color w:val="000000" w:themeColor="text1"/>
        </w:rPr>
      </w:r>
      <w:r w:rsidR="00B8490A">
        <w:rPr>
          <w:rFonts w:ascii="Arial" w:eastAsia="Calibri" w:hAnsi="Arial" w:cs="Arial"/>
          <w:b/>
          <w:bCs/>
          <w:color w:val="000000" w:themeColor="text1"/>
        </w:rPr>
        <w:fldChar w:fldCharType="separate"/>
      </w:r>
      <w:r w:rsidR="00B8490A">
        <w:t xml:space="preserve">Table </w:t>
      </w:r>
      <w:r w:rsidR="00B8490A">
        <w:rPr>
          <w:noProof/>
        </w:rPr>
        <w:t>12</w:t>
      </w:r>
      <w:r w:rsidR="00B8490A">
        <w:rPr>
          <w:rFonts w:ascii="Arial" w:eastAsia="Calibri" w:hAnsi="Arial" w:cs="Arial"/>
          <w:b/>
          <w:bCs/>
          <w:color w:val="000000" w:themeColor="text1"/>
        </w:rPr>
        <w:fldChar w:fldCharType="end"/>
      </w:r>
      <w:r w:rsidRPr="00766470">
        <w:rPr>
          <w:rFonts w:ascii="Arial" w:eastAsia="Calibri" w:hAnsi="Arial" w:cs="Arial"/>
        </w:rPr>
        <w:t xml:space="preserve">) were assumed to remain constant over time, which meant that whatever future metal contents were produced by a country, they were utilised in the same proportion for the different products that were being tracked in this study. If countries were mining and producing new minerals they did not historically produce, then for these new products the trade-to-production fraction (%) was assumed to be 100%.    </w:t>
      </w:r>
    </w:p>
    <w:p w14:paraId="4D6CB842" w14:textId="6BC3E40C"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 xml:space="preserve">Threshold level values were estimated to determine the lowest required volume of total metal (or </w:t>
      </w:r>
      <w:r>
        <w:rPr>
          <w:rFonts w:ascii="Arial" w:eastAsia="Calibri" w:hAnsi="Arial" w:cs="Arial"/>
        </w:rPr>
        <w:t>mineral for graphite</w:t>
      </w:r>
      <w:r w:rsidRPr="00766470">
        <w:rPr>
          <w:rFonts w:ascii="Arial" w:eastAsia="Calibri" w:hAnsi="Arial" w:cs="Arial"/>
        </w:rPr>
        <w:t>)</w:t>
      </w:r>
      <w:r>
        <w:rPr>
          <w:rFonts w:ascii="Arial" w:eastAsia="Calibri" w:hAnsi="Arial" w:cs="Arial"/>
        </w:rPr>
        <w:t xml:space="preserve"> </w:t>
      </w:r>
      <w:r w:rsidRPr="00766470">
        <w:rPr>
          <w:rFonts w:ascii="Arial" w:eastAsia="Calibri" w:hAnsi="Arial" w:cs="Arial"/>
        </w:rPr>
        <w:t xml:space="preserve">content that would be needed to move towards higher stage mineral processing production and exports. Based on cost curve analysis, </w:t>
      </w:r>
      <w:r>
        <w:rPr>
          <w:rFonts w:ascii="Arial" w:eastAsia="Calibri" w:hAnsi="Arial" w:cs="Arial"/>
        </w:rPr>
        <w:t>a</w:t>
      </w:r>
      <w:r w:rsidRPr="00766470">
        <w:rPr>
          <w:rFonts w:ascii="Arial" w:eastAsia="Calibri" w:hAnsi="Arial" w:cs="Arial"/>
        </w:rPr>
        <w:t xml:space="preserve"> production threshold w</w:t>
      </w:r>
      <w:r>
        <w:rPr>
          <w:rFonts w:ascii="Arial" w:eastAsia="Calibri" w:hAnsi="Arial" w:cs="Arial"/>
        </w:rPr>
        <w:t>as</w:t>
      </w:r>
      <w:r w:rsidRPr="00766470">
        <w:rPr>
          <w:rFonts w:ascii="Arial" w:eastAsia="Calibri" w:hAnsi="Arial" w:cs="Arial"/>
        </w:rPr>
        <w:t xml:space="preserve"> identified for all minerals offering sufficient data points (see </w:t>
      </w:r>
      <w:r w:rsidR="00B8490A">
        <w:rPr>
          <w:rFonts w:ascii="Arial" w:eastAsia="Calibri" w:hAnsi="Arial" w:cs="Arial"/>
        </w:rPr>
        <w:fldChar w:fldCharType="begin"/>
      </w:r>
      <w:r w:rsidR="00B8490A">
        <w:rPr>
          <w:rFonts w:ascii="Arial" w:eastAsia="Calibri" w:hAnsi="Arial" w:cs="Arial"/>
        </w:rPr>
        <w:instrText xml:space="preserve"> REF _Ref214445133 \h </w:instrText>
      </w:r>
      <w:r w:rsidR="00B8490A">
        <w:rPr>
          <w:rFonts w:ascii="Arial" w:eastAsia="Calibri" w:hAnsi="Arial" w:cs="Arial"/>
        </w:rPr>
      </w:r>
      <w:r w:rsidR="00B8490A">
        <w:rPr>
          <w:rFonts w:ascii="Arial" w:eastAsia="Calibri" w:hAnsi="Arial" w:cs="Arial"/>
        </w:rPr>
        <w:fldChar w:fldCharType="separate"/>
      </w:r>
      <w:r w:rsidR="00B8490A">
        <w:t xml:space="preserve">Table </w:t>
      </w:r>
      <w:r w:rsidR="00B8490A">
        <w:rPr>
          <w:noProof/>
        </w:rPr>
        <w:t>13</w:t>
      </w:r>
      <w:r w:rsidR="00B8490A">
        <w:rPr>
          <w:rFonts w:ascii="Arial" w:eastAsia="Calibri" w:hAnsi="Arial" w:cs="Arial"/>
        </w:rPr>
        <w:fldChar w:fldCharType="end"/>
      </w:r>
      <w:r w:rsidR="00B8490A">
        <w:rPr>
          <w:rFonts w:ascii="Arial" w:eastAsia="Calibri" w:hAnsi="Arial" w:cs="Arial"/>
          <w:b/>
          <w:bCs/>
        </w:rPr>
        <w:t xml:space="preserve"> </w:t>
      </w:r>
      <w:r w:rsidRPr="00766470">
        <w:rPr>
          <w:rFonts w:ascii="Arial" w:eastAsia="Calibri" w:hAnsi="Arial" w:cs="Arial"/>
        </w:rPr>
        <w:t xml:space="preserve">and recall </w:t>
      </w:r>
      <w:r w:rsidR="00F9595C">
        <w:rPr>
          <w:rFonts w:ascii="Arial" w:eastAsia="Calibri" w:hAnsi="Arial" w:cs="Arial"/>
        </w:rPr>
        <w:t>Section</w:t>
      </w:r>
      <w:r w:rsidRPr="00766470">
        <w:rPr>
          <w:rFonts w:ascii="Arial" w:eastAsia="Calibri" w:hAnsi="Arial" w:cs="Arial"/>
        </w:rPr>
        <w:t xml:space="preserve"> 2). </w:t>
      </w:r>
    </w:p>
    <w:p w14:paraId="5EE59810" w14:textId="77777777" w:rsidR="00BE51B1" w:rsidRPr="003C78A7" w:rsidRDefault="00BE51B1" w:rsidP="00BE51B1">
      <w:pPr>
        <w:pStyle w:val="ListParagraph"/>
        <w:numPr>
          <w:ilvl w:val="1"/>
          <w:numId w:val="11"/>
        </w:numPr>
        <w:spacing w:after="0" w:line="257" w:lineRule="auto"/>
        <w:jc w:val="both"/>
        <w:rPr>
          <w:rFonts w:ascii="Arial" w:hAnsi="Arial" w:cs="Arial"/>
        </w:rPr>
      </w:pPr>
      <w:r w:rsidRPr="00766470">
        <w:rPr>
          <w:rFonts w:ascii="Arial" w:eastAsia="Calibri" w:hAnsi="Arial" w:cs="Arial"/>
          <w:u w:val="single"/>
        </w:rPr>
        <w:t>Minimum observable scale of processing activity</w:t>
      </w:r>
      <w:r w:rsidRPr="00766470">
        <w:rPr>
          <w:rFonts w:ascii="Arial" w:eastAsia="Calibri" w:hAnsi="Arial" w:cs="Arial"/>
        </w:rPr>
        <w:t xml:space="preserve">. This is the smallest size of processing plant observed in the S&amp;P Database, and for individual countries producing below this amount it is assumed that processing is not economically feasible. </w:t>
      </w:r>
    </w:p>
    <w:p w14:paraId="63015AC1" w14:textId="77777777" w:rsidR="003C78A7" w:rsidRPr="00766470" w:rsidRDefault="003C78A7" w:rsidP="003C78A7">
      <w:pPr>
        <w:pStyle w:val="ListParagraph"/>
        <w:spacing w:after="0" w:line="257" w:lineRule="auto"/>
        <w:ind w:left="1440"/>
        <w:jc w:val="both"/>
        <w:rPr>
          <w:rFonts w:ascii="Arial" w:hAnsi="Arial" w:cs="Arial"/>
        </w:rPr>
      </w:pPr>
    </w:p>
    <w:p w14:paraId="290780B8" w14:textId="5A1A01BC" w:rsidR="00BE51B1" w:rsidRPr="009F3AF4" w:rsidRDefault="00B8490A" w:rsidP="00B8490A">
      <w:pPr>
        <w:pStyle w:val="Caption"/>
      </w:pPr>
      <w:bookmarkStart w:id="94" w:name="_Ref214445133"/>
      <w:bookmarkStart w:id="95" w:name="_Toc211509408"/>
      <w:r>
        <w:t xml:space="preserve">Table </w:t>
      </w:r>
      <w:fldSimple w:instr=" SEQ Table \* ARABIC ">
        <w:r w:rsidR="00615C28">
          <w:t>13</w:t>
        </w:r>
      </w:fldSimple>
      <w:bookmarkEnd w:id="94"/>
      <w:r w:rsidR="00BE51B1" w:rsidRPr="009F3AF4">
        <w:t>: Minimum observable scale of processing</w:t>
      </w:r>
      <w:bookmarkEnd w:id="95"/>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57"/>
        <w:gridCol w:w="5127"/>
      </w:tblGrid>
      <w:tr w:rsidR="00BE51B1" w:rsidRPr="007D3F22" w14:paraId="7A83F265" w14:textId="77777777" w:rsidTr="00877C15">
        <w:trPr>
          <w:trHeight w:val="147"/>
          <w:jc w:val="center"/>
        </w:trPr>
        <w:tc>
          <w:tcPr>
            <w:tcW w:w="3657" w:type="dxa"/>
            <w:shd w:val="clear" w:color="auto" w:fill="B7D4EF" w:themeFill="text2" w:themeFillTint="33"/>
          </w:tcPr>
          <w:p w14:paraId="1FE1E3B2" w14:textId="77777777" w:rsidR="00BE51B1" w:rsidRPr="00766470" w:rsidRDefault="00BE51B1" w:rsidP="00877C15">
            <w:pPr>
              <w:spacing w:before="20" w:after="40"/>
              <w:rPr>
                <w:rFonts w:ascii="Arial" w:hAnsi="Arial" w:cs="Arial"/>
                <w:color w:val="156082" w:themeColor="accent1"/>
                <w:sz w:val="18"/>
                <w:szCs w:val="18"/>
              </w:rPr>
            </w:pPr>
            <w:r w:rsidRPr="00766470">
              <w:rPr>
                <w:rFonts w:ascii="Arial" w:eastAsia="Calibri" w:hAnsi="Arial" w:cs="Arial"/>
                <w:b/>
                <w:bCs/>
                <w:color w:val="156082" w:themeColor="accent1"/>
                <w:sz w:val="18"/>
                <w:szCs w:val="18"/>
              </w:rPr>
              <w:lastRenderedPageBreak/>
              <w:t>Mineral</w:t>
            </w:r>
          </w:p>
        </w:tc>
        <w:tc>
          <w:tcPr>
            <w:tcW w:w="5127" w:type="dxa"/>
            <w:shd w:val="clear" w:color="auto" w:fill="B7D4EF" w:themeFill="text2" w:themeFillTint="33"/>
          </w:tcPr>
          <w:p w14:paraId="37E8D6C4" w14:textId="77777777" w:rsidR="00BE51B1" w:rsidRPr="00766470" w:rsidRDefault="00BE51B1" w:rsidP="00877C15">
            <w:pPr>
              <w:spacing w:before="20" w:after="40"/>
              <w:jc w:val="center"/>
              <w:rPr>
                <w:rFonts w:ascii="Arial" w:eastAsia="Calibri" w:hAnsi="Arial" w:cs="Arial"/>
                <w:b/>
                <w:bCs/>
                <w:color w:val="156082" w:themeColor="accent1"/>
                <w:sz w:val="18"/>
                <w:szCs w:val="18"/>
              </w:rPr>
            </w:pPr>
            <w:r w:rsidRPr="00766470">
              <w:rPr>
                <w:rFonts w:ascii="Arial" w:eastAsia="Calibri" w:hAnsi="Arial" w:cs="Arial"/>
                <w:b/>
                <w:bCs/>
                <w:color w:val="156082" w:themeColor="accent1"/>
                <w:sz w:val="18"/>
                <w:szCs w:val="18"/>
              </w:rPr>
              <w:t>Minimum observable scale of processing (tonnes/year)</w:t>
            </w:r>
          </w:p>
        </w:tc>
      </w:tr>
      <w:tr w:rsidR="00BE51B1" w:rsidRPr="007D3F22" w14:paraId="29573A3F" w14:textId="77777777" w:rsidTr="00877C15">
        <w:trPr>
          <w:trHeight w:val="147"/>
          <w:jc w:val="center"/>
        </w:trPr>
        <w:tc>
          <w:tcPr>
            <w:tcW w:w="3657" w:type="dxa"/>
          </w:tcPr>
          <w:p w14:paraId="32F6FAB0" w14:textId="77777777" w:rsidR="00BE51B1" w:rsidRPr="00766470" w:rsidRDefault="00BE51B1" w:rsidP="00877C15">
            <w:pPr>
              <w:spacing w:before="20" w:after="40"/>
              <w:jc w:val="both"/>
              <w:rPr>
                <w:rFonts w:ascii="Arial" w:hAnsi="Arial" w:cs="Arial"/>
                <w:sz w:val="18"/>
                <w:szCs w:val="18"/>
              </w:rPr>
            </w:pPr>
            <w:r w:rsidRPr="00766470">
              <w:rPr>
                <w:rFonts w:ascii="Arial" w:eastAsia="Calibri" w:hAnsi="Arial" w:cs="Arial"/>
                <w:b/>
                <w:bCs/>
                <w:color w:val="156082" w:themeColor="accent1"/>
                <w:sz w:val="18"/>
                <w:szCs w:val="18"/>
              </w:rPr>
              <w:t xml:space="preserve">Copper </w:t>
            </w:r>
            <w:r w:rsidRPr="00766470">
              <w:rPr>
                <w:rFonts w:ascii="Arial" w:eastAsia="Calibri" w:hAnsi="Arial" w:cs="Arial"/>
                <w:sz w:val="18"/>
                <w:szCs w:val="18"/>
              </w:rPr>
              <w:t>(metal content)</w:t>
            </w:r>
          </w:p>
        </w:tc>
        <w:tc>
          <w:tcPr>
            <w:tcW w:w="5127" w:type="dxa"/>
          </w:tcPr>
          <w:p w14:paraId="47FBFE4A" w14:textId="77777777" w:rsidR="00BE51B1" w:rsidRPr="00766470" w:rsidRDefault="00BE51B1" w:rsidP="00877C15">
            <w:pPr>
              <w:spacing w:before="20" w:after="40"/>
              <w:jc w:val="center"/>
              <w:rPr>
                <w:rFonts w:ascii="Arial" w:eastAsia="Calibri" w:hAnsi="Arial" w:cs="Arial"/>
                <w:sz w:val="18"/>
                <w:szCs w:val="18"/>
              </w:rPr>
            </w:pPr>
            <w:r w:rsidRPr="00766470">
              <w:rPr>
                <w:rFonts w:ascii="Arial" w:eastAsia="Calibri" w:hAnsi="Arial" w:cs="Arial"/>
                <w:sz w:val="18"/>
                <w:szCs w:val="18"/>
              </w:rPr>
              <w:t>3,737</w:t>
            </w:r>
          </w:p>
        </w:tc>
      </w:tr>
      <w:tr w:rsidR="00BE51B1" w:rsidRPr="007D3F22" w14:paraId="291F8EBF" w14:textId="77777777" w:rsidTr="00877C15">
        <w:trPr>
          <w:trHeight w:val="147"/>
          <w:jc w:val="center"/>
        </w:trPr>
        <w:tc>
          <w:tcPr>
            <w:tcW w:w="3657" w:type="dxa"/>
          </w:tcPr>
          <w:p w14:paraId="126242CE" w14:textId="77777777" w:rsidR="00BE51B1" w:rsidRPr="00766470" w:rsidRDefault="00BE51B1" w:rsidP="00877C15">
            <w:pPr>
              <w:spacing w:before="20" w:after="40"/>
              <w:jc w:val="both"/>
              <w:rPr>
                <w:rFonts w:ascii="Arial" w:hAnsi="Arial" w:cs="Arial"/>
                <w:sz w:val="18"/>
                <w:szCs w:val="18"/>
              </w:rPr>
            </w:pPr>
            <w:r w:rsidRPr="00766470">
              <w:rPr>
                <w:rFonts w:ascii="Arial" w:eastAsia="Calibri" w:hAnsi="Arial" w:cs="Arial"/>
                <w:b/>
                <w:bCs/>
                <w:color w:val="156082" w:themeColor="accent1"/>
                <w:sz w:val="18"/>
                <w:szCs w:val="18"/>
              </w:rPr>
              <w:t xml:space="preserve">Nickel </w:t>
            </w:r>
            <w:r w:rsidRPr="00766470">
              <w:rPr>
                <w:rFonts w:ascii="Arial" w:eastAsia="Calibri" w:hAnsi="Arial" w:cs="Arial"/>
                <w:sz w:val="18"/>
                <w:szCs w:val="18"/>
              </w:rPr>
              <w:t>(metal content)</w:t>
            </w:r>
          </w:p>
        </w:tc>
        <w:tc>
          <w:tcPr>
            <w:tcW w:w="5127" w:type="dxa"/>
          </w:tcPr>
          <w:p w14:paraId="5EA989FD" w14:textId="77777777" w:rsidR="00BE51B1" w:rsidRPr="00766470" w:rsidRDefault="00BE51B1" w:rsidP="00877C15">
            <w:pPr>
              <w:spacing w:before="20" w:after="40"/>
              <w:jc w:val="center"/>
              <w:rPr>
                <w:rFonts w:ascii="Arial" w:eastAsia="Calibri" w:hAnsi="Arial" w:cs="Arial"/>
                <w:sz w:val="18"/>
                <w:szCs w:val="18"/>
              </w:rPr>
            </w:pPr>
            <w:r w:rsidRPr="00766470">
              <w:rPr>
                <w:rFonts w:ascii="Arial" w:eastAsia="Calibri" w:hAnsi="Arial" w:cs="Arial"/>
                <w:sz w:val="18"/>
                <w:szCs w:val="18"/>
              </w:rPr>
              <w:t>3,800</w:t>
            </w:r>
          </w:p>
        </w:tc>
      </w:tr>
      <w:tr w:rsidR="00BE51B1" w:rsidRPr="007D3F22" w14:paraId="04B9F793" w14:textId="77777777" w:rsidTr="00877C15">
        <w:trPr>
          <w:trHeight w:val="147"/>
          <w:jc w:val="center"/>
        </w:trPr>
        <w:tc>
          <w:tcPr>
            <w:tcW w:w="3657" w:type="dxa"/>
          </w:tcPr>
          <w:p w14:paraId="3AB3F514" w14:textId="77777777" w:rsidR="00BE51B1" w:rsidRPr="00544BBD" w:rsidRDefault="00BE51B1" w:rsidP="00877C15">
            <w:pPr>
              <w:spacing w:before="20" w:after="40"/>
              <w:jc w:val="both"/>
              <w:rPr>
                <w:rFonts w:ascii="Arial" w:hAnsi="Arial" w:cs="Arial"/>
                <w:sz w:val="18"/>
                <w:szCs w:val="18"/>
              </w:rPr>
            </w:pPr>
            <w:r w:rsidRPr="00544BBD">
              <w:rPr>
                <w:rFonts w:ascii="Arial" w:eastAsia="Calibri" w:hAnsi="Arial" w:cs="Arial"/>
                <w:b/>
                <w:bCs/>
                <w:color w:val="156082" w:themeColor="accent1"/>
                <w:sz w:val="18"/>
                <w:szCs w:val="18"/>
              </w:rPr>
              <w:t xml:space="preserve">Cobalt </w:t>
            </w:r>
            <w:r w:rsidRPr="00544BBD">
              <w:rPr>
                <w:rFonts w:ascii="Arial" w:eastAsia="Calibri" w:hAnsi="Arial" w:cs="Arial"/>
                <w:sz w:val="18"/>
                <w:szCs w:val="18"/>
              </w:rPr>
              <w:t>(metal content)</w:t>
            </w:r>
          </w:p>
        </w:tc>
        <w:tc>
          <w:tcPr>
            <w:tcW w:w="5127" w:type="dxa"/>
          </w:tcPr>
          <w:p w14:paraId="24CDC2E1" w14:textId="77777777" w:rsidR="00BE51B1" w:rsidRPr="00766470" w:rsidRDefault="00BE51B1" w:rsidP="00877C15">
            <w:pPr>
              <w:spacing w:before="20" w:after="40"/>
              <w:jc w:val="center"/>
              <w:rPr>
                <w:rFonts w:ascii="Arial" w:eastAsia="Calibri" w:hAnsi="Arial" w:cs="Arial"/>
                <w:sz w:val="18"/>
                <w:szCs w:val="18"/>
              </w:rPr>
            </w:pPr>
            <w:r w:rsidRPr="00544BBD">
              <w:rPr>
                <w:rFonts w:ascii="Arial" w:eastAsia="Calibri" w:hAnsi="Arial" w:cs="Arial"/>
                <w:sz w:val="18"/>
                <w:szCs w:val="18"/>
              </w:rPr>
              <w:t>200</w:t>
            </w:r>
          </w:p>
        </w:tc>
      </w:tr>
      <w:tr w:rsidR="00BE51B1" w:rsidRPr="007D3F22" w14:paraId="513F6F80" w14:textId="77777777" w:rsidTr="00877C15">
        <w:trPr>
          <w:trHeight w:val="147"/>
          <w:jc w:val="center"/>
        </w:trPr>
        <w:tc>
          <w:tcPr>
            <w:tcW w:w="3657" w:type="dxa"/>
          </w:tcPr>
          <w:p w14:paraId="6D5B80F7" w14:textId="77777777" w:rsidR="00BE51B1" w:rsidRPr="00766470" w:rsidRDefault="00BE51B1" w:rsidP="00877C15">
            <w:pPr>
              <w:spacing w:before="20" w:after="40"/>
              <w:jc w:val="both"/>
              <w:rPr>
                <w:rFonts w:ascii="Arial" w:hAnsi="Arial" w:cs="Arial"/>
                <w:sz w:val="18"/>
                <w:szCs w:val="18"/>
              </w:rPr>
            </w:pPr>
            <w:r w:rsidRPr="00766470">
              <w:rPr>
                <w:rFonts w:ascii="Arial" w:eastAsia="Calibri" w:hAnsi="Arial" w:cs="Arial"/>
                <w:b/>
                <w:bCs/>
                <w:color w:val="156082" w:themeColor="accent1"/>
                <w:sz w:val="18"/>
                <w:szCs w:val="18"/>
              </w:rPr>
              <w:t>Graphite</w:t>
            </w:r>
            <w:r w:rsidRPr="00766470">
              <w:rPr>
                <w:rFonts w:ascii="Arial" w:eastAsia="Calibri" w:hAnsi="Arial" w:cs="Arial"/>
                <w:sz w:val="18"/>
                <w:szCs w:val="18"/>
              </w:rPr>
              <w:t xml:space="preserve"> (mineral content)</w:t>
            </w:r>
          </w:p>
        </w:tc>
        <w:tc>
          <w:tcPr>
            <w:tcW w:w="5127" w:type="dxa"/>
          </w:tcPr>
          <w:p w14:paraId="6A6F7745" w14:textId="77777777" w:rsidR="00BE51B1" w:rsidRPr="00766470" w:rsidRDefault="00BE51B1" w:rsidP="00877C15">
            <w:pPr>
              <w:spacing w:before="20" w:after="40"/>
              <w:jc w:val="center"/>
              <w:rPr>
                <w:rFonts w:ascii="Arial" w:eastAsia="Calibri" w:hAnsi="Arial" w:cs="Arial"/>
                <w:sz w:val="18"/>
                <w:szCs w:val="18"/>
              </w:rPr>
            </w:pPr>
            <w:r w:rsidRPr="00766470">
              <w:rPr>
                <w:rFonts w:ascii="Arial" w:eastAsia="Calibri" w:hAnsi="Arial" w:cs="Arial"/>
                <w:sz w:val="18"/>
                <w:szCs w:val="18"/>
              </w:rPr>
              <w:t>17,227</w:t>
            </w:r>
          </w:p>
        </w:tc>
      </w:tr>
      <w:tr w:rsidR="00BE51B1" w:rsidRPr="007D3F22" w14:paraId="673EA0DD" w14:textId="77777777" w:rsidTr="00877C15">
        <w:trPr>
          <w:trHeight w:val="147"/>
          <w:jc w:val="center"/>
        </w:trPr>
        <w:tc>
          <w:tcPr>
            <w:tcW w:w="3657" w:type="dxa"/>
          </w:tcPr>
          <w:p w14:paraId="09A56EC0" w14:textId="77777777" w:rsidR="00BE51B1" w:rsidRPr="00766470" w:rsidRDefault="00BE51B1" w:rsidP="00877C15">
            <w:pPr>
              <w:spacing w:before="20" w:after="40"/>
              <w:jc w:val="both"/>
              <w:rPr>
                <w:rFonts w:ascii="Arial" w:hAnsi="Arial" w:cs="Arial"/>
                <w:sz w:val="18"/>
                <w:szCs w:val="18"/>
              </w:rPr>
            </w:pPr>
            <w:r w:rsidRPr="00766470">
              <w:rPr>
                <w:rFonts w:ascii="Arial" w:eastAsia="Calibri" w:hAnsi="Arial" w:cs="Arial"/>
                <w:b/>
                <w:bCs/>
                <w:color w:val="156082" w:themeColor="accent1"/>
                <w:sz w:val="18"/>
                <w:szCs w:val="18"/>
              </w:rPr>
              <w:t>Manganese</w:t>
            </w:r>
            <w:r w:rsidRPr="00766470">
              <w:rPr>
                <w:rFonts w:ascii="Arial" w:eastAsia="Calibri" w:hAnsi="Arial" w:cs="Arial"/>
                <w:sz w:val="18"/>
                <w:szCs w:val="18"/>
              </w:rPr>
              <w:t xml:space="preserve"> (metal content)</w:t>
            </w:r>
          </w:p>
        </w:tc>
        <w:tc>
          <w:tcPr>
            <w:tcW w:w="5127" w:type="dxa"/>
          </w:tcPr>
          <w:p w14:paraId="2A9668C9" w14:textId="77777777" w:rsidR="00BE51B1" w:rsidRPr="00766470" w:rsidRDefault="00BE51B1" w:rsidP="00877C15">
            <w:pPr>
              <w:spacing w:before="20" w:after="40"/>
              <w:jc w:val="center"/>
              <w:rPr>
                <w:rFonts w:ascii="Arial" w:eastAsia="Calibri" w:hAnsi="Arial" w:cs="Arial"/>
                <w:sz w:val="18"/>
                <w:szCs w:val="18"/>
              </w:rPr>
            </w:pPr>
            <w:r w:rsidRPr="00766470">
              <w:rPr>
                <w:rFonts w:ascii="Arial" w:eastAsia="Calibri" w:hAnsi="Arial" w:cs="Arial"/>
                <w:sz w:val="18"/>
                <w:szCs w:val="18"/>
              </w:rPr>
              <w:t>73,000</w:t>
            </w:r>
          </w:p>
        </w:tc>
      </w:tr>
      <w:tr w:rsidR="00BE51B1" w:rsidRPr="007D3F22" w14:paraId="261D1951" w14:textId="77777777" w:rsidTr="00877C15">
        <w:trPr>
          <w:trHeight w:val="147"/>
          <w:jc w:val="center"/>
        </w:trPr>
        <w:tc>
          <w:tcPr>
            <w:tcW w:w="3657" w:type="dxa"/>
          </w:tcPr>
          <w:p w14:paraId="68AE20D0" w14:textId="77777777" w:rsidR="00BE51B1" w:rsidRPr="00766470" w:rsidRDefault="00BE51B1" w:rsidP="00877C15">
            <w:pPr>
              <w:spacing w:before="20" w:after="40"/>
              <w:jc w:val="both"/>
              <w:rPr>
                <w:rFonts w:ascii="Arial" w:hAnsi="Arial" w:cs="Arial"/>
                <w:sz w:val="18"/>
                <w:szCs w:val="18"/>
              </w:rPr>
            </w:pPr>
            <w:r w:rsidRPr="00766470">
              <w:rPr>
                <w:rFonts w:ascii="Arial" w:eastAsia="Calibri" w:hAnsi="Arial" w:cs="Arial"/>
                <w:b/>
                <w:bCs/>
                <w:color w:val="156082" w:themeColor="accent1"/>
                <w:sz w:val="18"/>
                <w:szCs w:val="18"/>
              </w:rPr>
              <w:t>Lithium</w:t>
            </w:r>
            <w:r w:rsidRPr="00766470">
              <w:rPr>
                <w:rFonts w:ascii="Arial" w:eastAsia="Calibri" w:hAnsi="Arial" w:cs="Arial"/>
                <w:sz w:val="18"/>
                <w:szCs w:val="18"/>
              </w:rPr>
              <w:t xml:space="preserve"> (carbonate content) </w:t>
            </w:r>
          </w:p>
        </w:tc>
        <w:tc>
          <w:tcPr>
            <w:tcW w:w="5127" w:type="dxa"/>
          </w:tcPr>
          <w:p w14:paraId="7B2DC64B" w14:textId="77777777" w:rsidR="00BE51B1" w:rsidRPr="00766470" w:rsidRDefault="00BE51B1" w:rsidP="00877C15">
            <w:pPr>
              <w:spacing w:before="20" w:after="40"/>
              <w:jc w:val="center"/>
              <w:rPr>
                <w:rFonts w:ascii="Arial" w:eastAsia="Calibri" w:hAnsi="Arial" w:cs="Arial"/>
                <w:sz w:val="18"/>
                <w:szCs w:val="18"/>
              </w:rPr>
            </w:pPr>
            <w:r w:rsidRPr="00766470">
              <w:rPr>
                <w:rFonts w:ascii="Arial" w:eastAsia="Calibri" w:hAnsi="Arial" w:cs="Arial"/>
                <w:sz w:val="18"/>
                <w:szCs w:val="18"/>
              </w:rPr>
              <w:t>6,269</w:t>
            </w:r>
          </w:p>
        </w:tc>
      </w:tr>
    </w:tbl>
    <w:p w14:paraId="45610BD2" w14:textId="71F1E231" w:rsidR="00BE51B1" w:rsidRPr="00AD40F3" w:rsidRDefault="00BE51B1" w:rsidP="00BE51B1">
      <w:pPr>
        <w:pStyle w:val="ListParagraph"/>
        <w:numPr>
          <w:ilvl w:val="0"/>
          <w:numId w:val="59"/>
        </w:numPr>
        <w:spacing w:before="240" w:line="257" w:lineRule="auto"/>
        <w:jc w:val="both"/>
        <w:rPr>
          <w:rFonts w:ascii="Arial" w:eastAsia="Calibri" w:hAnsi="Arial" w:cs="Arial"/>
        </w:rPr>
      </w:pPr>
      <w:r w:rsidRPr="00AD40F3">
        <w:rPr>
          <w:rFonts w:ascii="Arial" w:eastAsia="Calibri" w:hAnsi="Arial" w:cs="Arial"/>
        </w:rPr>
        <w:t xml:space="preserve">The study simulates three future trade scenarios by 2040. The </w:t>
      </w:r>
      <w:r w:rsidRPr="00AD40F3">
        <w:rPr>
          <w:rFonts w:ascii="Arial" w:eastAsia="Calibri" w:hAnsi="Arial" w:cs="Arial"/>
          <w:i/>
          <w:iCs/>
        </w:rPr>
        <w:t>Business-As-Usual Scenario</w:t>
      </w:r>
      <w:r w:rsidRPr="00AD40F3">
        <w:rPr>
          <w:rFonts w:ascii="Arial" w:eastAsia="Calibri" w:hAnsi="Arial" w:cs="Arial"/>
        </w:rPr>
        <w:t xml:space="preserve"> assumes that countries maintain existing trade patterns and processing products in 2040. So, the trade grows or contracts according to the total mine level outputs. For countries not previously producing a mineral product (due to lack of mines) new mine level outputs were assumed to be converted to the initial stage products (i.e. Stage 1) and exported globally to countries with existing demands for the product. In the Precursor-Related Product Scenario countries move to progressively higher levels of processing over time. The table below clarifies the target processing stage for each mineral under the 2040 Precursor-Related Product Scenario. Nevertheless, it is not always feasible for countries to be able to process 100% of Stage 1 production to the target stage, either due to resource and energy constraints, or because there are other possible processing directions for the Stage 1 mineral beyond the battery value chain. This is also clarified in</w:t>
      </w:r>
      <w:r w:rsidR="00615C28">
        <w:rPr>
          <w:rFonts w:ascii="Arial" w:eastAsia="Calibri" w:hAnsi="Arial" w:cs="Arial"/>
          <w:b/>
          <w:bCs/>
        </w:rPr>
        <w:t xml:space="preserve"> </w:t>
      </w:r>
      <w:r w:rsidR="00615C28">
        <w:rPr>
          <w:rFonts w:ascii="Arial" w:eastAsia="Calibri" w:hAnsi="Arial" w:cs="Arial"/>
          <w:b/>
          <w:bCs/>
        </w:rPr>
        <w:fldChar w:fldCharType="begin"/>
      </w:r>
      <w:r w:rsidR="00615C28">
        <w:rPr>
          <w:rFonts w:ascii="Arial" w:eastAsia="Calibri" w:hAnsi="Arial" w:cs="Arial"/>
          <w:b/>
          <w:bCs/>
        </w:rPr>
        <w:instrText xml:space="preserve"> REF _Ref214453207 \h </w:instrText>
      </w:r>
      <w:r w:rsidR="00615C28">
        <w:rPr>
          <w:rFonts w:ascii="Arial" w:eastAsia="Calibri" w:hAnsi="Arial" w:cs="Arial"/>
          <w:b/>
          <w:bCs/>
        </w:rPr>
      </w:r>
      <w:r w:rsidR="00615C28">
        <w:rPr>
          <w:rFonts w:ascii="Arial" w:eastAsia="Calibri" w:hAnsi="Arial" w:cs="Arial"/>
          <w:b/>
          <w:bCs/>
        </w:rPr>
        <w:fldChar w:fldCharType="separate"/>
      </w:r>
      <w:r w:rsidR="00615C28">
        <w:t xml:space="preserve">Table </w:t>
      </w:r>
      <w:r w:rsidR="00615C28">
        <w:rPr>
          <w:noProof/>
        </w:rPr>
        <w:t>14</w:t>
      </w:r>
      <w:r w:rsidR="00615C28">
        <w:rPr>
          <w:rFonts w:ascii="Arial" w:eastAsia="Calibri" w:hAnsi="Arial" w:cs="Arial"/>
          <w:b/>
          <w:bCs/>
        </w:rPr>
        <w:fldChar w:fldCharType="end"/>
      </w:r>
      <w:r w:rsidRPr="00AD40F3">
        <w:rPr>
          <w:rFonts w:ascii="Arial" w:eastAsia="Calibri" w:hAnsi="Arial" w:cs="Arial"/>
        </w:rPr>
        <w:t xml:space="preserve">. For example, only 10% of future manganese ores and concentrates would be converted to </w:t>
      </w:r>
      <w:r w:rsidR="00AD40F3">
        <w:rPr>
          <w:rFonts w:ascii="Arial" w:eastAsia="Calibri" w:hAnsi="Arial" w:cs="Arial"/>
        </w:rPr>
        <w:t xml:space="preserve">a </w:t>
      </w:r>
      <w:r w:rsidRPr="00AD40F3">
        <w:rPr>
          <w:rFonts w:ascii="Arial" w:eastAsia="Calibri" w:hAnsi="Arial" w:cs="Arial"/>
        </w:rPr>
        <w:t>Stage 5 (manganese sulphate) product in 2040. The percentage values in</w:t>
      </w:r>
      <w:r w:rsidR="00615C28">
        <w:rPr>
          <w:rFonts w:ascii="Arial" w:eastAsia="Calibri" w:hAnsi="Arial" w:cs="Arial"/>
        </w:rPr>
        <w:t xml:space="preserve"> </w:t>
      </w:r>
      <w:r w:rsidR="00615C28">
        <w:rPr>
          <w:rFonts w:ascii="Arial" w:eastAsia="Calibri" w:hAnsi="Arial" w:cs="Arial"/>
        </w:rPr>
        <w:fldChar w:fldCharType="begin"/>
      </w:r>
      <w:r w:rsidR="00615C28">
        <w:rPr>
          <w:rFonts w:ascii="Arial" w:eastAsia="Calibri" w:hAnsi="Arial" w:cs="Arial"/>
        </w:rPr>
        <w:instrText xml:space="preserve"> REF _Ref214445111 \h </w:instrText>
      </w:r>
      <w:r w:rsidR="00615C28">
        <w:rPr>
          <w:rFonts w:ascii="Arial" w:eastAsia="Calibri" w:hAnsi="Arial" w:cs="Arial"/>
        </w:rPr>
      </w:r>
      <w:r w:rsidR="00615C28">
        <w:rPr>
          <w:rFonts w:ascii="Arial" w:eastAsia="Calibri" w:hAnsi="Arial" w:cs="Arial"/>
        </w:rPr>
        <w:fldChar w:fldCharType="separate"/>
      </w:r>
      <w:r w:rsidR="00615C28">
        <w:t xml:space="preserve">Table </w:t>
      </w:r>
      <w:r w:rsidR="00615C28">
        <w:rPr>
          <w:noProof/>
        </w:rPr>
        <w:t>12</w:t>
      </w:r>
      <w:r w:rsidR="00615C28">
        <w:rPr>
          <w:rFonts w:ascii="Arial" w:eastAsia="Calibri" w:hAnsi="Arial" w:cs="Arial"/>
        </w:rPr>
        <w:fldChar w:fldCharType="end"/>
      </w:r>
      <w:r w:rsidR="00615C28">
        <w:rPr>
          <w:rFonts w:ascii="Arial" w:eastAsia="Calibri" w:hAnsi="Arial" w:cs="Arial"/>
        </w:rPr>
        <w:t xml:space="preserve"> </w:t>
      </w:r>
      <w:r w:rsidRPr="00AD40F3">
        <w:rPr>
          <w:rFonts w:ascii="Arial" w:eastAsia="Calibri" w:hAnsi="Arial" w:cs="Arial"/>
        </w:rPr>
        <w:t>were arrived at based on the sources and assumptions described. </w:t>
      </w:r>
    </w:p>
    <w:p w14:paraId="370F577F" w14:textId="77777777" w:rsidR="00BE51B1" w:rsidRPr="00766470" w:rsidRDefault="00BE51B1" w:rsidP="00BE51B1">
      <w:pPr>
        <w:pStyle w:val="ListParagraph"/>
        <w:spacing w:before="240" w:after="0" w:line="257" w:lineRule="auto"/>
        <w:ind w:left="360"/>
        <w:jc w:val="center"/>
        <w:rPr>
          <w:rFonts w:ascii="Arial" w:eastAsia="Calibri" w:hAnsi="Arial" w:cs="Arial"/>
        </w:rPr>
      </w:pPr>
    </w:p>
    <w:p w14:paraId="629C85AA" w14:textId="2E363241" w:rsidR="00BE51B1" w:rsidRPr="009F3AF4" w:rsidRDefault="00615C28" w:rsidP="00615C28">
      <w:pPr>
        <w:pStyle w:val="Caption"/>
      </w:pPr>
      <w:bookmarkStart w:id="96" w:name="_Ref214453207"/>
      <w:bookmarkStart w:id="97" w:name="_Toc211509409"/>
      <w:r>
        <w:t xml:space="preserve">Table </w:t>
      </w:r>
      <w:fldSimple w:instr=" SEQ Table \* ARABIC ">
        <w:r>
          <w:t>14</w:t>
        </w:r>
      </w:fldSimple>
      <w:bookmarkEnd w:id="96"/>
      <w:r w:rsidR="00BE51B1" w:rsidRPr="009F3AF4">
        <w:t>: Percentage of mineral production at each stage that is assumed to be processed to the next stage of the battery value chain (proportion used as metal content restriction). This proportion enables modelling shares of products that may be used for non-battery applications.</w:t>
      </w:r>
      <w:bookmarkEnd w:id="97"/>
    </w:p>
    <w:tbl>
      <w:tblPr>
        <w:tblStyle w:val="TableGrid"/>
        <w:tblW w:w="0" w:type="auto"/>
        <w:tblLook w:val="0600" w:firstRow="0" w:lastRow="0" w:firstColumn="0" w:lastColumn="0" w:noHBand="1" w:noVBand="1"/>
      </w:tblPr>
      <w:tblGrid>
        <w:gridCol w:w="1197"/>
        <w:gridCol w:w="1359"/>
        <w:gridCol w:w="1834"/>
        <w:gridCol w:w="4626"/>
      </w:tblGrid>
      <w:tr w:rsidR="00BE51B1" w:rsidRPr="00AE3744" w14:paraId="4E459199" w14:textId="77777777" w:rsidTr="00877C15">
        <w:trPr>
          <w:trHeight w:val="15"/>
        </w:trPr>
        <w:tc>
          <w:tcPr>
            <w:tcW w:w="1197" w:type="dxa"/>
            <w:shd w:val="clear" w:color="auto" w:fill="B7D4EF" w:themeFill="text2" w:themeFillTint="33"/>
          </w:tcPr>
          <w:p w14:paraId="29C0C57E" w14:textId="77777777" w:rsidR="00BE51B1" w:rsidRPr="00AE3744" w:rsidRDefault="00BE51B1" w:rsidP="00877C15">
            <w:pPr>
              <w:spacing w:before="20" w:after="40" w:line="257" w:lineRule="auto"/>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Mineral</w:t>
            </w:r>
          </w:p>
        </w:tc>
        <w:tc>
          <w:tcPr>
            <w:tcW w:w="1359" w:type="dxa"/>
            <w:shd w:val="clear" w:color="auto" w:fill="B7D4EF" w:themeFill="text2" w:themeFillTint="33"/>
          </w:tcPr>
          <w:p w14:paraId="63653A7A" w14:textId="77777777" w:rsidR="00BE51B1" w:rsidRPr="00AE3744" w:rsidRDefault="00BE51B1" w:rsidP="00877C15">
            <w:pPr>
              <w:spacing w:before="20" w:after="40" w:line="257" w:lineRule="auto"/>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Refining stage</w:t>
            </w:r>
          </w:p>
        </w:tc>
        <w:tc>
          <w:tcPr>
            <w:tcW w:w="1834" w:type="dxa"/>
            <w:shd w:val="clear" w:color="auto" w:fill="B7D4EF" w:themeFill="text2" w:themeFillTint="33"/>
          </w:tcPr>
          <w:p w14:paraId="3D815401" w14:textId="77777777" w:rsidR="00BE51B1" w:rsidRPr="00AE3744" w:rsidRDefault="00BE51B1" w:rsidP="00877C15">
            <w:pPr>
              <w:spacing w:before="20" w:after="40" w:line="257" w:lineRule="auto"/>
              <w:rPr>
                <w:rFonts w:ascii="Arial" w:hAnsi="Arial" w:cs="Arial"/>
                <w:b/>
                <w:bCs/>
                <w:color w:val="156082" w:themeColor="accent1"/>
                <w:sz w:val="18"/>
                <w:szCs w:val="18"/>
              </w:rPr>
            </w:pPr>
            <w:r w:rsidRPr="00AE3744">
              <w:rPr>
                <w:rFonts w:ascii="Arial" w:hAnsi="Arial" w:cs="Arial"/>
                <w:b/>
                <w:bCs/>
                <w:color w:val="156082" w:themeColor="accent1"/>
                <w:sz w:val="18"/>
                <w:szCs w:val="18"/>
              </w:rPr>
              <w:t>Metal content (or mineral for graphite) share for next stage (%)</w:t>
            </w:r>
          </w:p>
        </w:tc>
        <w:tc>
          <w:tcPr>
            <w:tcW w:w="4626" w:type="dxa"/>
            <w:shd w:val="clear" w:color="auto" w:fill="B7D4EF" w:themeFill="text2" w:themeFillTint="33"/>
          </w:tcPr>
          <w:p w14:paraId="2580839B" w14:textId="77777777" w:rsidR="00BE51B1" w:rsidRPr="00AE3744" w:rsidRDefault="00BE51B1" w:rsidP="00877C15">
            <w:pPr>
              <w:spacing w:before="20" w:after="40" w:line="257" w:lineRule="auto"/>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Comments and source</w:t>
            </w:r>
          </w:p>
        </w:tc>
      </w:tr>
      <w:tr w:rsidR="00BE51B1" w:rsidRPr="00AE3744" w14:paraId="07283018" w14:textId="77777777" w:rsidTr="00877C15">
        <w:trPr>
          <w:trHeight w:val="15"/>
        </w:trPr>
        <w:tc>
          <w:tcPr>
            <w:tcW w:w="1197" w:type="dxa"/>
            <w:vMerge w:val="restart"/>
            <w:vAlign w:val="center"/>
          </w:tcPr>
          <w:p w14:paraId="5DEF6E93"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Copper</w:t>
            </w:r>
          </w:p>
        </w:tc>
        <w:tc>
          <w:tcPr>
            <w:tcW w:w="1359" w:type="dxa"/>
          </w:tcPr>
          <w:p w14:paraId="4571EEFE"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3EEA6E33"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429271E5"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29DBC012" w14:textId="77777777" w:rsidTr="00877C15">
        <w:trPr>
          <w:trHeight w:val="15"/>
        </w:trPr>
        <w:tc>
          <w:tcPr>
            <w:tcW w:w="1197" w:type="dxa"/>
            <w:vMerge/>
          </w:tcPr>
          <w:p w14:paraId="2BC9AA4A"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72969ABE"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2</w:t>
            </w:r>
          </w:p>
        </w:tc>
        <w:tc>
          <w:tcPr>
            <w:tcW w:w="1834" w:type="dxa"/>
          </w:tcPr>
          <w:p w14:paraId="16BB5E44"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2D1C1844"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30F883C7" w14:textId="77777777" w:rsidTr="00877C15">
        <w:trPr>
          <w:trHeight w:val="15"/>
        </w:trPr>
        <w:tc>
          <w:tcPr>
            <w:tcW w:w="1197" w:type="dxa"/>
            <w:vMerge/>
          </w:tcPr>
          <w:p w14:paraId="6E64446F"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17A2449F"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w:t>
            </w:r>
          </w:p>
        </w:tc>
        <w:tc>
          <w:tcPr>
            <w:tcW w:w="1834" w:type="dxa"/>
          </w:tcPr>
          <w:p w14:paraId="472F49A0"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7C284C00" w14:textId="46037B79" w:rsidR="00BE51B1" w:rsidRPr="00AE3744" w:rsidRDefault="00BE51B1" w:rsidP="00877C15">
            <w:pPr>
              <w:spacing w:before="20" w:line="257" w:lineRule="auto"/>
              <w:rPr>
                <w:rFonts w:ascii="Arial" w:eastAsia="Calibri" w:hAnsi="Arial" w:cs="Arial"/>
                <w:sz w:val="18"/>
                <w:szCs w:val="18"/>
              </w:rPr>
            </w:pPr>
          </w:p>
        </w:tc>
      </w:tr>
      <w:tr w:rsidR="00BE51B1" w:rsidRPr="00AE3744" w14:paraId="79FD44F5" w14:textId="77777777" w:rsidTr="00877C15">
        <w:trPr>
          <w:trHeight w:val="15"/>
        </w:trPr>
        <w:tc>
          <w:tcPr>
            <w:tcW w:w="1197" w:type="dxa"/>
            <w:vMerge/>
          </w:tcPr>
          <w:p w14:paraId="48E432CC"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757D9D37"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4.3</w:t>
            </w:r>
          </w:p>
        </w:tc>
        <w:tc>
          <w:tcPr>
            <w:tcW w:w="1834" w:type="dxa"/>
          </w:tcPr>
          <w:p w14:paraId="6F053067"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50</w:t>
            </w:r>
          </w:p>
        </w:tc>
        <w:tc>
          <w:tcPr>
            <w:tcW w:w="4626" w:type="dxa"/>
          </w:tcPr>
          <w:p w14:paraId="351ECF23"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5C4CD01A" w14:textId="77777777" w:rsidTr="00877C15">
        <w:trPr>
          <w:trHeight w:val="15"/>
        </w:trPr>
        <w:tc>
          <w:tcPr>
            <w:tcW w:w="1197" w:type="dxa"/>
            <w:vMerge/>
          </w:tcPr>
          <w:p w14:paraId="044B63A4"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5B3A4F23"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5</w:t>
            </w:r>
          </w:p>
        </w:tc>
        <w:tc>
          <w:tcPr>
            <w:tcW w:w="1834" w:type="dxa"/>
          </w:tcPr>
          <w:p w14:paraId="66FAD345"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50</w:t>
            </w:r>
          </w:p>
        </w:tc>
        <w:tc>
          <w:tcPr>
            <w:tcW w:w="4626" w:type="dxa"/>
          </w:tcPr>
          <w:p w14:paraId="3F87EAF0" w14:textId="73CAE882"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 xml:space="preserve">2040 Precursor related product target </w:t>
            </w:r>
            <w:r w:rsidRPr="00AE3744">
              <w:rPr>
                <w:rFonts w:ascii="Arial" w:eastAsia="Calibri" w:hAnsi="Arial" w:cs="Arial"/>
                <w:sz w:val="18"/>
                <w:szCs w:val="18"/>
              </w:rPr>
              <w:fldChar w:fldCharType="begin"/>
            </w:r>
            <w:r w:rsidR="007E07E0">
              <w:rPr>
                <w:rFonts w:ascii="Arial" w:eastAsia="Calibri" w:hAnsi="Arial" w:cs="Arial"/>
                <w:sz w:val="18"/>
                <w:szCs w:val="18"/>
              </w:rPr>
              <w:instrText xml:space="preserve"> ADDIN ZOTERO_ITEM CSL_CITATION {"citationID":"7t1wUS7o","properties":{"formattedCitation":"\\super 101\\nosupersub{}","plainCitation":"101","noteIndex":0},"citationItems":[{"id":39,"uris":["http://zotero.org/users/10918866/items/CTSKLF2V"],"itemData":{"id":39,"type":"report","genre":"Scientific Investigations Report","language":"en","note":"collection-title: Scientific Investigations Report","source":"DOI.org (Crossref)","title":"Mineral Commodity Summaries: Copper","URL":"https://pubs.usgs.gov/periodicals/mcs2023/mcs2023-copper.pdf","author":[{"family":"USGS","given":""}],"accessed":{"date-parts":[["2024",11,12]]},"issued":{"date-parts":[["2023",1]]}}}],"schema":"https://github.com/citation-style-language/schema/raw/master/csl-citation.json"} </w:instrText>
            </w:r>
            <w:r w:rsidRPr="00AE3744">
              <w:rPr>
                <w:rFonts w:ascii="Arial" w:eastAsia="Calibri" w:hAnsi="Arial" w:cs="Arial"/>
                <w:sz w:val="18"/>
                <w:szCs w:val="18"/>
              </w:rPr>
              <w:fldChar w:fldCharType="separate"/>
            </w:r>
            <w:r w:rsidR="007E07E0" w:rsidRPr="007E07E0">
              <w:rPr>
                <w:rFonts w:ascii="Arial" w:hAnsi="Arial" w:cs="Arial"/>
                <w:kern w:val="0"/>
                <w:sz w:val="18"/>
                <w:vertAlign w:val="superscript"/>
              </w:rPr>
              <w:t>101</w:t>
            </w:r>
            <w:r w:rsidRPr="00AE3744">
              <w:rPr>
                <w:rFonts w:ascii="Arial" w:eastAsia="Calibri" w:hAnsi="Arial" w:cs="Arial"/>
                <w:sz w:val="18"/>
                <w:szCs w:val="18"/>
              </w:rPr>
              <w:fldChar w:fldCharType="end"/>
            </w:r>
            <w:r w:rsidRPr="00AE3744">
              <w:rPr>
                <w:rFonts w:ascii="Arial" w:eastAsia="Calibri" w:hAnsi="Arial" w:cs="Arial"/>
                <w:sz w:val="18"/>
                <w:szCs w:val="18"/>
              </w:rPr>
              <w:t>.</w:t>
            </w:r>
          </w:p>
        </w:tc>
      </w:tr>
      <w:tr w:rsidR="00BE51B1" w:rsidRPr="00AE3744" w14:paraId="69A24522" w14:textId="77777777" w:rsidTr="00877C15">
        <w:trPr>
          <w:trHeight w:val="15"/>
        </w:trPr>
        <w:tc>
          <w:tcPr>
            <w:tcW w:w="1197" w:type="dxa"/>
            <w:vMerge w:val="restart"/>
            <w:vAlign w:val="center"/>
          </w:tcPr>
          <w:p w14:paraId="09D86A43"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Cobalt</w:t>
            </w:r>
          </w:p>
        </w:tc>
        <w:tc>
          <w:tcPr>
            <w:tcW w:w="1359" w:type="dxa"/>
          </w:tcPr>
          <w:p w14:paraId="4E7146A2"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6AAF9AD4"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6DD39905"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7F6BC5D5" w14:textId="77777777" w:rsidTr="00877C15">
        <w:trPr>
          <w:trHeight w:val="15"/>
        </w:trPr>
        <w:tc>
          <w:tcPr>
            <w:tcW w:w="1197" w:type="dxa"/>
            <w:vMerge/>
          </w:tcPr>
          <w:p w14:paraId="11430DFC"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547C2DD9"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2</w:t>
            </w:r>
          </w:p>
        </w:tc>
        <w:tc>
          <w:tcPr>
            <w:tcW w:w="1834" w:type="dxa"/>
          </w:tcPr>
          <w:p w14:paraId="3AF7CB9A"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4F4AB0C1"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08D2A078" w14:textId="77777777" w:rsidTr="00877C15">
        <w:trPr>
          <w:trHeight w:val="15"/>
        </w:trPr>
        <w:tc>
          <w:tcPr>
            <w:tcW w:w="1197" w:type="dxa"/>
            <w:vMerge/>
          </w:tcPr>
          <w:p w14:paraId="649187E5"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3E173E6C"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w:t>
            </w:r>
          </w:p>
        </w:tc>
        <w:tc>
          <w:tcPr>
            <w:tcW w:w="1834" w:type="dxa"/>
          </w:tcPr>
          <w:p w14:paraId="1CC29419"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6FB834E8"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Only used for Zambia and Madagascar</w:t>
            </w:r>
          </w:p>
        </w:tc>
      </w:tr>
      <w:tr w:rsidR="00BE51B1" w:rsidRPr="00AE3744" w14:paraId="79A708CF" w14:textId="77777777" w:rsidTr="00877C15">
        <w:trPr>
          <w:trHeight w:val="15"/>
        </w:trPr>
        <w:tc>
          <w:tcPr>
            <w:tcW w:w="1197" w:type="dxa"/>
            <w:vMerge/>
          </w:tcPr>
          <w:p w14:paraId="1362DC8F"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52B41FEE"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4.1</w:t>
            </w:r>
          </w:p>
        </w:tc>
        <w:tc>
          <w:tcPr>
            <w:tcW w:w="1834" w:type="dxa"/>
          </w:tcPr>
          <w:p w14:paraId="6339E053"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3E5FBB73" w14:textId="60165050" w:rsidR="00BE51B1" w:rsidRPr="00AE3744" w:rsidRDefault="00BE51B1" w:rsidP="00877C15">
            <w:pPr>
              <w:spacing w:before="20" w:line="257" w:lineRule="auto"/>
              <w:rPr>
                <w:rFonts w:ascii="Arial" w:eastAsia="Calibri" w:hAnsi="Arial" w:cs="Arial"/>
                <w:sz w:val="18"/>
                <w:szCs w:val="18"/>
              </w:rPr>
            </w:pPr>
          </w:p>
        </w:tc>
      </w:tr>
      <w:tr w:rsidR="00BE51B1" w:rsidRPr="00AE3744" w14:paraId="42BA8672" w14:textId="77777777" w:rsidTr="00877C15">
        <w:trPr>
          <w:trHeight w:val="15"/>
        </w:trPr>
        <w:tc>
          <w:tcPr>
            <w:tcW w:w="1197" w:type="dxa"/>
            <w:vMerge/>
          </w:tcPr>
          <w:p w14:paraId="1809EBD5"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4FA8FCF4"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5</w:t>
            </w:r>
          </w:p>
        </w:tc>
        <w:tc>
          <w:tcPr>
            <w:tcW w:w="1834" w:type="dxa"/>
          </w:tcPr>
          <w:p w14:paraId="20FD0DC9"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60</w:t>
            </w:r>
          </w:p>
        </w:tc>
        <w:tc>
          <w:tcPr>
            <w:tcW w:w="4626" w:type="dxa"/>
          </w:tcPr>
          <w:p w14:paraId="27069623" w14:textId="2ED8392A"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 xml:space="preserve">2040 Precursor related product target. This grows to 0.6 to reflect a higher global demand for batteries and is to be used for the 2040 scenario but the share of the total mineral is reduced from the previous stage in real life </w:t>
            </w:r>
            <w:r w:rsidRPr="00AE3744">
              <w:rPr>
                <w:rFonts w:ascii="Arial" w:eastAsia="Calibri" w:hAnsi="Arial" w:cs="Arial"/>
                <w:sz w:val="18"/>
                <w:szCs w:val="18"/>
              </w:rPr>
              <w:fldChar w:fldCharType="begin"/>
            </w:r>
            <w:r w:rsidR="0016542D">
              <w:rPr>
                <w:rFonts w:ascii="Arial" w:eastAsia="Calibri" w:hAnsi="Arial" w:cs="Arial"/>
                <w:sz w:val="18"/>
                <w:szCs w:val="18"/>
              </w:rPr>
              <w:instrText xml:space="preserve"> ADDIN ZOTERO_ITEM CSL_CITATION {"citationID":"Dbm4EwWB","properties":{"formattedCitation":"\\super 102\\nosupersub{}","plainCitation":"102","noteIndex":0},"citationItems":[{"id":40,"uris":["http://zotero.org/users/10918866/items/23Y3A8BA"],"itemData":{"id":40,"type":"report","language":"en","publisher":"International Renewable Energy Agency","publisher-place":"Abu Dhabi","source":"Zotero","title":"Critical materials: Batteries for electric vehicles","URL":"https://www.irena.org/-/media/Files/IRENA/Agency/Publication/2024/Sep/IRENA_Critical_materials_Batteries_for_EVs_2024.pdf","author":[{"family":"IRENA","given":""}],"accessed":{"date-parts":[["2024",8,11]]},"issued":{"date-parts":[["2024"]]}}}],"schema":"https://github.com/citation-style-language/schema/raw/master/csl-citation.json"} </w:instrText>
            </w:r>
            <w:r w:rsidRPr="00AE3744">
              <w:rPr>
                <w:rFonts w:ascii="Arial" w:eastAsia="Calibri" w:hAnsi="Arial" w:cs="Arial"/>
                <w:sz w:val="18"/>
                <w:szCs w:val="18"/>
              </w:rPr>
              <w:fldChar w:fldCharType="separate"/>
            </w:r>
            <w:r w:rsidR="007E07E0" w:rsidRPr="007E07E0">
              <w:rPr>
                <w:rFonts w:ascii="Arial" w:hAnsi="Arial" w:cs="Arial"/>
                <w:kern w:val="0"/>
                <w:sz w:val="18"/>
                <w:vertAlign w:val="superscript"/>
              </w:rPr>
              <w:t>102</w:t>
            </w:r>
            <w:r w:rsidRPr="00AE3744">
              <w:rPr>
                <w:rFonts w:ascii="Arial" w:eastAsia="Calibri" w:hAnsi="Arial" w:cs="Arial"/>
                <w:sz w:val="18"/>
                <w:szCs w:val="18"/>
              </w:rPr>
              <w:fldChar w:fldCharType="end"/>
            </w:r>
            <w:r w:rsidRPr="00AE3744">
              <w:rPr>
                <w:rFonts w:ascii="Arial" w:eastAsia="Calibri" w:hAnsi="Arial" w:cs="Arial"/>
                <w:sz w:val="18"/>
                <w:szCs w:val="18"/>
              </w:rPr>
              <w:t>.</w:t>
            </w:r>
          </w:p>
        </w:tc>
      </w:tr>
      <w:tr w:rsidR="00BE51B1" w:rsidRPr="00AE3744" w14:paraId="3F4E4D74" w14:textId="77777777" w:rsidTr="00877C15">
        <w:trPr>
          <w:trHeight w:val="15"/>
        </w:trPr>
        <w:tc>
          <w:tcPr>
            <w:tcW w:w="1197" w:type="dxa"/>
            <w:vMerge w:val="restart"/>
            <w:vAlign w:val="center"/>
          </w:tcPr>
          <w:p w14:paraId="08C49311"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Nickel</w:t>
            </w:r>
          </w:p>
        </w:tc>
        <w:tc>
          <w:tcPr>
            <w:tcW w:w="1359" w:type="dxa"/>
          </w:tcPr>
          <w:p w14:paraId="784AA9DF"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6363C0C7"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04E77A5F"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4D58D4EA" w14:textId="77777777" w:rsidTr="00877C15">
        <w:trPr>
          <w:trHeight w:val="15"/>
        </w:trPr>
        <w:tc>
          <w:tcPr>
            <w:tcW w:w="1197" w:type="dxa"/>
            <w:vMerge/>
          </w:tcPr>
          <w:p w14:paraId="39FE24CC"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65D66ECA"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2</w:t>
            </w:r>
          </w:p>
        </w:tc>
        <w:tc>
          <w:tcPr>
            <w:tcW w:w="1834" w:type="dxa"/>
          </w:tcPr>
          <w:p w14:paraId="6E651C90"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3805B0B5"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1347B48C" w14:textId="77777777" w:rsidTr="00877C15">
        <w:trPr>
          <w:trHeight w:val="15"/>
        </w:trPr>
        <w:tc>
          <w:tcPr>
            <w:tcW w:w="1197" w:type="dxa"/>
            <w:vMerge/>
          </w:tcPr>
          <w:p w14:paraId="63ECE195"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11970366"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w:t>
            </w:r>
          </w:p>
        </w:tc>
        <w:tc>
          <w:tcPr>
            <w:tcW w:w="1834" w:type="dxa"/>
          </w:tcPr>
          <w:p w14:paraId="696A139A"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257EF9F3" w14:textId="0EA4B73D" w:rsidR="00BE51B1" w:rsidRPr="00AE3744" w:rsidRDefault="00BE51B1" w:rsidP="00877C15">
            <w:pPr>
              <w:spacing w:before="20" w:line="257" w:lineRule="auto"/>
              <w:rPr>
                <w:rFonts w:ascii="Arial" w:eastAsia="Calibri" w:hAnsi="Arial" w:cs="Arial"/>
                <w:sz w:val="18"/>
                <w:szCs w:val="18"/>
              </w:rPr>
            </w:pPr>
          </w:p>
        </w:tc>
      </w:tr>
      <w:tr w:rsidR="00BE51B1" w:rsidRPr="00AE3744" w14:paraId="12BA6CA3" w14:textId="77777777" w:rsidTr="00877C15">
        <w:trPr>
          <w:trHeight w:val="15"/>
        </w:trPr>
        <w:tc>
          <w:tcPr>
            <w:tcW w:w="1197" w:type="dxa"/>
            <w:vMerge/>
          </w:tcPr>
          <w:p w14:paraId="40E62D76"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596AD019"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5</w:t>
            </w:r>
          </w:p>
        </w:tc>
        <w:tc>
          <w:tcPr>
            <w:tcW w:w="1834" w:type="dxa"/>
          </w:tcPr>
          <w:p w14:paraId="71BE2CD1"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25</w:t>
            </w:r>
          </w:p>
        </w:tc>
        <w:tc>
          <w:tcPr>
            <w:tcW w:w="4626" w:type="dxa"/>
          </w:tcPr>
          <w:p w14:paraId="27CA30AF"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2040 Precursor related product target</w:t>
            </w:r>
          </w:p>
        </w:tc>
      </w:tr>
      <w:tr w:rsidR="00BE51B1" w:rsidRPr="00AE3744" w14:paraId="6F260294" w14:textId="77777777" w:rsidTr="00877C15">
        <w:trPr>
          <w:trHeight w:val="15"/>
        </w:trPr>
        <w:tc>
          <w:tcPr>
            <w:tcW w:w="1197" w:type="dxa"/>
            <w:vMerge w:val="restart"/>
            <w:vAlign w:val="center"/>
          </w:tcPr>
          <w:p w14:paraId="14E6727F"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Graphite</w:t>
            </w:r>
          </w:p>
        </w:tc>
        <w:tc>
          <w:tcPr>
            <w:tcW w:w="1359" w:type="dxa"/>
          </w:tcPr>
          <w:p w14:paraId="67C33E56"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483B5F07"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28B97E10"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59236DA6" w14:textId="77777777" w:rsidTr="00877C15">
        <w:trPr>
          <w:trHeight w:val="15"/>
        </w:trPr>
        <w:tc>
          <w:tcPr>
            <w:tcW w:w="1197" w:type="dxa"/>
            <w:vMerge/>
          </w:tcPr>
          <w:p w14:paraId="203DCEA5"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7E2D528D"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w:t>
            </w:r>
          </w:p>
        </w:tc>
        <w:tc>
          <w:tcPr>
            <w:tcW w:w="1834" w:type="dxa"/>
          </w:tcPr>
          <w:p w14:paraId="2BC4D76C"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30</w:t>
            </w:r>
          </w:p>
        </w:tc>
        <w:tc>
          <w:tcPr>
            <w:tcW w:w="4626" w:type="dxa"/>
          </w:tcPr>
          <w:p w14:paraId="398908CD" w14:textId="5313ECE5" w:rsidR="00BE51B1" w:rsidRPr="00AE3744" w:rsidRDefault="00BE51B1" w:rsidP="00877C15">
            <w:pPr>
              <w:spacing w:before="20" w:line="257" w:lineRule="auto"/>
              <w:rPr>
                <w:rFonts w:ascii="Arial" w:eastAsia="Calibri" w:hAnsi="Arial" w:cs="Arial"/>
                <w:sz w:val="18"/>
                <w:szCs w:val="18"/>
              </w:rPr>
            </w:pPr>
          </w:p>
        </w:tc>
      </w:tr>
      <w:tr w:rsidR="00BE51B1" w:rsidRPr="00AE3744" w14:paraId="17E4C5E2" w14:textId="77777777" w:rsidTr="00877C15">
        <w:trPr>
          <w:trHeight w:val="15"/>
        </w:trPr>
        <w:tc>
          <w:tcPr>
            <w:tcW w:w="1197" w:type="dxa"/>
            <w:vMerge/>
          </w:tcPr>
          <w:p w14:paraId="3F325697"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0930BE2B"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4</w:t>
            </w:r>
          </w:p>
        </w:tc>
        <w:tc>
          <w:tcPr>
            <w:tcW w:w="1834" w:type="dxa"/>
          </w:tcPr>
          <w:p w14:paraId="2DFC2CE6"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40</w:t>
            </w:r>
          </w:p>
        </w:tc>
        <w:tc>
          <w:tcPr>
            <w:tcW w:w="4626" w:type="dxa"/>
          </w:tcPr>
          <w:p w14:paraId="3E532CA7" w14:textId="619A567B"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 xml:space="preserve">2040 Precursor related product target </w:t>
            </w:r>
            <w:r w:rsidRPr="00AE3744">
              <w:rPr>
                <w:rFonts w:ascii="Arial" w:eastAsia="Calibri" w:hAnsi="Arial" w:cs="Arial"/>
                <w:sz w:val="18"/>
                <w:szCs w:val="18"/>
              </w:rPr>
              <w:fldChar w:fldCharType="begin"/>
            </w:r>
            <w:r w:rsidR="0016542D">
              <w:rPr>
                <w:rFonts w:ascii="Arial" w:eastAsia="Calibri" w:hAnsi="Arial" w:cs="Arial"/>
                <w:sz w:val="18"/>
                <w:szCs w:val="18"/>
              </w:rPr>
              <w:instrText xml:space="preserve"> ADDIN ZOTERO_ITEM CSL_CITATION {"citationID":"S3wzaUR1","properties":{"formattedCitation":"\\super 102\\nosupersub{}","plainCitation":"102","noteIndex":0},"citationItems":[{"id":40,"uris":["http://zotero.org/users/10918866/items/23Y3A8BA"],"itemData":{"id":40,"type":"report","language":"en","publisher":"International Renewable Energy Agency","publisher-place":"Abu Dhabi","source":"Zotero","title":"Critical materials: Batteries for electric vehicles","URL":"https://www.irena.org/-/media/Files/IRENA/Agency/Publication/2024/Sep/IRENA_Critical_materials_Batteries_for_EVs_2024.pdf","author":[{"family":"IRENA","given":""}],"accessed":{"date-parts":[["2024",8,11]]},"issued":{"date-parts":[["2024"]]}}}],"schema":"https://github.com/citation-style-language/schema/raw/master/csl-citation.json"} </w:instrText>
            </w:r>
            <w:r w:rsidRPr="00AE3744">
              <w:rPr>
                <w:rFonts w:ascii="Arial" w:eastAsia="Calibri" w:hAnsi="Arial" w:cs="Arial"/>
                <w:sz w:val="18"/>
                <w:szCs w:val="18"/>
              </w:rPr>
              <w:fldChar w:fldCharType="separate"/>
            </w:r>
            <w:r w:rsidR="007E07E0" w:rsidRPr="007E07E0">
              <w:rPr>
                <w:rFonts w:ascii="Arial" w:hAnsi="Arial" w:cs="Arial"/>
                <w:kern w:val="0"/>
                <w:sz w:val="18"/>
                <w:vertAlign w:val="superscript"/>
              </w:rPr>
              <w:t>102</w:t>
            </w:r>
            <w:r w:rsidRPr="00AE3744">
              <w:rPr>
                <w:rFonts w:ascii="Arial" w:eastAsia="Calibri" w:hAnsi="Arial" w:cs="Arial"/>
                <w:sz w:val="18"/>
                <w:szCs w:val="18"/>
              </w:rPr>
              <w:fldChar w:fldCharType="end"/>
            </w:r>
            <w:r w:rsidRPr="00AE3744">
              <w:rPr>
                <w:rFonts w:ascii="Arial" w:eastAsia="Calibri" w:hAnsi="Arial" w:cs="Arial"/>
                <w:sz w:val="18"/>
                <w:szCs w:val="18"/>
              </w:rPr>
              <w:t>.</w:t>
            </w:r>
          </w:p>
        </w:tc>
      </w:tr>
      <w:tr w:rsidR="00BE51B1" w:rsidRPr="00AE3744" w14:paraId="07E4A39D" w14:textId="77777777" w:rsidTr="00877C15">
        <w:trPr>
          <w:trHeight w:val="15"/>
        </w:trPr>
        <w:tc>
          <w:tcPr>
            <w:tcW w:w="1197" w:type="dxa"/>
            <w:vMerge w:val="restart"/>
            <w:vAlign w:val="center"/>
          </w:tcPr>
          <w:p w14:paraId="3E881FF5"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Manganese</w:t>
            </w:r>
          </w:p>
        </w:tc>
        <w:tc>
          <w:tcPr>
            <w:tcW w:w="1359" w:type="dxa"/>
          </w:tcPr>
          <w:p w14:paraId="073EBDF8"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0D0A7CE8"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66669164"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0371022D" w14:textId="77777777" w:rsidTr="00877C15">
        <w:trPr>
          <w:trHeight w:val="15"/>
        </w:trPr>
        <w:tc>
          <w:tcPr>
            <w:tcW w:w="1197" w:type="dxa"/>
            <w:vMerge/>
          </w:tcPr>
          <w:p w14:paraId="6965824B"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7644634A"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3.1</w:t>
            </w:r>
          </w:p>
        </w:tc>
        <w:tc>
          <w:tcPr>
            <w:tcW w:w="1834" w:type="dxa"/>
          </w:tcPr>
          <w:p w14:paraId="38A20B3D"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w:t>
            </w:r>
          </w:p>
        </w:tc>
        <w:tc>
          <w:tcPr>
            <w:tcW w:w="4626" w:type="dxa"/>
          </w:tcPr>
          <w:p w14:paraId="3B95F8A7" w14:textId="3E73F33F" w:rsidR="00BE51B1" w:rsidRPr="00AE3744" w:rsidRDefault="00BE51B1" w:rsidP="00877C15">
            <w:pPr>
              <w:spacing w:before="20" w:line="257" w:lineRule="auto"/>
              <w:rPr>
                <w:rFonts w:ascii="Arial" w:eastAsia="Calibri" w:hAnsi="Arial" w:cs="Arial"/>
                <w:sz w:val="18"/>
                <w:szCs w:val="18"/>
              </w:rPr>
            </w:pPr>
          </w:p>
        </w:tc>
      </w:tr>
      <w:tr w:rsidR="00BE51B1" w:rsidRPr="00AE3744" w14:paraId="69581428" w14:textId="77777777" w:rsidTr="00877C15">
        <w:trPr>
          <w:trHeight w:val="15"/>
        </w:trPr>
        <w:tc>
          <w:tcPr>
            <w:tcW w:w="1197" w:type="dxa"/>
            <w:vMerge/>
          </w:tcPr>
          <w:p w14:paraId="216D3438"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757900D6"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4.1</w:t>
            </w:r>
          </w:p>
        </w:tc>
        <w:tc>
          <w:tcPr>
            <w:tcW w:w="1834" w:type="dxa"/>
          </w:tcPr>
          <w:p w14:paraId="3E22104C"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w:t>
            </w:r>
          </w:p>
        </w:tc>
        <w:tc>
          <w:tcPr>
            <w:tcW w:w="4626" w:type="dxa"/>
          </w:tcPr>
          <w:p w14:paraId="3BD80582" w14:textId="7F9593C2"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 xml:space="preserve">2040 Precursor related product target </w:t>
            </w:r>
            <w:r w:rsidRPr="00AE3744">
              <w:rPr>
                <w:rFonts w:ascii="Arial" w:eastAsia="Calibri" w:hAnsi="Arial" w:cs="Arial"/>
                <w:sz w:val="18"/>
                <w:szCs w:val="18"/>
              </w:rPr>
              <w:fldChar w:fldCharType="begin"/>
            </w:r>
            <w:r w:rsidR="0016542D">
              <w:rPr>
                <w:rFonts w:ascii="Arial" w:eastAsia="Calibri" w:hAnsi="Arial" w:cs="Arial"/>
                <w:sz w:val="18"/>
                <w:szCs w:val="18"/>
              </w:rPr>
              <w:instrText xml:space="preserve"> ADDIN ZOTERO_ITEM CSL_CITATION {"citationID":"TXVoYlhL","properties":{"formattedCitation":"\\super 102\\nosupersub{}","plainCitation":"102","noteIndex":0},"citationItems":[{"id":40,"uris":["http://zotero.org/users/10918866/items/23Y3A8BA"],"itemData":{"id":40,"type":"report","language":"en","publisher":"International Renewable Energy Agency","publisher-place":"Abu Dhabi","source":"Zotero","title":"Critical materials: Batteries for electric vehicles","URL":"https://www.irena.org/-/media/Files/IRENA/Agency/Publication/2024/Sep/IRENA_Critical_materials_Batteries_for_EVs_2024.pdf","author":[{"family":"IRENA","given":""}],"accessed":{"date-parts":[["2024",8,11]]},"issued":{"date-parts":[["2024"]]}}}],"schema":"https://github.com/citation-style-language/schema/raw/master/csl-citation.json"} </w:instrText>
            </w:r>
            <w:r w:rsidRPr="00AE3744">
              <w:rPr>
                <w:rFonts w:ascii="Arial" w:eastAsia="Calibri" w:hAnsi="Arial" w:cs="Arial"/>
                <w:sz w:val="18"/>
                <w:szCs w:val="18"/>
              </w:rPr>
              <w:fldChar w:fldCharType="separate"/>
            </w:r>
            <w:r w:rsidR="007E07E0" w:rsidRPr="007E07E0">
              <w:rPr>
                <w:rFonts w:ascii="Arial" w:hAnsi="Arial" w:cs="Arial"/>
                <w:kern w:val="0"/>
                <w:sz w:val="18"/>
                <w:vertAlign w:val="superscript"/>
              </w:rPr>
              <w:t>102</w:t>
            </w:r>
            <w:r w:rsidRPr="00AE3744">
              <w:rPr>
                <w:rFonts w:ascii="Arial" w:eastAsia="Calibri" w:hAnsi="Arial" w:cs="Arial"/>
                <w:sz w:val="18"/>
                <w:szCs w:val="18"/>
              </w:rPr>
              <w:fldChar w:fldCharType="end"/>
            </w:r>
            <w:r w:rsidRPr="00AE3744">
              <w:rPr>
                <w:rFonts w:ascii="Arial" w:eastAsia="Calibri" w:hAnsi="Arial" w:cs="Arial"/>
                <w:sz w:val="18"/>
                <w:szCs w:val="18"/>
              </w:rPr>
              <w:t>.</w:t>
            </w:r>
          </w:p>
        </w:tc>
      </w:tr>
      <w:tr w:rsidR="00BE51B1" w:rsidRPr="00AE3744" w14:paraId="158E0BE3" w14:textId="77777777" w:rsidTr="00877C15">
        <w:trPr>
          <w:trHeight w:val="15"/>
        </w:trPr>
        <w:tc>
          <w:tcPr>
            <w:tcW w:w="1197" w:type="dxa"/>
            <w:vMerge w:val="restart"/>
            <w:vAlign w:val="center"/>
          </w:tcPr>
          <w:p w14:paraId="730A2AC1" w14:textId="77777777" w:rsidR="00BE51B1" w:rsidRPr="00AE3744" w:rsidRDefault="00BE51B1" w:rsidP="00877C15">
            <w:pPr>
              <w:spacing w:before="20" w:line="257" w:lineRule="auto"/>
              <w:jc w:val="center"/>
              <w:rPr>
                <w:rFonts w:ascii="Arial" w:eastAsia="Calibri" w:hAnsi="Arial" w:cs="Arial"/>
                <w:b/>
                <w:bCs/>
                <w:color w:val="156082" w:themeColor="accent1"/>
                <w:sz w:val="18"/>
                <w:szCs w:val="18"/>
              </w:rPr>
            </w:pPr>
            <w:r w:rsidRPr="00AE3744">
              <w:rPr>
                <w:rFonts w:ascii="Arial" w:eastAsia="Calibri" w:hAnsi="Arial" w:cs="Arial"/>
                <w:b/>
                <w:bCs/>
                <w:color w:val="156082" w:themeColor="accent1"/>
                <w:sz w:val="18"/>
                <w:szCs w:val="18"/>
              </w:rPr>
              <w:t>Lithium</w:t>
            </w:r>
          </w:p>
        </w:tc>
        <w:tc>
          <w:tcPr>
            <w:tcW w:w="1359" w:type="dxa"/>
          </w:tcPr>
          <w:p w14:paraId="6817215A"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1</w:t>
            </w:r>
          </w:p>
        </w:tc>
        <w:tc>
          <w:tcPr>
            <w:tcW w:w="1834" w:type="dxa"/>
          </w:tcPr>
          <w:p w14:paraId="5A67619F"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4B18E821" w14:textId="77777777" w:rsidR="00BE51B1" w:rsidRPr="00AE3744" w:rsidRDefault="00BE51B1" w:rsidP="00877C15">
            <w:pPr>
              <w:spacing w:before="20" w:line="257" w:lineRule="auto"/>
              <w:rPr>
                <w:rFonts w:ascii="Arial" w:eastAsia="Calibri" w:hAnsi="Arial" w:cs="Arial"/>
                <w:sz w:val="18"/>
                <w:szCs w:val="18"/>
              </w:rPr>
            </w:pPr>
          </w:p>
        </w:tc>
      </w:tr>
      <w:tr w:rsidR="00BE51B1" w:rsidRPr="00AE3744" w14:paraId="7C3A0BED" w14:textId="77777777" w:rsidTr="00877C15">
        <w:trPr>
          <w:trHeight w:val="15"/>
        </w:trPr>
        <w:tc>
          <w:tcPr>
            <w:tcW w:w="1197" w:type="dxa"/>
            <w:vMerge/>
          </w:tcPr>
          <w:p w14:paraId="056ACB66"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6D09C9EA"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3</w:t>
            </w:r>
          </w:p>
        </w:tc>
        <w:tc>
          <w:tcPr>
            <w:tcW w:w="1834" w:type="dxa"/>
          </w:tcPr>
          <w:p w14:paraId="2B940940"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69339DCF" w14:textId="01477A81" w:rsidR="00BE51B1" w:rsidRPr="00AE3744" w:rsidRDefault="00BE51B1" w:rsidP="00877C15">
            <w:pPr>
              <w:spacing w:before="20" w:line="257" w:lineRule="auto"/>
              <w:rPr>
                <w:rFonts w:ascii="Arial" w:eastAsia="Calibri" w:hAnsi="Arial" w:cs="Arial"/>
                <w:sz w:val="18"/>
                <w:szCs w:val="18"/>
              </w:rPr>
            </w:pPr>
          </w:p>
        </w:tc>
      </w:tr>
      <w:tr w:rsidR="00BE51B1" w:rsidRPr="00AE3744" w14:paraId="20CE9EA7" w14:textId="77777777" w:rsidTr="00877C15">
        <w:trPr>
          <w:trHeight w:val="15"/>
        </w:trPr>
        <w:tc>
          <w:tcPr>
            <w:tcW w:w="1197" w:type="dxa"/>
            <w:vMerge/>
          </w:tcPr>
          <w:p w14:paraId="59E87B5B" w14:textId="77777777" w:rsidR="00BE51B1" w:rsidRPr="00AE3744" w:rsidRDefault="00BE51B1" w:rsidP="00877C15">
            <w:pPr>
              <w:spacing w:before="20" w:line="257" w:lineRule="auto"/>
              <w:rPr>
                <w:rFonts w:ascii="Arial" w:eastAsia="Calibri" w:hAnsi="Arial" w:cs="Arial"/>
                <w:b/>
                <w:bCs/>
                <w:color w:val="156082" w:themeColor="accent1"/>
                <w:sz w:val="18"/>
                <w:szCs w:val="18"/>
              </w:rPr>
            </w:pPr>
          </w:p>
        </w:tc>
        <w:tc>
          <w:tcPr>
            <w:tcW w:w="1359" w:type="dxa"/>
          </w:tcPr>
          <w:p w14:paraId="46D1406E" w14:textId="77777777"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4.2</w:t>
            </w:r>
          </w:p>
        </w:tc>
        <w:tc>
          <w:tcPr>
            <w:tcW w:w="1834" w:type="dxa"/>
          </w:tcPr>
          <w:p w14:paraId="64A184CA" w14:textId="77777777" w:rsidR="00BE51B1" w:rsidRPr="00AE3744" w:rsidRDefault="00BE51B1" w:rsidP="00877C15">
            <w:pPr>
              <w:spacing w:before="20" w:line="257" w:lineRule="auto"/>
              <w:rPr>
                <w:rFonts w:ascii="Arial" w:hAnsi="Arial" w:cs="Arial"/>
                <w:sz w:val="18"/>
                <w:szCs w:val="18"/>
              </w:rPr>
            </w:pPr>
            <w:r w:rsidRPr="00AE3744">
              <w:rPr>
                <w:rFonts w:ascii="Arial" w:hAnsi="Arial" w:cs="Arial"/>
                <w:sz w:val="18"/>
                <w:szCs w:val="18"/>
              </w:rPr>
              <w:t>100</w:t>
            </w:r>
          </w:p>
        </w:tc>
        <w:tc>
          <w:tcPr>
            <w:tcW w:w="4626" w:type="dxa"/>
          </w:tcPr>
          <w:p w14:paraId="23702881" w14:textId="7984A0CC" w:rsidR="00BE51B1" w:rsidRPr="00AE3744" w:rsidRDefault="00BE51B1" w:rsidP="00877C15">
            <w:pPr>
              <w:spacing w:before="20" w:line="257" w:lineRule="auto"/>
              <w:rPr>
                <w:rFonts w:ascii="Arial" w:eastAsia="Calibri" w:hAnsi="Arial" w:cs="Arial"/>
                <w:sz w:val="18"/>
                <w:szCs w:val="18"/>
              </w:rPr>
            </w:pPr>
            <w:r w:rsidRPr="00AE3744">
              <w:rPr>
                <w:rFonts w:ascii="Arial" w:eastAsia="Calibri" w:hAnsi="Arial" w:cs="Arial"/>
                <w:sz w:val="18"/>
                <w:szCs w:val="18"/>
              </w:rPr>
              <w:t xml:space="preserve">2040 Precursor related product target. Lithium is the mineral which has the highest uses in batteries, thus all production is used </w:t>
            </w:r>
            <w:r w:rsidRPr="00AE3744">
              <w:rPr>
                <w:rFonts w:ascii="Arial" w:eastAsia="Calibri" w:hAnsi="Arial" w:cs="Arial"/>
                <w:sz w:val="18"/>
                <w:szCs w:val="18"/>
              </w:rPr>
              <w:fldChar w:fldCharType="begin"/>
            </w:r>
            <w:r w:rsidR="0016542D">
              <w:rPr>
                <w:rFonts w:ascii="Arial" w:eastAsia="Calibri" w:hAnsi="Arial" w:cs="Arial"/>
                <w:sz w:val="18"/>
                <w:szCs w:val="18"/>
              </w:rPr>
              <w:instrText xml:space="preserve"> ADDIN ZOTERO_ITEM CSL_CITATION {"citationID":"CMPxFGc2","properties":{"formattedCitation":"\\super 102\\nosupersub{}","plainCitation":"102","noteIndex":0},"citationItems":[{"id":40,"uris":["http://zotero.org/users/10918866/items/23Y3A8BA"],"itemData":{"id":40,"type":"report","language":"en","publisher":"International Renewable Energy Agency","publisher-place":"Abu Dhabi","source":"Zotero","title":"Critical materials: Batteries for electric vehicles","URL":"https://www.irena.org/-/media/Files/IRENA/Agency/Publication/2024/Sep/IRENA_Critical_materials_Batteries_for_EVs_2024.pdf","author":[{"family":"IRENA","given":""}],"accessed":{"date-parts":[["2024",8,11]]},"issued":{"date-parts":[["2024"]]}}}],"schema":"https://github.com/citation-style-language/schema/raw/master/csl-citation.json"} </w:instrText>
            </w:r>
            <w:r w:rsidRPr="00AE3744">
              <w:rPr>
                <w:rFonts w:ascii="Arial" w:eastAsia="Calibri" w:hAnsi="Arial" w:cs="Arial"/>
                <w:sz w:val="18"/>
                <w:szCs w:val="18"/>
              </w:rPr>
              <w:fldChar w:fldCharType="separate"/>
            </w:r>
            <w:r w:rsidR="007E07E0" w:rsidRPr="007E07E0">
              <w:rPr>
                <w:rFonts w:ascii="Arial" w:hAnsi="Arial" w:cs="Arial"/>
                <w:kern w:val="0"/>
                <w:sz w:val="18"/>
                <w:vertAlign w:val="superscript"/>
              </w:rPr>
              <w:t>102</w:t>
            </w:r>
            <w:r w:rsidRPr="00AE3744">
              <w:rPr>
                <w:rFonts w:ascii="Arial" w:eastAsia="Calibri" w:hAnsi="Arial" w:cs="Arial"/>
                <w:sz w:val="18"/>
                <w:szCs w:val="18"/>
              </w:rPr>
              <w:fldChar w:fldCharType="end"/>
            </w:r>
            <w:r w:rsidRPr="00AE3744">
              <w:rPr>
                <w:rFonts w:ascii="Arial" w:eastAsia="Calibri" w:hAnsi="Arial" w:cs="Arial"/>
                <w:sz w:val="18"/>
                <w:szCs w:val="18"/>
              </w:rPr>
              <w:t>.</w:t>
            </w:r>
          </w:p>
        </w:tc>
      </w:tr>
    </w:tbl>
    <w:p w14:paraId="31A93294" w14:textId="77777777" w:rsidR="00BE51B1" w:rsidRPr="00766470" w:rsidRDefault="00BE51B1" w:rsidP="00BE51B1">
      <w:pPr>
        <w:spacing w:after="0" w:line="257" w:lineRule="auto"/>
        <w:ind w:left="360"/>
        <w:jc w:val="both"/>
        <w:rPr>
          <w:rFonts w:ascii="Arial" w:hAnsi="Arial" w:cs="Arial"/>
        </w:rPr>
      </w:pPr>
      <w:r w:rsidRPr="00766470">
        <w:rPr>
          <w:rFonts w:ascii="Arial" w:eastAsia="Calibri" w:hAnsi="Arial" w:cs="Arial"/>
        </w:rPr>
        <w:t xml:space="preserve"> </w:t>
      </w:r>
    </w:p>
    <w:p w14:paraId="43061D4D" w14:textId="77777777"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 xml:space="preserve">For the scenario where all mineral processing is constrained to take place within the borders of the country where it is mined, total country-level mineral-specific metal (or </w:t>
      </w:r>
      <w:r>
        <w:rPr>
          <w:rFonts w:ascii="Arial" w:eastAsia="Calibri" w:hAnsi="Arial" w:cs="Arial"/>
        </w:rPr>
        <w:t>mineral for graphite</w:t>
      </w:r>
      <w:r w:rsidRPr="00766470">
        <w:rPr>
          <w:rFonts w:ascii="Arial" w:eastAsia="Calibri" w:hAnsi="Arial" w:cs="Arial"/>
        </w:rPr>
        <w:t>)</w:t>
      </w:r>
      <w:r>
        <w:rPr>
          <w:rFonts w:ascii="Arial" w:eastAsia="Calibri" w:hAnsi="Arial" w:cs="Arial"/>
        </w:rPr>
        <w:t xml:space="preserve"> </w:t>
      </w:r>
      <w:r w:rsidRPr="00766470">
        <w:rPr>
          <w:rFonts w:ascii="Arial" w:eastAsia="Calibri" w:hAnsi="Arial" w:cs="Arial"/>
        </w:rPr>
        <w:t xml:space="preserve">content volumes were compared with the threshold values set for the minimum observable scale. This was then used to estimate the new total volumes of imports and exports entering and leaving each country. </w:t>
      </w:r>
    </w:p>
    <w:p w14:paraId="5C9EDC07"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If a country produced metal content above the threshold, then it would consider converting its metal content into higher stages of processed products. Otherwise, its least stage of export would be the Stage 1 (ores and concentrates) product. </w:t>
      </w:r>
    </w:p>
    <w:p w14:paraId="556BD634"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The global trade for all countries moving towards higher stage production would then start with the least stage of processed product for the future year and all historical exports of products corresponding to stages below that would vanish to zero. </w:t>
      </w:r>
    </w:p>
    <w:p w14:paraId="250564AE"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If the historic trade data (step 2, above) showed that a country was exporting certain volumes of products at stages above the least stage of processed product then these volumes would remain the same in the future years, if there were sufficient metal or lithium carbonate) content production. This meant that the priority for countries would be to change their productions and exports of the chosen least stage of processed products, while trying to maintain the historic level of exports of further higher stages of refined products. </w:t>
      </w:r>
    </w:p>
    <w:p w14:paraId="5AF42E3E"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If a country was historically importing products corresponding to the future least stage of processed products, then its first priority would be to replace this with its domestic production. Also, import volumes of lower stage products (stages below the least stage of future production) that would historically go into the production of higher stage export volumes were also assumed to be displaced by domestic production if the future metal content was sufficient. If the future metal production was not sufficient then the lower stage imports were continued but were not allowed to exceed their historic levels. This would simply mean that countries would not try to increase imports if their metal (or </w:t>
      </w:r>
      <w:r>
        <w:rPr>
          <w:rFonts w:ascii="Arial" w:eastAsia="Calibri" w:hAnsi="Arial" w:cs="Arial"/>
        </w:rPr>
        <w:t>mineral for graphite</w:t>
      </w:r>
      <w:r w:rsidRPr="00766470">
        <w:rPr>
          <w:rFonts w:ascii="Arial" w:eastAsia="Calibri" w:hAnsi="Arial" w:cs="Arial"/>
        </w:rPr>
        <w:t xml:space="preserve">) content production fell in future.   </w:t>
      </w:r>
    </w:p>
    <w:p w14:paraId="649EE1DA"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All import volumes of future products corresponding to stages higher than the future least stage of processed product were assumed to remain unchanged. </w:t>
      </w:r>
    </w:p>
    <w:p w14:paraId="31108EC2" w14:textId="77777777" w:rsidR="00B71F00" w:rsidRDefault="00BE51B1" w:rsidP="00B71F00">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lastRenderedPageBreak/>
        <w:t xml:space="preserve">The new volumes of the least stage of processed product in the future were estimated from the metal content that was left after estimating the new volumes of higher stage exports and the volumes of domestic production that would displace historic imports of least stage of processed product.  </w:t>
      </w:r>
    </w:p>
    <w:p w14:paraId="6DA905F5" w14:textId="66027F1B" w:rsidR="00BE51B1" w:rsidRPr="00B71F00" w:rsidRDefault="00BE51B1" w:rsidP="00B71F00">
      <w:pPr>
        <w:pStyle w:val="ListParagraph"/>
        <w:numPr>
          <w:ilvl w:val="1"/>
          <w:numId w:val="11"/>
        </w:numPr>
        <w:spacing w:after="0" w:line="257" w:lineRule="auto"/>
        <w:ind w:left="1080"/>
        <w:jc w:val="both"/>
        <w:rPr>
          <w:rFonts w:ascii="Arial" w:eastAsia="Calibri" w:hAnsi="Arial" w:cs="Arial"/>
        </w:rPr>
      </w:pPr>
      <w:r w:rsidRPr="00B71F00">
        <w:rPr>
          <w:rFonts w:ascii="Arial" w:eastAsia="Calibri" w:hAnsi="Arial" w:cs="Arial"/>
        </w:rPr>
        <w:t>Using the material conversion factors (see</w:t>
      </w:r>
      <w:r w:rsidR="00B71F00" w:rsidRPr="00B71F00">
        <w:rPr>
          <w:rFonts w:ascii="Arial" w:eastAsia="Calibri" w:hAnsi="Arial" w:cs="Arial"/>
        </w:rPr>
        <w:t xml:space="preserve"> </w:t>
      </w:r>
      <w:r w:rsidR="00B71F00" w:rsidRPr="00B71F00">
        <w:rPr>
          <w:rFonts w:ascii="Arial" w:eastAsia="Calibri" w:hAnsi="Arial" w:cs="Arial"/>
        </w:rPr>
        <w:fldChar w:fldCharType="begin"/>
      </w:r>
      <w:r w:rsidR="00B71F00" w:rsidRPr="00B71F00">
        <w:rPr>
          <w:rFonts w:ascii="Arial" w:eastAsia="Calibri" w:hAnsi="Arial" w:cs="Arial"/>
        </w:rPr>
        <w:instrText xml:space="preserve"> REF _Ref214445070 \h </w:instrText>
      </w:r>
      <w:r w:rsidR="00B71F00">
        <w:rPr>
          <w:rFonts w:ascii="Arial" w:eastAsia="Calibri" w:hAnsi="Arial" w:cs="Arial"/>
        </w:rPr>
        <w:instrText xml:space="preserve"> \* MERGEFORMAT </w:instrText>
      </w:r>
      <w:r w:rsidR="00B71F00" w:rsidRPr="00B71F00">
        <w:rPr>
          <w:rFonts w:ascii="Arial" w:eastAsia="Calibri" w:hAnsi="Arial" w:cs="Arial"/>
        </w:rPr>
      </w:r>
      <w:r w:rsidR="00B71F00" w:rsidRPr="00B71F00">
        <w:rPr>
          <w:rFonts w:ascii="Arial" w:eastAsia="Calibri" w:hAnsi="Arial" w:cs="Arial"/>
        </w:rPr>
        <w:fldChar w:fldCharType="separate"/>
      </w:r>
      <w:r w:rsidR="00B71F00" w:rsidRPr="00B71F00">
        <w:rPr>
          <w:rFonts w:ascii="Arial" w:eastAsia="Calibri" w:hAnsi="Arial" w:cs="Arial"/>
        </w:rPr>
        <w:t>Figure 17</w:t>
      </w:r>
      <w:r w:rsidR="00B71F00" w:rsidRPr="00B71F00">
        <w:rPr>
          <w:rFonts w:ascii="Arial" w:eastAsia="Calibri" w:hAnsi="Arial" w:cs="Arial"/>
        </w:rPr>
        <w:fldChar w:fldCharType="end"/>
      </w:r>
      <w:r w:rsidR="009F3AF4" w:rsidRPr="00B71F00">
        <w:rPr>
          <w:rFonts w:ascii="Arial" w:eastAsia="Calibri" w:hAnsi="Arial" w:cs="Arial"/>
        </w:rPr>
        <w:fldChar w:fldCharType="begin"/>
      </w:r>
      <w:r w:rsidR="009F3AF4" w:rsidRPr="00B71F00">
        <w:rPr>
          <w:rFonts w:ascii="Arial" w:eastAsia="Calibri" w:hAnsi="Arial" w:cs="Arial"/>
        </w:rPr>
        <w:instrText xml:space="preserve"> REF _Ref214455330 \h  \* MERGEFORMAT </w:instrText>
      </w:r>
      <w:r w:rsidR="009F3AF4" w:rsidRPr="00B71F00">
        <w:rPr>
          <w:rFonts w:ascii="Arial" w:eastAsia="Calibri" w:hAnsi="Arial" w:cs="Arial"/>
        </w:rPr>
      </w:r>
      <w:r w:rsidR="009F3AF4" w:rsidRPr="00B71F00">
        <w:rPr>
          <w:rFonts w:ascii="Arial" w:eastAsia="Calibri" w:hAnsi="Arial" w:cs="Arial"/>
        </w:rPr>
        <w:fldChar w:fldCharType="separate"/>
      </w:r>
      <w:r w:rsidR="009F3AF4" w:rsidRPr="00B71F00">
        <w:rPr>
          <w:rFonts w:ascii="Arial" w:eastAsia="Calibri" w:hAnsi="Arial" w:cs="Arial"/>
        </w:rPr>
        <w:fldChar w:fldCharType="end"/>
      </w:r>
      <w:r w:rsidRPr="00B71F00">
        <w:rPr>
          <w:rFonts w:ascii="Arial" w:eastAsia="Calibri" w:hAnsi="Arial" w:cs="Arial"/>
        </w:rPr>
        <w:t>), each country’s metal content volumes were converted to all the new identified stages of products (from the list shown in</w:t>
      </w:r>
      <w:r w:rsidR="009F3AF4" w:rsidRPr="00B71F00">
        <w:rPr>
          <w:rFonts w:ascii="Arial" w:eastAsia="Calibri" w:hAnsi="Arial" w:cs="Arial"/>
        </w:rPr>
        <w:t xml:space="preserve"> </w:t>
      </w:r>
      <w:r w:rsidR="009F3AF4" w:rsidRPr="00B71F00">
        <w:rPr>
          <w:rFonts w:ascii="Arial" w:eastAsia="Calibri" w:hAnsi="Arial" w:cs="Arial"/>
        </w:rPr>
        <w:fldChar w:fldCharType="begin"/>
      </w:r>
      <w:r w:rsidR="009F3AF4" w:rsidRPr="00B71F00">
        <w:rPr>
          <w:rFonts w:ascii="Arial" w:eastAsia="Calibri" w:hAnsi="Arial" w:cs="Arial"/>
        </w:rPr>
        <w:instrText xml:space="preserve"> REF _Ref214453207 \h </w:instrText>
      </w:r>
      <w:r w:rsidR="00B71F00">
        <w:rPr>
          <w:rFonts w:ascii="Arial" w:eastAsia="Calibri" w:hAnsi="Arial" w:cs="Arial"/>
        </w:rPr>
        <w:instrText xml:space="preserve"> \* MERGEFORMAT </w:instrText>
      </w:r>
      <w:r w:rsidR="009F3AF4" w:rsidRPr="00B71F00">
        <w:rPr>
          <w:rFonts w:ascii="Arial" w:eastAsia="Calibri" w:hAnsi="Arial" w:cs="Arial"/>
        </w:rPr>
      </w:r>
      <w:r w:rsidR="009F3AF4" w:rsidRPr="00B71F00">
        <w:rPr>
          <w:rFonts w:ascii="Arial" w:eastAsia="Calibri" w:hAnsi="Arial" w:cs="Arial"/>
        </w:rPr>
        <w:fldChar w:fldCharType="separate"/>
      </w:r>
      <w:r w:rsidR="009F3AF4" w:rsidRPr="00B71F00">
        <w:rPr>
          <w:rFonts w:ascii="Arial" w:eastAsia="Calibri" w:hAnsi="Arial" w:cs="Arial"/>
        </w:rPr>
        <w:t>Table 14</w:t>
      </w:r>
      <w:r w:rsidR="009F3AF4" w:rsidRPr="00B71F00">
        <w:rPr>
          <w:rFonts w:ascii="Arial" w:eastAsia="Calibri" w:hAnsi="Arial" w:cs="Arial"/>
        </w:rPr>
        <w:fldChar w:fldCharType="end"/>
      </w:r>
      <w:r w:rsidRPr="00B71F00">
        <w:rPr>
          <w:rFonts w:ascii="Arial" w:eastAsia="Calibri" w:hAnsi="Arial" w:cs="Arial"/>
        </w:rPr>
        <w:t xml:space="preserve">) and the corresponding volumes for total exports, imports, and domestic usage, by following the rules outlined in steps 5a–f above.                   </w:t>
      </w:r>
    </w:p>
    <w:p w14:paraId="08567BB2" w14:textId="77777777"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For the scenario where minerals are allowed to cross-borders to seek more cost-effective opportunities for minerals processing at minimum observable scale, the initial assumption was that each country would export any volume of minerals at or above the minimum observable scale for next stage processing to allow regional accumulation of metal content. This meant that the default assumption was that each country’s exports would start from the least stage of processed product for the future year. The remaining export, import, and domestic trade volumes for the future will be estimated by following steps 5b–g above.</w:t>
      </w:r>
    </w:p>
    <w:p w14:paraId="78D42085" w14:textId="77777777" w:rsidR="00BE51B1" w:rsidRPr="00766470" w:rsidRDefault="00BE51B1" w:rsidP="00BE51B1">
      <w:pPr>
        <w:pStyle w:val="ListParagraph"/>
        <w:numPr>
          <w:ilvl w:val="0"/>
          <w:numId w:val="11"/>
        </w:numPr>
        <w:spacing w:after="0" w:line="257" w:lineRule="auto"/>
        <w:ind w:left="360"/>
        <w:jc w:val="both"/>
        <w:rPr>
          <w:rFonts w:ascii="Arial" w:eastAsia="Calibri" w:hAnsi="Arial" w:cs="Arial"/>
        </w:rPr>
      </w:pPr>
      <w:r w:rsidRPr="00766470">
        <w:rPr>
          <w:rFonts w:ascii="Arial" w:eastAsia="Calibri" w:hAnsi="Arial" w:cs="Arial"/>
        </w:rPr>
        <w:t>The next step was to disaggregate the total volumes of each country’s exports and imports into country-to-country trade. This was done in the following steps:</w:t>
      </w:r>
    </w:p>
    <w:p w14:paraId="7CF08BBE"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The exports and imports of the 14 African countries of interest were fixed, while it was assumed that the rest of the world would have flexible demand to be able to accommodate increased exports coming from these 14 countries and adjust their own supply if the 14 African countries were not importing product from them in the future.</w:t>
      </w:r>
    </w:p>
    <w:p w14:paraId="332DFAED"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Using the same trading partners as in the baseline (2022) BACI trade data, all exports of products no longer produced in the future, by the 14 countries of interest, were set to zero.  </w:t>
      </w:r>
    </w:p>
    <w:p w14:paraId="0600162A"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Using the same trading partners as in the baseline (2022) BACI trade data, first the import volumes for each product coming into each of the 14 countries of interest from historic partner countries were proportionally changed to match the future total imports of these products into each country.</w:t>
      </w:r>
    </w:p>
    <w:p w14:paraId="4C5F0859"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Next the exports out of the 14 countries were adjusted. If a country exported a product in the baseline (2022) BACI trade data, then it was assumed that it would continue to export to the same countries and the trade would change proportionally to match the future total exports of these products out of each country.    </w:t>
      </w:r>
    </w:p>
    <w:p w14:paraId="74D015EC" w14:textId="77777777" w:rsidR="00BE51B1" w:rsidRPr="00766470" w:rsidRDefault="00BE51B1" w:rsidP="00BE51B1">
      <w:pPr>
        <w:pStyle w:val="ListParagraph"/>
        <w:numPr>
          <w:ilvl w:val="1"/>
          <w:numId w:val="11"/>
        </w:numPr>
        <w:spacing w:after="0" w:line="257" w:lineRule="auto"/>
        <w:ind w:left="1080"/>
        <w:jc w:val="both"/>
        <w:rPr>
          <w:rFonts w:ascii="Arial" w:eastAsia="Calibri" w:hAnsi="Arial" w:cs="Arial"/>
        </w:rPr>
      </w:pPr>
      <w:r w:rsidRPr="00766470">
        <w:rPr>
          <w:rFonts w:ascii="Arial" w:eastAsia="Calibri" w:hAnsi="Arial" w:cs="Arial"/>
        </w:rPr>
        <w:t xml:space="preserve">If a country started producing a new product that it was not exporting in the baseline, then its exports of this product were assumed to be distributed to countries (outside the 14 African countries of interest) globally in the same proportion as the global baseline demand for the product.   </w:t>
      </w:r>
    </w:p>
    <w:p w14:paraId="6DE5E589" w14:textId="77777777" w:rsidR="00BE51B1" w:rsidRPr="00766470" w:rsidRDefault="00BE51B1" w:rsidP="00BE51B1">
      <w:pPr>
        <w:spacing w:line="257" w:lineRule="auto"/>
        <w:jc w:val="both"/>
        <w:rPr>
          <w:rFonts w:ascii="Arial" w:eastAsia="Calibri" w:hAnsi="Arial" w:cs="Arial"/>
        </w:rPr>
      </w:pPr>
    </w:p>
    <w:p w14:paraId="27A39AB4" w14:textId="77777777" w:rsidR="00BE51B1" w:rsidRPr="00891C88" w:rsidRDefault="00BE51B1" w:rsidP="00BE51B1">
      <w:pPr>
        <w:pStyle w:val="Heading2"/>
        <w:rPr>
          <w:rFonts w:ascii="Arial" w:hAnsi="Arial" w:cs="Arial"/>
          <w:b/>
          <w:bCs/>
          <w:color w:val="0F9ED5" w:themeColor="accent4"/>
          <w:sz w:val="24"/>
          <w:szCs w:val="24"/>
        </w:rPr>
      </w:pPr>
      <w:bookmarkStart w:id="98" w:name="_Toc211272295"/>
      <w:r w:rsidRPr="00891C88">
        <w:rPr>
          <w:rFonts w:ascii="Arial" w:hAnsi="Arial" w:cs="Arial"/>
          <w:b/>
          <w:bCs/>
          <w:color w:val="E97132" w:themeColor="accent2"/>
          <w:sz w:val="24"/>
          <w:szCs w:val="24"/>
        </w:rPr>
        <w:lastRenderedPageBreak/>
        <w:t>4.2 Disaggregating cross-border trade flows to higher resolution origin–destination travel matrix</w:t>
      </w:r>
      <w:bookmarkEnd w:id="98"/>
      <w:r w:rsidRPr="00891C88">
        <w:rPr>
          <w:rFonts w:ascii="Arial" w:hAnsi="Arial" w:cs="Arial"/>
          <w:b/>
          <w:bCs/>
          <w:color w:val="0F9ED5" w:themeColor="accent4"/>
          <w:sz w:val="24"/>
          <w:szCs w:val="24"/>
        </w:rPr>
        <w:br/>
      </w:r>
    </w:p>
    <w:p w14:paraId="4A72AE73" w14:textId="77777777" w:rsidR="00BE51B1" w:rsidRPr="00AD40F3" w:rsidRDefault="00BE51B1" w:rsidP="00BE51B1">
      <w:pPr>
        <w:pStyle w:val="Heading3"/>
        <w:rPr>
          <w:rFonts w:ascii="Arial" w:hAnsi="Arial" w:cs="Arial"/>
          <w:b/>
          <w:bCs/>
          <w:sz w:val="24"/>
          <w:szCs w:val="24"/>
        </w:rPr>
      </w:pPr>
      <w:bookmarkStart w:id="99" w:name="_Toc211272296"/>
      <w:r w:rsidRPr="00AD40F3">
        <w:rPr>
          <w:rFonts w:ascii="Arial" w:hAnsi="Arial" w:cs="Arial"/>
          <w:b/>
          <w:bCs/>
          <w:sz w:val="24"/>
          <w:szCs w:val="24"/>
        </w:rPr>
        <w:t>4.2.1 Origin–destination points were identified.</w:t>
      </w:r>
      <w:bookmarkEnd w:id="99"/>
      <w:r w:rsidRPr="00AD40F3">
        <w:rPr>
          <w:rFonts w:ascii="Arial" w:hAnsi="Arial" w:cs="Arial"/>
          <w:b/>
          <w:bCs/>
          <w:sz w:val="24"/>
          <w:szCs w:val="24"/>
        </w:rPr>
        <w:t xml:space="preserve"> </w:t>
      </w:r>
      <w:r w:rsidRPr="00AD40F3">
        <w:rPr>
          <w:rFonts w:ascii="Arial" w:hAnsi="Arial" w:cs="Arial"/>
          <w:b/>
          <w:bCs/>
          <w:sz w:val="24"/>
          <w:szCs w:val="24"/>
        </w:rPr>
        <w:br/>
      </w:r>
    </w:p>
    <w:p w14:paraId="2C9B616C" w14:textId="77777777" w:rsidR="00BE51B1" w:rsidRPr="00766470" w:rsidRDefault="00BE51B1" w:rsidP="00BE51B1">
      <w:pPr>
        <w:spacing w:after="0"/>
        <w:jc w:val="both"/>
        <w:rPr>
          <w:rFonts w:ascii="Arial" w:hAnsi="Arial" w:cs="Arial"/>
        </w:rPr>
      </w:pPr>
      <w:r w:rsidRPr="00766470">
        <w:rPr>
          <w:rFonts w:ascii="Arial" w:eastAsia="Calibri" w:hAnsi="Arial" w:cs="Arial"/>
        </w:rPr>
        <w:t>Following the creation of the country-to-country trade matrices, the trade material flow volumes (in tonnes) were disaggregated to specific locations to create origin–destination matrices. These origin–destination matrices were created with respect to each one of the different trade flow scenarios. For very accurate estimation of transport flows, data would be needed on detailed locations and supply and demand volumes shipped between every mine, processing plant, ports, and other manufacturing facilities globally where the products would be utilised for EV battery production. Having such detailed supply chain information was not possible as it would require mining and manufacturing company data which are often not open source. For the scope of this study, locations were interpreted as proxies for most likely areas for concentration of mining and processing activities and areas for facilitation of the transport logistics of the mineral supply chain globally. The types of locations for origin–destination disaggregation were chosen as follows.</w:t>
      </w:r>
    </w:p>
    <w:p w14:paraId="5FF5386F" w14:textId="77777777" w:rsidR="00BE51B1" w:rsidRPr="00766470" w:rsidRDefault="00BE51B1" w:rsidP="00BE51B1">
      <w:pPr>
        <w:pStyle w:val="ListParagraph"/>
        <w:numPr>
          <w:ilvl w:val="0"/>
          <w:numId w:val="25"/>
        </w:numPr>
        <w:spacing w:after="0" w:line="259" w:lineRule="auto"/>
        <w:jc w:val="both"/>
        <w:rPr>
          <w:rFonts w:ascii="Arial" w:eastAsia="Calibri" w:hAnsi="Arial" w:cs="Arial"/>
        </w:rPr>
      </w:pPr>
      <w:r w:rsidRPr="00766470">
        <w:rPr>
          <w:rFonts w:ascii="Arial" w:eastAsia="Calibri" w:hAnsi="Arial" w:cs="Arial"/>
          <w:u w:val="single"/>
        </w:rPr>
        <w:t>Mine locations</w:t>
      </w:r>
      <w:r w:rsidRPr="00766470">
        <w:rPr>
          <w:rFonts w:ascii="Arial" w:eastAsia="Calibri" w:hAnsi="Arial" w:cs="Arial"/>
        </w:rPr>
        <w:t xml:space="preserve">. The starting locations for all minerals were at the mines, which were chosen as origins where lower stage processing was being done before being sent for transport. As mentioned in Section 1, some existing mine locations were accurate as per remote sensing datasets, while future mine locations were inferred from S&amp;P estimates.  </w:t>
      </w:r>
    </w:p>
    <w:p w14:paraId="5D82F01C" w14:textId="2947B785" w:rsidR="00BE51B1" w:rsidRPr="00766470" w:rsidRDefault="00BE51B1" w:rsidP="00BE51B1">
      <w:pPr>
        <w:pStyle w:val="ListParagraph"/>
        <w:numPr>
          <w:ilvl w:val="0"/>
          <w:numId w:val="25"/>
        </w:numPr>
        <w:spacing w:after="0" w:line="259" w:lineRule="auto"/>
        <w:jc w:val="both"/>
        <w:rPr>
          <w:rFonts w:ascii="Arial" w:eastAsia="Calibri" w:hAnsi="Arial" w:cs="Arial"/>
        </w:rPr>
      </w:pPr>
      <w:r w:rsidRPr="00766470">
        <w:rPr>
          <w:rFonts w:ascii="Arial" w:eastAsia="Calibri" w:hAnsi="Arial" w:cs="Arial"/>
          <w:u w:val="single"/>
        </w:rPr>
        <w:t>Major city locations</w:t>
      </w:r>
      <w:r w:rsidRPr="00766470">
        <w:rPr>
          <w:rFonts w:ascii="Arial" w:eastAsia="Calibri" w:hAnsi="Arial" w:cs="Arial"/>
        </w:rPr>
        <w:t>. Certain higher stages of processed product (eg copper sulphate) are already being produced in some countries in Africa such as South Africa</w:t>
      </w:r>
      <w:r w:rsidRPr="00766470">
        <w:rPr>
          <w:rFonts w:ascii="Arial" w:eastAsia="Calibri" w:hAnsi="Arial" w:cs="Arial"/>
        </w:rPr>
        <w:fldChar w:fldCharType="begin"/>
      </w:r>
      <w:r w:rsidR="007E07E0">
        <w:rPr>
          <w:rFonts w:ascii="Arial" w:eastAsia="Calibri" w:hAnsi="Arial" w:cs="Arial"/>
        </w:rPr>
        <w:instrText xml:space="preserve"> ADDIN ZOTERO_ITEM CSL_CITATION {"citationID":"nSHBs0xZ","properties":{"formattedCitation":"\\super 103\\nosupersub{}","plainCitation":"103","noteIndex":0},"citationItems":[{"id":2085,"uris":["http://zotero.org/users/10918866/items/ZDN7CJAZ"],"itemData":{"id":2085,"type":"webpage","container-title":"World Integrated Trade Solutions","title":"Sulphates of copper exports by country 2018","URL":"https://wits.worldbank.org/trade/comtrade/en/country/ALL/year/2018/tradeflow/Exports/partner/WLD/product/283325","author":[{"family":"WITS","given":""}],"accessed":{"date-parts":[["2024",11,19]]},"issued":{"date-parts":[["2024"]]}}}],"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103</w:t>
      </w:r>
      <w:r w:rsidRPr="00766470">
        <w:rPr>
          <w:rFonts w:ascii="Arial" w:eastAsia="Calibri" w:hAnsi="Arial" w:cs="Arial"/>
        </w:rPr>
        <w:fldChar w:fldCharType="end"/>
      </w:r>
      <w:r w:rsidRPr="00766470">
        <w:rPr>
          <w:rFonts w:ascii="Arial" w:eastAsia="Calibri" w:hAnsi="Arial" w:cs="Arial"/>
        </w:rPr>
        <w:t>. Ideally the exact locations of the specific processing plants and their production volumes (or capacities) would help disaggregate the country-level exports for these products to locations. However, such data were not available. An assumption was taken that the existing higher stage processing plants would be located in the vicinity of major cities where labour and energy inputs would be readily accessible. A UN population dataset on major city locations with population more than 300,000 was chosen</w:t>
      </w:r>
      <w:r w:rsidRPr="00766470">
        <w:rPr>
          <w:rFonts w:ascii="Arial" w:eastAsia="Calibri" w:hAnsi="Arial" w:cs="Arial"/>
        </w:rPr>
        <w:fldChar w:fldCharType="begin"/>
      </w:r>
      <w:r w:rsidR="007E07E0">
        <w:rPr>
          <w:rFonts w:ascii="Arial" w:eastAsia="Calibri" w:hAnsi="Arial" w:cs="Arial"/>
        </w:rPr>
        <w:instrText xml:space="preserve"> ADDIN ZOTERO_ITEM CSL_CITATION {"citationID":"LeChwC5N","properties":{"formattedCitation":"\\super 104\\nosupersub{}","plainCitation":"104","noteIndex":0},"citationItems":[{"id":2069,"uris":["http://zotero.org/users/10918866/items/7TBDF8CE"],"itemData":{"id":2069,"type":"article-journal","language":"en","source":"Zotero","title":"World Urbanization Prospects The 2018 Revision","URL":"https://population.un.org/wup/publications/Files/WUP2018-Report.pdf","author":[{"family":"UNDESA","given":""}],"accessed":{"date-parts":[["2024",11,19]]},"issued":{"date-parts":[["2019"]]}}}],"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104</w:t>
      </w:r>
      <w:r w:rsidRPr="00766470">
        <w:rPr>
          <w:rFonts w:ascii="Arial" w:eastAsia="Calibri" w:hAnsi="Arial" w:cs="Arial"/>
        </w:rPr>
        <w:fldChar w:fldCharType="end"/>
      </w:r>
      <w:r w:rsidRPr="00766470">
        <w:rPr>
          <w:rFonts w:ascii="Arial" w:eastAsia="Calibri" w:hAnsi="Arial" w:cs="Arial"/>
        </w:rPr>
        <w:t xml:space="preserve">, for identifying locations of existing higher stage processing.           </w:t>
      </w:r>
    </w:p>
    <w:p w14:paraId="034250B2" w14:textId="27A69889" w:rsidR="00BE51B1" w:rsidRPr="00766470" w:rsidRDefault="00BE51B1" w:rsidP="00BE51B1">
      <w:pPr>
        <w:pStyle w:val="ListParagraph"/>
        <w:numPr>
          <w:ilvl w:val="0"/>
          <w:numId w:val="25"/>
        </w:numPr>
        <w:spacing w:after="0" w:line="259" w:lineRule="auto"/>
        <w:jc w:val="both"/>
        <w:rPr>
          <w:rFonts w:ascii="Arial" w:eastAsia="Calibri" w:hAnsi="Arial" w:cs="Arial"/>
        </w:rPr>
      </w:pPr>
      <w:r w:rsidRPr="00766470">
        <w:rPr>
          <w:rFonts w:ascii="Arial" w:eastAsia="Calibri" w:hAnsi="Arial" w:cs="Arial"/>
          <w:u w:val="single"/>
        </w:rPr>
        <w:t>African gateway ports</w:t>
      </w:r>
      <w:r w:rsidRPr="00766470">
        <w:rPr>
          <w:rFonts w:ascii="Arial" w:eastAsia="Calibri" w:hAnsi="Arial" w:cs="Arial"/>
          <w:i/>
          <w:iCs/>
        </w:rPr>
        <w:t>.</w:t>
      </w:r>
      <w:r w:rsidRPr="00766470">
        <w:rPr>
          <w:rFonts w:ascii="Arial" w:eastAsia="Calibri" w:hAnsi="Arial" w:cs="Arial"/>
        </w:rPr>
        <w:t xml:space="preserve"> Specific ports in Africa were identified as gateway ports for the entry and exit of mineral-specific products. While these were neither origin nor destination locations, they were important for inferring trade routes within Africa as they are connected to important corridors for transport. The list of the gateway ports in Africa identified in this study is provided in</w:t>
      </w:r>
      <w:r w:rsidR="00C3191E">
        <w:rPr>
          <w:rFonts w:ascii="Arial" w:eastAsia="Calibri" w:hAnsi="Arial" w:cs="Arial"/>
        </w:rPr>
        <w:t xml:space="preserve"> </w:t>
      </w:r>
      <w:r w:rsidR="00C3191E">
        <w:rPr>
          <w:rFonts w:ascii="Arial" w:eastAsia="Calibri" w:hAnsi="Arial" w:cs="Arial"/>
        </w:rPr>
        <w:fldChar w:fldCharType="begin"/>
      </w:r>
      <w:r w:rsidR="00C3191E">
        <w:rPr>
          <w:rFonts w:ascii="Arial" w:eastAsia="Calibri" w:hAnsi="Arial" w:cs="Arial"/>
        </w:rPr>
        <w:instrText xml:space="preserve"> REF _Ref214453246 \h </w:instrText>
      </w:r>
      <w:r w:rsidR="00C3191E">
        <w:rPr>
          <w:rFonts w:ascii="Arial" w:eastAsia="Calibri" w:hAnsi="Arial" w:cs="Arial"/>
        </w:rPr>
      </w:r>
      <w:r w:rsidR="00C3191E">
        <w:rPr>
          <w:rFonts w:ascii="Arial" w:eastAsia="Calibri" w:hAnsi="Arial" w:cs="Arial"/>
        </w:rPr>
        <w:fldChar w:fldCharType="separate"/>
      </w:r>
      <w:r w:rsidR="00C3191E">
        <w:t>Table 15</w:t>
      </w:r>
      <w:r w:rsidR="00C3191E">
        <w:rPr>
          <w:rFonts w:ascii="Arial" w:eastAsia="Calibri" w:hAnsi="Arial" w:cs="Arial"/>
        </w:rPr>
        <w:fldChar w:fldCharType="end"/>
      </w:r>
      <w:r w:rsidR="00C3191E">
        <w:rPr>
          <w:rFonts w:ascii="Arial" w:eastAsia="Calibri" w:hAnsi="Arial" w:cs="Arial"/>
        </w:rPr>
        <w:t xml:space="preserve"> w</w:t>
      </w:r>
      <w:r w:rsidRPr="00766470">
        <w:rPr>
          <w:rFonts w:ascii="Arial" w:eastAsia="Calibri" w:hAnsi="Arial" w:cs="Arial"/>
        </w:rPr>
        <w:t>ith the types of minerals being handled at each port. The annual vessel capacities for general and dry bulk cargo vessels arriving at these ports are also reported. These values were taken from</w:t>
      </w:r>
      <w:r w:rsidR="00697504">
        <w:rPr>
          <w:rFonts w:ascii="Arial" w:eastAsia="Calibri" w:hAnsi="Arial" w:cs="Arial"/>
        </w:rPr>
        <w:fldChar w:fldCharType="begin"/>
      </w:r>
      <w:r w:rsidR="0016542D">
        <w:rPr>
          <w:rFonts w:ascii="Arial" w:eastAsia="Calibri" w:hAnsi="Arial" w:cs="Arial"/>
        </w:rPr>
        <w:instrText xml:space="preserve"> ADDIN ZOTERO_ITEM CSL_CITATION {"citationID":"r8x9IK11","properties":{"formattedCitation":"\\super 105\\nosupersub{}","plainCitation":"105","noteIndex":0},"citationItems":[{"id":2070,"uris":["http://zotero.org/users/10918866/items/RLBZIBJX"],"itemData":{"id":2070,"type":"article-journal","abstract":"We quantify the criticality of the world’s 1300 most important ports for global supply chains by predicting the allocation of trade flows on the global maritime transport network, which we link to a global supply-chain database to evaluate the importance of ports for the economy. We find that 50% of global trade in value terms is maritime, with low-income countries and small islands being 1.5 and 2.0 times more reliant on their ports compared to the global average. The five largest ports globally handle goods that embody &gt;1.4% of global output, while 40 ports add &gt;10% of domestic output of the economies they serve, predominantly small islands. We identify critical cross-border infrastructure dependencies for some landlocked and island countries that rely on specific ports outside their jurisdiction. Our results pave the way for developing new strategies to enhance the resilience and sustainability of port infrastructure and maritime trade.","container-title":"Nature Communications","DOI":"10.1038/s41467-022-32070-0","ISSN":"2041-1723","issue":"1","journalAbbreviation":"Nat Commun","language":"en","license":"2022 The Author(s)","page":"4351","publisher":"Nature Publishing Group","source":"www.nature.com","title":"Ports’ criticality in international trade and global supply-chains","volume":"13","author":[{"family":"Verschuur","given":"J."},{"family":"Koks","given":"E. E."},{"family":"Hall","given":"J. W."}],"issued":{"date-parts":[["2022",7,27]]}}}],"schema":"https://github.com/citation-style-language/schema/raw/master/csl-citation.json"} </w:instrText>
      </w:r>
      <w:r w:rsidR="00697504">
        <w:rPr>
          <w:rFonts w:ascii="Arial" w:eastAsia="Calibri" w:hAnsi="Arial" w:cs="Arial"/>
        </w:rPr>
        <w:fldChar w:fldCharType="separate"/>
      </w:r>
      <w:r w:rsidR="00697504" w:rsidRPr="00697504">
        <w:rPr>
          <w:rFonts w:ascii="Arial" w:hAnsi="Arial" w:cs="Arial"/>
          <w:kern w:val="0"/>
          <w:vertAlign w:val="superscript"/>
        </w:rPr>
        <w:t>105</w:t>
      </w:r>
      <w:r w:rsidR="00697504">
        <w:rPr>
          <w:rFonts w:ascii="Arial" w:eastAsia="Calibri" w:hAnsi="Arial" w:cs="Arial"/>
        </w:rPr>
        <w:fldChar w:fldCharType="end"/>
      </w:r>
      <w:r w:rsidRPr="00766470">
        <w:rPr>
          <w:rFonts w:ascii="Arial" w:eastAsia="Calibri" w:hAnsi="Arial" w:cs="Arial"/>
        </w:rPr>
        <w:fldChar w:fldCharType="begin"/>
      </w:r>
      <w:r w:rsidR="0016542D">
        <w:rPr>
          <w:rFonts w:ascii="Arial" w:eastAsia="Calibri" w:hAnsi="Arial" w:cs="Arial"/>
        </w:rPr>
        <w:instrText xml:space="preserve"> ADDIN ZOTERO_ITEM CSL_CITATION {"citationID":"kaeyNBBa","properties":{"formattedCitation":"(Verschuur et al., 2022)","plainCitation":"(Verschuur et al., 2022)","dontUpdate":true,"noteIndex":0},"citationItems":[{"id":2070,"uris":["http://zotero.org/users/10918866/items/RLBZIBJX"],"itemData":{"id":2070,"type":"article-journal","abstract":"We quantify the criticality of the world’s 1300 most important ports for global supply chains by predicting the allocation of trade flows on the global maritime transport network, which we link to a global supply-chain database to evaluate the importance of ports for the economy. We find that 50% of global trade in value terms is maritime, with low-income countries and small islands being 1.5 and 2.0 times more reliant on their ports compared to the global average. The five largest ports globally handle goods that embody &gt;1.4% of global output, while 40 ports add &gt;10% of domestic output of the economies they serve, predominantly small islands. We identify critical cross-border infrastructure dependencies for some landlocked and island countries that rely on specific ports outside their jurisdiction. Our results pave the way for developing new strategies to enhance the resilience and sustainability of port infrastructure and maritime trade.","container-title":"Nature Communications","DOI":"10.1038/s41467-022-32070-0","ISSN":"2041-1723","issue":"1","journalAbbreviation":"Nat Commun","language":"en","license":"2022 The Author(s)","page":"4351","publisher":"Nature Publishing Group","source":"www.nature.com","title":"Ports’ criticality in international trade and global supply-chains","volume":"13","author":[{"family":"Verschuur","given":"J."},{"family":"Koks","given":"E. E."},{"family":"Hall","given":"J. W."}],"issued":{"date-parts":[["2022",7,27]]}}}],"schema":"https://github.com/citation-style-language/schema/raw/master/csl-citation.json"} </w:instrText>
      </w:r>
      <w:r w:rsidRPr="00766470">
        <w:rPr>
          <w:rFonts w:ascii="Arial" w:eastAsia="Calibri" w:hAnsi="Arial" w:cs="Arial"/>
        </w:rPr>
        <w:fldChar w:fldCharType="separate"/>
      </w:r>
      <w:r w:rsidRPr="00766470">
        <w:rPr>
          <w:rFonts w:ascii="Arial" w:eastAsia="Calibri" w:hAnsi="Arial" w:cs="Arial"/>
        </w:rPr>
        <w:fldChar w:fldCharType="end"/>
      </w:r>
      <w:r w:rsidRPr="00766470">
        <w:rPr>
          <w:rFonts w:ascii="Arial" w:eastAsia="Calibri" w:hAnsi="Arial" w:cs="Arial"/>
        </w:rPr>
        <w:t>, which derived values from global shipping datasets.</w:t>
      </w:r>
    </w:p>
    <w:p w14:paraId="221E6D12" w14:textId="77777777" w:rsidR="00BE51B1" w:rsidRPr="00766470" w:rsidRDefault="00BE51B1" w:rsidP="00BE51B1">
      <w:pPr>
        <w:pStyle w:val="ListParagraph"/>
        <w:numPr>
          <w:ilvl w:val="0"/>
          <w:numId w:val="25"/>
        </w:numPr>
        <w:spacing w:after="0" w:line="259" w:lineRule="auto"/>
        <w:jc w:val="both"/>
        <w:rPr>
          <w:rFonts w:ascii="Arial" w:eastAsia="Calibri" w:hAnsi="Arial" w:cs="Arial"/>
        </w:rPr>
      </w:pPr>
      <w:r w:rsidRPr="00766470">
        <w:rPr>
          <w:rFonts w:ascii="Arial" w:eastAsia="Calibri" w:hAnsi="Arial" w:cs="Arial"/>
          <w:u w:val="single"/>
        </w:rPr>
        <w:t>Global ports</w:t>
      </w:r>
      <w:r w:rsidRPr="00766470">
        <w:rPr>
          <w:rFonts w:ascii="Arial" w:eastAsia="Calibri" w:hAnsi="Arial" w:cs="Arial"/>
        </w:rPr>
        <w:t xml:space="preserve">. For countries outside the African continent, ports handling highest volumes of bulk or general cargo were identified as destinations for receiving the exports coming from the 14 Africa countries and as origins from where the 14 </w:t>
      </w:r>
      <w:r w:rsidRPr="00766470">
        <w:rPr>
          <w:rFonts w:ascii="Arial" w:eastAsia="Calibri" w:hAnsi="Arial" w:cs="Arial"/>
        </w:rPr>
        <w:lastRenderedPageBreak/>
        <w:t xml:space="preserve">African countries would be getting their imports. This simplified approximation was taken because there were no data on the types of mineral products being handled at ports in every country in the world. Also, the aim of the study was to identify approximate gateway points for trade entry and exit to countries outside the 14 African countries of interest, to infer the most feasible maritime routes out of Africa.  </w:t>
      </w:r>
    </w:p>
    <w:p w14:paraId="044B0C0F" w14:textId="77777777" w:rsidR="00BE51B1" w:rsidRPr="00766470" w:rsidRDefault="00BE51B1" w:rsidP="00BE51B1">
      <w:pPr>
        <w:pStyle w:val="Caption"/>
        <w:rPr>
          <w:rFonts w:ascii="Arial" w:hAnsi="Arial" w:cs="Arial"/>
          <w:color w:val="A02B93" w:themeColor="accent5"/>
          <w:sz w:val="20"/>
          <w:szCs w:val="20"/>
        </w:rPr>
      </w:pPr>
    </w:p>
    <w:p w14:paraId="4E1A4EA0" w14:textId="3CC61E7A" w:rsidR="00BE51B1" w:rsidRPr="009F3AF4" w:rsidRDefault="00615C28" w:rsidP="00615C28">
      <w:pPr>
        <w:pStyle w:val="Caption"/>
      </w:pPr>
      <w:bookmarkStart w:id="100" w:name="_Ref214453246"/>
      <w:bookmarkStart w:id="101" w:name="_Toc211509410"/>
      <w:r>
        <w:t xml:space="preserve">Table </w:t>
      </w:r>
      <w:fldSimple w:instr=" SEQ Table \* ARABIC ">
        <w:r>
          <w:t>15</w:t>
        </w:r>
      </w:fldSimple>
      <w:bookmarkEnd w:id="100"/>
      <w:r w:rsidR="00BE51B1" w:rsidRPr="009F3AF4">
        <w:t>: Gateway ports in Africa</w:t>
      </w:r>
      <w:bookmarkEnd w:id="101"/>
    </w:p>
    <w:tbl>
      <w:tblPr>
        <w:tblW w:w="5000" w:type="pct"/>
        <w:tblLayout w:type="fixed"/>
        <w:tblCellMar>
          <w:left w:w="57" w:type="dxa"/>
          <w:right w:w="57" w:type="dxa"/>
        </w:tblCellMar>
        <w:tblLook w:val="04A0" w:firstRow="1" w:lastRow="0" w:firstColumn="1" w:lastColumn="0" w:noHBand="0" w:noVBand="1"/>
      </w:tblPr>
      <w:tblGrid>
        <w:gridCol w:w="1696"/>
        <w:gridCol w:w="1553"/>
        <w:gridCol w:w="474"/>
        <w:gridCol w:w="458"/>
        <w:gridCol w:w="399"/>
        <w:gridCol w:w="397"/>
        <w:gridCol w:w="478"/>
        <w:gridCol w:w="427"/>
        <w:gridCol w:w="1592"/>
        <w:gridCol w:w="1542"/>
      </w:tblGrid>
      <w:tr w:rsidR="00BE51B1" w:rsidRPr="007D3F22" w14:paraId="2E2A06CA" w14:textId="77777777" w:rsidTr="00877C15">
        <w:trPr>
          <w:trHeight w:val="20"/>
        </w:trPr>
        <w:tc>
          <w:tcPr>
            <w:tcW w:w="941" w:type="pc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tcPr>
          <w:p w14:paraId="62472C49"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861" w:type="pc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tcPr>
          <w:p w14:paraId="5F7AD664"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1460" w:type="pct"/>
            <w:gridSpan w:val="6"/>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tcPr>
          <w:p w14:paraId="067FAD6C"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Minerals processed at port</w:t>
            </w:r>
          </w:p>
        </w:tc>
        <w:tc>
          <w:tcPr>
            <w:tcW w:w="1738" w:type="pct"/>
            <w:gridSpan w:val="2"/>
            <w:tcBorders>
              <w:top w:val="single" w:sz="4" w:space="0" w:color="auto"/>
              <w:left w:val="nil"/>
              <w:bottom w:val="single" w:sz="4" w:space="0" w:color="auto"/>
              <w:right w:val="single" w:sz="4" w:space="0" w:color="auto"/>
            </w:tcBorders>
            <w:shd w:val="clear" w:color="auto" w:fill="B7D4EF" w:themeFill="text2" w:themeFillTint="33"/>
            <w:noWrap/>
            <w:vAlign w:val="bottom"/>
          </w:tcPr>
          <w:p w14:paraId="6B2CBBB5"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p>
        </w:tc>
      </w:tr>
      <w:tr w:rsidR="00BE51B1" w:rsidRPr="007D3F22" w14:paraId="5368AF9B" w14:textId="77777777" w:rsidTr="00877C15">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1D534CED"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African gateway port</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1FBAD5E6"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Country</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5DAC9C10"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Cu</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41EC04E7"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Co</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1684EBC3"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Ni</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04554327"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Li</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55FDE231"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Mn</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B7D4EF" w:themeFill="text2" w:themeFillTint="33"/>
            <w:noWrap/>
            <w:vAlign w:val="bottom"/>
            <w:hideMark/>
          </w:tcPr>
          <w:p w14:paraId="07DB6665"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Gr</w:t>
            </w:r>
          </w:p>
        </w:tc>
        <w:tc>
          <w:tcPr>
            <w:tcW w:w="1738" w:type="pct"/>
            <w:gridSpan w:val="2"/>
            <w:tcBorders>
              <w:top w:val="single" w:sz="4" w:space="0" w:color="auto"/>
              <w:left w:val="nil"/>
              <w:bottom w:val="single" w:sz="4" w:space="0" w:color="auto"/>
              <w:right w:val="single" w:sz="4" w:space="0" w:color="auto"/>
            </w:tcBorders>
            <w:shd w:val="clear" w:color="auto" w:fill="B7D4EF" w:themeFill="text2" w:themeFillTint="33"/>
            <w:noWrap/>
            <w:vAlign w:val="bottom"/>
            <w:hideMark/>
          </w:tcPr>
          <w:p w14:paraId="06F3D616" w14:textId="77777777" w:rsidR="00BE51B1" w:rsidRPr="00766470" w:rsidRDefault="00BE51B1" w:rsidP="00877C15">
            <w:pPr>
              <w:spacing w:before="20" w:after="40" w:line="240" w:lineRule="auto"/>
              <w:jc w:val="center"/>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Annual vessel capacities (tonnes)</w:t>
            </w:r>
          </w:p>
        </w:tc>
      </w:tr>
      <w:tr w:rsidR="00BE51B1" w:rsidRPr="007D3F22" w14:paraId="39289A00" w14:textId="77777777" w:rsidTr="00877C15">
        <w:trPr>
          <w:trHeight w:val="20"/>
        </w:trPr>
        <w:tc>
          <w:tcPr>
            <w:tcW w:w="941"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7225AE30"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861"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2A986252"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63"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3300B96F"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54"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3DD6A267"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21"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6E212368"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20"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08582C65"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65"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39ABC97A"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237" w:type="pct"/>
            <w:vMerge/>
            <w:tcBorders>
              <w:top w:val="single" w:sz="4" w:space="0" w:color="auto"/>
              <w:left w:val="single" w:sz="4" w:space="0" w:color="auto"/>
              <w:bottom w:val="single" w:sz="4" w:space="0" w:color="auto"/>
              <w:right w:val="single" w:sz="4" w:space="0" w:color="auto"/>
            </w:tcBorders>
            <w:shd w:val="clear" w:color="auto" w:fill="B7D4EF" w:themeFill="text2" w:themeFillTint="33"/>
            <w:vAlign w:val="center"/>
            <w:hideMark/>
          </w:tcPr>
          <w:p w14:paraId="0E5D1C4C"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p>
        </w:tc>
        <w:tc>
          <w:tcPr>
            <w:tcW w:w="883" w:type="pct"/>
            <w:tcBorders>
              <w:top w:val="nil"/>
              <w:left w:val="nil"/>
              <w:bottom w:val="single" w:sz="4" w:space="0" w:color="auto"/>
              <w:right w:val="single" w:sz="4" w:space="0" w:color="auto"/>
            </w:tcBorders>
            <w:shd w:val="clear" w:color="auto" w:fill="B7D4EF" w:themeFill="text2" w:themeFillTint="33"/>
            <w:noWrap/>
            <w:vAlign w:val="bottom"/>
            <w:hideMark/>
          </w:tcPr>
          <w:p w14:paraId="25135452"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General cargo</w:t>
            </w:r>
          </w:p>
        </w:tc>
        <w:tc>
          <w:tcPr>
            <w:tcW w:w="855" w:type="pct"/>
            <w:tcBorders>
              <w:top w:val="nil"/>
              <w:left w:val="nil"/>
              <w:bottom w:val="single" w:sz="4" w:space="0" w:color="auto"/>
              <w:right w:val="single" w:sz="4" w:space="0" w:color="auto"/>
            </w:tcBorders>
            <w:shd w:val="clear" w:color="auto" w:fill="B7D4EF" w:themeFill="text2" w:themeFillTint="33"/>
            <w:noWrap/>
            <w:vAlign w:val="bottom"/>
            <w:hideMark/>
          </w:tcPr>
          <w:p w14:paraId="719696EB" w14:textId="77777777" w:rsidR="00BE51B1" w:rsidRPr="00766470" w:rsidRDefault="00BE51B1" w:rsidP="00877C15">
            <w:pPr>
              <w:spacing w:before="20" w:after="40" w:line="240" w:lineRule="auto"/>
              <w:rPr>
                <w:rFonts w:ascii="Arial" w:eastAsia="Times New Roman" w:hAnsi="Arial" w:cs="Arial"/>
                <w:b/>
                <w:bCs/>
                <w:color w:val="156082" w:themeColor="accent1"/>
                <w:kern w:val="0"/>
                <w:sz w:val="20"/>
                <w:szCs w:val="20"/>
                <w:lang w:eastAsia="en-GB"/>
                <w14:ligatures w14:val="none"/>
              </w:rPr>
            </w:pPr>
            <w:r w:rsidRPr="00766470">
              <w:rPr>
                <w:rFonts w:ascii="Arial" w:eastAsia="Times New Roman" w:hAnsi="Arial" w:cs="Arial"/>
                <w:b/>
                <w:bCs/>
                <w:color w:val="156082" w:themeColor="accent1"/>
                <w:kern w:val="0"/>
                <w:sz w:val="20"/>
                <w:szCs w:val="20"/>
                <w:lang w:eastAsia="en-GB"/>
                <w14:ligatures w14:val="none"/>
              </w:rPr>
              <w:t>Dry bulk cargo</w:t>
            </w:r>
          </w:p>
        </w:tc>
      </w:tr>
      <w:tr w:rsidR="00BE51B1" w:rsidRPr="007D3F22" w14:paraId="7FCC81C0"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5A8C9BD"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Lobito</w:t>
            </w:r>
          </w:p>
        </w:tc>
        <w:tc>
          <w:tcPr>
            <w:tcW w:w="861" w:type="pct"/>
            <w:tcBorders>
              <w:top w:val="nil"/>
              <w:left w:val="nil"/>
              <w:bottom w:val="single" w:sz="4" w:space="0" w:color="auto"/>
              <w:right w:val="single" w:sz="4" w:space="0" w:color="auto"/>
            </w:tcBorders>
            <w:noWrap/>
            <w:vAlign w:val="bottom"/>
            <w:hideMark/>
          </w:tcPr>
          <w:p w14:paraId="17504C67"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Angola</w:t>
            </w:r>
          </w:p>
        </w:tc>
        <w:tc>
          <w:tcPr>
            <w:tcW w:w="263" w:type="pct"/>
            <w:tcBorders>
              <w:top w:val="nil"/>
              <w:left w:val="nil"/>
              <w:bottom w:val="single" w:sz="4" w:space="0" w:color="auto"/>
              <w:right w:val="single" w:sz="4" w:space="0" w:color="auto"/>
            </w:tcBorders>
            <w:shd w:val="clear" w:color="000000" w:fill="70AD47"/>
            <w:noWrap/>
            <w:vAlign w:val="bottom"/>
            <w:hideMark/>
          </w:tcPr>
          <w:p w14:paraId="7E8FBEB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6B95691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5DEEABE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28453DB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035E7BC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5ABFBF1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09128C82"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686,515</w:t>
            </w:r>
          </w:p>
        </w:tc>
        <w:tc>
          <w:tcPr>
            <w:tcW w:w="855" w:type="pct"/>
            <w:tcBorders>
              <w:top w:val="nil"/>
              <w:left w:val="nil"/>
              <w:bottom w:val="single" w:sz="4" w:space="0" w:color="auto"/>
              <w:right w:val="single" w:sz="4" w:space="0" w:color="auto"/>
            </w:tcBorders>
            <w:noWrap/>
            <w:vAlign w:val="bottom"/>
            <w:hideMark/>
          </w:tcPr>
          <w:p w14:paraId="27A4FEB7"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607,419</w:t>
            </w:r>
          </w:p>
        </w:tc>
      </w:tr>
      <w:tr w:rsidR="00BE51B1" w:rsidRPr="007D3F22" w14:paraId="295359C2"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39AA9B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Mombasa</w:t>
            </w:r>
          </w:p>
        </w:tc>
        <w:tc>
          <w:tcPr>
            <w:tcW w:w="861" w:type="pct"/>
            <w:tcBorders>
              <w:top w:val="nil"/>
              <w:left w:val="nil"/>
              <w:bottom w:val="single" w:sz="4" w:space="0" w:color="auto"/>
              <w:right w:val="single" w:sz="4" w:space="0" w:color="auto"/>
            </w:tcBorders>
            <w:noWrap/>
            <w:vAlign w:val="bottom"/>
            <w:hideMark/>
          </w:tcPr>
          <w:p w14:paraId="3F6CF0C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Kenya</w:t>
            </w:r>
          </w:p>
        </w:tc>
        <w:tc>
          <w:tcPr>
            <w:tcW w:w="263" w:type="pct"/>
            <w:tcBorders>
              <w:top w:val="nil"/>
              <w:left w:val="nil"/>
              <w:bottom w:val="single" w:sz="4" w:space="0" w:color="auto"/>
              <w:right w:val="single" w:sz="4" w:space="0" w:color="auto"/>
            </w:tcBorders>
            <w:shd w:val="clear" w:color="000000" w:fill="70AD47"/>
            <w:noWrap/>
            <w:vAlign w:val="bottom"/>
            <w:hideMark/>
          </w:tcPr>
          <w:p w14:paraId="515CBC7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FF0000"/>
            <w:noWrap/>
            <w:vAlign w:val="bottom"/>
            <w:hideMark/>
          </w:tcPr>
          <w:p w14:paraId="6DB7A681"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FF0000"/>
            <w:noWrap/>
            <w:vAlign w:val="bottom"/>
            <w:hideMark/>
          </w:tcPr>
          <w:p w14:paraId="397B8B5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539C5DF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30CEC2A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070D3671"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20EE3703"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1,848,161</w:t>
            </w:r>
          </w:p>
        </w:tc>
        <w:tc>
          <w:tcPr>
            <w:tcW w:w="855" w:type="pct"/>
            <w:tcBorders>
              <w:top w:val="nil"/>
              <w:left w:val="nil"/>
              <w:bottom w:val="single" w:sz="4" w:space="0" w:color="auto"/>
              <w:right w:val="single" w:sz="4" w:space="0" w:color="auto"/>
            </w:tcBorders>
            <w:noWrap/>
            <w:vAlign w:val="bottom"/>
            <w:hideMark/>
          </w:tcPr>
          <w:p w14:paraId="6DC13D23"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13,985,304</w:t>
            </w:r>
          </w:p>
        </w:tc>
      </w:tr>
      <w:tr w:rsidR="00BE51B1" w:rsidRPr="007D3F22" w14:paraId="48FF1E2A"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7DA72CA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Toamasina</w:t>
            </w:r>
          </w:p>
        </w:tc>
        <w:tc>
          <w:tcPr>
            <w:tcW w:w="861" w:type="pct"/>
            <w:tcBorders>
              <w:top w:val="nil"/>
              <w:left w:val="nil"/>
              <w:bottom w:val="single" w:sz="4" w:space="0" w:color="auto"/>
              <w:right w:val="single" w:sz="4" w:space="0" w:color="auto"/>
            </w:tcBorders>
            <w:noWrap/>
            <w:vAlign w:val="bottom"/>
            <w:hideMark/>
          </w:tcPr>
          <w:p w14:paraId="116835C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Madagascar</w:t>
            </w:r>
          </w:p>
        </w:tc>
        <w:tc>
          <w:tcPr>
            <w:tcW w:w="263" w:type="pct"/>
            <w:tcBorders>
              <w:top w:val="nil"/>
              <w:left w:val="nil"/>
              <w:bottom w:val="single" w:sz="4" w:space="0" w:color="auto"/>
              <w:right w:val="single" w:sz="4" w:space="0" w:color="auto"/>
            </w:tcBorders>
            <w:shd w:val="clear" w:color="000000" w:fill="70AD47"/>
            <w:noWrap/>
            <w:vAlign w:val="bottom"/>
            <w:hideMark/>
          </w:tcPr>
          <w:p w14:paraId="65E478CC"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08FB11F7"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22ECDAC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73916738"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FF0000"/>
            <w:noWrap/>
            <w:vAlign w:val="bottom"/>
            <w:hideMark/>
          </w:tcPr>
          <w:p w14:paraId="2C31BD4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0B369F2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4984D058"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335,929</w:t>
            </w:r>
          </w:p>
        </w:tc>
        <w:tc>
          <w:tcPr>
            <w:tcW w:w="855" w:type="pct"/>
            <w:tcBorders>
              <w:top w:val="nil"/>
              <w:left w:val="nil"/>
              <w:bottom w:val="single" w:sz="4" w:space="0" w:color="auto"/>
              <w:right w:val="single" w:sz="4" w:space="0" w:color="auto"/>
            </w:tcBorders>
            <w:noWrap/>
            <w:vAlign w:val="bottom"/>
            <w:hideMark/>
          </w:tcPr>
          <w:p w14:paraId="0739A1C1"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3,638,271</w:t>
            </w:r>
          </w:p>
        </w:tc>
      </w:tr>
      <w:tr w:rsidR="00BE51B1" w:rsidRPr="007D3F22" w14:paraId="222434A7"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7E34FBC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Beira</w:t>
            </w:r>
          </w:p>
        </w:tc>
        <w:tc>
          <w:tcPr>
            <w:tcW w:w="861" w:type="pct"/>
            <w:tcBorders>
              <w:top w:val="nil"/>
              <w:left w:val="nil"/>
              <w:bottom w:val="single" w:sz="4" w:space="0" w:color="auto"/>
              <w:right w:val="single" w:sz="4" w:space="0" w:color="auto"/>
            </w:tcBorders>
            <w:noWrap/>
            <w:vAlign w:val="bottom"/>
            <w:hideMark/>
          </w:tcPr>
          <w:p w14:paraId="51AD2A2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Mozambique</w:t>
            </w:r>
          </w:p>
        </w:tc>
        <w:tc>
          <w:tcPr>
            <w:tcW w:w="263" w:type="pct"/>
            <w:tcBorders>
              <w:top w:val="nil"/>
              <w:left w:val="nil"/>
              <w:bottom w:val="single" w:sz="4" w:space="0" w:color="auto"/>
              <w:right w:val="single" w:sz="4" w:space="0" w:color="auto"/>
            </w:tcBorders>
            <w:shd w:val="clear" w:color="000000" w:fill="70AD47"/>
            <w:noWrap/>
            <w:vAlign w:val="bottom"/>
            <w:hideMark/>
          </w:tcPr>
          <w:p w14:paraId="7B3656F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6EB2D177"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5D1AA1C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FF0000"/>
            <w:noWrap/>
            <w:vAlign w:val="bottom"/>
            <w:hideMark/>
          </w:tcPr>
          <w:p w14:paraId="61BCA67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1D4AB09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5564914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0E2537A5"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1,057,356</w:t>
            </w:r>
          </w:p>
        </w:tc>
        <w:tc>
          <w:tcPr>
            <w:tcW w:w="855" w:type="pct"/>
            <w:tcBorders>
              <w:top w:val="nil"/>
              <w:left w:val="nil"/>
              <w:bottom w:val="single" w:sz="4" w:space="0" w:color="auto"/>
              <w:right w:val="single" w:sz="4" w:space="0" w:color="auto"/>
            </w:tcBorders>
            <w:noWrap/>
            <w:vAlign w:val="bottom"/>
            <w:hideMark/>
          </w:tcPr>
          <w:p w14:paraId="44D45DED"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8,749,086</w:t>
            </w:r>
          </w:p>
        </w:tc>
      </w:tr>
      <w:tr w:rsidR="00BE51B1" w:rsidRPr="007D3F22" w14:paraId="66988547"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2049F31"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Maputo</w:t>
            </w:r>
          </w:p>
        </w:tc>
        <w:tc>
          <w:tcPr>
            <w:tcW w:w="861" w:type="pct"/>
            <w:tcBorders>
              <w:top w:val="nil"/>
              <w:left w:val="nil"/>
              <w:bottom w:val="single" w:sz="4" w:space="0" w:color="auto"/>
              <w:right w:val="single" w:sz="4" w:space="0" w:color="auto"/>
            </w:tcBorders>
            <w:noWrap/>
            <w:vAlign w:val="bottom"/>
            <w:hideMark/>
          </w:tcPr>
          <w:p w14:paraId="665C014D"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Mozambique</w:t>
            </w:r>
          </w:p>
        </w:tc>
        <w:tc>
          <w:tcPr>
            <w:tcW w:w="263" w:type="pct"/>
            <w:tcBorders>
              <w:top w:val="nil"/>
              <w:left w:val="nil"/>
              <w:bottom w:val="single" w:sz="4" w:space="0" w:color="auto"/>
              <w:right w:val="single" w:sz="4" w:space="0" w:color="auto"/>
            </w:tcBorders>
            <w:shd w:val="clear" w:color="000000" w:fill="FF0000"/>
            <w:noWrap/>
            <w:vAlign w:val="bottom"/>
            <w:hideMark/>
          </w:tcPr>
          <w:p w14:paraId="72AAD36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FF0000"/>
            <w:noWrap/>
            <w:vAlign w:val="bottom"/>
            <w:hideMark/>
          </w:tcPr>
          <w:p w14:paraId="1E7C9D2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2DA6153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FF0000"/>
            <w:noWrap/>
            <w:vAlign w:val="bottom"/>
            <w:hideMark/>
          </w:tcPr>
          <w:p w14:paraId="5788F1B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FF0000"/>
            <w:noWrap/>
            <w:vAlign w:val="bottom"/>
            <w:hideMark/>
          </w:tcPr>
          <w:p w14:paraId="3BACDFC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7212A6C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5094B19A"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1,758,199</w:t>
            </w:r>
          </w:p>
        </w:tc>
        <w:tc>
          <w:tcPr>
            <w:tcW w:w="855" w:type="pct"/>
            <w:tcBorders>
              <w:top w:val="nil"/>
              <w:left w:val="nil"/>
              <w:bottom w:val="single" w:sz="4" w:space="0" w:color="auto"/>
              <w:right w:val="single" w:sz="4" w:space="0" w:color="auto"/>
            </w:tcBorders>
            <w:noWrap/>
            <w:vAlign w:val="bottom"/>
            <w:hideMark/>
          </w:tcPr>
          <w:p w14:paraId="736E3948"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23,477,057</w:t>
            </w:r>
          </w:p>
        </w:tc>
      </w:tr>
      <w:tr w:rsidR="00BE51B1" w:rsidRPr="007D3F22" w14:paraId="49C1D9B9"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043DD408"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Nacala</w:t>
            </w:r>
          </w:p>
        </w:tc>
        <w:tc>
          <w:tcPr>
            <w:tcW w:w="861" w:type="pct"/>
            <w:tcBorders>
              <w:top w:val="nil"/>
              <w:left w:val="nil"/>
              <w:bottom w:val="single" w:sz="4" w:space="0" w:color="auto"/>
              <w:right w:val="single" w:sz="4" w:space="0" w:color="auto"/>
            </w:tcBorders>
            <w:noWrap/>
            <w:vAlign w:val="bottom"/>
            <w:hideMark/>
          </w:tcPr>
          <w:p w14:paraId="52FBE53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Mozambique</w:t>
            </w:r>
          </w:p>
        </w:tc>
        <w:tc>
          <w:tcPr>
            <w:tcW w:w="263" w:type="pct"/>
            <w:tcBorders>
              <w:top w:val="nil"/>
              <w:left w:val="nil"/>
              <w:bottom w:val="single" w:sz="4" w:space="0" w:color="auto"/>
              <w:right w:val="single" w:sz="4" w:space="0" w:color="auto"/>
            </w:tcBorders>
            <w:shd w:val="clear" w:color="000000" w:fill="FF0000"/>
            <w:noWrap/>
            <w:vAlign w:val="bottom"/>
            <w:hideMark/>
          </w:tcPr>
          <w:p w14:paraId="24952C3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FF0000"/>
            <w:noWrap/>
            <w:vAlign w:val="bottom"/>
            <w:hideMark/>
          </w:tcPr>
          <w:p w14:paraId="09CD635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FF0000"/>
            <w:noWrap/>
            <w:vAlign w:val="bottom"/>
            <w:hideMark/>
          </w:tcPr>
          <w:p w14:paraId="2769C18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1F320A3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5DBFE12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252EC12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0DB509C1"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455,498</w:t>
            </w:r>
          </w:p>
        </w:tc>
        <w:tc>
          <w:tcPr>
            <w:tcW w:w="855" w:type="pct"/>
            <w:tcBorders>
              <w:top w:val="nil"/>
              <w:left w:val="nil"/>
              <w:bottom w:val="single" w:sz="4" w:space="0" w:color="auto"/>
              <w:right w:val="single" w:sz="4" w:space="0" w:color="auto"/>
            </w:tcBorders>
            <w:noWrap/>
            <w:vAlign w:val="bottom"/>
            <w:hideMark/>
          </w:tcPr>
          <w:p w14:paraId="7543EC01"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10,249,784</w:t>
            </w:r>
          </w:p>
        </w:tc>
      </w:tr>
      <w:tr w:rsidR="00BE51B1" w:rsidRPr="007D3F22" w14:paraId="647EB5FE"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2CCA75A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Walvis Bay</w:t>
            </w:r>
          </w:p>
        </w:tc>
        <w:tc>
          <w:tcPr>
            <w:tcW w:w="861" w:type="pct"/>
            <w:tcBorders>
              <w:top w:val="nil"/>
              <w:left w:val="nil"/>
              <w:bottom w:val="single" w:sz="4" w:space="0" w:color="auto"/>
              <w:right w:val="single" w:sz="4" w:space="0" w:color="auto"/>
            </w:tcBorders>
            <w:noWrap/>
            <w:vAlign w:val="bottom"/>
            <w:hideMark/>
          </w:tcPr>
          <w:p w14:paraId="6E118E7E"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Namibia</w:t>
            </w:r>
          </w:p>
        </w:tc>
        <w:tc>
          <w:tcPr>
            <w:tcW w:w="263" w:type="pct"/>
            <w:tcBorders>
              <w:top w:val="nil"/>
              <w:left w:val="nil"/>
              <w:bottom w:val="single" w:sz="4" w:space="0" w:color="auto"/>
              <w:right w:val="single" w:sz="4" w:space="0" w:color="auto"/>
            </w:tcBorders>
            <w:shd w:val="clear" w:color="000000" w:fill="70AD47"/>
            <w:noWrap/>
            <w:vAlign w:val="bottom"/>
            <w:hideMark/>
          </w:tcPr>
          <w:p w14:paraId="3294626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018FA8D1"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7F4C118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244912F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FF0000"/>
            <w:noWrap/>
            <w:vAlign w:val="bottom"/>
            <w:hideMark/>
          </w:tcPr>
          <w:p w14:paraId="2269E95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5429BDB8"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60601322"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2,901,211</w:t>
            </w:r>
          </w:p>
        </w:tc>
        <w:tc>
          <w:tcPr>
            <w:tcW w:w="855" w:type="pct"/>
            <w:tcBorders>
              <w:top w:val="nil"/>
              <w:left w:val="nil"/>
              <w:bottom w:val="single" w:sz="4" w:space="0" w:color="auto"/>
              <w:right w:val="single" w:sz="4" w:space="0" w:color="auto"/>
            </w:tcBorders>
            <w:noWrap/>
            <w:vAlign w:val="bottom"/>
            <w:hideMark/>
          </w:tcPr>
          <w:p w14:paraId="60CAF0A4"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1,860,172</w:t>
            </w:r>
          </w:p>
        </w:tc>
      </w:tr>
      <w:tr w:rsidR="00BE51B1" w:rsidRPr="007D3F22" w14:paraId="2C44EAAE"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C18B91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Luderitz Bay</w:t>
            </w:r>
          </w:p>
        </w:tc>
        <w:tc>
          <w:tcPr>
            <w:tcW w:w="861" w:type="pct"/>
            <w:tcBorders>
              <w:top w:val="nil"/>
              <w:left w:val="nil"/>
              <w:bottom w:val="single" w:sz="4" w:space="0" w:color="auto"/>
              <w:right w:val="single" w:sz="4" w:space="0" w:color="auto"/>
            </w:tcBorders>
            <w:noWrap/>
            <w:vAlign w:val="bottom"/>
            <w:hideMark/>
          </w:tcPr>
          <w:p w14:paraId="0B82D107"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Namibia</w:t>
            </w:r>
          </w:p>
        </w:tc>
        <w:tc>
          <w:tcPr>
            <w:tcW w:w="263" w:type="pct"/>
            <w:tcBorders>
              <w:top w:val="nil"/>
              <w:left w:val="nil"/>
              <w:bottom w:val="single" w:sz="4" w:space="0" w:color="auto"/>
              <w:right w:val="single" w:sz="4" w:space="0" w:color="auto"/>
            </w:tcBorders>
            <w:shd w:val="clear" w:color="000000" w:fill="FF0000"/>
            <w:noWrap/>
            <w:vAlign w:val="bottom"/>
            <w:hideMark/>
          </w:tcPr>
          <w:p w14:paraId="3499A94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FF0000"/>
            <w:noWrap/>
            <w:vAlign w:val="bottom"/>
            <w:hideMark/>
          </w:tcPr>
          <w:p w14:paraId="05FFB0F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FF0000"/>
            <w:noWrap/>
            <w:vAlign w:val="bottom"/>
            <w:hideMark/>
          </w:tcPr>
          <w:p w14:paraId="3D34684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FF0000"/>
            <w:noWrap/>
            <w:vAlign w:val="bottom"/>
            <w:hideMark/>
          </w:tcPr>
          <w:p w14:paraId="1E90DA9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361D825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251DBD5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00F47604"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126,312</w:t>
            </w:r>
          </w:p>
        </w:tc>
        <w:tc>
          <w:tcPr>
            <w:tcW w:w="855" w:type="pct"/>
            <w:tcBorders>
              <w:top w:val="nil"/>
              <w:left w:val="nil"/>
              <w:bottom w:val="single" w:sz="4" w:space="0" w:color="auto"/>
              <w:right w:val="single" w:sz="4" w:space="0" w:color="auto"/>
            </w:tcBorders>
            <w:noWrap/>
            <w:vAlign w:val="bottom"/>
            <w:hideMark/>
          </w:tcPr>
          <w:p w14:paraId="3D6023A9"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805,992</w:t>
            </w:r>
          </w:p>
        </w:tc>
      </w:tr>
      <w:tr w:rsidR="00BE51B1" w:rsidRPr="007D3F22" w14:paraId="7C7E374E"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AEBE3C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Saldanha Bay</w:t>
            </w:r>
          </w:p>
        </w:tc>
        <w:tc>
          <w:tcPr>
            <w:tcW w:w="861" w:type="pct"/>
            <w:tcBorders>
              <w:top w:val="nil"/>
              <w:left w:val="nil"/>
              <w:bottom w:val="single" w:sz="4" w:space="0" w:color="auto"/>
              <w:right w:val="single" w:sz="4" w:space="0" w:color="auto"/>
            </w:tcBorders>
            <w:noWrap/>
            <w:vAlign w:val="bottom"/>
            <w:hideMark/>
          </w:tcPr>
          <w:p w14:paraId="768F6AC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South Africa</w:t>
            </w:r>
          </w:p>
        </w:tc>
        <w:tc>
          <w:tcPr>
            <w:tcW w:w="263" w:type="pct"/>
            <w:tcBorders>
              <w:top w:val="nil"/>
              <w:left w:val="nil"/>
              <w:bottom w:val="single" w:sz="4" w:space="0" w:color="auto"/>
              <w:right w:val="single" w:sz="4" w:space="0" w:color="auto"/>
            </w:tcBorders>
            <w:shd w:val="clear" w:color="000000" w:fill="70AD47"/>
            <w:noWrap/>
            <w:vAlign w:val="bottom"/>
            <w:hideMark/>
          </w:tcPr>
          <w:p w14:paraId="7700CB7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748B108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160561E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6789E5E8"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3045F35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06940B7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7888D867"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804,523</w:t>
            </w:r>
          </w:p>
        </w:tc>
        <w:tc>
          <w:tcPr>
            <w:tcW w:w="855" w:type="pct"/>
            <w:tcBorders>
              <w:top w:val="nil"/>
              <w:left w:val="nil"/>
              <w:bottom w:val="single" w:sz="4" w:space="0" w:color="auto"/>
              <w:right w:val="single" w:sz="4" w:space="0" w:color="auto"/>
            </w:tcBorders>
            <w:noWrap/>
            <w:vAlign w:val="bottom"/>
            <w:hideMark/>
          </w:tcPr>
          <w:p w14:paraId="34E2D125"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66,277,596</w:t>
            </w:r>
          </w:p>
        </w:tc>
      </w:tr>
      <w:tr w:rsidR="00BE51B1" w:rsidRPr="007D3F22" w14:paraId="61890AC4"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111C946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Durban</w:t>
            </w:r>
          </w:p>
        </w:tc>
        <w:tc>
          <w:tcPr>
            <w:tcW w:w="861" w:type="pct"/>
            <w:tcBorders>
              <w:top w:val="nil"/>
              <w:left w:val="nil"/>
              <w:bottom w:val="single" w:sz="4" w:space="0" w:color="auto"/>
              <w:right w:val="single" w:sz="4" w:space="0" w:color="auto"/>
            </w:tcBorders>
            <w:noWrap/>
            <w:vAlign w:val="bottom"/>
            <w:hideMark/>
          </w:tcPr>
          <w:p w14:paraId="107566E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South Africa</w:t>
            </w:r>
          </w:p>
        </w:tc>
        <w:tc>
          <w:tcPr>
            <w:tcW w:w="263" w:type="pct"/>
            <w:tcBorders>
              <w:top w:val="nil"/>
              <w:left w:val="nil"/>
              <w:bottom w:val="single" w:sz="4" w:space="0" w:color="auto"/>
              <w:right w:val="single" w:sz="4" w:space="0" w:color="auto"/>
            </w:tcBorders>
            <w:shd w:val="clear" w:color="000000" w:fill="70AD47"/>
            <w:noWrap/>
            <w:vAlign w:val="bottom"/>
            <w:hideMark/>
          </w:tcPr>
          <w:p w14:paraId="02FA0DC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4DEE6A6C"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4E758BC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0E7F1F6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FF0000"/>
            <w:noWrap/>
            <w:vAlign w:val="bottom"/>
            <w:hideMark/>
          </w:tcPr>
          <w:p w14:paraId="3DE4F71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13E8993C"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5D4B3EC7"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7,121,630</w:t>
            </w:r>
          </w:p>
        </w:tc>
        <w:tc>
          <w:tcPr>
            <w:tcW w:w="855" w:type="pct"/>
            <w:tcBorders>
              <w:top w:val="nil"/>
              <w:left w:val="nil"/>
              <w:bottom w:val="single" w:sz="4" w:space="0" w:color="auto"/>
              <w:right w:val="single" w:sz="4" w:space="0" w:color="auto"/>
            </w:tcBorders>
            <w:noWrap/>
            <w:vAlign w:val="bottom"/>
            <w:hideMark/>
          </w:tcPr>
          <w:p w14:paraId="2AB44A09"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39,746,309</w:t>
            </w:r>
          </w:p>
        </w:tc>
      </w:tr>
      <w:tr w:rsidR="00BE51B1" w:rsidRPr="007D3F22" w14:paraId="0FB13877"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616EF6B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East London</w:t>
            </w:r>
          </w:p>
        </w:tc>
        <w:tc>
          <w:tcPr>
            <w:tcW w:w="861" w:type="pct"/>
            <w:tcBorders>
              <w:top w:val="nil"/>
              <w:left w:val="nil"/>
              <w:bottom w:val="single" w:sz="4" w:space="0" w:color="auto"/>
              <w:right w:val="single" w:sz="4" w:space="0" w:color="auto"/>
            </w:tcBorders>
            <w:noWrap/>
            <w:vAlign w:val="bottom"/>
            <w:hideMark/>
          </w:tcPr>
          <w:p w14:paraId="78FAB6F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South Africa</w:t>
            </w:r>
          </w:p>
        </w:tc>
        <w:tc>
          <w:tcPr>
            <w:tcW w:w="263" w:type="pct"/>
            <w:tcBorders>
              <w:top w:val="nil"/>
              <w:left w:val="nil"/>
              <w:bottom w:val="single" w:sz="4" w:space="0" w:color="auto"/>
              <w:right w:val="single" w:sz="4" w:space="0" w:color="auto"/>
            </w:tcBorders>
            <w:shd w:val="clear" w:color="000000" w:fill="70AD47"/>
            <w:noWrap/>
            <w:vAlign w:val="bottom"/>
            <w:hideMark/>
          </w:tcPr>
          <w:p w14:paraId="4549492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2788B5CA"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42B2BE9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FF0000"/>
            <w:noWrap/>
            <w:vAlign w:val="bottom"/>
            <w:hideMark/>
          </w:tcPr>
          <w:p w14:paraId="5E46167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FF0000"/>
            <w:noWrap/>
            <w:vAlign w:val="bottom"/>
            <w:hideMark/>
          </w:tcPr>
          <w:p w14:paraId="41D7F5B8"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14FA79AD"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681A8F8D"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71,561</w:t>
            </w:r>
          </w:p>
        </w:tc>
        <w:tc>
          <w:tcPr>
            <w:tcW w:w="855" w:type="pct"/>
            <w:tcBorders>
              <w:top w:val="nil"/>
              <w:left w:val="nil"/>
              <w:bottom w:val="single" w:sz="4" w:space="0" w:color="auto"/>
              <w:right w:val="single" w:sz="4" w:space="0" w:color="auto"/>
            </w:tcBorders>
            <w:noWrap/>
            <w:vAlign w:val="bottom"/>
            <w:hideMark/>
          </w:tcPr>
          <w:p w14:paraId="5E020CC8"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358,922</w:t>
            </w:r>
          </w:p>
        </w:tc>
      </w:tr>
      <w:tr w:rsidR="00BE51B1" w:rsidRPr="007D3F22" w14:paraId="56BD0C32"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1CCFDE9C"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Port Elizabeth</w:t>
            </w:r>
          </w:p>
        </w:tc>
        <w:tc>
          <w:tcPr>
            <w:tcW w:w="861" w:type="pct"/>
            <w:tcBorders>
              <w:top w:val="nil"/>
              <w:left w:val="nil"/>
              <w:bottom w:val="single" w:sz="4" w:space="0" w:color="auto"/>
              <w:right w:val="single" w:sz="4" w:space="0" w:color="auto"/>
            </w:tcBorders>
            <w:noWrap/>
            <w:vAlign w:val="bottom"/>
            <w:hideMark/>
          </w:tcPr>
          <w:p w14:paraId="6D9BD50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South Africa</w:t>
            </w:r>
          </w:p>
        </w:tc>
        <w:tc>
          <w:tcPr>
            <w:tcW w:w="263" w:type="pct"/>
            <w:tcBorders>
              <w:top w:val="nil"/>
              <w:left w:val="nil"/>
              <w:bottom w:val="single" w:sz="4" w:space="0" w:color="auto"/>
              <w:right w:val="single" w:sz="4" w:space="0" w:color="auto"/>
            </w:tcBorders>
            <w:shd w:val="clear" w:color="000000" w:fill="FF0000"/>
            <w:noWrap/>
            <w:vAlign w:val="bottom"/>
            <w:hideMark/>
          </w:tcPr>
          <w:p w14:paraId="0E49070D"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FF0000"/>
            <w:noWrap/>
            <w:vAlign w:val="bottom"/>
            <w:hideMark/>
          </w:tcPr>
          <w:p w14:paraId="22A04189"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FF0000"/>
            <w:noWrap/>
            <w:vAlign w:val="bottom"/>
            <w:hideMark/>
          </w:tcPr>
          <w:p w14:paraId="78FEE701"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FF0000"/>
            <w:noWrap/>
            <w:vAlign w:val="bottom"/>
            <w:hideMark/>
          </w:tcPr>
          <w:p w14:paraId="65F10114"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69C355DF"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FF0000"/>
            <w:noWrap/>
            <w:vAlign w:val="bottom"/>
            <w:hideMark/>
          </w:tcPr>
          <w:p w14:paraId="05C244A6"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08D058B8"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2,226,238</w:t>
            </w:r>
          </w:p>
        </w:tc>
        <w:tc>
          <w:tcPr>
            <w:tcW w:w="855" w:type="pct"/>
            <w:tcBorders>
              <w:top w:val="nil"/>
              <w:left w:val="nil"/>
              <w:bottom w:val="single" w:sz="4" w:space="0" w:color="auto"/>
              <w:right w:val="single" w:sz="4" w:space="0" w:color="auto"/>
            </w:tcBorders>
            <w:noWrap/>
            <w:vAlign w:val="bottom"/>
            <w:hideMark/>
          </w:tcPr>
          <w:p w14:paraId="3BE8381A"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40,410,807</w:t>
            </w:r>
          </w:p>
        </w:tc>
      </w:tr>
      <w:tr w:rsidR="00BE51B1" w:rsidRPr="007D3F22" w14:paraId="51D3C919" w14:textId="77777777" w:rsidTr="00877C15">
        <w:trPr>
          <w:trHeight w:val="20"/>
        </w:trPr>
        <w:tc>
          <w:tcPr>
            <w:tcW w:w="941" w:type="pct"/>
            <w:tcBorders>
              <w:top w:val="nil"/>
              <w:left w:val="single" w:sz="4" w:space="0" w:color="auto"/>
              <w:bottom w:val="single" w:sz="4" w:space="0" w:color="auto"/>
              <w:right w:val="single" w:sz="4" w:space="0" w:color="auto"/>
            </w:tcBorders>
            <w:noWrap/>
            <w:vAlign w:val="bottom"/>
            <w:hideMark/>
          </w:tcPr>
          <w:p w14:paraId="2D89B05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Dar Es Salaam</w:t>
            </w:r>
          </w:p>
        </w:tc>
        <w:tc>
          <w:tcPr>
            <w:tcW w:w="861" w:type="pct"/>
            <w:tcBorders>
              <w:top w:val="nil"/>
              <w:left w:val="nil"/>
              <w:bottom w:val="single" w:sz="4" w:space="0" w:color="auto"/>
              <w:right w:val="single" w:sz="4" w:space="0" w:color="auto"/>
            </w:tcBorders>
            <w:noWrap/>
            <w:vAlign w:val="bottom"/>
            <w:hideMark/>
          </w:tcPr>
          <w:p w14:paraId="163E826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Tanzania</w:t>
            </w:r>
          </w:p>
        </w:tc>
        <w:tc>
          <w:tcPr>
            <w:tcW w:w="263" w:type="pct"/>
            <w:tcBorders>
              <w:top w:val="nil"/>
              <w:left w:val="nil"/>
              <w:bottom w:val="single" w:sz="4" w:space="0" w:color="auto"/>
              <w:right w:val="single" w:sz="4" w:space="0" w:color="auto"/>
            </w:tcBorders>
            <w:shd w:val="clear" w:color="000000" w:fill="70AD47"/>
            <w:noWrap/>
            <w:vAlign w:val="bottom"/>
            <w:hideMark/>
          </w:tcPr>
          <w:p w14:paraId="771C5A0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54" w:type="pct"/>
            <w:tcBorders>
              <w:top w:val="nil"/>
              <w:left w:val="nil"/>
              <w:bottom w:val="single" w:sz="4" w:space="0" w:color="auto"/>
              <w:right w:val="single" w:sz="4" w:space="0" w:color="auto"/>
            </w:tcBorders>
            <w:shd w:val="clear" w:color="000000" w:fill="70AD47"/>
            <w:noWrap/>
            <w:vAlign w:val="bottom"/>
            <w:hideMark/>
          </w:tcPr>
          <w:p w14:paraId="15B62DB0"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1" w:type="pct"/>
            <w:tcBorders>
              <w:top w:val="nil"/>
              <w:left w:val="nil"/>
              <w:bottom w:val="single" w:sz="4" w:space="0" w:color="auto"/>
              <w:right w:val="single" w:sz="4" w:space="0" w:color="auto"/>
            </w:tcBorders>
            <w:shd w:val="clear" w:color="000000" w:fill="70AD47"/>
            <w:noWrap/>
            <w:vAlign w:val="bottom"/>
            <w:hideMark/>
          </w:tcPr>
          <w:p w14:paraId="09037183"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20" w:type="pct"/>
            <w:tcBorders>
              <w:top w:val="nil"/>
              <w:left w:val="nil"/>
              <w:bottom w:val="single" w:sz="4" w:space="0" w:color="auto"/>
              <w:right w:val="single" w:sz="4" w:space="0" w:color="auto"/>
            </w:tcBorders>
            <w:shd w:val="clear" w:color="000000" w:fill="70AD47"/>
            <w:noWrap/>
            <w:vAlign w:val="bottom"/>
            <w:hideMark/>
          </w:tcPr>
          <w:p w14:paraId="64266762"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65" w:type="pct"/>
            <w:tcBorders>
              <w:top w:val="nil"/>
              <w:left w:val="nil"/>
              <w:bottom w:val="single" w:sz="4" w:space="0" w:color="auto"/>
              <w:right w:val="single" w:sz="4" w:space="0" w:color="auto"/>
            </w:tcBorders>
            <w:shd w:val="clear" w:color="000000" w:fill="70AD47"/>
            <w:noWrap/>
            <w:vAlign w:val="bottom"/>
            <w:hideMark/>
          </w:tcPr>
          <w:p w14:paraId="30590EAB"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237" w:type="pct"/>
            <w:tcBorders>
              <w:top w:val="nil"/>
              <w:left w:val="nil"/>
              <w:bottom w:val="single" w:sz="4" w:space="0" w:color="auto"/>
              <w:right w:val="single" w:sz="4" w:space="0" w:color="auto"/>
            </w:tcBorders>
            <w:shd w:val="clear" w:color="000000" w:fill="70AD47"/>
            <w:noWrap/>
            <w:vAlign w:val="bottom"/>
            <w:hideMark/>
          </w:tcPr>
          <w:p w14:paraId="63947775" w14:textId="77777777" w:rsidR="00BE51B1" w:rsidRPr="00766470" w:rsidRDefault="00BE51B1" w:rsidP="00877C15">
            <w:pPr>
              <w:spacing w:before="20" w:after="40" w:line="240" w:lineRule="auto"/>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 </w:t>
            </w:r>
          </w:p>
        </w:tc>
        <w:tc>
          <w:tcPr>
            <w:tcW w:w="883" w:type="pct"/>
            <w:tcBorders>
              <w:top w:val="nil"/>
              <w:left w:val="nil"/>
              <w:bottom w:val="single" w:sz="4" w:space="0" w:color="auto"/>
              <w:right w:val="single" w:sz="4" w:space="0" w:color="auto"/>
            </w:tcBorders>
            <w:noWrap/>
            <w:vAlign w:val="bottom"/>
            <w:hideMark/>
          </w:tcPr>
          <w:p w14:paraId="51B7AC54"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1,090,358</w:t>
            </w:r>
          </w:p>
        </w:tc>
        <w:tc>
          <w:tcPr>
            <w:tcW w:w="855" w:type="pct"/>
            <w:tcBorders>
              <w:top w:val="nil"/>
              <w:left w:val="nil"/>
              <w:bottom w:val="single" w:sz="4" w:space="0" w:color="auto"/>
              <w:right w:val="single" w:sz="4" w:space="0" w:color="auto"/>
            </w:tcBorders>
            <w:noWrap/>
            <w:vAlign w:val="bottom"/>
            <w:hideMark/>
          </w:tcPr>
          <w:p w14:paraId="0E5AF0C7" w14:textId="77777777" w:rsidR="00BE51B1" w:rsidRPr="00766470" w:rsidRDefault="00BE51B1" w:rsidP="00877C15">
            <w:pPr>
              <w:spacing w:before="20" w:after="40" w:line="240" w:lineRule="auto"/>
              <w:jc w:val="right"/>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6,142,306</w:t>
            </w:r>
          </w:p>
        </w:tc>
      </w:tr>
    </w:tbl>
    <w:p w14:paraId="44D6B6DF" w14:textId="77777777" w:rsidR="00BE51B1" w:rsidRPr="00766470" w:rsidRDefault="00BE51B1" w:rsidP="00BE51B1">
      <w:pPr>
        <w:spacing w:after="0"/>
        <w:ind w:left="360"/>
        <w:jc w:val="both"/>
        <w:rPr>
          <w:rFonts w:ascii="Arial" w:hAnsi="Arial" w:cs="Arial"/>
        </w:rPr>
      </w:pPr>
      <w:r w:rsidRPr="00766470">
        <w:rPr>
          <w:rFonts w:ascii="Arial" w:eastAsia="Calibri" w:hAnsi="Arial" w:cs="Arial"/>
        </w:rPr>
        <w:t xml:space="preserve">   </w:t>
      </w:r>
    </w:p>
    <w:p w14:paraId="7C326D56" w14:textId="77777777" w:rsidR="00BE51B1" w:rsidRPr="00AD40F3" w:rsidRDefault="00BE51B1" w:rsidP="00BE51B1">
      <w:pPr>
        <w:pStyle w:val="Heading3"/>
        <w:rPr>
          <w:rFonts w:ascii="Arial" w:hAnsi="Arial" w:cs="Arial"/>
          <w:b/>
          <w:bCs/>
          <w:sz w:val="24"/>
          <w:szCs w:val="24"/>
        </w:rPr>
      </w:pPr>
      <w:bookmarkStart w:id="102" w:name="_Toc211272297"/>
      <w:r w:rsidRPr="00AD40F3">
        <w:rPr>
          <w:rFonts w:ascii="Arial" w:hAnsi="Arial" w:cs="Arial"/>
          <w:b/>
          <w:bCs/>
          <w:sz w:val="24"/>
          <w:szCs w:val="24"/>
        </w:rPr>
        <w:t>4.2.2 Processing locations were established.</w:t>
      </w:r>
      <w:bookmarkEnd w:id="102"/>
      <w:r w:rsidRPr="00AD40F3">
        <w:rPr>
          <w:rFonts w:ascii="Arial" w:hAnsi="Arial" w:cs="Arial"/>
          <w:b/>
          <w:bCs/>
          <w:sz w:val="24"/>
          <w:szCs w:val="24"/>
        </w:rPr>
        <w:t xml:space="preserve"> </w:t>
      </w:r>
      <w:r w:rsidRPr="00AD40F3">
        <w:rPr>
          <w:rFonts w:ascii="Arial" w:hAnsi="Arial" w:cs="Arial"/>
          <w:b/>
          <w:bCs/>
          <w:sz w:val="24"/>
          <w:szCs w:val="24"/>
        </w:rPr>
        <w:br/>
      </w:r>
    </w:p>
    <w:p w14:paraId="359984C3" w14:textId="7289858A" w:rsidR="00BE51B1" w:rsidRPr="00766470" w:rsidRDefault="00BE51B1" w:rsidP="00BE51B1">
      <w:pPr>
        <w:spacing w:after="0"/>
        <w:jc w:val="both"/>
        <w:rPr>
          <w:rFonts w:ascii="Arial" w:hAnsi="Arial" w:cs="Arial"/>
        </w:rPr>
      </w:pPr>
      <w:r w:rsidRPr="00766470">
        <w:rPr>
          <w:rFonts w:ascii="Arial" w:eastAsia="Calibri" w:hAnsi="Arial" w:cs="Arial"/>
        </w:rPr>
        <w:t>Since little mineral processing is currently taking place in Southern Africa, assumptions had to be made regarding where future processing would take place. This was based on the approach summarised in</w:t>
      </w:r>
      <w:r w:rsidR="00615C28">
        <w:rPr>
          <w:rFonts w:ascii="Arial" w:eastAsia="Calibri" w:hAnsi="Arial" w:cs="Arial"/>
          <w:b/>
          <w:bCs/>
        </w:rPr>
        <w:t xml:space="preserve"> </w:t>
      </w:r>
      <w:r w:rsidR="00615C28">
        <w:rPr>
          <w:rFonts w:ascii="Arial" w:eastAsia="Calibri" w:hAnsi="Arial" w:cs="Arial"/>
          <w:b/>
          <w:bCs/>
        </w:rPr>
        <w:fldChar w:fldCharType="begin"/>
      </w:r>
      <w:r w:rsidR="00615C28">
        <w:rPr>
          <w:rFonts w:ascii="Arial" w:eastAsia="Calibri" w:hAnsi="Arial" w:cs="Arial"/>
          <w:b/>
          <w:bCs/>
        </w:rPr>
        <w:instrText xml:space="preserve"> REF _Ref214453269 \h </w:instrText>
      </w:r>
      <w:r w:rsidR="00615C28">
        <w:rPr>
          <w:rFonts w:ascii="Arial" w:eastAsia="Calibri" w:hAnsi="Arial" w:cs="Arial"/>
          <w:b/>
          <w:bCs/>
        </w:rPr>
      </w:r>
      <w:r w:rsidR="00615C28">
        <w:rPr>
          <w:rFonts w:ascii="Arial" w:eastAsia="Calibri" w:hAnsi="Arial" w:cs="Arial"/>
          <w:b/>
          <w:bCs/>
        </w:rPr>
        <w:fldChar w:fldCharType="separate"/>
      </w:r>
      <w:r w:rsidR="00615C28">
        <w:t xml:space="preserve">Table </w:t>
      </w:r>
      <w:r w:rsidR="00615C28">
        <w:rPr>
          <w:noProof/>
        </w:rPr>
        <w:t>16</w:t>
      </w:r>
      <w:r w:rsidR="00615C28">
        <w:rPr>
          <w:rFonts w:ascii="Arial" w:eastAsia="Calibri" w:hAnsi="Arial" w:cs="Arial"/>
          <w:b/>
          <w:bCs/>
        </w:rPr>
        <w:fldChar w:fldCharType="end"/>
      </w:r>
      <w:r w:rsidRPr="00766470">
        <w:rPr>
          <w:rFonts w:ascii="Arial" w:eastAsia="Calibri" w:hAnsi="Arial" w:cs="Arial"/>
        </w:rPr>
        <w:t>. Across the scenarios most of the early-stage processing (eg ores and concentrates, unrefined products) was assumed to be produced at the mining site, which is common in the mining industry given the large volumes of ore extracted</w:t>
      </w:r>
      <w:r w:rsidRPr="00766470">
        <w:rPr>
          <w:rFonts w:ascii="Arial" w:eastAsia="Calibri" w:hAnsi="Arial" w:cs="Arial"/>
        </w:rPr>
        <w:fldChar w:fldCharType="begin"/>
      </w:r>
      <w:r w:rsidR="0016542D">
        <w:rPr>
          <w:rFonts w:ascii="Arial" w:eastAsia="Calibri" w:hAnsi="Arial" w:cs="Arial"/>
        </w:rPr>
        <w:instrText xml:space="preserve"> ADDIN ZOTERO_ITEM CSL_CITATION {"citationID":"GLc9NzFR","properties":{"formattedCitation":"\\super 106\\nosupersub{}","plainCitation":"106","noteIndex":0},"citationItems":[{"id":14,"uris":["http://zotero.org/users/10918866/items/9CSVMJUS"],"itemData":{"id":14,"type":"chapter","container-title":"Mineral Exploration","DOI":"10.1016/B978-0-12-416005-7.00012-X","ISBN":"978-0-12-416005-7","page":"223-250","publisher":"Elsevier","publisher-place":"Boston","source":"ScienceDirect","title":"Chapter 12 - Mineral Processing","URL":"https://www.sciencedirect.com/science/article/pii/B978012416005700012X","author":[{"family":"Haldar","given":"S. K."}],"editor":[{"family":"Haldar","given":"S. K."}],"accessed":{"date-parts":[["2025",2,4]]},"issued":{"date-parts":[["2013",1,1]]}}}],"schema":"https://github.com/citation-style-language/schema/raw/master/csl-citation.json"}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106</w:t>
      </w:r>
      <w:r w:rsidRPr="00766470">
        <w:rPr>
          <w:rFonts w:ascii="Arial" w:eastAsia="Calibri" w:hAnsi="Arial" w:cs="Arial"/>
        </w:rPr>
        <w:fldChar w:fldCharType="end"/>
      </w:r>
      <w:r w:rsidRPr="00766470">
        <w:rPr>
          <w:rFonts w:ascii="Arial" w:eastAsia="Calibri" w:hAnsi="Arial" w:cs="Arial"/>
        </w:rPr>
        <w:t>. The intermediate stages (eg copper and cobalt cathode, spherical graphite, lithium carbonate, manganese oxide, and nickel mattes) were assumed to be processed at the mines or right next to them in the baseline scenario, which currently occurs for large-scale operations such as Glencore’s Mutanda mine in DRC which produces copper and cobalt</w:t>
      </w:r>
      <w:r w:rsidRPr="00766470">
        <w:rPr>
          <w:rFonts w:ascii="Arial" w:eastAsia="Calibri" w:hAnsi="Arial" w:cs="Arial"/>
        </w:rPr>
        <w:fldChar w:fldCharType="begin"/>
      </w:r>
      <w:r w:rsidR="007E07E0">
        <w:rPr>
          <w:rFonts w:ascii="Arial" w:eastAsia="Calibri" w:hAnsi="Arial" w:cs="Arial"/>
        </w:rPr>
        <w:instrText xml:space="preserve"> ADDIN ZOTERO_ITEM CSL_CITATION {"citationID":"B92nXwKG","properties":{"formattedCitation":"\\super 107\\nosupersub{}","plainCitation":"107","noteIndex":0},"citationItems":[{"id":13,"uris":["http://zotero.org/users/10918866/items/HTEDHHMJ"],"itemData":{"id":13,"type":"webpage","language":"en","title":"Cobalt","URL":"https://www.glencore.com/what-we-do/metals-and-minerals/cobalt","author":[{"family":"Glencore","given":""}],"accessed":{"date-parts":[["2025",2,4]]},"issued":{"date-parts":[["2025"]]}}}],"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107</w:t>
      </w:r>
      <w:r w:rsidRPr="00766470">
        <w:rPr>
          <w:rFonts w:ascii="Arial" w:eastAsia="Calibri" w:hAnsi="Arial" w:cs="Arial"/>
        </w:rPr>
        <w:fldChar w:fldCharType="end"/>
      </w:r>
      <w:r w:rsidRPr="00766470">
        <w:rPr>
          <w:rFonts w:ascii="Arial" w:eastAsia="Calibri" w:hAnsi="Arial" w:cs="Arial"/>
        </w:rPr>
        <w:t xml:space="preserve">. The assumption is less true for lesser developed mineral processing in the continent such as lithium, graphite, or manganese (for battery applications), yet using the same assumption facilitated calculations and comparisons. In the absence of any data, higher stages were assumed to have processing locations in the vicinity of cities where manufacturing would be located. </w:t>
      </w:r>
      <w:r w:rsidRPr="00970980">
        <w:rPr>
          <w:rFonts w:ascii="Arial" w:eastAsia="Calibri" w:hAnsi="Arial" w:cs="Arial"/>
        </w:rPr>
        <w:t xml:space="preserve">In the </w:t>
      </w:r>
      <w:r w:rsidRPr="00763584">
        <w:rPr>
          <w:rFonts w:ascii="Arial" w:eastAsia="Calibri" w:hAnsi="Arial" w:cs="Arial"/>
        </w:rPr>
        <w:t>Business-As-Usual Scenario</w:t>
      </w:r>
      <w:r w:rsidRPr="00970980">
        <w:rPr>
          <w:rFonts w:ascii="Arial" w:eastAsia="Calibri" w:hAnsi="Arial" w:cs="Arial"/>
        </w:rPr>
        <w:t xml:space="preserve"> the processing at the mines would scale up if the mine level output increased. In the </w:t>
      </w:r>
      <w:r w:rsidRPr="00763584">
        <w:rPr>
          <w:rFonts w:ascii="Arial" w:eastAsia="Calibri" w:hAnsi="Arial" w:cs="Arial"/>
        </w:rPr>
        <w:t>Precursor-Related Product Scenario</w:t>
      </w:r>
      <w:r w:rsidRPr="00970980">
        <w:rPr>
          <w:rFonts w:ascii="Arial" w:eastAsia="Calibri" w:hAnsi="Arial" w:cs="Arial"/>
        </w:rPr>
        <w:t xml:space="preserve"> the mine level </w:t>
      </w:r>
      <w:r w:rsidRPr="00970980">
        <w:rPr>
          <w:rFonts w:ascii="Arial" w:eastAsia="Calibri" w:hAnsi="Arial" w:cs="Arial"/>
        </w:rPr>
        <w:lastRenderedPageBreak/>
        <w:t xml:space="preserve">processing would at most match their baseline volumes. Any excess tonnage of metal content (or ores and concentrates) in the future scenarios would be moved out of the mines towards new locations. </w:t>
      </w:r>
      <w:r w:rsidRPr="00766470">
        <w:rPr>
          <w:rFonts w:ascii="Arial" w:eastAsia="Calibri" w:hAnsi="Arial" w:cs="Arial"/>
        </w:rPr>
        <w:t>For the future scenarios the processing of the desired stages of products was assumed to move towards locations of flow concentration as estimated from a flow optimisation model (see</w:t>
      </w:r>
      <w:r w:rsidR="00615C28">
        <w:rPr>
          <w:rFonts w:ascii="Arial" w:eastAsia="Calibri" w:hAnsi="Arial" w:cs="Arial"/>
          <w:b/>
          <w:bCs/>
        </w:rPr>
        <w:t xml:space="preserve"> </w:t>
      </w:r>
      <w:r w:rsidR="00615C28">
        <w:rPr>
          <w:rFonts w:ascii="Arial" w:eastAsia="Calibri" w:hAnsi="Arial" w:cs="Arial"/>
          <w:b/>
          <w:bCs/>
        </w:rPr>
        <w:fldChar w:fldCharType="begin"/>
      </w:r>
      <w:r w:rsidR="00615C28">
        <w:rPr>
          <w:rFonts w:ascii="Arial" w:eastAsia="Calibri" w:hAnsi="Arial" w:cs="Arial"/>
          <w:b/>
          <w:bCs/>
        </w:rPr>
        <w:instrText xml:space="preserve"> REF _Ref214453269 \h </w:instrText>
      </w:r>
      <w:r w:rsidR="00615C28">
        <w:rPr>
          <w:rFonts w:ascii="Arial" w:eastAsia="Calibri" w:hAnsi="Arial" w:cs="Arial"/>
          <w:b/>
          <w:bCs/>
        </w:rPr>
      </w:r>
      <w:r w:rsidR="00615C28">
        <w:rPr>
          <w:rFonts w:ascii="Arial" w:eastAsia="Calibri" w:hAnsi="Arial" w:cs="Arial"/>
          <w:b/>
          <w:bCs/>
        </w:rPr>
        <w:fldChar w:fldCharType="separate"/>
      </w:r>
      <w:r w:rsidR="00615C28">
        <w:t xml:space="preserve">Table </w:t>
      </w:r>
      <w:r w:rsidR="00615C28">
        <w:rPr>
          <w:noProof/>
        </w:rPr>
        <w:t>16</w:t>
      </w:r>
      <w:r w:rsidR="00615C28">
        <w:rPr>
          <w:rFonts w:ascii="Arial" w:eastAsia="Calibri" w:hAnsi="Arial" w:cs="Arial"/>
          <w:b/>
          <w:bCs/>
        </w:rPr>
        <w:fldChar w:fldCharType="end"/>
      </w:r>
      <w:r w:rsidRPr="00766470">
        <w:rPr>
          <w:rFonts w:ascii="Arial" w:eastAsia="Calibri" w:hAnsi="Arial" w:cs="Arial"/>
        </w:rPr>
        <w:t xml:space="preserve">).    </w:t>
      </w:r>
    </w:p>
    <w:p w14:paraId="5D8704E1" w14:textId="77777777" w:rsidR="00BE51B1" w:rsidRPr="00766470" w:rsidRDefault="00BE51B1" w:rsidP="00BE51B1">
      <w:pPr>
        <w:spacing w:after="0"/>
        <w:jc w:val="both"/>
        <w:rPr>
          <w:rFonts w:ascii="Arial" w:hAnsi="Arial" w:cs="Arial"/>
        </w:rPr>
      </w:pPr>
      <w:r w:rsidRPr="00766470">
        <w:rPr>
          <w:rFonts w:ascii="Arial" w:eastAsia="Calibri" w:hAnsi="Arial" w:cs="Arial"/>
        </w:rPr>
        <w:t xml:space="preserve"> </w:t>
      </w:r>
    </w:p>
    <w:p w14:paraId="1FD315FD" w14:textId="120667A6" w:rsidR="00BE51B1" w:rsidRPr="009F3AF4" w:rsidRDefault="00615C28" w:rsidP="00615C28">
      <w:pPr>
        <w:pStyle w:val="Caption"/>
      </w:pPr>
      <w:bookmarkStart w:id="103" w:name="_Ref214453269"/>
      <w:bookmarkStart w:id="104" w:name="_Toc211509411"/>
      <w:r>
        <w:t xml:space="preserve">Table </w:t>
      </w:r>
      <w:fldSimple w:instr=" SEQ Table \* ARABIC ">
        <w:r>
          <w:t>16</w:t>
        </w:r>
      </w:fldSimple>
      <w:bookmarkEnd w:id="103"/>
      <w:r w:rsidR="00BE51B1" w:rsidRPr="009F3AF4">
        <w:t>: Summary of assumptions regarding future processing locations</w:t>
      </w:r>
      <w:bookmarkEnd w:id="104"/>
    </w:p>
    <w:tbl>
      <w:tblPr>
        <w:tblW w:w="8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4"/>
        <w:gridCol w:w="3052"/>
        <w:gridCol w:w="970"/>
        <w:gridCol w:w="1091"/>
        <w:gridCol w:w="1127"/>
        <w:gridCol w:w="1389"/>
      </w:tblGrid>
      <w:tr w:rsidR="00A404E1" w:rsidRPr="000A2A37" w14:paraId="2B70AC02" w14:textId="77777777" w:rsidTr="00A404E1">
        <w:trPr>
          <w:trHeight w:val="344"/>
        </w:trPr>
        <w:tc>
          <w:tcPr>
            <w:tcW w:w="554" w:type="dxa"/>
            <w:noWrap/>
            <w:vAlign w:val="bottom"/>
          </w:tcPr>
          <w:p w14:paraId="75201894" w14:textId="77777777" w:rsidR="00A404E1" w:rsidRPr="000A2A37" w:rsidRDefault="00A404E1" w:rsidP="00877C15">
            <w:pPr>
              <w:spacing w:after="0" w:line="240" w:lineRule="auto"/>
              <w:rPr>
                <w:rFonts w:ascii="Arial" w:eastAsia="Times New Roman" w:hAnsi="Arial" w:cs="Arial"/>
                <w:kern w:val="0"/>
                <w:lang w:eastAsia="en-GB"/>
                <w14:ligatures w14:val="none"/>
              </w:rPr>
            </w:pPr>
          </w:p>
        </w:tc>
        <w:tc>
          <w:tcPr>
            <w:tcW w:w="3052" w:type="dxa"/>
            <w:vAlign w:val="bottom"/>
          </w:tcPr>
          <w:p w14:paraId="6B5BE597"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p>
        </w:tc>
        <w:tc>
          <w:tcPr>
            <w:tcW w:w="970" w:type="dxa"/>
            <w:vAlign w:val="bottom"/>
          </w:tcPr>
          <w:p w14:paraId="3F83CD90"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p>
        </w:tc>
        <w:tc>
          <w:tcPr>
            <w:tcW w:w="1091" w:type="dxa"/>
            <w:vAlign w:val="bottom"/>
          </w:tcPr>
          <w:p w14:paraId="3E71E2F5"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p>
        </w:tc>
        <w:tc>
          <w:tcPr>
            <w:tcW w:w="2516" w:type="dxa"/>
            <w:gridSpan w:val="2"/>
            <w:vAlign w:val="bottom"/>
          </w:tcPr>
          <w:p w14:paraId="0E9CAB9F" w14:textId="0A3D13C4" w:rsidR="00A404E1" w:rsidRPr="000A2A37" w:rsidRDefault="00A404E1" w:rsidP="00A404E1">
            <w:pPr>
              <w:spacing w:after="0" w:line="240"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Processing locations</w:t>
            </w:r>
          </w:p>
        </w:tc>
      </w:tr>
      <w:tr w:rsidR="00A404E1" w:rsidRPr="000A2A37" w14:paraId="11DB3D31" w14:textId="77777777" w:rsidTr="00A404E1">
        <w:trPr>
          <w:trHeight w:val="829"/>
        </w:trPr>
        <w:tc>
          <w:tcPr>
            <w:tcW w:w="554" w:type="dxa"/>
            <w:noWrap/>
            <w:vAlign w:val="bottom"/>
            <w:hideMark/>
          </w:tcPr>
          <w:p w14:paraId="6CA4D363" w14:textId="77777777" w:rsidR="00A404E1" w:rsidRPr="000A2A37" w:rsidRDefault="00A404E1" w:rsidP="00877C15">
            <w:pPr>
              <w:spacing w:after="0" w:line="240" w:lineRule="auto"/>
              <w:rPr>
                <w:rFonts w:ascii="Arial" w:eastAsia="Times New Roman" w:hAnsi="Arial" w:cs="Arial"/>
                <w:kern w:val="0"/>
                <w:lang w:eastAsia="en-GB"/>
                <w14:ligatures w14:val="none"/>
              </w:rPr>
            </w:pPr>
          </w:p>
        </w:tc>
        <w:tc>
          <w:tcPr>
            <w:tcW w:w="3052" w:type="dxa"/>
            <w:vAlign w:val="bottom"/>
            <w:hideMark/>
          </w:tcPr>
          <w:p w14:paraId="0A4E6D23"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r w:rsidRPr="000A2A37">
              <w:rPr>
                <w:rFonts w:ascii="Arial" w:eastAsia="Times New Roman" w:hAnsi="Arial" w:cs="Arial"/>
                <w:b/>
                <w:bCs/>
                <w:color w:val="000000"/>
                <w:kern w:val="0"/>
                <w:sz w:val="20"/>
                <w:szCs w:val="20"/>
                <w:lang w:eastAsia="en-GB"/>
                <w14:ligatures w14:val="none"/>
              </w:rPr>
              <w:t>BACI product description</w:t>
            </w:r>
          </w:p>
        </w:tc>
        <w:tc>
          <w:tcPr>
            <w:tcW w:w="970" w:type="dxa"/>
            <w:vAlign w:val="bottom"/>
            <w:hideMark/>
          </w:tcPr>
          <w:p w14:paraId="7DBD880A"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r w:rsidRPr="000A2A37">
              <w:rPr>
                <w:rFonts w:ascii="Arial" w:eastAsia="Times New Roman" w:hAnsi="Arial" w:cs="Arial"/>
                <w:b/>
                <w:bCs/>
                <w:color w:val="000000"/>
                <w:kern w:val="0"/>
                <w:sz w:val="20"/>
                <w:szCs w:val="20"/>
                <w:lang w:eastAsia="en-GB"/>
                <w14:ligatures w14:val="none"/>
              </w:rPr>
              <w:t>BACI code</w:t>
            </w:r>
          </w:p>
        </w:tc>
        <w:tc>
          <w:tcPr>
            <w:tcW w:w="1091" w:type="dxa"/>
            <w:vAlign w:val="bottom"/>
            <w:hideMark/>
          </w:tcPr>
          <w:p w14:paraId="6B18EDE7"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r w:rsidRPr="000A2A37">
              <w:rPr>
                <w:rFonts w:ascii="Arial" w:eastAsia="Times New Roman" w:hAnsi="Arial" w:cs="Arial"/>
                <w:b/>
                <w:bCs/>
                <w:color w:val="000000"/>
                <w:kern w:val="0"/>
                <w:sz w:val="20"/>
                <w:szCs w:val="20"/>
                <w:lang w:eastAsia="en-GB"/>
                <w14:ligatures w14:val="none"/>
              </w:rPr>
              <w:t>Refining stage</w:t>
            </w:r>
          </w:p>
        </w:tc>
        <w:tc>
          <w:tcPr>
            <w:tcW w:w="1127" w:type="dxa"/>
            <w:vAlign w:val="bottom"/>
            <w:hideMark/>
          </w:tcPr>
          <w:p w14:paraId="366BA3F1"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r w:rsidRPr="000A2A37">
              <w:rPr>
                <w:rFonts w:ascii="Arial" w:eastAsia="Times New Roman" w:hAnsi="Arial" w:cs="Arial"/>
                <w:b/>
                <w:bCs/>
                <w:color w:val="000000"/>
                <w:kern w:val="0"/>
                <w:sz w:val="20"/>
                <w:szCs w:val="20"/>
                <w:lang w:eastAsia="en-GB"/>
                <w14:ligatures w14:val="none"/>
              </w:rPr>
              <w:t xml:space="preserve">Baseline (2022) </w:t>
            </w:r>
          </w:p>
        </w:tc>
        <w:tc>
          <w:tcPr>
            <w:tcW w:w="1389" w:type="dxa"/>
            <w:vAlign w:val="bottom"/>
            <w:hideMark/>
          </w:tcPr>
          <w:p w14:paraId="0B533314" w14:textId="77777777" w:rsidR="00A404E1" w:rsidRPr="000A2A37" w:rsidRDefault="00A404E1" w:rsidP="00877C15">
            <w:pPr>
              <w:spacing w:after="0" w:line="240" w:lineRule="auto"/>
              <w:rPr>
                <w:rFonts w:ascii="Arial" w:eastAsia="Times New Roman" w:hAnsi="Arial" w:cs="Arial"/>
                <w:b/>
                <w:bCs/>
                <w:color w:val="000000"/>
                <w:kern w:val="0"/>
                <w:sz w:val="20"/>
                <w:szCs w:val="20"/>
                <w:lang w:eastAsia="en-GB"/>
                <w14:ligatures w14:val="none"/>
              </w:rPr>
            </w:pPr>
            <w:r w:rsidRPr="000A2A37">
              <w:rPr>
                <w:rFonts w:ascii="Arial" w:eastAsia="Times New Roman" w:hAnsi="Arial" w:cs="Arial"/>
                <w:b/>
                <w:bCs/>
                <w:color w:val="000000"/>
                <w:kern w:val="0"/>
                <w:sz w:val="20"/>
                <w:szCs w:val="20"/>
                <w:lang w:eastAsia="en-GB"/>
                <w14:ligatures w14:val="none"/>
              </w:rPr>
              <w:t>Precursor product</w:t>
            </w:r>
            <w:r>
              <w:rPr>
                <w:rFonts w:ascii="Arial" w:eastAsia="Times New Roman" w:hAnsi="Arial" w:cs="Arial"/>
                <w:b/>
                <w:bCs/>
                <w:color w:val="000000"/>
                <w:kern w:val="0"/>
                <w:sz w:val="20"/>
                <w:szCs w:val="20"/>
                <w:lang w:eastAsia="en-GB"/>
                <w14:ligatures w14:val="none"/>
              </w:rPr>
              <w:t xml:space="preserve"> </w:t>
            </w:r>
            <w:r w:rsidRPr="000A2A37">
              <w:rPr>
                <w:rFonts w:ascii="Arial" w:eastAsia="Times New Roman" w:hAnsi="Arial" w:cs="Arial"/>
                <w:b/>
                <w:bCs/>
                <w:color w:val="000000"/>
                <w:kern w:val="0"/>
                <w:sz w:val="20"/>
                <w:szCs w:val="20"/>
                <w:lang w:eastAsia="en-GB"/>
                <w14:ligatures w14:val="none"/>
              </w:rPr>
              <w:t>2040</w:t>
            </w:r>
          </w:p>
        </w:tc>
      </w:tr>
      <w:tr w:rsidR="00A404E1" w:rsidRPr="00CF0BA1" w14:paraId="198996CA" w14:textId="77777777" w:rsidTr="00A404E1">
        <w:trPr>
          <w:trHeight w:val="318"/>
        </w:trPr>
        <w:tc>
          <w:tcPr>
            <w:tcW w:w="554" w:type="dxa"/>
            <w:vMerge w:val="restart"/>
            <w:shd w:val="clear" w:color="000000" w:fill="F1A983"/>
            <w:noWrap/>
            <w:vAlign w:val="center"/>
            <w:hideMark/>
          </w:tcPr>
          <w:p w14:paraId="22C739C0"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t>Cu</w:t>
            </w:r>
          </w:p>
        </w:tc>
        <w:tc>
          <w:tcPr>
            <w:tcW w:w="3052" w:type="dxa"/>
            <w:shd w:val="clear" w:color="000000" w:fill="F1A983"/>
            <w:vAlign w:val="bottom"/>
            <w:hideMark/>
          </w:tcPr>
          <w:p w14:paraId="4FFF3006"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copper ores and concentrates</w:t>
            </w:r>
          </w:p>
        </w:tc>
        <w:tc>
          <w:tcPr>
            <w:tcW w:w="970" w:type="dxa"/>
            <w:shd w:val="clear" w:color="000000" w:fill="F1A983"/>
            <w:vAlign w:val="bottom"/>
            <w:hideMark/>
          </w:tcPr>
          <w:p w14:paraId="0BE235A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260300</w:t>
            </w:r>
          </w:p>
        </w:tc>
        <w:tc>
          <w:tcPr>
            <w:tcW w:w="1091" w:type="dxa"/>
            <w:shd w:val="clear" w:color="000000" w:fill="F1A983"/>
            <w:vAlign w:val="bottom"/>
            <w:hideMark/>
          </w:tcPr>
          <w:p w14:paraId="003097CB"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F1A983"/>
            <w:noWrap/>
            <w:vAlign w:val="center"/>
            <w:hideMark/>
          </w:tcPr>
          <w:p w14:paraId="633BF799"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shd w:val="clear" w:color="000000" w:fill="F1A983"/>
            <w:noWrap/>
            <w:vAlign w:val="bottom"/>
            <w:hideMark/>
          </w:tcPr>
          <w:p w14:paraId="418EACD7"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6F4525C3" w14:textId="77777777" w:rsidTr="00A404E1">
        <w:trPr>
          <w:trHeight w:val="318"/>
        </w:trPr>
        <w:tc>
          <w:tcPr>
            <w:tcW w:w="554" w:type="dxa"/>
            <w:vMerge/>
            <w:vAlign w:val="center"/>
            <w:hideMark/>
          </w:tcPr>
          <w:p w14:paraId="4E6A7F53"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1A983"/>
            <w:vAlign w:val="bottom"/>
            <w:hideMark/>
          </w:tcPr>
          <w:p w14:paraId="66A378FA"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copper: unrefined, copper anodes for electrolytic refining</w:t>
            </w:r>
          </w:p>
        </w:tc>
        <w:tc>
          <w:tcPr>
            <w:tcW w:w="970" w:type="dxa"/>
            <w:shd w:val="clear" w:color="000000" w:fill="F1A983"/>
            <w:vAlign w:val="bottom"/>
            <w:hideMark/>
          </w:tcPr>
          <w:p w14:paraId="28650941"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740200</w:t>
            </w:r>
          </w:p>
        </w:tc>
        <w:tc>
          <w:tcPr>
            <w:tcW w:w="1091" w:type="dxa"/>
            <w:shd w:val="clear" w:color="000000" w:fill="F1A983"/>
            <w:vAlign w:val="bottom"/>
            <w:hideMark/>
          </w:tcPr>
          <w:p w14:paraId="4720D4CF"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w:t>
            </w:r>
          </w:p>
        </w:tc>
        <w:tc>
          <w:tcPr>
            <w:tcW w:w="1127" w:type="dxa"/>
            <w:vMerge/>
            <w:vAlign w:val="center"/>
            <w:hideMark/>
          </w:tcPr>
          <w:p w14:paraId="5190ED01"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F1A983"/>
            <w:vAlign w:val="center"/>
            <w:hideMark/>
          </w:tcPr>
          <w:p w14:paraId="3940352F"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14254125" w14:textId="77777777" w:rsidTr="00A404E1">
        <w:trPr>
          <w:trHeight w:val="639"/>
        </w:trPr>
        <w:tc>
          <w:tcPr>
            <w:tcW w:w="554" w:type="dxa"/>
            <w:vMerge/>
            <w:vAlign w:val="center"/>
            <w:hideMark/>
          </w:tcPr>
          <w:p w14:paraId="4AC693F0"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1A983"/>
            <w:vAlign w:val="bottom"/>
            <w:hideMark/>
          </w:tcPr>
          <w:p w14:paraId="3F263FD2"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copper: refined, unwrought, cathodes and sections of cathodes</w:t>
            </w:r>
          </w:p>
        </w:tc>
        <w:tc>
          <w:tcPr>
            <w:tcW w:w="970" w:type="dxa"/>
            <w:shd w:val="clear" w:color="000000" w:fill="F1A983"/>
            <w:vAlign w:val="bottom"/>
            <w:hideMark/>
          </w:tcPr>
          <w:p w14:paraId="396B28C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740311</w:t>
            </w:r>
          </w:p>
        </w:tc>
        <w:tc>
          <w:tcPr>
            <w:tcW w:w="1091" w:type="dxa"/>
            <w:shd w:val="clear" w:color="000000" w:fill="F1A983"/>
            <w:vAlign w:val="bottom"/>
            <w:hideMark/>
          </w:tcPr>
          <w:p w14:paraId="5F07B9FF"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w:t>
            </w:r>
          </w:p>
        </w:tc>
        <w:tc>
          <w:tcPr>
            <w:tcW w:w="1127" w:type="dxa"/>
            <w:vMerge/>
            <w:vAlign w:val="center"/>
            <w:hideMark/>
          </w:tcPr>
          <w:p w14:paraId="467760D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2A3025C2"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670562A8" w14:textId="77777777" w:rsidTr="00A404E1">
        <w:trPr>
          <w:trHeight w:val="318"/>
        </w:trPr>
        <w:tc>
          <w:tcPr>
            <w:tcW w:w="554" w:type="dxa"/>
            <w:vMerge/>
            <w:vAlign w:val="center"/>
            <w:hideMark/>
          </w:tcPr>
          <w:p w14:paraId="7440EEB9"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1A983"/>
            <w:vAlign w:val="bottom"/>
            <w:hideMark/>
          </w:tcPr>
          <w:p w14:paraId="7A131794"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copper oxides and hydroxides</w:t>
            </w:r>
          </w:p>
        </w:tc>
        <w:tc>
          <w:tcPr>
            <w:tcW w:w="970" w:type="dxa"/>
            <w:shd w:val="clear" w:color="000000" w:fill="F1A983"/>
            <w:vAlign w:val="bottom"/>
            <w:hideMark/>
          </w:tcPr>
          <w:p w14:paraId="497C8A0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282550</w:t>
            </w:r>
          </w:p>
        </w:tc>
        <w:tc>
          <w:tcPr>
            <w:tcW w:w="1091" w:type="dxa"/>
            <w:shd w:val="clear" w:color="000000" w:fill="F1A983"/>
            <w:vAlign w:val="bottom"/>
            <w:hideMark/>
          </w:tcPr>
          <w:p w14:paraId="49C7A208"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4.3</w:t>
            </w:r>
          </w:p>
        </w:tc>
        <w:tc>
          <w:tcPr>
            <w:tcW w:w="1127" w:type="dxa"/>
            <w:vMerge w:val="restart"/>
            <w:shd w:val="clear" w:color="000000" w:fill="F1A983"/>
            <w:noWrap/>
            <w:vAlign w:val="center"/>
            <w:hideMark/>
          </w:tcPr>
          <w:p w14:paraId="0A9FD9F0"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City</w:t>
            </w:r>
          </w:p>
        </w:tc>
        <w:tc>
          <w:tcPr>
            <w:tcW w:w="1389" w:type="dxa"/>
            <w:vMerge/>
            <w:vAlign w:val="center"/>
            <w:hideMark/>
          </w:tcPr>
          <w:p w14:paraId="75340088"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3CC1A608" w14:textId="77777777" w:rsidTr="00A404E1">
        <w:trPr>
          <w:trHeight w:val="318"/>
        </w:trPr>
        <w:tc>
          <w:tcPr>
            <w:tcW w:w="554" w:type="dxa"/>
            <w:vMerge/>
            <w:vAlign w:val="center"/>
            <w:hideMark/>
          </w:tcPr>
          <w:p w14:paraId="54A6AD9B"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1A983"/>
            <w:vAlign w:val="bottom"/>
            <w:hideMark/>
          </w:tcPr>
          <w:p w14:paraId="195F06B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sulphates: of copper</w:t>
            </w:r>
          </w:p>
        </w:tc>
        <w:tc>
          <w:tcPr>
            <w:tcW w:w="970" w:type="dxa"/>
            <w:shd w:val="clear" w:color="000000" w:fill="F1A983"/>
            <w:vAlign w:val="bottom"/>
            <w:hideMark/>
          </w:tcPr>
          <w:p w14:paraId="6D90D060"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283325</w:t>
            </w:r>
          </w:p>
        </w:tc>
        <w:tc>
          <w:tcPr>
            <w:tcW w:w="1091" w:type="dxa"/>
            <w:shd w:val="clear" w:color="000000" w:fill="F1A983"/>
            <w:vAlign w:val="bottom"/>
            <w:hideMark/>
          </w:tcPr>
          <w:p w14:paraId="6796DA6C"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5</w:t>
            </w:r>
          </w:p>
        </w:tc>
        <w:tc>
          <w:tcPr>
            <w:tcW w:w="1127" w:type="dxa"/>
            <w:vMerge/>
            <w:vAlign w:val="center"/>
            <w:hideMark/>
          </w:tcPr>
          <w:p w14:paraId="214662A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32FD5C10"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6050D36D" w14:textId="77777777" w:rsidTr="00A404E1">
        <w:trPr>
          <w:trHeight w:val="318"/>
        </w:trPr>
        <w:tc>
          <w:tcPr>
            <w:tcW w:w="554" w:type="dxa"/>
            <w:vMerge w:val="restart"/>
            <w:shd w:val="clear" w:color="000000" w:fill="C1F0C8"/>
            <w:noWrap/>
            <w:vAlign w:val="center"/>
            <w:hideMark/>
          </w:tcPr>
          <w:p w14:paraId="6C0B6109"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t>Co</w:t>
            </w:r>
          </w:p>
        </w:tc>
        <w:tc>
          <w:tcPr>
            <w:tcW w:w="3052" w:type="dxa"/>
            <w:shd w:val="clear" w:color="000000" w:fill="C1F0C8"/>
            <w:vAlign w:val="bottom"/>
            <w:hideMark/>
          </w:tcPr>
          <w:p w14:paraId="0B96983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cobalt ores and concentrates</w:t>
            </w:r>
          </w:p>
        </w:tc>
        <w:tc>
          <w:tcPr>
            <w:tcW w:w="970" w:type="dxa"/>
            <w:shd w:val="clear" w:color="000000" w:fill="C1F0C8"/>
            <w:vAlign w:val="bottom"/>
            <w:hideMark/>
          </w:tcPr>
          <w:p w14:paraId="2B598ECE"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260500</w:t>
            </w:r>
          </w:p>
        </w:tc>
        <w:tc>
          <w:tcPr>
            <w:tcW w:w="1091" w:type="dxa"/>
            <w:shd w:val="clear" w:color="000000" w:fill="C1F0C8"/>
            <w:vAlign w:val="bottom"/>
            <w:hideMark/>
          </w:tcPr>
          <w:p w14:paraId="25C84A1B"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C1F0C8"/>
            <w:noWrap/>
            <w:vAlign w:val="center"/>
            <w:hideMark/>
          </w:tcPr>
          <w:p w14:paraId="0FCFBC69"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shd w:val="clear" w:color="000000" w:fill="C1F0C8"/>
            <w:noWrap/>
            <w:vAlign w:val="bottom"/>
            <w:hideMark/>
          </w:tcPr>
          <w:p w14:paraId="3BF5D09C"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4A10DAE6" w14:textId="77777777" w:rsidTr="00A404E1">
        <w:trPr>
          <w:trHeight w:val="639"/>
        </w:trPr>
        <w:tc>
          <w:tcPr>
            <w:tcW w:w="554" w:type="dxa"/>
            <w:vMerge/>
            <w:vAlign w:val="center"/>
            <w:hideMark/>
          </w:tcPr>
          <w:p w14:paraId="17CBE5E0"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C1F0C8"/>
            <w:vAlign w:val="bottom"/>
            <w:hideMark/>
          </w:tcPr>
          <w:p w14:paraId="043E7DB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cobalt: mattes and other intermediate products of cobalt metallurgy, unwrought cobalt, powders</w:t>
            </w:r>
          </w:p>
        </w:tc>
        <w:tc>
          <w:tcPr>
            <w:tcW w:w="970" w:type="dxa"/>
            <w:shd w:val="clear" w:color="000000" w:fill="C1F0C8"/>
            <w:vAlign w:val="bottom"/>
            <w:hideMark/>
          </w:tcPr>
          <w:p w14:paraId="6C69D049"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810520</w:t>
            </w:r>
          </w:p>
        </w:tc>
        <w:tc>
          <w:tcPr>
            <w:tcW w:w="1091" w:type="dxa"/>
            <w:shd w:val="clear" w:color="000000" w:fill="C1F0C8"/>
            <w:vAlign w:val="bottom"/>
            <w:hideMark/>
          </w:tcPr>
          <w:p w14:paraId="3268758F"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w:t>
            </w:r>
          </w:p>
        </w:tc>
        <w:tc>
          <w:tcPr>
            <w:tcW w:w="1127" w:type="dxa"/>
            <w:vMerge/>
            <w:vAlign w:val="center"/>
            <w:hideMark/>
          </w:tcPr>
          <w:p w14:paraId="6C72BE4C"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C1F0C8"/>
            <w:vAlign w:val="center"/>
            <w:hideMark/>
          </w:tcPr>
          <w:p w14:paraId="2C656CEF"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09B2C0F9" w14:textId="77777777" w:rsidTr="00A404E1">
        <w:trPr>
          <w:trHeight w:val="639"/>
        </w:trPr>
        <w:tc>
          <w:tcPr>
            <w:tcW w:w="554" w:type="dxa"/>
            <w:vMerge/>
            <w:vAlign w:val="center"/>
            <w:hideMark/>
          </w:tcPr>
          <w:p w14:paraId="03AA8DBD"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C1F0C8"/>
            <w:vAlign w:val="bottom"/>
            <w:hideMark/>
          </w:tcPr>
          <w:p w14:paraId="410C3984"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cobalt: mattes and other intermediate products of cobalt metallurgy, unwrought cobalt, powders</w:t>
            </w:r>
          </w:p>
        </w:tc>
        <w:tc>
          <w:tcPr>
            <w:tcW w:w="970" w:type="dxa"/>
            <w:shd w:val="clear" w:color="000000" w:fill="C1F0C8"/>
            <w:noWrap/>
            <w:vAlign w:val="bottom"/>
            <w:hideMark/>
          </w:tcPr>
          <w:p w14:paraId="0D075D17"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810520</w:t>
            </w:r>
          </w:p>
        </w:tc>
        <w:tc>
          <w:tcPr>
            <w:tcW w:w="1091" w:type="dxa"/>
            <w:shd w:val="clear" w:color="000000" w:fill="C1F0C8"/>
            <w:vAlign w:val="bottom"/>
            <w:hideMark/>
          </w:tcPr>
          <w:p w14:paraId="6E8AF08D"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w:t>
            </w:r>
          </w:p>
        </w:tc>
        <w:tc>
          <w:tcPr>
            <w:tcW w:w="1127" w:type="dxa"/>
            <w:vMerge/>
            <w:vAlign w:val="center"/>
            <w:hideMark/>
          </w:tcPr>
          <w:p w14:paraId="633B501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2AE7624C"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346DE046" w14:textId="77777777" w:rsidTr="00A404E1">
        <w:trPr>
          <w:trHeight w:val="318"/>
        </w:trPr>
        <w:tc>
          <w:tcPr>
            <w:tcW w:w="554" w:type="dxa"/>
            <w:vMerge/>
            <w:vAlign w:val="center"/>
            <w:hideMark/>
          </w:tcPr>
          <w:p w14:paraId="29A1CF40"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C1F0C8"/>
            <w:vAlign w:val="bottom"/>
            <w:hideMark/>
          </w:tcPr>
          <w:p w14:paraId="3F9885F8"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cobalt oxides and hydroxides: commercial cobalt oxides</w:t>
            </w:r>
          </w:p>
        </w:tc>
        <w:tc>
          <w:tcPr>
            <w:tcW w:w="970" w:type="dxa"/>
            <w:shd w:val="clear" w:color="000000" w:fill="C1F0C8"/>
            <w:vAlign w:val="bottom"/>
            <w:hideMark/>
          </w:tcPr>
          <w:p w14:paraId="59584C0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282200</w:t>
            </w:r>
          </w:p>
        </w:tc>
        <w:tc>
          <w:tcPr>
            <w:tcW w:w="1091" w:type="dxa"/>
            <w:shd w:val="clear" w:color="000000" w:fill="C1F0C8"/>
            <w:vAlign w:val="bottom"/>
            <w:hideMark/>
          </w:tcPr>
          <w:p w14:paraId="2B6915E3"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4.1</w:t>
            </w:r>
          </w:p>
        </w:tc>
        <w:tc>
          <w:tcPr>
            <w:tcW w:w="1127" w:type="dxa"/>
            <w:vMerge/>
            <w:vAlign w:val="center"/>
            <w:hideMark/>
          </w:tcPr>
          <w:p w14:paraId="7979768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0439B1FD"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446F75AF" w14:textId="77777777" w:rsidTr="00A404E1">
        <w:trPr>
          <w:trHeight w:val="318"/>
        </w:trPr>
        <w:tc>
          <w:tcPr>
            <w:tcW w:w="554" w:type="dxa"/>
            <w:vMerge/>
            <w:vAlign w:val="center"/>
            <w:hideMark/>
          </w:tcPr>
          <w:p w14:paraId="76419B18"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C1F0C8"/>
            <w:vAlign w:val="bottom"/>
            <w:hideMark/>
          </w:tcPr>
          <w:p w14:paraId="4DE7D45D"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Sulphates: n.e.c. in item no. 2833.2</w:t>
            </w:r>
          </w:p>
        </w:tc>
        <w:tc>
          <w:tcPr>
            <w:tcW w:w="970" w:type="dxa"/>
            <w:shd w:val="clear" w:color="000000" w:fill="C1F0C8"/>
            <w:vAlign w:val="bottom"/>
            <w:hideMark/>
          </w:tcPr>
          <w:p w14:paraId="51CADC4F"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283329</w:t>
            </w:r>
          </w:p>
        </w:tc>
        <w:tc>
          <w:tcPr>
            <w:tcW w:w="1091" w:type="dxa"/>
            <w:shd w:val="clear" w:color="000000" w:fill="C1F0C8"/>
            <w:vAlign w:val="bottom"/>
            <w:hideMark/>
          </w:tcPr>
          <w:p w14:paraId="6E72AB72"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5</w:t>
            </w:r>
          </w:p>
        </w:tc>
        <w:tc>
          <w:tcPr>
            <w:tcW w:w="1127" w:type="dxa"/>
            <w:shd w:val="clear" w:color="000000" w:fill="C1F0C8"/>
            <w:noWrap/>
            <w:vAlign w:val="bottom"/>
            <w:hideMark/>
          </w:tcPr>
          <w:p w14:paraId="40283212"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City</w:t>
            </w:r>
          </w:p>
        </w:tc>
        <w:tc>
          <w:tcPr>
            <w:tcW w:w="1389" w:type="dxa"/>
            <w:vMerge/>
            <w:vAlign w:val="center"/>
            <w:hideMark/>
          </w:tcPr>
          <w:p w14:paraId="16C95285"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0C6C9AB1" w14:textId="77777777" w:rsidTr="00A404E1">
        <w:trPr>
          <w:trHeight w:val="318"/>
        </w:trPr>
        <w:tc>
          <w:tcPr>
            <w:tcW w:w="554" w:type="dxa"/>
            <w:vMerge w:val="restart"/>
            <w:shd w:val="clear" w:color="000000" w:fill="DAE9F8"/>
            <w:noWrap/>
            <w:vAlign w:val="center"/>
            <w:hideMark/>
          </w:tcPr>
          <w:p w14:paraId="03028B5A"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t>Ni</w:t>
            </w:r>
          </w:p>
        </w:tc>
        <w:tc>
          <w:tcPr>
            <w:tcW w:w="3052" w:type="dxa"/>
            <w:shd w:val="clear" w:color="000000" w:fill="DAE9F8"/>
            <w:vAlign w:val="bottom"/>
            <w:hideMark/>
          </w:tcPr>
          <w:p w14:paraId="13A8A7D5"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nickel ores and concentrates</w:t>
            </w:r>
          </w:p>
        </w:tc>
        <w:tc>
          <w:tcPr>
            <w:tcW w:w="970" w:type="dxa"/>
            <w:shd w:val="clear" w:color="000000" w:fill="DAE9F8"/>
            <w:vAlign w:val="bottom"/>
            <w:hideMark/>
          </w:tcPr>
          <w:p w14:paraId="483B4955"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260400</w:t>
            </w:r>
          </w:p>
        </w:tc>
        <w:tc>
          <w:tcPr>
            <w:tcW w:w="1091" w:type="dxa"/>
            <w:shd w:val="clear" w:color="000000" w:fill="DAE9F8"/>
            <w:vAlign w:val="bottom"/>
            <w:hideMark/>
          </w:tcPr>
          <w:p w14:paraId="2579202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DAE9F8"/>
            <w:noWrap/>
            <w:vAlign w:val="center"/>
            <w:hideMark/>
          </w:tcPr>
          <w:p w14:paraId="32D2CBE3"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vMerge w:val="restart"/>
            <w:shd w:val="clear" w:color="000000" w:fill="DAE9F8"/>
            <w:vAlign w:val="center"/>
            <w:hideMark/>
          </w:tcPr>
          <w:p w14:paraId="6A710228"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54BA3E22" w14:textId="77777777" w:rsidTr="00A404E1">
        <w:trPr>
          <w:trHeight w:val="318"/>
        </w:trPr>
        <w:tc>
          <w:tcPr>
            <w:tcW w:w="554" w:type="dxa"/>
            <w:vMerge/>
            <w:vAlign w:val="center"/>
            <w:hideMark/>
          </w:tcPr>
          <w:p w14:paraId="3D7729D4"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AE9F8"/>
            <w:vAlign w:val="bottom"/>
            <w:hideMark/>
          </w:tcPr>
          <w:p w14:paraId="1F8C8654"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nickel: nickel mattes</w:t>
            </w:r>
          </w:p>
        </w:tc>
        <w:tc>
          <w:tcPr>
            <w:tcW w:w="970" w:type="dxa"/>
            <w:shd w:val="clear" w:color="000000" w:fill="DAE9F8"/>
            <w:vAlign w:val="bottom"/>
            <w:hideMark/>
          </w:tcPr>
          <w:p w14:paraId="6D0A15F6"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750110</w:t>
            </w:r>
          </w:p>
        </w:tc>
        <w:tc>
          <w:tcPr>
            <w:tcW w:w="1091" w:type="dxa"/>
            <w:shd w:val="clear" w:color="000000" w:fill="DAE9F8"/>
            <w:vAlign w:val="bottom"/>
            <w:hideMark/>
          </w:tcPr>
          <w:p w14:paraId="36F96937"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w:t>
            </w:r>
          </w:p>
        </w:tc>
        <w:tc>
          <w:tcPr>
            <w:tcW w:w="1127" w:type="dxa"/>
            <w:vMerge/>
            <w:vAlign w:val="center"/>
            <w:hideMark/>
          </w:tcPr>
          <w:p w14:paraId="19463DB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2EDC4E72"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49BEE382" w14:textId="77777777" w:rsidTr="00A404E1">
        <w:trPr>
          <w:trHeight w:val="619"/>
        </w:trPr>
        <w:tc>
          <w:tcPr>
            <w:tcW w:w="554" w:type="dxa"/>
            <w:vMerge/>
            <w:vAlign w:val="center"/>
            <w:hideMark/>
          </w:tcPr>
          <w:p w14:paraId="07EE8C93"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AE9F8"/>
            <w:vAlign w:val="bottom"/>
            <w:hideMark/>
          </w:tcPr>
          <w:p w14:paraId="65939E4B"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nickel: powders and flakes</w:t>
            </w:r>
          </w:p>
        </w:tc>
        <w:tc>
          <w:tcPr>
            <w:tcW w:w="970" w:type="dxa"/>
            <w:shd w:val="clear" w:color="000000" w:fill="DAE9F8"/>
            <w:vAlign w:val="bottom"/>
            <w:hideMark/>
          </w:tcPr>
          <w:p w14:paraId="6B2C9A9B"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750400</w:t>
            </w:r>
          </w:p>
        </w:tc>
        <w:tc>
          <w:tcPr>
            <w:tcW w:w="1091" w:type="dxa"/>
            <w:shd w:val="clear" w:color="000000" w:fill="DAE9F8"/>
            <w:vAlign w:val="bottom"/>
            <w:hideMark/>
          </w:tcPr>
          <w:p w14:paraId="293413B6"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w:t>
            </w:r>
          </w:p>
        </w:tc>
        <w:tc>
          <w:tcPr>
            <w:tcW w:w="1127" w:type="dxa"/>
            <w:vMerge/>
            <w:vAlign w:val="center"/>
            <w:hideMark/>
          </w:tcPr>
          <w:p w14:paraId="4DE4FA11"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DAE9F8"/>
            <w:vAlign w:val="center"/>
            <w:hideMark/>
          </w:tcPr>
          <w:p w14:paraId="7745BF0A"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06C6E890" w14:textId="77777777" w:rsidTr="00A404E1">
        <w:trPr>
          <w:trHeight w:val="318"/>
        </w:trPr>
        <w:tc>
          <w:tcPr>
            <w:tcW w:w="554" w:type="dxa"/>
            <w:vMerge/>
            <w:vAlign w:val="center"/>
            <w:hideMark/>
          </w:tcPr>
          <w:p w14:paraId="3B2ADC40"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AE9F8"/>
            <w:vAlign w:val="bottom"/>
            <w:hideMark/>
          </w:tcPr>
          <w:p w14:paraId="76505DE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sulphates: of nickel</w:t>
            </w:r>
          </w:p>
        </w:tc>
        <w:tc>
          <w:tcPr>
            <w:tcW w:w="970" w:type="dxa"/>
            <w:shd w:val="clear" w:color="000000" w:fill="DAE9F8"/>
            <w:vAlign w:val="bottom"/>
            <w:hideMark/>
          </w:tcPr>
          <w:p w14:paraId="042FAB9C"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283324</w:t>
            </w:r>
          </w:p>
        </w:tc>
        <w:tc>
          <w:tcPr>
            <w:tcW w:w="1091" w:type="dxa"/>
            <w:shd w:val="clear" w:color="000000" w:fill="DAE9F8"/>
            <w:vAlign w:val="bottom"/>
            <w:hideMark/>
          </w:tcPr>
          <w:p w14:paraId="33D72BCE"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5</w:t>
            </w:r>
          </w:p>
        </w:tc>
        <w:tc>
          <w:tcPr>
            <w:tcW w:w="1127" w:type="dxa"/>
            <w:vMerge/>
            <w:vAlign w:val="center"/>
            <w:hideMark/>
          </w:tcPr>
          <w:p w14:paraId="60B85726"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2672377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00ADDD6A" w14:textId="77777777" w:rsidTr="00A404E1">
        <w:trPr>
          <w:trHeight w:val="318"/>
        </w:trPr>
        <w:tc>
          <w:tcPr>
            <w:tcW w:w="554" w:type="dxa"/>
            <w:vMerge w:val="restart"/>
            <w:shd w:val="clear" w:color="000000" w:fill="D0D0D0"/>
            <w:noWrap/>
            <w:vAlign w:val="center"/>
            <w:hideMark/>
          </w:tcPr>
          <w:p w14:paraId="17D49A5B"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t>Gr</w:t>
            </w:r>
          </w:p>
        </w:tc>
        <w:tc>
          <w:tcPr>
            <w:tcW w:w="3052" w:type="dxa"/>
            <w:shd w:val="clear" w:color="000000" w:fill="D0D0D0"/>
            <w:noWrap/>
            <w:vAlign w:val="bottom"/>
            <w:hideMark/>
          </w:tcPr>
          <w:p w14:paraId="523257D2"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graphite: natural, in other forms, excluding powder or flakes</w:t>
            </w:r>
          </w:p>
        </w:tc>
        <w:tc>
          <w:tcPr>
            <w:tcW w:w="970" w:type="dxa"/>
            <w:shd w:val="clear" w:color="000000" w:fill="D0D0D0"/>
            <w:noWrap/>
            <w:vAlign w:val="bottom"/>
            <w:hideMark/>
          </w:tcPr>
          <w:p w14:paraId="705FE70E"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250490</w:t>
            </w:r>
          </w:p>
        </w:tc>
        <w:tc>
          <w:tcPr>
            <w:tcW w:w="1091" w:type="dxa"/>
            <w:shd w:val="clear" w:color="000000" w:fill="D0D0D0"/>
            <w:vAlign w:val="bottom"/>
            <w:hideMark/>
          </w:tcPr>
          <w:p w14:paraId="2A300723"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D0D0D0"/>
            <w:noWrap/>
            <w:vAlign w:val="center"/>
            <w:hideMark/>
          </w:tcPr>
          <w:p w14:paraId="0F8E97B8"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vMerge w:val="restart"/>
            <w:shd w:val="clear" w:color="000000" w:fill="D0D0D0"/>
            <w:noWrap/>
            <w:vAlign w:val="bottom"/>
            <w:hideMark/>
          </w:tcPr>
          <w:p w14:paraId="190F72A5"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6C00C03C" w14:textId="77777777" w:rsidTr="00A404E1">
        <w:trPr>
          <w:trHeight w:val="318"/>
        </w:trPr>
        <w:tc>
          <w:tcPr>
            <w:tcW w:w="554" w:type="dxa"/>
            <w:vMerge/>
            <w:vAlign w:val="center"/>
            <w:hideMark/>
          </w:tcPr>
          <w:p w14:paraId="2913EB33"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0D0D0"/>
            <w:vAlign w:val="bottom"/>
            <w:hideMark/>
          </w:tcPr>
          <w:p w14:paraId="7C32C62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graphite: natural, in powder or in flakes</w:t>
            </w:r>
          </w:p>
        </w:tc>
        <w:tc>
          <w:tcPr>
            <w:tcW w:w="970" w:type="dxa"/>
            <w:shd w:val="clear" w:color="000000" w:fill="D0D0D0"/>
            <w:vAlign w:val="bottom"/>
            <w:hideMark/>
          </w:tcPr>
          <w:p w14:paraId="42E8246A"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250410</w:t>
            </w:r>
          </w:p>
        </w:tc>
        <w:tc>
          <w:tcPr>
            <w:tcW w:w="1091" w:type="dxa"/>
            <w:shd w:val="clear" w:color="000000" w:fill="D0D0D0"/>
            <w:vAlign w:val="bottom"/>
            <w:hideMark/>
          </w:tcPr>
          <w:p w14:paraId="5EC9C3C2"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ign w:val="center"/>
            <w:hideMark/>
          </w:tcPr>
          <w:p w14:paraId="7D67CDBA"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ign w:val="center"/>
            <w:hideMark/>
          </w:tcPr>
          <w:p w14:paraId="162A335A"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3EBAB7B2" w14:textId="77777777" w:rsidTr="00A404E1">
        <w:trPr>
          <w:trHeight w:val="609"/>
        </w:trPr>
        <w:tc>
          <w:tcPr>
            <w:tcW w:w="554" w:type="dxa"/>
            <w:vMerge/>
            <w:vAlign w:val="center"/>
            <w:hideMark/>
          </w:tcPr>
          <w:p w14:paraId="73DBB501"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0D0D0"/>
            <w:vAlign w:val="bottom"/>
            <w:hideMark/>
          </w:tcPr>
          <w:p w14:paraId="4EBBE744"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graphite: natural, in powder or in flakes</w:t>
            </w:r>
          </w:p>
        </w:tc>
        <w:tc>
          <w:tcPr>
            <w:tcW w:w="970" w:type="dxa"/>
            <w:shd w:val="clear" w:color="000000" w:fill="D0D0D0"/>
            <w:vAlign w:val="bottom"/>
            <w:hideMark/>
          </w:tcPr>
          <w:p w14:paraId="19A3F7F1"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250410</w:t>
            </w:r>
          </w:p>
        </w:tc>
        <w:tc>
          <w:tcPr>
            <w:tcW w:w="1091" w:type="dxa"/>
            <w:shd w:val="clear" w:color="000000" w:fill="D0D0D0"/>
            <w:vAlign w:val="bottom"/>
            <w:hideMark/>
          </w:tcPr>
          <w:p w14:paraId="426BA308"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w:t>
            </w:r>
          </w:p>
        </w:tc>
        <w:tc>
          <w:tcPr>
            <w:tcW w:w="1127" w:type="dxa"/>
            <w:vMerge/>
            <w:vAlign w:val="center"/>
            <w:hideMark/>
          </w:tcPr>
          <w:p w14:paraId="365A328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D0D0D0"/>
            <w:vAlign w:val="center"/>
            <w:hideMark/>
          </w:tcPr>
          <w:p w14:paraId="59F59DFC"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35B0235B" w14:textId="77777777" w:rsidTr="00A404E1">
        <w:trPr>
          <w:trHeight w:val="318"/>
        </w:trPr>
        <w:tc>
          <w:tcPr>
            <w:tcW w:w="554" w:type="dxa"/>
            <w:vMerge/>
            <w:vAlign w:val="center"/>
            <w:hideMark/>
          </w:tcPr>
          <w:p w14:paraId="1C25F7C4"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D0D0D0"/>
            <w:vAlign w:val="bottom"/>
            <w:hideMark/>
          </w:tcPr>
          <w:p w14:paraId="779ED458"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graphite: natural, in powder or in flakes</w:t>
            </w:r>
          </w:p>
        </w:tc>
        <w:tc>
          <w:tcPr>
            <w:tcW w:w="970" w:type="dxa"/>
            <w:shd w:val="clear" w:color="000000" w:fill="D0D0D0"/>
            <w:vAlign w:val="bottom"/>
            <w:hideMark/>
          </w:tcPr>
          <w:p w14:paraId="23453260"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250410</w:t>
            </w:r>
          </w:p>
        </w:tc>
        <w:tc>
          <w:tcPr>
            <w:tcW w:w="1091" w:type="dxa"/>
            <w:shd w:val="clear" w:color="000000" w:fill="D0D0D0"/>
            <w:vAlign w:val="bottom"/>
            <w:hideMark/>
          </w:tcPr>
          <w:p w14:paraId="30AA50D6"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4</w:t>
            </w:r>
          </w:p>
        </w:tc>
        <w:tc>
          <w:tcPr>
            <w:tcW w:w="1127" w:type="dxa"/>
            <w:shd w:val="clear" w:color="000000" w:fill="D0D0D0"/>
            <w:noWrap/>
            <w:vAlign w:val="bottom"/>
            <w:hideMark/>
          </w:tcPr>
          <w:p w14:paraId="10EBF1EB"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City</w:t>
            </w:r>
          </w:p>
        </w:tc>
        <w:tc>
          <w:tcPr>
            <w:tcW w:w="1389" w:type="dxa"/>
            <w:vMerge/>
            <w:vAlign w:val="center"/>
            <w:hideMark/>
          </w:tcPr>
          <w:p w14:paraId="6389B9F7"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38C90529" w14:textId="77777777" w:rsidTr="00A404E1">
        <w:trPr>
          <w:trHeight w:val="959"/>
        </w:trPr>
        <w:tc>
          <w:tcPr>
            <w:tcW w:w="554" w:type="dxa"/>
            <w:vMerge w:val="restart"/>
            <w:shd w:val="clear" w:color="000000" w:fill="F2CEEF"/>
            <w:noWrap/>
            <w:vAlign w:val="center"/>
            <w:hideMark/>
          </w:tcPr>
          <w:p w14:paraId="41491FBE"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t>Mn</w:t>
            </w:r>
          </w:p>
        </w:tc>
        <w:tc>
          <w:tcPr>
            <w:tcW w:w="3052" w:type="dxa"/>
            <w:shd w:val="clear" w:color="000000" w:fill="F2CEEF"/>
            <w:vAlign w:val="bottom"/>
            <w:hideMark/>
          </w:tcPr>
          <w:p w14:paraId="2D539304"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manganese ores and concentrates, including ferruginous manganese ores and concentrates with a manganese content of 20% or more, calculated on the dry weight</w:t>
            </w:r>
          </w:p>
        </w:tc>
        <w:tc>
          <w:tcPr>
            <w:tcW w:w="970" w:type="dxa"/>
            <w:shd w:val="clear" w:color="000000" w:fill="F2CEEF"/>
            <w:vAlign w:val="bottom"/>
            <w:hideMark/>
          </w:tcPr>
          <w:p w14:paraId="7A3BD5DE"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260200</w:t>
            </w:r>
          </w:p>
        </w:tc>
        <w:tc>
          <w:tcPr>
            <w:tcW w:w="1091" w:type="dxa"/>
            <w:shd w:val="clear" w:color="000000" w:fill="F2CEEF"/>
            <w:vAlign w:val="bottom"/>
            <w:hideMark/>
          </w:tcPr>
          <w:p w14:paraId="6488A88C"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F2CEEF"/>
            <w:noWrap/>
            <w:vAlign w:val="center"/>
            <w:hideMark/>
          </w:tcPr>
          <w:p w14:paraId="69B6E949"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shd w:val="clear" w:color="000000" w:fill="F2CEEF"/>
            <w:noWrap/>
            <w:vAlign w:val="center"/>
            <w:hideMark/>
          </w:tcPr>
          <w:p w14:paraId="5E1A7A0C"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29FD06E5" w14:textId="77777777" w:rsidTr="00A404E1">
        <w:trPr>
          <w:trHeight w:val="700"/>
        </w:trPr>
        <w:tc>
          <w:tcPr>
            <w:tcW w:w="554" w:type="dxa"/>
            <w:vMerge/>
            <w:vAlign w:val="center"/>
            <w:hideMark/>
          </w:tcPr>
          <w:p w14:paraId="12D7D7D4"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2CEEF"/>
            <w:vAlign w:val="bottom"/>
            <w:hideMark/>
          </w:tcPr>
          <w:p w14:paraId="7D7FA300"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manganese oxides: excluding manganese dioxide</w:t>
            </w:r>
          </w:p>
        </w:tc>
        <w:tc>
          <w:tcPr>
            <w:tcW w:w="970" w:type="dxa"/>
            <w:shd w:val="clear" w:color="000000" w:fill="F2CEEF"/>
            <w:vAlign w:val="bottom"/>
            <w:hideMark/>
          </w:tcPr>
          <w:p w14:paraId="249D1FAD"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282090</w:t>
            </w:r>
          </w:p>
        </w:tc>
        <w:tc>
          <w:tcPr>
            <w:tcW w:w="1091" w:type="dxa"/>
            <w:shd w:val="clear" w:color="000000" w:fill="F2CEEF"/>
            <w:vAlign w:val="bottom"/>
            <w:hideMark/>
          </w:tcPr>
          <w:p w14:paraId="3AD5003F"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3.1</w:t>
            </w:r>
          </w:p>
        </w:tc>
        <w:tc>
          <w:tcPr>
            <w:tcW w:w="1127" w:type="dxa"/>
            <w:vMerge/>
            <w:vAlign w:val="center"/>
            <w:hideMark/>
          </w:tcPr>
          <w:p w14:paraId="187746E8"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F2CEEF"/>
            <w:vAlign w:val="center"/>
            <w:hideMark/>
          </w:tcPr>
          <w:p w14:paraId="0868727E"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06A01A8C" w14:textId="77777777" w:rsidTr="00A404E1">
        <w:trPr>
          <w:trHeight w:val="318"/>
        </w:trPr>
        <w:tc>
          <w:tcPr>
            <w:tcW w:w="554" w:type="dxa"/>
            <w:vMerge/>
            <w:vAlign w:val="center"/>
            <w:hideMark/>
          </w:tcPr>
          <w:p w14:paraId="6AFE3EBA"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F2CEEF"/>
            <w:vAlign w:val="bottom"/>
            <w:hideMark/>
          </w:tcPr>
          <w:p w14:paraId="36B966F9"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Sulphates: n.e.c. in item no. 2833.2</w:t>
            </w:r>
          </w:p>
        </w:tc>
        <w:tc>
          <w:tcPr>
            <w:tcW w:w="970" w:type="dxa"/>
            <w:shd w:val="clear" w:color="000000" w:fill="F2CEEF"/>
            <w:vAlign w:val="bottom"/>
            <w:hideMark/>
          </w:tcPr>
          <w:p w14:paraId="01B02C9D"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283329</w:t>
            </w:r>
          </w:p>
        </w:tc>
        <w:tc>
          <w:tcPr>
            <w:tcW w:w="1091" w:type="dxa"/>
            <w:shd w:val="clear" w:color="000000" w:fill="F2CEEF"/>
            <w:vAlign w:val="bottom"/>
            <w:hideMark/>
          </w:tcPr>
          <w:p w14:paraId="5EAC217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4.1</w:t>
            </w:r>
          </w:p>
        </w:tc>
        <w:tc>
          <w:tcPr>
            <w:tcW w:w="1127" w:type="dxa"/>
            <w:shd w:val="clear" w:color="000000" w:fill="F2CEEF"/>
            <w:noWrap/>
            <w:vAlign w:val="bottom"/>
            <w:hideMark/>
          </w:tcPr>
          <w:p w14:paraId="0C8C559C"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City</w:t>
            </w:r>
          </w:p>
        </w:tc>
        <w:tc>
          <w:tcPr>
            <w:tcW w:w="1389" w:type="dxa"/>
            <w:vMerge/>
            <w:vAlign w:val="center"/>
            <w:hideMark/>
          </w:tcPr>
          <w:p w14:paraId="30C8137B"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r w:rsidR="00A404E1" w:rsidRPr="00CF0BA1" w14:paraId="6033D8F8" w14:textId="77777777" w:rsidTr="00A404E1">
        <w:trPr>
          <w:trHeight w:val="639"/>
        </w:trPr>
        <w:tc>
          <w:tcPr>
            <w:tcW w:w="554" w:type="dxa"/>
            <w:vMerge w:val="restart"/>
            <w:shd w:val="clear" w:color="000000" w:fill="94DCF8"/>
            <w:noWrap/>
            <w:vAlign w:val="center"/>
            <w:hideMark/>
          </w:tcPr>
          <w:p w14:paraId="47271D90" w14:textId="77777777" w:rsidR="00A404E1" w:rsidRPr="000A2A37" w:rsidRDefault="00A404E1" w:rsidP="00877C15">
            <w:pPr>
              <w:spacing w:after="0" w:line="240" w:lineRule="auto"/>
              <w:jc w:val="center"/>
              <w:rPr>
                <w:rFonts w:ascii="Arial" w:eastAsia="Times New Roman" w:hAnsi="Arial" w:cs="Arial"/>
                <w:b/>
                <w:bCs/>
                <w:color w:val="000000"/>
                <w:kern w:val="0"/>
                <w:lang w:eastAsia="en-GB"/>
                <w14:ligatures w14:val="none"/>
              </w:rPr>
            </w:pPr>
            <w:r w:rsidRPr="000A2A37">
              <w:rPr>
                <w:rFonts w:ascii="Arial" w:eastAsia="Times New Roman" w:hAnsi="Arial" w:cs="Arial"/>
                <w:b/>
                <w:bCs/>
                <w:color w:val="000000"/>
                <w:kern w:val="0"/>
                <w:lang w:eastAsia="en-GB"/>
                <w14:ligatures w14:val="none"/>
              </w:rPr>
              <w:lastRenderedPageBreak/>
              <w:t>Li</w:t>
            </w:r>
          </w:p>
        </w:tc>
        <w:tc>
          <w:tcPr>
            <w:tcW w:w="3052" w:type="dxa"/>
            <w:shd w:val="clear" w:color="000000" w:fill="94DCF8"/>
            <w:vAlign w:val="bottom"/>
            <w:hideMark/>
          </w:tcPr>
          <w:p w14:paraId="42A5F9B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Arsenic sulfides, alunite, pozzuolana, earth colours and other mineral substances, n.e.s.</w:t>
            </w:r>
          </w:p>
        </w:tc>
        <w:tc>
          <w:tcPr>
            <w:tcW w:w="970" w:type="dxa"/>
            <w:shd w:val="clear" w:color="000000" w:fill="94DCF8"/>
            <w:vAlign w:val="bottom"/>
            <w:hideMark/>
          </w:tcPr>
          <w:p w14:paraId="74692071"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253090</w:t>
            </w:r>
          </w:p>
        </w:tc>
        <w:tc>
          <w:tcPr>
            <w:tcW w:w="1091" w:type="dxa"/>
            <w:shd w:val="clear" w:color="000000" w:fill="94DCF8"/>
            <w:vAlign w:val="bottom"/>
            <w:hideMark/>
          </w:tcPr>
          <w:p w14:paraId="000E75C8"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1</w:t>
            </w:r>
          </w:p>
        </w:tc>
        <w:tc>
          <w:tcPr>
            <w:tcW w:w="1127" w:type="dxa"/>
            <w:vMerge w:val="restart"/>
            <w:shd w:val="clear" w:color="000000" w:fill="94DCF8"/>
            <w:noWrap/>
            <w:vAlign w:val="center"/>
            <w:hideMark/>
          </w:tcPr>
          <w:p w14:paraId="45C92E55"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c>
          <w:tcPr>
            <w:tcW w:w="1389" w:type="dxa"/>
            <w:shd w:val="clear" w:color="000000" w:fill="94DCF8"/>
            <w:noWrap/>
            <w:vAlign w:val="bottom"/>
            <w:hideMark/>
          </w:tcPr>
          <w:p w14:paraId="61DFC274"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Mine</w:t>
            </w:r>
          </w:p>
        </w:tc>
      </w:tr>
      <w:tr w:rsidR="00A404E1" w:rsidRPr="00CF0BA1" w14:paraId="2AD632DE" w14:textId="77777777" w:rsidTr="00A404E1">
        <w:trPr>
          <w:trHeight w:val="749"/>
        </w:trPr>
        <w:tc>
          <w:tcPr>
            <w:tcW w:w="554" w:type="dxa"/>
            <w:vMerge/>
            <w:vAlign w:val="center"/>
            <w:hideMark/>
          </w:tcPr>
          <w:p w14:paraId="40179376"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94DCF8"/>
            <w:vAlign w:val="bottom"/>
            <w:hideMark/>
          </w:tcPr>
          <w:p w14:paraId="6380E8E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carbonates: lithium carbonate</w:t>
            </w:r>
          </w:p>
        </w:tc>
        <w:tc>
          <w:tcPr>
            <w:tcW w:w="970" w:type="dxa"/>
            <w:shd w:val="clear" w:color="000000" w:fill="94DCF8"/>
            <w:vAlign w:val="bottom"/>
            <w:hideMark/>
          </w:tcPr>
          <w:p w14:paraId="63733031"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283691</w:t>
            </w:r>
          </w:p>
        </w:tc>
        <w:tc>
          <w:tcPr>
            <w:tcW w:w="1091" w:type="dxa"/>
            <w:shd w:val="clear" w:color="000000" w:fill="94DCF8"/>
            <w:vAlign w:val="bottom"/>
            <w:hideMark/>
          </w:tcPr>
          <w:p w14:paraId="550CBEF0"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3</w:t>
            </w:r>
          </w:p>
        </w:tc>
        <w:tc>
          <w:tcPr>
            <w:tcW w:w="1127" w:type="dxa"/>
            <w:vMerge/>
            <w:vAlign w:val="center"/>
            <w:hideMark/>
          </w:tcPr>
          <w:p w14:paraId="6505CFAE"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c>
          <w:tcPr>
            <w:tcW w:w="1389" w:type="dxa"/>
            <w:vMerge w:val="restart"/>
            <w:shd w:val="clear" w:color="000000" w:fill="94DCF8"/>
            <w:vAlign w:val="center"/>
            <w:hideMark/>
          </w:tcPr>
          <w:p w14:paraId="516F0316"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From flow optimisation</w:t>
            </w:r>
          </w:p>
        </w:tc>
      </w:tr>
      <w:tr w:rsidR="00A404E1" w:rsidRPr="00CF0BA1" w14:paraId="717CFBAC" w14:textId="77777777" w:rsidTr="00A404E1">
        <w:trPr>
          <w:trHeight w:val="318"/>
        </w:trPr>
        <w:tc>
          <w:tcPr>
            <w:tcW w:w="554" w:type="dxa"/>
            <w:vMerge/>
            <w:vAlign w:val="center"/>
            <w:hideMark/>
          </w:tcPr>
          <w:p w14:paraId="766A3A40" w14:textId="77777777" w:rsidR="00A404E1" w:rsidRPr="000A2A37" w:rsidRDefault="00A404E1" w:rsidP="00877C15">
            <w:pPr>
              <w:spacing w:after="0" w:line="240" w:lineRule="auto"/>
              <w:rPr>
                <w:rFonts w:ascii="Arial" w:eastAsia="Times New Roman" w:hAnsi="Arial" w:cs="Arial"/>
                <w:b/>
                <w:bCs/>
                <w:color w:val="000000"/>
                <w:kern w:val="0"/>
                <w:lang w:eastAsia="en-GB"/>
                <w14:ligatures w14:val="none"/>
              </w:rPr>
            </w:pPr>
          </w:p>
        </w:tc>
        <w:tc>
          <w:tcPr>
            <w:tcW w:w="3052" w:type="dxa"/>
            <w:shd w:val="clear" w:color="000000" w:fill="94DCF8"/>
            <w:vAlign w:val="bottom"/>
            <w:hideMark/>
          </w:tcPr>
          <w:p w14:paraId="64498DA7"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lithium oxide and hydroxide</w:t>
            </w:r>
          </w:p>
        </w:tc>
        <w:tc>
          <w:tcPr>
            <w:tcW w:w="970" w:type="dxa"/>
            <w:shd w:val="clear" w:color="000000" w:fill="94DCF8"/>
            <w:vAlign w:val="bottom"/>
            <w:hideMark/>
          </w:tcPr>
          <w:p w14:paraId="74CC28CA"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282520</w:t>
            </w:r>
          </w:p>
        </w:tc>
        <w:tc>
          <w:tcPr>
            <w:tcW w:w="1091" w:type="dxa"/>
            <w:shd w:val="clear" w:color="000000" w:fill="94DCF8"/>
            <w:vAlign w:val="bottom"/>
            <w:hideMark/>
          </w:tcPr>
          <w:p w14:paraId="5745C784" w14:textId="77777777" w:rsidR="00A404E1" w:rsidRPr="000A2A37" w:rsidRDefault="00A404E1" w:rsidP="00877C15">
            <w:pPr>
              <w:spacing w:after="0" w:line="240" w:lineRule="auto"/>
              <w:jc w:val="right"/>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4.2</w:t>
            </w:r>
          </w:p>
        </w:tc>
        <w:tc>
          <w:tcPr>
            <w:tcW w:w="1127" w:type="dxa"/>
            <w:shd w:val="clear" w:color="000000" w:fill="94DCF8"/>
            <w:noWrap/>
            <w:vAlign w:val="bottom"/>
            <w:hideMark/>
          </w:tcPr>
          <w:p w14:paraId="2B03EFCA" w14:textId="77777777" w:rsidR="00A404E1" w:rsidRPr="000A2A37" w:rsidRDefault="00A404E1" w:rsidP="00877C15">
            <w:pPr>
              <w:spacing w:after="0" w:line="240" w:lineRule="auto"/>
              <w:jc w:val="center"/>
              <w:rPr>
                <w:rFonts w:ascii="Arial" w:eastAsia="Times New Roman" w:hAnsi="Arial" w:cs="Arial"/>
                <w:color w:val="000000"/>
                <w:kern w:val="0"/>
                <w:sz w:val="18"/>
                <w:szCs w:val="18"/>
                <w:lang w:eastAsia="en-GB"/>
                <w14:ligatures w14:val="none"/>
              </w:rPr>
            </w:pPr>
            <w:r w:rsidRPr="000A2A37">
              <w:rPr>
                <w:rFonts w:ascii="Arial" w:eastAsia="Times New Roman" w:hAnsi="Arial" w:cs="Arial"/>
                <w:color w:val="000000"/>
                <w:kern w:val="0"/>
                <w:sz w:val="18"/>
                <w:szCs w:val="18"/>
                <w:lang w:eastAsia="en-GB"/>
                <w14:ligatures w14:val="none"/>
              </w:rPr>
              <w:t>City</w:t>
            </w:r>
          </w:p>
        </w:tc>
        <w:tc>
          <w:tcPr>
            <w:tcW w:w="1389" w:type="dxa"/>
            <w:vMerge/>
            <w:vAlign w:val="center"/>
            <w:hideMark/>
          </w:tcPr>
          <w:p w14:paraId="5F30E2E3" w14:textId="77777777" w:rsidR="00A404E1" w:rsidRPr="000A2A37" w:rsidRDefault="00A404E1" w:rsidP="00877C15">
            <w:pPr>
              <w:spacing w:after="0" w:line="240" w:lineRule="auto"/>
              <w:rPr>
                <w:rFonts w:ascii="Arial" w:eastAsia="Times New Roman" w:hAnsi="Arial" w:cs="Arial"/>
                <w:color w:val="000000"/>
                <w:kern w:val="0"/>
                <w:sz w:val="18"/>
                <w:szCs w:val="18"/>
                <w:lang w:eastAsia="en-GB"/>
                <w14:ligatures w14:val="none"/>
              </w:rPr>
            </w:pPr>
          </w:p>
        </w:tc>
      </w:tr>
    </w:tbl>
    <w:p w14:paraId="62CFF430" w14:textId="77777777" w:rsidR="00BE51B1" w:rsidRPr="00CF0BA1" w:rsidRDefault="00BE51B1" w:rsidP="00BE51B1">
      <w:pPr>
        <w:spacing w:after="0"/>
        <w:jc w:val="both"/>
        <w:rPr>
          <w:rFonts w:ascii="Arial" w:hAnsi="Arial" w:cs="Arial"/>
          <w:sz w:val="20"/>
          <w:szCs w:val="20"/>
        </w:rPr>
      </w:pPr>
    </w:p>
    <w:p w14:paraId="5ED7B545" w14:textId="77777777" w:rsidR="00BE51B1" w:rsidRPr="00766470" w:rsidRDefault="00BE51B1" w:rsidP="00BE51B1">
      <w:pPr>
        <w:spacing w:after="0"/>
        <w:jc w:val="both"/>
        <w:rPr>
          <w:rFonts w:ascii="Arial" w:hAnsi="Arial" w:cs="Arial"/>
        </w:rPr>
      </w:pPr>
    </w:p>
    <w:p w14:paraId="1451FE1F" w14:textId="77777777" w:rsidR="00BE51B1" w:rsidRPr="00766470" w:rsidRDefault="00BE51B1" w:rsidP="00BE51B1">
      <w:pPr>
        <w:spacing w:line="257" w:lineRule="auto"/>
        <w:jc w:val="both"/>
        <w:rPr>
          <w:rFonts w:ascii="Arial" w:eastAsia="Calibri" w:hAnsi="Arial" w:cs="Arial"/>
          <w:b/>
          <w:bCs/>
          <w:i/>
          <w:iCs/>
        </w:rPr>
      </w:pPr>
    </w:p>
    <w:p w14:paraId="288EADE0" w14:textId="77777777" w:rsidR="00BE51B1" w:rsidRPr="00AD40F3" w:rsidRDefault="00BE51B1" w:rsidP="00BE51B1">
      <w:pPr>
        <w:pStyle w:val="Heading3"/>
        <w:rPr>
          <w:rFonts w:ascii="Arial" w:hAnsi="Arial" w:cs="Arial"/>
          <w:b/>
          <w:bCs/>
          <w:sz w:val="24"/>
          <w:szCs w:val="24"/>
        </w:rPr>
      </w:pPr>
      <w:bookmarkStart w:id="105" w:name="_Toc211272298"/>
      <w:r w:rsidRPr="00AD40F3">
        <w:rPr>
          <w:rFonts w:ascii="Arial" w:hAnsi="Arial" w:cs="Arial"/>
          <w:b/>
          <w:bCs/>
          <w:sz w:val="24"/>
          <w:szCs w:val="24"/>
        </w:rPr>
        <w:t>4.2.3 National trade flows were disaggregated across origin–destination points.</w:t>
      </w:r>
      <w:bookmarkEnd w:id="105"/>
      <w:r w:rsidRPr="00AD40F3">
        <w:rPr>
          <w:rFonts w:ascii="Arial" w:hAnsi="Arial" w:cs="Arial"/>
          <w:b/>
          <w:bCs/>
          <w:sz w:val="24"/>
          <w:szCs w:val="24"/>
        </w:rPr>
        <w:t xml:space="preserve"> </w:t>
      </w:r>
      <w:r w:rsidRPr="00AD40F3">
        <w:rPr>
          <w:rFonts w:ascii="Arial" w:hAnsi="Arial" w:cs="Arial"/>
          <w:b/>
          <w:bCs/>
          <w:sz w:val="24"/>
          <w:szCs w:val="24"/>
        </w:rPr>
        <w:br/>
      </w:r>
    </w:p>
    <w:p w14:paraId="04B13036" w14:textId="77777777" w:rsidR="00BE51B1" w:rsidRPr="00766470" w:rsidRDefault="00BE51B1" w:rsidP="00BE51B1">
      <w:pPr>
        <w:spacing w:after="0"/>
        <w:jc w:val="both"/>
        <w:rPr>
          <w:rFonts w:ascii="Arial" w:hAnsi="Arial" w:cs="Arial"/>
        </w:rPr>
      </w:pPr>
      <w:r w:rsidRPr="00766470">
        <w:rPr>
          <w:rFonts w:ascii="Arial" w:eastAsia="Calibri" w:hAnsi="Arial" w:cs="Arial"/>
        </w:rPr>
        <w:t>The country-level trade values were disaggregated to the location-specific origins and destinations as follows.</w:t>
      </w:r>
    </w:p>
    <w:p w14:paraId="1C93462F" w14:textId="77777777" w:rsidR="00BE51B1" w:rsidRPr="00766470" w:rsidRDefault="00BE51B1" w:rsidP="00BE51B1">
      <w:pPr>
        <w:pStyle w:val="ListParagraph"/>
        <w:numPr>
          <w:ilvl w:val="0"/>
          <w:numId w:val="10"/>
        </w:numPr>
        <w:spacing w:after="0" w:line="259" w:lineRule="auto"/>
        <w:ind w:left="360"/>
        <w:jc w:val="both"/>
        <w:rPr>
          <w:rFonts w:ascii="Arial" w:eastAsia="Calibri" w:hAnsi="Arial" w:cs="Arial"/>
        </w:rPr>
      </w:pPr>
      <w:r w:rsidRPr="00766470">
        <w:rPr>
          <w:rFonts w:ascii="Arial" w:eastAsia="Calibri" w:hAnsi="Arial" w:cs="Arial"/>
        </w:rPr>
        <w:t xml:space="preserve">Since the country-level metal (or lithium carbonate) content productions were aggregated from mine-level metal (or lithium carbonate) content values, the trade out of the mines to all destination locations was assumed to be disaggregated in the same proportions. </w:t>
      </w:r>
    </w:p>
    <w:p w14:paraId="58F84640" w14:textId="77777777" w:rsidR="00BE51B1" w:rsidRPr="00766470" w:rsidRDefault="00BE51B1" w:rsidP="00BE51B1">
      <w:pPr>
        <w:pStyle w:val="ListParagraph"/>
        <w:numPr>
          <w:ilvl w:val="0"/>
          <w:numId w:val="10"/>
        </w:numPr>
        <w:spacing w:after="0" w:line="259" w:lineRule="auto"/>
        <w:ind w:left="360"/>
        <w:jc w:val="both"/>
        <w:rPr>
          <w:rFonts w:ascii="Arial" w:eastAsia="Calibri" w:hAnsi="Arial" w:cs="Arial"/>
        </w:rPr>
      </w:pPr>
      <w:r w:rsidRPr="00766470">
        <w:rPr>
          <w:rFonts w:ascii="Arial" w:eastAsia="Calibri" w:hAnsi="Arial" w:cs="Arial"/>
        </w:rPr>
        <w:t>The products being manufactured and traded out of the city locations were assumed to be disaggregated in proportion to the populations assigned to these locations.</w:t>
      </w:r>
    </w:p>
    <w:p w14:paraId="47ABE289" w14:textId="77777777" w:rsidR="00BE51B1" w:rsidRPr="00766470" w:rsidRDefault="00BE51B1" w:rsidP="00BE51B1">
      <w:pPr>
        <w:pStyle w:val="ListParagraph"/>
        <w:numPr>
          <w:ilvl w:val="0"/>
          <w:numId w:val="10"/>
        </w:numPr>
        <w:spacing w:after="0" w:line="259" w:lineRule="auto"/>
        <w:ind w:left="360"/>
        <w:jc w:val="both"/>
        <w:rPr>
          <w:rFonts w:ascii="Arial" w:eastAsia="Calibri" w:hAnsi="Arial" w:cs="Arial"/>
        </w:rPr>
      </w:pPr>
      <w:r w:rsidRPr="00766470">
        <w:rPr>
          <w:rFonts w:ascii="Arial" w:eastAsia="Calibri" w:hAnsi="Arial" w:cs="Arial"/>
        </w:rPr>
        <w:t xml:space="preserve">Since unique global ports per country were identified as destination locations for products, it was straightforward to assign all trade coming into a country to a given port. It was assumed that all mines (or cities) producing a particular product in the origin country would be shipping to the destination country’s port. For example, if DRC was exporting Stage 1 copper to China, then all mines in DRC were assumed to shipping Stage 1 copper to China. While this is unlikely to be entirely accurate, in the absence of detailed mine-level information, disaggregating the total trade to each mine was a sensible approach that captures the overall trade patterns.         </w:t>
      </w:r>
    </w:p>
    <w:p w14:paraId="281E8115" w14:textId="77777777" w:rsidR="00BE51B1" w:rsidRPr="00766470" w:rsidRDefault="00BE51B1" w:rsidP="00BE51B1">
      <w:pPr>
        <w:pStyle w:val="ListParagraph"/>
        <w:numPr>
          <w:ilvl w:val="0"/>
          <w:numId w:val="10"/>
        </w:numPr>
        <w:spacing w:after="0" w:line="259" w:lineRule="auto"/>
        <w:ind w:left="360"/>
        <w:jc w:val="both"/>
        <w:rPr>
          <w:rFonts w:ascii="Arial" w:eastAsia="Calibri" w:hAnsi="Arial" w:cs="Arial"/>
        </w:rPr>
      </w:pPr>
      <w:r w:rsidRPr="00766470">
        <w:rPr>
          <w:rFonts w:ascii="Arial" w:eastAsia="Calibri" w:hAnsi="Arial" w:cs="Arial"/>
        </w:rPr>
        <w:t xml:space="preserve">If there was trade to be assigned from mine-to-city or city-to-city within Africa, then the values from each origin location were disaggregated in proportion to the population weights of each destination location.           </w:t>
      </w:r>
    </w:p>
    <w:p w14:paraId="354AB7E7" w14:textId="77777777" w:rsidR="00BE51B1" w:rsidRPr="00766470" w:rsidRDefault="00BE51B1" w:rsidP="00BE51B1">
      <w:pPr>
        <w:spacing w:after="0" w:line="240" w:lineRule="auto"/>
        <w:jc w:val="both"/>
        <w:rPr>
          <w:rFonts w:ascii="Arial" w:eastAsia="Calibri" w:hAnsi="Arial" w:cs="Arial"/>
          <w:b/>
          <w:bCs/>
        </w:rPr>
      </w:pPr>
    </w:p>
    <w:p w14:paraId="0E7DF861" w14:textId="77777777" w:rsidR="00BE51B1" w:rsidRPr="00D4412F" w:rsidRDefault="00BE51B1" w:rsidP="00BE51B1">
      <w:pPr>
        <w:pStyle w:val="Heading2"/>
        <w:rPr>
          <w:rFonts w:ascii="Arial" w:hAnsi="Arial" w:cs="Arial"/>
          <w:b/>
          <w:bCs/>
          <w:color w:val="E97132" w:themeColor="accent2"/>
          <w:sz w:val="24"/>
          <w:szCs w:val="24"/>
        </w:rPr>
      </w:pPr>
      <w:bookmarkStart w:id="106" w:name="_Toc211272299"/>
      <w:r w:rsidRPr="00D4412F">
        <w:rPr>
          <w:rFonts w:ascii="Arial" w:hAnsi="Arial" w:cs="Arial"/>
          <w:b/>
          <w:bCs/>
          <w:color w:val="E97132" w:themeColor="accent2"/>
          <w:sz w:val="24"/>
          <w:szCs w:val="24"/>
        </w:rPr>
        <w:t>4.3 Modelling optimal routing of trade flows across travel infrastructure</w:t>
      </w:r>
      <w:bookmarkEnd w:id="106"/>
    </w:p>
    <w:p w14:paraId="11AE6474" w14:textId="77777777" w:rsidR="00BE51B1" w:rsidRPr="00AD40F3" w:rsidRDefault="00BE51B1" w:rsidP="00BE51B1">
      <w:pPr>
        <w:pStyle w:val="Heading3"/>
        <w:rPr>
          <w:rFonts w:ascii="Arial" w:hAnsi="Arial" w:cs="Arial"/>
          <w:b/>
          <w:bCs/>
          <w:sz w:val="24"/>
          <w:szCs w:val="24"/>
        </w:rPr>
      </w:pPr>
      <w:r>
        <w:rPr>
          <w:rFonts w:ascii="Arial" w:hAnsi="Arial" w:cs="Arial"/>
        </w:rPr>
        <w:br/>
      </w:r>
      <w:bookmarkStart w:id="107" w:name="_Toc211272300"/>
      <w:r w:rsidRPr="00AD40F3">
        <w:rPr>
          <w:rFonts w:ascii="Arial" w:hAnsi="Arial" w:cs="Arial"/>
          <w:b/>
          <w:bCs/>
          <w:sz w:val="24"/>
          <w:szCs w:val="24"/>
        </w:rPr>
        <w:t>4.3.1 A transport flow allocation model was created.</w:t>
      </w:r>
      <w:bookmarkEnd w:id="107"/>
    </w:p>
    <w:p w14:paraId="6A5066FE" w14:textId="3EF0FE18" w:rsidR="00BE51B1" w:rsidRPr="00766470" w:rsidRDefault="00BE51B1" w:rsidP="00BE51B1">
      <w:pPr>
        <w:spacing w:after="0"/>
        <w:jc w:val="both"/>
        <w:rPr>
          <w:rFonts w:ascii="Arial" w:hAnsi="Arial" w:cs="Arial"/>
        </w:rPr>
      </w:pPr>
      <w:r>
        <w:rPr>
          <w:rFonts w:ascii="Arial" w:eastAsia="Calibri" w:hAnsi="Arial" w:cs="Arial"/>
        </w:rPr>
        <w:br/>
      </w:r>
      <w:r w:rsidRPr="00766470">
        <w:rPr>
          <w:rFonts w:ascii="Arial" w:eastAsia="Calibri" w:hAnsi="Arial" w:cs="Arial"/>
        </w:rPr>
        <w:t>A transport flow allocation model was created to estimate how the volumes (in annual tonnes) of products being produced at different supply locations (origins) would be moved via transport networks to demand locations (destinations), along the mineral supply chain, as illustrated in</w:t>
      </w:r>
      <w:r w:rsidR="00615C28">
        <w:rPr>
          <w:rFonts w:ascii="Arial" w:eastAsia="Calibri" w:hAnsi="Arial" w:cs="Arial"/>
          <w:b/>
          <w:bCs/>
        </w:rPr>
        <w:t xml:space="preserve"> </w:t>
      </w:r>
      <w:r w:rsidR="00615C28">
        <w:rPr>
          <w:rFonts w:ascii="Arial" w:eastAsia="Calibri" w:hAnsi="Arial" w:cs="Arial"/>
          <w:b/>
          <w:bCs/>
        </w:rPr>
        <w:fldChar w:fldCharType="begin"/>
      </w:r>
      <w:r w:rsidR="00615C28">
        <w:rPr>
          <w:rFonts w:ascii="Arial" w:eastAsia="Calibri" w:hAnsi="Arial" w:cs="Arial"/>
          <w:b/>
          <w:bCs/>
        </w:rPr>
        <w:instrText xml:space="preserve"> REF _Ref214453603 \h </w:instrText>
      </w:r>
      <w:r w:rsidR="00615C28">
        <w:rPr>
          <w:rFonts w:ascii="Arial" w:eastAsia="Calibri" w:hAnsi="Arial" w:cs="Arial"/>
          <w:b/>
          <w:bCs/>
        </w:rPr>
      </w:r>
      <w:r w:rsidR="00615C28">
        <w:rPr>
          <w:rFonts w:ascii="Arial" w:eastAsia="Calibri" w:hAnsi="Arial" w:cs="Arial"/>
          <w:b/>
          <w:bCs/>
        </w:rPr>
        <w:fldChar w:fldCharType="separate"/>
      </w:r>
      <w:r w:rsidR="00615C28">
        <w:t xml:space="preserve">Figure </w:t>
      </w:r>
      <w:r w:rsidR="00615C28">
        <w:rPr>
          <w:noProof/>
        </w:rPr>
        <w:t>18</w:t>
      </w:r>
      <w:r w:rsidR="00615C28">
        <w:rPr>
          <w:rFonts w:ascii="Arial" w:eastAsia="Calibri" w:hAnsi="Arial" w:cs="Arial"/>
          <w:b/>
          <w:bCs/>
        </w:rPr>
        <w:fldChar w:fldCharType="end"/>
      </w:r>
      <w:r w:rsidRPr="00766470">
        <w:rPr>
          <w:rFonts w:ascii="Arial" w:eastAsia="Calibri" w:hAnsi="Arial" w:cs="Arial"/>
        </w:rPr>
        <w:t xml:space="preserve">. Broadly, the trade flows routes were divided into two types: </w:t>
      </w:r>
    </w:p>
    <w:p w14:paraId="298C0899" w14:textId="77777777" w:rsidR="00BE51B1" w:rsidRPr="00766470" w:rsidRDefault="00BE51B1" w:rsidP="00BE51B1">
      <w:pPr>
        <w:pStyle w:val="ListParagraph"/>
        <w:numPr>
          <w:ilvl w:val="0"/>
          <w:numId w:val="9"/>
        </w:numPr>
        <w:spacing w:after="0" w:line="259" w:lineRule="auto"/>
        <w:ind w:left="360"/>
        <w:jc w:val="both"/>
        <w:rPr>
          <w:rFonts w:ascii="Arial" w:eastAsia="Calibri" w:hAnsi="Arial" w:cs="Arial"/>
        </w:rPr>
      </w:pPr>
      <w:r w:rsidRPr="00766470">
        <w:rPr>
          <w:rFonts w:ascii="Arial" w:eastAsia="Calibri" w:hAnsi="Arial" w:cs="Arial"/>
          <w:u w:val="single"/>
        </w:rPr>
        <w:t>Trade within Africa</w:t>
      </w:r>
      <w:r w:rsidRPr="00766470">
        <w:rPr>
          <w:rFonts w:ascii="Arial" w:eastAsia="Calibri" w:hAnsi="Arial" w:cs="Arial"/>
        </w:rPr>
        <w:t xml:space="preserve">. This involved routing flows in the following ways: </w:t>
      </w:r>
    </w:p>
    <w:p w14:paraId="7C32A5C1" w14:textId="01FE7A99" w:rsidR="00BE51B1" w:rsidRPr="00766470" w:rsidRDefault="00BE51B1" w:rsidP="00BE51B1">
      <w:pPr>
        <w:pStyle w:val="ListParagraph"/>
        <w:numPr>
          <w:ilvl w:val="1"/>
          <w:numId w:val="9"/>
        </w:numPr>
        <w:spacing w:after="0" w:line="259" w:lineRule="auto"/>
        <w:ind w:left="1080"/>
        <w:jc w:val="both"/>
        <w:rPr>
          <w:rFonts w:ascii="Arial" w:eastAsia="Calibri" w:hAnsi="Arial" w:cs="Arial"/>
        </w:rPr>
      </w:pPr>
      <w:r w:rsidRPr="00766470">
        <w:rPr>
          <w:rFonts w:ascii="Arial" w:eastAsia="Calibri" w:hAnsi="Arial" w:cs="Arial"/>
        </w:rPr>
        <w:lastRenderedPageBreak/>
        <w:t>Between mines to convert unrefined products to lower stage refined products. This was done between mines of separate countries, if the high-level trade matrix indicated that these countries would be trading unrefined product which would be converted into lower stage refined product in the destination country for further usage (see</w:t>
      </w:r>
      <w:r w:rsidR="00615C28">
        <w:rPr>
          <w:rFonts w:ascii="Arial" w:eastAsia="Times New Roman" w:hAnsi="Arial" w:cs="Arial"/>
          <w:b/>
          <w:bCs/>
        </w:rPr>
        <w:t xml:space="preserve"> </w:t>
      </w:r>
      <w:r w:rsidR="00615C28">
        <w:rPr>
          <w:rFonts w:ascii="Arial" w:eastAsia="Times New Roman" w:hAnsi="Arial" w:cs="Arial"/>
          <w:b/>
          <w:bCs/>
        </w:rPr>
        <w:fldChar w:fldCharType="begin"/>
      </w:r>
      <w:r w:rsidR="00615C28">
        <w:rPr>
          <w:rFonts w:ascii="Arial" w:eastAsia="Times New Roman" w:hAnsi="Arial" w:cs="Arial"/>
          <w:b/>
          <w:bCs/>
        </w:rPr>
        <w:instrText xml:space="preserve"> REF _Ref214453603 \h </w:instrText>
      </w:r>
      <w:r w:rsidR="00615C28">
        <w:rPr>
          <w:rFonts w:ascii="Arial" w:eastAsia="Times New Roman" w:hAnsi="Arial" w:cs="Arial"/>
          <w:b/>
          <w:bCs/>
        </w:rPr>
      </w:r>
      <w:r w:rsidR="00615C28">
        <w:rPr>
          <w:rFonts w:ascii="Arial" w:eastAsia="Times New Roman" w:hAnsi="Arial" w:cs="Arial"/>
          <w:b/>
          <w:bCs/>
        </w:rPr>
        <w:fldChar w:fldCharType="separate"/>
      </w:r>
      <w:r w:rsidR="00615C28">
        <w:t xml:space="preserve">Figure </w:t>
      </w:r>
      <w:r w:rsidR="00615C28">
        <w:rPr>
          <w:noProof/>
        </w:rPr>
        <w:t>18</w:t>
      </w:r>
      <w:r w:rsidR="00615C28">
        <w:rPr>
          <w:rFonts w:ascii="Arial" w:eastAsia="Times New Roman" w:hAnsi="Arial" w:cs="Arial"/>
          <w:b/>
          <w:bCs/>
        </w:rPr>
        <w:fldChar w:fldCharType="end"/>
      </w:r>
      <w:r w:rsidRPr="00766470">
        <w:rPr>
          <w:rFonts w:ascii="Arial" w:eastAsia="Calibri" w:hAnsi="Arial" w:cs="Arial"/>
        </w:rPr>
        <w:t xml:space="preserve">).      </w:t>
      </w:r>
    </w:p>
    <w:p w14:paraId="3E0DC497" w14:textId="4B74CEC6" w:rsidR="00BE51B1" w:rsidRPr="00766470" w:rsidRDefault="00BE51B1" w:rsidP="00BE51B1">
      <w:pPr>
        <w:pStyle w:val="ListParagraph"/>
        <w:numPr>
          <w:ilvl w:val="1"/>
          <w:numId w:val="9"/>
        </w:numPr>
        <w:spacing w:after="0" w:line="259" w:lineRule="auto"/>
        <w:ind w:left="1080"/>
        <w:jc w:val="both"/>
        <w:rPr>
          <w:rFonts w:ascii="Arial" w:eastAsia="Calibri" w:hAnsi="Arial" w:cs="Arial"/>
        </w:rPr>
      </w:pPr>
      <w:r w:rsidRPr="00766470">
        <w:rPr>
          <w:rFonts w:ascii="Arial" w:eastAsia="Calibri" w:hAnsi="Arial" w:cs="Arial"/>
        </w:rPr>
        <w:t>From mines to existing higher processing locations (cities), within a country and between trading countries. Routing was also done between mines and cities within a country for transporting the residual unrefined product for manufacture of other products not being used in the EV battery value chain (based on the assumptions from</w:t>
      </w:r>
      <w:r w:rsidR="00615C28">
        <w:rPr>
          <w:rFonts w:ascii="Arial" w:eastAsia="Calibri" w:hAnsi="Arial" w:cs="Arial"/>
        </w:rPr>
        <w:t xml:space="preserve"> </w:t>
      </w:r>
      <w:r w:rsidR="00615C28">
        <w:rPr>
          <w:rFonts w:ascii="Arial" w:eastAsia="Calibri" w:hAnsi="Arial" w:cs="Arial"/>
        </w:rPr>
        <w:fldChar w:fldCharType="begin"/>
      </w:r>
      <w:r w:rsidR="00615C28">
        <w:rPr>
          <w:rFonts w:ascii="Arial" w:eastAsia="Calibri" w:hAnsi="Arial" w:cs="Arial"/>
        </w:rPr>
        <w:instrText xml:space="preserve"> REF _Ref214453269 \h </w:instrText>
      </w:r>
      <w:r w:rsidR="00615C28">
        <w:rPr>
          <w:rFonts w:ascii="Arial" w:eastAsia="Calibri" w:hAnsi="Arial" w:cs="Arial"/>
        </w:rPr>
      </w:r>
      <w:r w:rsidR="00615C28">
        <w:rPr>
          <w:rFonts w:ascii="Arial" w:eastAsia="Calibri" w:hAnsi="Arial" w:cs="Arial"/>
        </w:rPr>
        <w:fldChar w:fldCharType="separate"/>
      </w:r>
      <w:r w:rsidR="00615C28">
        <w:t xml:space="preserve">Table </w:t>
      </w:r>
      <w:r w:rsidR="00615C28">
        <w:rPr>
          <w:noProof/>
        </w:rPr>
        <w:t>16</w:t>
      </w:r>
      <w:r w:rsidR="00615C28">
        <w:rPr>
          <w:rFonts w:ascii="Arial" w:eastAsia="Calibri" w:hAnsi="Arial" w:cs="Arial"/>
        </w:rPr>
        <w:fldChar w:fldCharType="end"/>
      </w:r>
      <w:r w:rsidRPr="00766470">
        <w:rPr>
          <w:rFonts w:ascii="Arial" w:eastAsia="Calibri" w:hAnsi="Arial" w:cs="Arial"/>
        </w:rPr>
        <w:t xml:space="preserve">). </w:t>
      </w:r>
    </w:p>
    <w:p w14:paraId="313BA8DA" w14:textId="77777777" w:rsidR="00BE51B1" w:rsidRPr="00766470" w:rsidRDefault="00BE51B1" w:rsidP="00BE51B1">
      <w:pPr>
        <w:pStyle w:val="ListParagraph"/>
        <w:numPr>
          <w:ilvl w:val="1"/>
          <w:numId w:val="9"/>
        </w:numPr>
        <w:spacing w:after="0" w:line="259" w:lineRule="auto"/>
        <w:ind w:left="1080"/>
        <w:jc w:val="both"/>
        <w:rPr>
          <w:rFonts w:ascii="Arial" w:eastAsia="Calibri" w:hAnsi="Arial" w:cs="Arial"/>
        </w:rPr>
      </w:pPr>
      <w:r w:rsidRPr="00766470">
        <w:rPr>
          <w:rFonts w:ascii="Arial" w:eastAsia="Calibri" w:hAnsi="Arial" w:cs="Arial"/>
        </w:rPr>
        <w:t xml:space="preserve">Between cities to send higher stage processed products from one country to another, as indicated by the trade data.   </w:t>
      </w:r>
    </w:p>
    <w:p w14:paraId="58C97E6C" w14:textId="77777777" w:rsidR="00BE51B1" w:rsidRPr="00766470" w:rsidRDefault="00BE51B1" w:rsidP="00BE51B1">
      <w:pPr>
        <w:pStyle w:val="ListParagraph"/>
        <w:numPr>
          <w:ilvl w:val="1"/>
          <w:numId w:val="9"/>
        </w:numPr>
        <w:spacing w:after="0" w:line="259" w:lineRule="auto"/>
        <w:ind w:left="1080"/>
        <w:jc w:val="both"/>
        <w:rPr>
          <w:rFonts w:ascii="Arial" w:eastAsia="Calibri" w:hAnsi="Arial" w:cs="Arial"/>
        </w:rPr>
      </w:pPr>
      <w:r w:rsidRPr="00766470">
        <w:rPr>
          <w:rFonts w:ascii="Arial" w:eastAsia="Calibri" w:hAnsi="Arial" w:cs="Arial"/>
        </w:rPr>
        <w:t>From mines and cities towards gateway ports for global exports.</w:t>
      </w:r>
    </w:p>
    <w:p w14:paraId="4503DD29" w14:textId="77777777" w:rsidR="00BE51B1" w:rsidRPr="00766470" w:rsidRDefault="00BE51B1" w:rsidP="00BE51B1">
      <w:pPr>
        <w:pStyle w:val="ListParagraph"/>
        <w:numPr>
          <w:ilvl w:val="1"/>
          <w:numId w:val="9"/>
        </w:numPr>
        <w:spacing w:after="0" w:line="259" w:lineRule="auto"/>
        <w:ind w:left="1080"/>
        <w:jc w:val="both"/>
        <w:rPr>
          <w:rFonts w:ascii="Arial" w:eastAsia="Calibri" w:hAnsi="Arial" w:cs="Arial"/>
        </w:rPr>
      </w:pPr>
      <w:r w:rsidRPr="00766470">
        <w:rPr>
          <w:rFonts w:ascii="Arial" w:eastAsia="Calibri" w:hAnsi="Arial" w:cs="Arial"/>
        </w:rPr>
        <w:t xml:space="preserve">Imports from gateway ports towards mines (those producing refined product only) and cities. The imports headed towards mines were assumed to be distributed in proportion to the metal content production of each mine, and the imports headed towards the cities were assumed to be distributed in proportion to the population of each city.    </w:t>
      </w:r>
    </w:p>
    <w:p w14:paraId="40484543" w14:textId="77777777" w:rsidR="00BE51B1" w:rsidRPr="00766470" w:rsidRDefault="00BE51B1" w:rsidP="00BE51B1">
      <w:pPr>
        <w:pStyle w:val="ListParagraph"/>
        <w:numPr>
          <w:ilvl w:val="0"/>
          <w:numId w:val="9"/>
        </w:numPr>
        <w:spacing w:after="0" w:line="259" w:lineRule="auto"/>
        <w:ind w:left="360"/>
        <w:jc w:val="both"/>
        <w:rPr>
          <w:rFonts w:ascii="Arial" w:eastAsia="Calibri" w:hAnsi="Arial" w:cs="Arial"/>
        </w:rPr>
      </w:pPr>
      <w:r w:rsidRPr="00766470">
        <w:rPr>
          <w:rFonts w:ascii="Arial" w:eastAsia="Calibri" w:hAnsi="Arial" w:cs="Arial"/>
          <w:u w:val="single"/>
        </w:rPr>
        <w:t>Trade beyond Africa</w:t>
      </w:r>
      <w:r w:rsidRPr="00766470">
        <w:rPr>
          <w:rFonts w:ascii="Arial" w:eastAsia="Calibri" w:hAnsi="Arial" w:cs="Arial"/>
        </w:rPr>
        <w:t xml:space="preserve">. This involved sending flows (exports and imports) via a global shipping network between the African gateway ports to one port per country of destination or origin.         </w:t>
      </w:r>
    </w:p>
    <w:p w14:paraId="2F95ED3D" w14:textId="77777777" w:rsidR="00BE51B1" w:rsidRPr="00766470" w:rsidRDefault="00BE51B1" w:rsidP="00BE51B1">
      <w:pPr>
        <w:spacing w:after="0"/>
        <w:jc w:val="both"/>
        <w:rPr>
          <w:rFonts w:ascii="Arial" w:hAnsi="Arial" w:cs="Arial"/>
        </w:rPr>
      </w:pPr>
      <w:r w:rsidRPr="00766470">
        <w:rPr>
          <w:rFonts w:ascii="Arial" w:eastAsia="Calibri" w:hAnsi="Arial" w:cs="Arial"/>
        </w:rPr>
        <w:t xml:space="preserve"> </w:t>
      </w:r>
    </w:p>
    <w:p w14:paraId="25BB0518" w14:textId="0681EC9B" w:rsidR="00BE51B1" w:rsidRPr="009F3AF4" w:rsidRDefault="00615C28" w:rsidP="00615C28">
      <w:pPr>
        <w:pStyle w:val="Caption"/>
      </w:pPr>
      <w:bookmarkStart w:id="108" w:name="_Ref214453603"/>
      <w:bookmarkStart w:id="109" w:name="_Toc211272401"/>
      <w:r>
        <w:t xml:space="preserve">Figure </w:t>
      </w:r>
      <w:fldSimple w:instr=" SEQ Figure \* ARABIC ">
        <w:r w:rsidR="00E1763F">
          <w:rPr>
            <w:noProof/>
          </w:rPr>
          <w:t>18</w:t>
        </w:r>
      </w:fldSimple>
      <w:bookmarkEnd w:id="108"/>
      <w:r w:rsidR="00BE51B1" w:rsidRPr="009F3AF4">
        <w:t>: Schematic of baseline flow routing</w:t>
      </w:r>
      <w:bookmarkEnd w:id="109"/>
    </w:p>
    <w:p w14:paraId="12BF2B95" w14:textId="77777777" w:rsidR="00BE51B1" w:rsidRDefault="00BE51B1" w:rsidP="00BE51B1">
      <w:pPr>
        <w:spacing w:after="0"/>
        <w:jc w:val="center"/>
        <w:rPr>
          <w:rFonts w:ascii="Arial" w:hAnsi="Arial" w:cs="Arial"/>
        </w:rPr>
      </w:pPr>
      <w:r>
        <w:rPr>
          <w:rFonts w:ascii="Arial" w:hAnsi="Arial" w:cs="Arial"/>
          <w:noProof/>
        </w:rPr>
        <w:drawing>
          <wp:inline distT="0" distB="0" distL="0" distR="0" wp14:anchorId="12B5ECE4" wp14:editId="4130727A">
            <wp:extent cx="5767383" cy="2987591"/>
            <wp:effectExtent l="0" t="0" r="5080" b="3810"/>
            <wp:docPr id="1819622922" name="Picture 14" descr="A diagram of a trade within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2922" name="Picture 14" descr="A diagram of a trade within africa&#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8215" cy="2988022"/>
                    </a:xfrm>
                    <a:prstGeom prst="rect">
                      <a:avLst/>
                    </a:prstGeom>
                    <a:noFill/>
                  </pic:spPr>
                </pic:pic>
              </a:graphicData>
            </a:graphic>
          </wp:inline>
        </w:drawing>
      </w:r>
    </w:p>
    <w:p w14:paraId="4AF7C001" w14:textId="77777777" w:rsidR="00BE51B1" w:rsidRPr="00766470" w:rsidRDefault="00BE51B1" w:rsidP="00BE51B1">
      <w:pPr>
        <w:spacing w:after="0"/>
        <w:jc w:val="center"/>
        <w:rPr>
          <w:rFonts w:ascii="Arial" w:hAnsi="Arial" w:cs="Arial"/>
        </w:rPr>
      </w:pPr>
    </w:p>
    <w:p w14:paraId="1D8DCE24" w14:textId="77777777" w:rsidR="00BE51B1" w:rsidRPr="00766470" w:rsidRDefault="00BE51B1" w:rsidP="00BE51B1">
      <w:pPr>
        <w:pStyle w:val="Caption"/>
        <w:rPr>
          <w:rFonts w:ascii="Arial" w:eastAsia="Calibri" w:hAnsi="Arial" w:cs="Arial"/>
          <w:i w:val="0"/>
          <w:iCs w:val="0"/>
        </w:rPr>
      </w:pPr>
    </w:p>
    <w:p w14:paraId="642A0482" w14:textId="77777777" w:rsidR="00BE51B1" w:rsidRPr="00AD40F3" w:rsidRDefault="00BE51B1" w:rsidP="00BE51B1">
      <w:pPr>
        <w:pStyle w:val="Heading3"/>
        <w:rPr>
          <w:rFonts w:ascii="Arial" w:hAnsi="Arial" w:cs="Arial"/>
          <w:b/>
          <w:bCs/>
          <w:sz w:val="24"/>
          <w:szCs w:val="24"/>
        </w:rPr>
      </w:pPr>
      <w:bookmarkStart w:id="110" w:name="_Toc211272301"/>
      <w:r w:rsidRPr="00AD40F3">
        <w:rPr>
          <w:rFonts w:ascii="Arial" w:hAnsi="Arial" w:cs="Arial"/>
          <w:b/>
          <w:bCs/>
          <w:sz w:val="24"/>
          <w:szCs w:val="24"/>
        </w:rPr>
        <w:t>4.3.2 A multi-modal routable transport network was constructed.</w:t>
      </w:r>
      <w:bookmarkEnd w:id="110"/>
    </w:p>
    <w:p w14:paraId="3AFBC95E" w14:textId="0BE99B85" w:rsidR="00BE51B1" w:rsidRPr="00766470" w:rsidRDefault="00BE51B1" w:rsidP="00BE51B1">
      <w:pPr>
        <w:jc w:val="both"/>
        <w:rPr>
          <w:rFonts w:ascii="Arial" w:hAnsi="Arial" w:cs="Arial"/>
        </w:rPr>
      </w:pPr>
      <w:r>
        <w:rPr>
          <w:rFonts w:ascii="Arial" w:eastAsia="Calibri" w:hAnsi="Arial" w:cs="Arial"/>
        </w:rPr>
        <w:br/>
      </w:r>
      <w:r w:rsidRPr="00766470">
        <w:rPr>
          <w:rFonts w:ascii="Arial" w:eastAsia="Calibri" w:hAnsi="Arial" w:cs="Arial"/>
        </w:rPr>
        <w:t xml:space="preserve">To implement the transport routing, first spatial network datasets were collected and </w:t>
      </w:r>
      <w:r w:rsidRPr="00766470">
        <w:rPr>
          <w:rFonts w:ascii="Arial" w:eastAsia="Calibri" w:hAnsi="Arial" w:cs="Arial"/>
        </w:rPr>
        <w:lastRenderedPageBreak/>
        <w:t>joined together to create a multi-modal routable network, based on the sources identified in</w:t>
      </w:r>
      <w:r w:rsidR="00615C28">
        <w:rPr>
          <w:rFonts w:ascii="Arial" w:eastAsia="Calibri" w:hAnsi="Arial" w:cs="Arial"/>
          <w:b/>
          <w:bCs/>
        </w:rPr>
        <w:t xml:space="preserve"> </w:t>
      </w:r>
      <w:r w:rsidR="00615C28">
        <w:rPr>
          <w:rFonts w:ascii="Arial" w:eastAsia="Calibri" w:hAnsi="Arial" w:cs="Arial"/>
          <w:b/>
          <w:bCs/>
        </w:rPr>
        <w:fldChar w:fldCharType="begin"/>
      </w:r>
      <w:r w:rsidR="00615C28">
        <w:rPr>
          <w:rFonts w:ascii="Arial" w:eastAsia="Calibri" w:hAnsi="Arial" w:cs="Arial"/>
          <w:b/>
          <w:bCs/>
        </w:rPr>
        <w:instrText xml:space="preserve"> REF _Ref214453305 \h </w:instrText>
      </w:r>
      <w:r w:rsidR="00615C28">
        <w:rPr>
          <w:rFonts w:ascii="Arial" w:eastAsia="Calibri" w:hAnsi="Arial" w:cs="Arial"/>
          <w:b/>
          <w:bCs/>
        </w:rPr>
      </w:r>
      <w:r w:rsidR="00615C28">
        <w:rPr>
          <w:rFonts w:ascii="Arial" w:eastAsia="Calibri" w:hAnsi="Arial" w:cs="Arial"/>
          <w:b/>
          <w:bCs/>
        </w:rPr>
        <w:fldChar w:fldCharType="separate"/>
      </w:r>
      <w:r w:rsidR="00615C28">
        <w:t xml:space="preserve">Table </w:t>
      </w:r>
      <w:r w:rsidR="00615C28">
        <w:rPr>
          <w:noProof/>
        </w:rPr>
        <w:t>17</w:t>
      </w:r>
      <w:r w:rsidR="00615C28">
        <w:rPr>
          <w:rFonts w:ascii="Arial" w:eastAsia="Calibri" w:hAnsi="Arial" w:cs="Arial"/>
          <w:b/>
          <w:bCs/>
        </w:rPr>
        <w:fldChar w:fldCharType="end"/>
      </w:r>
      <w:r w:rsidRPr="00766470">
        <w:rPr>
          <w:rFonts w:ascii="Arial" w:eastAsia="Calibri" w:hAnsi="Arial" w:cs="Arial"/>
        </w:rPr>
        <w:t>.</w:t>
      </w:r>
    </w:p>
    <w:p w14:paraId="6868E254" w14:textId="7546DAD5" w:rsidR="00BE51B1" w:rsidRPr="009F3AF4" w:rsidRDefault="00615C28" w:rsidP="00615C28">
      <w:pPr>
        <w:pStyle w:val="Caption"/>
      </w:pPr>
      <w:bookmarkStart w:id="111" w:name="_Ref214453305"/>
      <w:bookmarkStart w:id="112" w:name="_Toc211509412"/>
      <w:r>
        <w:t xml:space="preserve">Table </w:t>
      </w:r>
      <w:fldSimple w:instr=" SEQ Table \* ARABIC ">
        <w:r>
          <w:t>17</w:t>
        </w:r>
      </w:fldSimple>
      <w:bookmarkEnd w:id="111"/>
      <w:r w:rsidR="00BE51B1" w:rsidRPr="009F3AF4">
        <w:t>: Sources for mapping a multi-modal routable network</w:t>
      </w:r>
      <w:bookmarkEnd w:id="112"/>
    </w:p>
    <w:tbl>
      <w:tblPr>
        <w:tblStyle w:val="PlainTable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3"/>
        <w:gridCol w:w="3544"/>
        <w:gridCol w:w="1134"/>
        <w:gridCol w:w="989"/>
      </w:tblGrid>
      <w:tr w:rsidR="00BE51B1" w:rsidRPr="007D3F22" w14:paraId="6FEF7BAC" w14:textId="77777777" w:rsidTr="00763584">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shd w:val="clear" w:color="auto" w:fill="B7D4EF" w:themeFill="text2" w:themeFillTint="33"/>
          </w:tcPr>
          <w:p w14:paraId="1ABF9FC9" w14:textId="77777777" w:rsidR="00BE51B1" w:rsidRPr="00766470" w:rsidRDefault="00BE51B1" w:rsidP="00877C15">
            <w:pPr>
              <w:spacing w:before="20" w:after="40"/>
              <w:rPr>
                <w:rFonts w:ascii="Arial" w:hAnsi="Arial" w:cs="Arial"/>
                <w:color w:val="156082" w:themeColor="accent1"/>
                <w:sz w:val="20"/>
                <w:szCs w:val="20"/>
              </w:rPr>
            </w:pPr>
            <w:r w:rsidRPr="00766470">
              <w:rPr>
                <w:rFonts w:ascii="Arial" w:eastAsia="Calibri" w:hAnsi="Arial" w:cs="Arial"/>
                <w:color w:val="156082" w:themeColor="accent1"/>
                <w:sz w:val="20"/>
                <w:szCs w:val="20"/>
              </w:rPr>
              <w:t>Transport Mode</w:t>
            </w:r>
          </w:p>
        </w:tc>
        <w:tc>
          <w:tcPr>
            <w:tcW w:w="3544" w:type="dxa"/>
            <w:tcBorders>
              <w:bottom w:val="none" w:sz="0" w:space="0" w:color="auto"/>
            </w:tcBorders>
            <w:shd w:val="clear" w:color="auto" w:fill="B7D4EF" w:themeFill="text2" w:themeFillTint="33"/>
          </w:tcPr>
          <w:p w14:paraId="4461B1BE" w14:textId="77777777" w:rsidR="00BE51B1" w:rsidRPr="00766470" w:rsidRDefault="00BE51B1" w:rsidP="00877C15">
            <w:pPr>
              <w:spacing w:before="20" w:after="40"/>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20"/>
                <w:szCs w:val="20"/>
              </w:rPr>
            </w:pPr>
            <w:r w:rsidRPr="00766470">
              <w:rPr>
                <w:rFonts w:ascii="Arial" w:eastAsia="Calibri" w:hAnsi="Arial" w:cs="Arial"/>
                <w:color w:val="156082" w:themeColor="accent1"/>
                <w:sz w:val="20"/>
                <w:szCs w:val="20"/>
              </w:rPr>
              <w:t>Network elements</w:t>
            </w:r>
          </w:p>
        </w:tc>
        <w:tc>
          <w:tcPr>
            <w:tcW w:w="1134" w:type="dxa"/>
            <w:tcBorders>
              <w:bottom w:val="none" w:sz="0" w:space="0" w:color="auto"/>
            </w:tcBorders>
            <w:shd w:val="clear" w:color="auto" w:fill="B7D4EF" w:themeFill="text2" w:themeFillTint="33"/>
          </w:tcPr>
          <w:p w14:paraId="72ECAA0D" w14:textId="77777777" w:rsidR="00BE51B1" w:rsidRPr="00766470" w:rsidRDefault="00BE51B1" w:rsidP="00877C15">
            <w:pPr>
              <w:spacing w:before="20" w:after="40"/>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20"/>
                <w:szCs w:val="20"/>
              </w:rPr>
            </w:pPr>
            <w:r w:rsidRPr="00766470">
              <w:rPr>
                <w:rFonts w:ascii="Arial" w:eastAsia="Calibri" w:hAnsi="Arial" w:cs="Arial"/>
                <w:color w:val="156082" w:themeColor="accent1"/>
                <w:sz w:val="20"/>
                <w:szCs w:val="20"/>
              </w:rPr>
              <w:t>Coverage</w:t>
            </w:r>
          </w:p>
        </w:tc>
        <w:tc>
          <w:tcPr>
            <w:tcW w:w="989" w:type="dxa"/>
            <w:tcBorders>
              <w:bottom w:val="none" w:sz="0" w:space="0" w:color="auto"/>
            </w:tcBorders>
            <w:shd w:val="clear" w:color="auto" w:fill="B7D4EF" w:themeFill="text2" w:themeFillTint="33"/>
          </w:tcPr>
          <w:p w14:paraId="7C44A15E" w14:textId="77777777" w:rsidR="00BE51B1" w:rsidRPr="00766470" w:rsidRDefault="00BE51B1" w:rsidP="00877C15">
            <w:pPr>
              <w:spacing w:before="20" w:after="40"/>
              <w:cnfStyle w:val="100000000000" w:firstRow="1" w:lastRow="0" w:firstColumn="0" w:lastColumn="0" w:oddVBand="0" w:evenVBand="0" w:oddHBand="0" w:evenHBand="0" w:firstRowFirstColumn="0" w:firstRowLastColumn="0" w:lastRowFirstColumn="0" w:lastRowLastColumn="0"/>
              <w:rPr>
                <w:rFonts w:ascii="Arial" w:hAnsi="Arial" w:cs="Arial"/>
                <w:color w:val="156082" w:themeColor="accent1"/>
                <w:sz w:val="20"/>
                <w:szCs w:val="20"/>
              </w:rPr>
            </w:pPr>
            <w:r w:rsidRPr="00766470">
              <w:rPr>
                <w:rFonts w:ascii="Arial" w:eastAsia="Calibri" w:hAnsi="Arial" w:cs="Arial"/>
                <w:color w:val="156082" w:themeColor="accent1"/>
                <w:sz w:val="20"/>
                <w:szCs w:val="20"/>
              </w:rPr>
              <w:t>Source</w:t>
            </w:r>
          </w:p>
        </w:tc>
      </w:tr>
      <w:tr w:rsidR="00BE51B1" w:rsidRPr="00BE51B1" w14:paraId="2A319927" w14:textId="77777777" w:rsidTr="00763584">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1685E4F" w14:textId="77777777" w:rsidR="00BE51B1" w:rsidRPr="00766470" w:rsidRDefault="00BE51B1" w:rsidP="00877C15">
            <w:pPr>
              <w:spacing w:before="20" w:after="40"/>
              <w:rPr>
                <w:rFonts w:ascii="Arial" w:hAnsi="Arial" w:cs="Arial"/>
                <w:color w:val="156082" w:themeColor="accent1"/>
                <w:sz w:val="20"/>
                <w:szCs w:val="20"/>
              </w:rPr>
            </w:pPr>
            <w:r w:rsidRPr="00766470">
              <w:rPr>
                <w:rFonts w:ascii="Arial" w:eastAsia="Calibri" w:hAnsi="Arial" w:cs="Arial"/>
                <w:color w:val="156082" w:themeColor="accent1"/>
                <w:sz w:val="20"/>
                <w:szCs w:val="20"/>
              </w:rPr>
              <w:t>Maritime</w:t>
            </w:r>
          </w:p>
        </w:tc>
        <w:tc>
          <w:tcPr>
            <w:tcW w:w="3544" w:type="dxa"/>
            <w:tcBorders>
              <w:top w:val="none" w:sz="0" w:space="0" w:color="auto"/>
              <w:bottom w:val="none" w:sz="0" w:space="0" w:color="auto"/>
            </w:tcBorders>
          </w:tcPr>
          <w:p w14:paraId="2BF6DB09" w14:textId="77777777" w:rsidR="00BE51B1" w:rsidRPr="00766470" w:rsidRDefault="00BE51B1" w:rsidP="00BE51B1">
            <w:pPr>
              <w:pStyle w:val="ListParagraph"/>
              <w:numPr>
                <w:ilvl w:val="0"/>
                <w:numId w:val="8"/>
              </w:numPr>
              <w:spacing w:before="20" w:after="40"/>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766470">
              <w:rPr>
                <w:rFonts w:ascii="Arial" w:eastAsia="Calibri" w:hAnsi="Arial" w:cs="Arial"/>
                <w:sz w:val="20"/>
                <w:szCs w:val="20"/>
              </w:rPr>
              <w:t>3,780 nodes (1,473 Ports)</w:t>
            </w:r>
          </w:p>
          <w:p w14:paraId="383DB60C" w14:textId="77777777" w:rsidR="00BE51B1" w:rsidRPr="00766470" w:rsidRDefault="00BE51B1" w:rsidP="00BE51B1">
            <w:pPr>
              <w:pStyle w:val="ListParagraph"/>
              <w:numPr>
                <w:ilvl w:val="0"/>
                <w:numId w:val="8"/>
              </w:numPr>
              <w:spacing w:before="20" w:after="40"/>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766470">
              <w:rPr>
                <w:rFonts w:ascii="Arial" w:eastAsia="Calibri" w:hAnsi="Arial" w:cs="Arial"/>
                <w:sz w:val="20"/>
                <w:szCs w:val="20"/>
              </w:rPr>
              <w:t xml:space="preserve">9,538 maritime links </w:t>
            </w:r>
          </w:p>
          <w:p w14:paraId="327DB2AB" w14:textId="77777777" w:rsidR="00BE51B1" w:rsidRPr="00766470" w:rsidRDefault="00BE51B1" w:rsidP="00BE51B1">
            <w:pPr>
              <w:pStyle w:val="ListParagraph"/>
              <w:numPr>
                <w:ilvl w:val="0"/>
                <w:numId w:val="8"/>
              </w:numPr>
              <w:spacing w:before="20" w:after="40"/>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766470">
              <w:rPr>
                <w:rFonts w:ascii="Arial" w:eastAsia="Calibri" w:hAnsi="Arial" w:cs="Arial"/>
                <w:sz w:val="20"/>
                <w:szCs w:val="20"/>
              </w:rPr>
              <w:t>~82,000 direct shipping routes</w:t>
            </w:r>
          </w:p>
        </w:tc>
        <w:tc>
          <w:tcPr>
            <w:tcW w:w="1134" w:type="dxa"/>
            <w:tcBorders>
              <w:top w:val="none" w:sz="0" w:space="0" w:color="auto"/>
              <w:bottom w:val="none" w:sz="0" w:space="0" w:color="auto"/>
            </w:tcBorders>
          </w:tcPr>
          <w:p w14:paraId="1B3C0877" w14:textId="77777777" w:rsidR="00BE51B1" w:rsidRPr="00766470" w:rsidRDefault="00BE51B1" w:rsidP="00877C15">
            <w:pPr>
              <w:spacing w:before="2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6470">
              <w:rPr>
                <w:rFonts w:ascii="Arial" w:eastAsia="Calibri" w:hAnsi="Arial" w:cs="Arial"/>
                <w:sz w:val="20"/>
                <w:szCs w:val="20"/>
              </w:rPr>
              <w:t>Global</w:t>
            </w:r>
          </w:p>
        </w:tc>
        <w:tc>
          <w:tcPr>
            <w:tcW w:w="989" w:type="dxa"/>
            <w:tcBorders>
              <w:top w:val="none" w:sz="0" w:space="0" w:color="auto"/>
              <w:bottom w:val="none" w:sz="0" w:space="0" w:color="auto"/>
            </w:tcBorders>
          </w:tcPr>
          <w:p w14:paraId="691D7580" w14:textId="5172AC25" w:rsidR="00BE51B1" w:rsidRPr="00766470" w:rsidRDefault="00BE51B1" w:rsidP="00877C15">
            <w:pPr>
              <w:spacing w:before="2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766470">
              <w:rPr>
                <w:rFonts w:ascii="Arial" w:eastAsia="Calibri" w:hAnsi="Arial" w:cs="Arial"/>
                <w:sz w:val="20"/>
                <w:szCs w:val="20"/>
                <w:lang w:val="nl-NL"/>
              </w:rPr>
              <w:fldChar w:fldCharType="begin"/>
            </w:r>
            <w:r w:rsidR="0016542D">
              <w:rPr>
                <w:rFonts w:ascii="Arial" w:eastAsia="Calibri" w:hAnsi="Arial" w:cs="Arial"/>
                <w:sz w:val="20"/>
                <w:szCs w:val="20"/>
                <w:lang w:val="nl-NL"/>
              </w:rPr>
              <w:instrText xml:space="preserve"> ADDIN ZOTERO_ITEM CSL_CITATION {"citationID":"O883On6n","properties":{"formattedCitation":"\\super 105,108\\nosupersub{}","plainCitation":"105,108","noteIndex":0},"citationItems":[{"id":2079,"uris":["http://zotero.org/users/10918866/items/XC5I49AS"],"itemData":{"id":2079,"type":"report","abstract":"In 2021, the U.S. Geological Survey's (USGS) National Minerals Information Center (NMIC) completed the project titled \"Compilation of geospatial data for the mineral industries and related infrastructure of Africa.\" This project aimed to leverage the expertise and capabilities of the NMIC to collect, synthesize, and interpret geospatial data to inform on the extractive resources of the African region and expand the NMIC's understanding on the impact of mineral industry of African nations in the global economy. The African region, which comprises the independent nations that make up the African continent and its associated islands and dependencies, consists of a total of 58 mineral producing countries. The primary objective of this effort was to create a fully attributed Geographic Information System (GIS) portraying existing mining infrastructure, resources, and development capacity across Africa along with the related infrastructure capable of supporting current (for the reference year 2018) and future extractive industry operations...","DOI":"10.3133/ofr20241041","ISSN":"2331-1258","language":"en","note":"container-title: Open-File Report","number":"2024-1041","publisher":"U.S. Geological Survey","source":"pubs.usgs.gov","title":"Geospatial PDF map of the compilation of GIS data for the mineral industries and related infrastructure of Africa","URL":"https://pubs.usgs.gov/publication/ofr20241041","author":[{"family":"Neustaedter","given":"Elizabeth R."},{"family":"Kemna","given":"Ryan F."},{"family":"Padilla","given":"Abraham J."},{"family":"Otarod","given":"Donya"}],"accessed":{"date-parts":[["2024",11,19]]},"issued":{"date-parts":[["2024"]]}}},{"id":2070,"uris":["http://zotero.org/users/10918866/items/RLBZIBJX"],"itemData":{"id":2070,"type":"article-journal","abstract":"We quantify the criticality of the world’s 1300 most important ports for global supply chains by predicting the allocation of trade flows on the global maritime transport network, which we link to a global supply-chain database to evaluate the importance of ports for the economy. We find that 50% of global trade in value terms is maritime, with low-income countries and small islands being 1.5 and 2.0 times more reliant on their ports compared to the global average. The five largest ports globally handle goods that embody &gt;1.4% of global output, while 40 ports add &gt;10% of domestic output of the economies they serve, predominantly small islands. We identify critical cross-border infrastructure dependencies for some landlocked and island countries that rely on specific ports outside their jurisdiction. Our results pave the way for developing new strategies to enhance the resilience and sustainability of port infrastructure and maritime trade.","container-title":"Nature Communications","DOI":"10.1038/s41467-022-32070-0","ISSN":"2041-1723","issue":"1","journalAbbreviation":"Nat Commun","language":"en","license":"2022 The Author(s)","page":"4351","publisher":"Nature Publishing Group","source":"www.nature.com","title":"Ports’ criticality in international trade and global supply-chains","volume":"13","author":[{"family":"Verschuur","given":"J."},{"family":"Koks","given":"E. E."},{"family":"Hall","given":"J. W."}],"issued":{"date-parts":[["2022",7,27]]}}}],"schema":"https://github.com/citation-style-language/schema/raw/master/csl-citation.json"} </w:instrText>
            </w:r>
            <w:r w:rsidRPr="00766470">
              <w:rPr>
                <w:rFonts w:ascii="Arial" w:eastAsia="Calibri" w:hAnsi="Arial" w:cs="Arial"/>
                <w:sz w:val="20"/>
                <w:szCs w:val="20"/>
                <w:lang w:val="nl-NL"/>
              </w:rPr>
              <w:fldChar w:fldCharType="separate"/>
            </w:r>
            <w:r w:rsidR="007E07E0" w:rsidRPr="007E07E0">
              <w:rPr>
                <w:rFonts w:ascii="Arial" w:hAnsi="Arial" w:cs="Arial"/>
                <w:kern w:val="0"/>
                <w:sz w:val="20"/>
                <w:vertAlign w:val="superscript"/>
              </w:rPr>
              <w:t>105,108</w:t>
            </w:r>
            <w:r w:rsidRPr="00766470">
              <w:rPr>
                <w:rFonts w:ascii="Arial" w:eastAsia="Calibri" w:hAnsi="Arial" w:cs="Arial"/>
                <w:sz w:val="20"/>
                <w:szCs w:val="20"/>
                <w:lang w:val="nl-NL"/>
              </w:rPr>
              <w:fldChar w:fldCharType="end"/>
            </w:r>
          </w:p>
        </w:tc>
      </w:tr>
      <w:tr w:rsidR="00BE51B1" w:rsidRPr="007D3F22" w14:paraId="2A8D8269" w14:textId="77777777" w:rsidTr="00763584">
        <w:trPr>
          <w:trHeight w:val="15"/>
        </w:trPr>
        <w:tc>
          <w:tcPr>
            <w:cnfStyle w:val="001000000000" w:firstRow="0" w:lastRow="0" w:firstColumn="1" w:lastColumn="0" w:oddVBand="0" w:evenVBand="0" w:oddHBand="0" w:evenHBand="0" w:firstRowFirstColumn="0" w:firstRowLastColumn="0" w:lastRowFirstColumn="0" w:lastRowLastColumn="0"/>
            <w:tcW w:w="1843" w:type="dxa"/>
          </w:tcPr>
          <w:p w14:paraId="4BCD24FD" w14:textId="77777777" w:rsidR="00BE51B1" w:rsidRPr="00766470" w:rsidRDefault="00BE51B1" w:rsidP="00877C15">
            <w:pPr>
              <w:spacing w:before="20" w:after="40"/>
              <w:rPr>
                <w:rFonts w:ascii="Arial" w:hAnsi="Arial" w:cs="Arial"/>
                <w:color w:val="156082" w:themeColor="accent1"/>
                <w:sz w:val="20"/>
                <w:szCs w:val="20"/>
                <w:lang w:val="fr-FR"/>
              </w:rPr>
            </w:pPr>
            <w:r w:rsidRPr="00766470">
              <w:rPr>
                <w:rFonts w:ascii="Arial" w:eastAsia="Calibri" w:hAnsi="Arial" w:cs="Arial"/>
                <w:color w:val="156082" w:themeColor="accent1"/>
                <w:sz w:val="20"/>
                <w:szCs w:val="20"/>
                <w:lang w:val="fr-FR"/>
              </w:rPr>
              <w:t>Railways</w:t>
            </w:r>
          </w:p>
        </w:tc>
        <w:tc>
          <w:tcPr>
            <w:tcW w:w="3544" w:type="dxa"/>
          </w:tcPr>
          <w:p w14:paraId="1810E41D" w14:textId="77777777" w:rsidR="00BE51B1" w:rsidRPr="00766470" w:rsidRDefault="00BE51B1" w:rsidP="00BE51B1">
            <w:pPr>
              <w:pStyle w:val="ListParagraph"/>
              <w:numPr>
                <w:ilvl w:val="0"/>
                <w:numId w:val="7"/>
              </w:numPr>
              <w:spacing w:before="20" w:after="40"/>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766470">
              <w:rPr>
                <w:rFonts w:ascii="Arial" w:eastAsia="Calibri" w:hAnsi="Arial" w:cs="Arial"/>
                <w:sz w:val="20"/>
                <w:szCs w:val="20"/>
                <w:lang w:val="fr-FR"/>
              </w:rPr>
              <w:t>51,351 nodes (3,667 Stations)</w:t>
            </w:r>
          </w:p>
          <w:p w14:paraId="5B0BFD15" w14:textId="77777777" w:rsidR="00BE51B1" w:rsidRPr="00766470" w:rsidRDefault="00BE51B1" w:rsidP="00BE51B1">
            <w:pPr>
              <w:pStyle w:val="ListParagraph"/>
              <w:numPr>
                <w:ilvl w:val="0"/>
                <w:numId w:val="7"/>
              </w:numPr>
              <w:spacing w:before="20" w:after="40"/>
              <w:ind w:left="36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766470">
              <w:rPr>
                <w:rFonts w:ascii="Arial" w:eastAsia="Calibri" w:hAnsi="Arial" w:cs="Arial"/>
                <w:sz w:val="20"/>
                <w:szCs w:val="20"/>
                <w:lang w:val="fr-FR"/>
              </w:rPr>
              <w:t xml:space="preserve">51,489 rail line segments </w:t>
            </w:r>
          </w:p>
        </w:tc>
        <w:tc>
          <w:tcPr>
            <w:tcW w:w="1134" w:type="dxa"/>
          </w:tcPr>
          <w:p w14:paraId="75F8F295" w14:textId="77777777" w:rsidR="00BE51B1" w:rsidRPr="00766470" w:rsidRDefault="00BE51B1" w:rsidP="00877C15">
            <w:pPr>
              <w:spacing w:before="2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766470">
              <w:rPr>
                <w:rFonts w:ascii="Arial" w:eastAsia="Calibri" w:hAnsi="Arial" w:cs="Arial"/>
                <w:sz w:val="20"/>
                <w:szCs w:val="20"/>
                <w:lang w:val="fr-FR"/>
              </w:rPr>
              <w:t>Africa</w:t>
            </w:r>
          </w:p>
        </w:tc>
        <w:tc>
          <w:tcPr>
            <w:tcW w:w="989" w:type="dxa"/>
          </w:tcPr>
          <w:p w14:paraId="6A7F23CE" w14:textId="18BF2A57" w:rsidR="00BE51B1" w:rsidRPr="00766470" w:rsidRDefault="00BE51B1" w:rsidP="00877C15">
            <w:pPr>
              <w:spacing w:before="20" w:after="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6470">
              <w:rPr>
                <w:rFonts w:ascii="Arial" w:eastAsia="Calibri" w:hAnsi="Arial" w:cs="Arial"/>
                <w:sz w:val="20"/>
                <w:szCs w:val="20"/>
              </w:rPr>
              <w:fldChar w:fldCharType="begin"/>
            </w:r>
            <w:r w:rsidR="0016542D">
              <w:rPr>
                <w:rFonts w:ascii="Arial" w:eastAsia="Calibri" w:hAnsi="Arial" w:cs="Arial"/>
                <w:sz w:val="20"/>
                <w:szCs w:val="20"/>
                <w:lang w:val="fr-FR"/>
              </w:rPr>
              <w:instrText xml:space="preserve"> ADDIN ZOTERO_ITEM CSL_CITATION {"citationID":"y1GEbKO5","properties":{"formattedCitation":"\\super 109,110\\nosupersub{}","plainCitation":"109,110","noteIndex":0},"citationItems":[{"id":2065,"uris":["http://zotero.org/users/10918866/items/H9XMC736"],"itemData":{"id":2065,"type":"webpage","abstract":"OpenStreetMap is a map of the world, created by people like you and free to use under an open license.","container-title":"OpenStreetMap","language":"en","title":"Open Street Map","URL":"https://www.openstreetmap.org/","author":[{"family":"Open Street Map","given":""}],"accessed":{"date-parts":[["2024",11,19]]},"issued":{"date-parts":[["2024"]]}}},{"id":2073,"uris":["http://zotero.org/users/10918866/items/C3RBI4RU"],"itemData":{"id":2073,"type":"article-journal","abstract":"The large-scale expansion of built infrastructure is profoundly reshaping the geographies of Africa, generating lock-in patterns of development for future generations. Understanding the impact of these massive investments can allow development ...","container-title":"Scientific Data","DOI":"10.1038/s41597-022-01771-y","language":"en","page":"679","PMID":"36351928","source":"pmc.ncbi.nlm.nih.gov","title":"The African Development Corridors Database: a new tool to assess the impacts of infrastructure investments","title-short":"The African Development Corridors Database","volume":"9","author":[{"family":"Thorn","given":"Jessica P. R."},{"family":"Bignoli","given":"Diego Juffe"},{"family":"Mwangi","given":"Ben"},{"family":"Marchant","given":"Robert A."}],"issued":{"date-parts":[["2022",11,9]]}}}],"schema":"https://github.com/citation-style-language/schema/raw/master/csl-citation.json"} </w:instrText>
            </w:r>
            <w:r w:rsidRPr="00766470">
              <w:rPr>
                <w:rFonts w:ascii="Arial" w:eastAsia="Calibri" w:hAnsi="Arial" w:cs="Arial"/>
                <w:sz w:val="20"/>
                <w:szCs w:val="20"/>
              </w:rPr>
              <w:fldChar w:fldCharType="separate"/>
            </w:r>
            <w:r w:rsidR="007E07E0" w:rsidRPr="007E07E0">
              <w:rPr>
                <w:rFonts w:ascii="Arial" w:hAnsi="Arial" w:cs="Arial"/>
                <w:kern w:val="0"/>
                <w:sz w:val="20"/>
                <w:vertAlign w:val="superscript"/>
              </w:rPr>
              <w:t>109,110</w:t>
            </w:r>
            <w:r w:rsidRPr="00766470">
              <w:rPr>
                <w:rFonts w:ascii="Arial" w:eastAsia="Calibri" w:hAnsi="Arial" w:cs="Arial"/>
                <w:sz w:val="20"/>
                <w:szCs w:val="20"/>
              </w:rPr>
              <w:fldChar w:fldCharType="end"/>
            </w:r>
          </w:p>
        </w:tc>
      </w:tr>
      <w:tr w:rsidR="00BE51B1" w:rsidRPr="007D3F22" w14:paraId="518426C1" w14:textId="77777777" w:rsidTr="00763584">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1D0B131" w14:textId="77777777" w:rsidR="00BE51B1" w:rsidRPr="00766470" w:rsidRDefault="00BE51B1" w:rsidP="00877C15">
            <w:pPr>
              <w:spacing w:before="20" w:after="40"/>
              <w:rPr>
                <w:rFonts w:ascii="Arial" w:hAnsi="Arial" w:cs="Arial"/>
                <w:color w:val="156082" w:themeColor="accent1"/>
                <w:sz w:val="20"/>
                <w:szCs w:val="20"/>
              </w:rPr>
            </w:pPr>
            <w:r w:rsidRPr="00766470">
              <w:rPr>
                <w:rFonts w:ascii="Arial" w:eastAsia="Calibri" w:hAnsi="Arial" w:cs="Arial"/>
                <w:color w:val="156082" w:themeColor="accent1"/>
                <w:sz w:val="20"/>
                <w:szCs w:val="20"/>
              </w:rPr>
              <w:t>Roads</w:t>
            </w:r>
          </w:p>
        </w:tc>
        <w:tc>
          <w:tcPr>
            <w:tcW w:w="3544" w:type="dxa"/>
            <w:tcBorders>
              <w:top w:val="none" w:sz="0" w:space="0" w:color="auto"/>
              <w:bottom w:val="none" w:sz="0" w:space="0" w:color="auto"/>
            </w:tcBorders>
          </w:tcPr>
          <w:p w14:paraId="0E2A5D60" w14:textId="77777777" w:rsidR="00BE51B1" w:rsidRPr="00766470" w:rsidRDefault="00BE51B1" w:rsidP="00BE51B1">
            <w:pPr>
              <w:pStyle w:val="ListParagraph"/>
              <w:numPr>
                <w:ilvl w:val="0"/>
                <w:numId w:val="6"/>
              </w:numPr>
              <w:spacing w:before="20" w:after="40"/>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766470">
              <w:rPr>
                <w:rFonts w:ascii="Arial" w:eastAsia="Calibri" w:hAnsi="Arial" w:cs="Arial"/>
                <w:sz w:val="20"/>
                <w:szCs w:val="20"/>
              </w:rPr>
              <w:t>2,179,766 endpoints of road segments</w:t>
            </w:r>
          </w:p>
          <w:p w14:paraId="0A4CE4AD" w14:textId="77777777" w:rsidR="00BE51B1" w:rsidRPr="00766470" w:rsidRDefault="00BE51B1" w:rsidP="00BE51B1">
            <w:pPr>
              <w:pStyle w:val="ListParagraph"/>
              <w:numPr>
                <w:ilvl w:val="0"/>
                <w:numId w:val="6"/>
              </w:numPr>
              <w:spacing w:before="20" w:after="40"/>
              <w:ind w:left="36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766470">
              <w:rPr>
                <w:rFonts w:ascii="Arial" w:eastAsia="Calibri" w:hAnsi="Arial" w:cs="Arial"/>
                <w:sz w:val="20"/>
                <w:szCs w:val="20"/>
              </w:rPr>
              <w:t>2,305,150 road segments</w:t>
            </w:r>
          </w:p>
        </w:tc>
        <w:tc>
          <w:tcPr>
            <w:tcW w:w="1134" w:type="dxa"/>
            <w:tcBorders>
              <w:top w:val="none" w:sz="0" w:space="0" w:color="auto"/>
              <w:bottom w:val="none" w:sz="0" w:space="0" w:color="auto"/>
            </w:tcBorders>
          </w:tcPr>
          <w:p w14:paraId="42ED682F" w14:textId="77777777" w:rsidR="00BE51B1" w:rsidRPr="00766470" w:rsidRDefault="00BE51B1" w:rsidP="00877C15">
            <w:pPr>
              <w:spacing w:before="2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6470">
              <w:rPr>
                <w:rFonts w:ascii="Arial" w:eastAsia="Calibri" w:hAnsi="Arial" w:cs="Arial"/>
                <w:sz w:val="20"/>
                <w:szCs w:val="20"/>
              </w:rPr>
              <w:t>Africa</w:t>
            </w:r>
          </w:p>
        </w:tc>
        <w:tc>
          <w:tcPr>
            <w:tcW w:w="989" w:type="dxa"/>
            <w:tcBorders>
              <w:top w:val="none" w:sz="0" w:space="0" w:color="auto"/>
              <w:bottom w:val="none" w:sz="0" w:space="0" w:color="auto"/>
            </w:tcBorders>
          </w:tcPr>
          <w:p w14:paraId="28C2BAC7" w14:textId="395B2EBF" w:rsidR="00BE51B1" w:rsidRPr="00766470" w:rsidRDefault="00BE51B1" w:rsidP="00877C15">
            <w:pPr>
              <w:spacing w:before="20"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6470">
              <w:rPr>
                <w:rFonts w:ascii="Arial" w:hAnsi="Arial" w:cs="Arial"/>
                <w:sz w:val="20"/>
                <w:szCs w:val="20"/>
              </w:rPr>
              <w:fldChar w:fldCharType="begin"/>
            </w:r>
            <w:r w:rsidR="007E07E0">
              <w:rPr>
                <w:rFonts w:ascii="Arial" w:hAnsi="Arial" w:cs="Arial"/>
                <w:sz w:val="20"/>
                <w:szCs w:val="20"/>
              </w:rPr>
              <w:instrText xml:space="preserve"> ADDIN ZOTERO_ITEM CSL_CITATION {"citationID":"QtZIKq5T","properties":{"formattedCitation":"\\super 109\\nosupersub{}","plainCitation":"109","noteIndex":0},"citationItems":[{"id":2065,"uris":["http://zotero.org/users/10918866/items/H9XMC736"],"itemData":{"id":2065,"type":"webpage","abstract":"OpenStreetMap is a map of the world, created by people like you and free to use under an open license.","container-title":"OpenStreetMap","language":"en","title":"Open Street Map","URL":"https://www.openstreetmap.org/","author":[{"family":"Open Street Map","given":""}],"accessed":{"date-parts":[["2024",11,19]]},"issued":{"date-parts":[["2024"]]}}}],"schema":"https://github.com/citation-style-language/schema/raw/master/csl-citation.json"} </w:instrText>
            </w:r>
            <w:r w:rsidRPr="00766470">
              <w:rPr>
                <w:rFonts w:ascii="Arial" w:hAnsi="Arial" w:cs="Arial"/>
                <w:sz w:val="20"/>
                <w:szCs w:val="20"/>
              </w:rPr>
              <w:fldChar w:fldCharType="separate"/>
            </w:r>
            <w:r w:rsidR="007E07E0" w:rsidRPr="007E07E0">
              <w:rPr>
                <w:rFonts w:ascii="Arial" w:hAnsi="Arial" w:cs="Arial"/>
                <w:kern w:val="0"/>
                <w:sz w:val="20"/>
                <w:vertAlign w:val="superscript"/>
              </w:rPr>
              <w:t>109</w:t>
            </w:r>
            <w:r w:rsidRPr="00766470">
              <w:rPr>
                <w:rFonts w:ascii="Arial" w:hAnsi="Arial" w:cs="Arial"/>
                <w:sz w:val="20"/>
                <w:szCs w:val="20"/>
              </w:rPr>
              <w:fldChar w:fldCharType="end"/>
            </w:r>
          </w:p>
        </w:tc>
      </w:tr>
    </w:tbl>
    <w:p w14:paraId="55CF985F" w14:textId="77777777" w:rsidR="00BE51B1" w:rsidRPr="00766470" w:rsidRDefault="00BE51B1" w:rsidP="00BE51B1">
      <w:pPr>
        <w:spacing w:after="0"/>
        <w:jc w:val="both"/>
        <w:rPr>
          <w:rFonts w:ascii="Arial" w:hAnsi="Arial" w:cs="Arial"/>
        </w:rPr>
      </w:pPr>
      <w:r w:rsidRPr="00766470">
        <w:rPr>
          <w:rFonts w:ascii="Arial" w:eastAsia="Calibri" w:hAnsi="Arial" w:cs="Arial"/>
        </w:rPr>
        <w:t xml:space="preserve">   </w:t>
      </w:r>
    </w:p>
    <w:p w14:paraId="181561AF" w14:textId="4885EB89" w:rsidR="00BE51B1" w:rsidRPr="00766470" w:rsidRDefault="00BE51B1" w:rsidP="00BE51B1">
      <w:pPr>
        <w:spacing w:after="0"/>
        <w:jc w:val="both"/>
        <w:rPr>
          <w:rFonts w:ascii="Arial" w:hAnsi="Arial" w:cs="Arial"/>
        </w:rPr>
      </w:pPr>
      <w:r w:rsidRPr="00766470">
        <w:rPr>
          <w:rFonts w:ascii="Arial" w:eastAsia="Calibri" w:hAnsi="Arial" w:cs="Arial"/>
        </w:rPr>
        <w:t xml:space="preserve">Data for each transport mode was organised as a layer of nodes (eg ports, railway stations, road junctions) and a layer of edges connecting nodes (eg maritime routes, rail lines, road links), which defined the well-known concept of topology of a network graph </w:t>
      </w:r>
      <w:r w:rsidRPr="00766470">
        <w:rPr>
          <w:rFonts w:ascii="Arial" w:eastAsia="Calibri" w:hAnsi="Arial" w:cs="Arial"/>
        </w:rPr>
        <w:fldChar w:fldCharType="begin"/>
      </w:r>
      <w:r w:rsidR="007E07E0">
        <w:rPr>
          <w:rFonts w:ascii="Arial" w:eastAsia="Calibri" w:hAnsi="Arial" w:cs="Arial"/>
        </w:rPr>
        <w:instrText xml:space="preserve"> ADDIN ZOTERO_ITEM CSL_CITATION {"citationID":"ZdF61406","properties":{"formattedCitation":"\\super 111\\uc0\\u8211{}113\\nosupersub{}","plainCitation":"111–113","noteIndex":0},"citationItems":[{"id":2084,"uris":["http://zotero.org/users/10918866/items/XYIWWYTD"],"itemData":{"id":2084,"type":"webpage","title":"Network Science","URL":"https://eravilaipnada.wordpress.com/wp-content/uploads/2016/01/barabasi-2012.pdf","author":[{"family":"Barabási","given":"Albert-László"}],"accessed":{"date-parts":[["2024",11,19]]},"issued":{"date-parts":[["2012"]]}}},{"id":2083,"uris":["http://zotero.org/users/10918866/items/DN3LPBBQ"],"itemData":{"id":2083,"type":"article-journal","container-title":"Social Networks","DOI":"10.1016/0378-8733(83)90026-6","ISSN":"03788733","issue":"2","journalAbbreviation":"Social Networks","language":"en","license":"https://www.elsevier.com/tdm/userlicense/1.0/","page":"235-244","source":"DOI.org (Crossref)","title":"Graph theory in network analysis","volume":"5","author":[{"family":"Barnes","given":"J.A."},{"family":"Harary","given":"Frank"}],"issued":{"date-parts":[["1983",6]]}}},{"id":2081,"uris":["http://zotero.org/users/10918866/items/4HF8BV36"],"itemData":{"id":2081,"type":"article-journal","abstract":"A Hebbian adaptation rule with winner-take-all like competition is introduced. It is shown that this competitive Hebbian rule forms so-called Delaunay triangulations, which play an important role in computational geometry for efficiently solving proximity problems. Given a set of neural units i, i = 1,…, N, the synaptic weights of which can be interpreted as pointers wi, i = 1,…, N in RD, the competitive Hebbian rule leads to a connectivity structure between the units i that corresponds to the Delaunay triangulation of the set of pointers wi. Such competitive Hebbian rule develops connections (Cij &gt; 0) between neural units i, j with neighboring receptive fields (Voronoi polygons) Vi, Vj, whereas between all other units i, j no connections evolve (Cij = 0). Combined with a procedure that distributes the pointers wi over a given feature manifold M, for example, a submanifold M </w:instrText>
      </w:r>
      <w:r w:rsidR="007E07E0">
        <w:rPr>
          <w:rFonts w:ascii="Cambria Math" w:eastAsia="Calibri" w:hAnsi="Cambria Math" w:cs="Cambria Math"/>
        </w:rPr>
        <w:instrText>⊂</w:instrText>
      </w:r>
      <w:r w:rsidR="007E07E0">
        <w:rPr>
          <w:rFonts w:ascii="Arial" w:eastAsia="Calibri" w:hAnsi="Arial" w:cs="Arial"/>
        </w:rPr>
        <w:instrText xml:space="preserve"> RD, the competitive Hebbian rule provides a novel approach to the problem of constructing topology preserving feature maps and representing intricately structured manifolds. The competitive Hebbian rule connects only neural units, the receptive fields (Voronoi polygons) Vi, Vj of which are adjacent on the given manifold M. This leads to a connectivity structure that defines a perfectly topology preserving map and forms a discrete, path preserving representation of M, also in cases where M has an intricate topology. This makes this novel approach particularly useful in all applications where neighborhood relations have to be exploited or the shape and topology of submanifolds have to be take into account.","container-title":"Neural Networks","DOI":"10.1016/0893-6080(94)90109-0","ISSN":"0893-6080","issue":"3","journalAbbreviation":"Neural Networks","page":"507-522","source":"ScienceDirect","title":"Topology representing networks","volume":"7","author":[{"family":"Martinetz","given":"Thomas"},{"family":"Schulten","given":"Klaus"}],"issued":{"date-parts":[["1994",1,1]]}}}],"schema":"https://github.com/citation-style-language/schema/raw/master/csl-citation.json"}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111–113</w:t>
      </w:r>
      <w:r w:rsidRPr="00766470">
        <w:rPr>
          <w:rFonts w:ascii="Arial" w:eastAsia="Calibri" w:hAnsi="Arial" w:cs="Arial"/>
        </w:rPr>
        <w:fldChar w:fldCharType="end"/>
      </w:r>
      <w:r w:rsidRPr="00766470">
        <w:rPr>
          <w:rFonts w:ascii="Arial" w:eastAsia="Calibri" w:hAnsi="Arial" w:cs="Arial"/>
        </w:rPr>
        <w:t>.</w:t>
      </w:r>
    </w:p>
    <w:p w14:paraId="07514301" w14:textId="32E820CC" w:rsidR="00BE51B1" w:rsidRPr="00766470" w:rsidRDefault="00BE51B1" w:rsidP="00BE51B1">
      <w:pPr>
        <w:pStyle w:val="ListParagraph"/>
        <w:numPr>
          <w:ilvl w:val="0"/>
          <w:numId w:val="26"/>
        </w:numPr>
        <w:spacing w:after="0" w:line="259" w:lineRule="auto"/>
        <w:jc w:val="both"/>
        <w:rPr>
          <w:rFonts w:ascii="Arial" w:eastAsia="Calibri" w:hAnsi="Arial" w:cs="Arial"/>
          <w:sz w:val="20"/>
          <w:szCs w:val="20"/>
        </w:rPr>
      </w:pPr>
      <w:r w:rsidRPr="00766470">
        <w:rPr>
          <w:rFonts w:ascii="Arial" w:eastAsia="Calibri" w:hAnsi="Arial" w:cs="Arial"/>
          <w:u w:val="single"/>
        </w:rPr>
        <w:t>Maritime</w:t>
      </w:r>
      <w:r w:rsidRPr="00766470">
        <w:rPr>
          <w:rFonts w:ascii="Arial" w:eastAsia="Calibri" w:hAnsi="Arial" w:cs="Arial"/>
        </w:rPr>
        <w:t xml:space="preserve">. The maritime network topology information was based on the existing global dataset created by </w:t>
      </w:r>
      <w:r w:rsidRPr="00766470">
        <w:rPr>
          <w:rFonts w:ascii="Arial" w:eastAsia="Calibri" w:hAnsi="Arial" w:cs="Arial"/>
        </w:rPr>
        <w:fldChar w:fldCharType="begin"/>
      </w:r>
      <w:r w:rsidR="0016542D">
        <w:rPr>
          <w:rFonts w:ascii="Arial" w:eastAsia="Calibri" w:hAnsi="Arial" w:cs="Arial"/>
        </w:rPr>
        <w:instrText xml:space="preserve"> ADDIN ZOTERO_ITEM CSL_CITATION {"citationID":"nLrrxB7t","properties":{"formattedCitation":"(Verschuur et al., 2022)","plainCitation":"(Verschuur et al., 2022)","dontUpdate":true,"noteIndex":0},"citationItems":[{"id":2070,"uris":["http://zotero.org/users/10918866/items/RLBZIBJX"],"itemData":{"id":2070,"type":"article-journal","abstract":"We quantify the criticality of the world’s 1300 most important ports for global supply chains by predicting the allocation of trade flows on the global maritime transport network, which we link to a global supply-chain database to evaluate the importance of ports for the economy. We find that 50% of global trade in value terms is maritime, with low-income countries and small islands being 1.5 and 2.0 times more reliant on their ports compared to the global average. The five largest ports globally handle goods that embody &gt;1.4% of global output, while 40 ports add &gt;10% of domestic output of the economies they serve, predominantly small islands. We identify critical cross-border infrastructure dependencies for some landlocked and island countries that rely on specific ports outside their jurisdiction. Our results pave the way for developing new strategies to enhance the resilience and sustainability of port infrastructure and maritime trade.","container-title":"Nature Communications","DOI":"10.1038/s41467-022-32070-0","ISSN":"2041-1723","issue":"1","journalAbbreviation":"Nat Commun","language":"en","license":"2022 The Author(s)","page":"4351","publisher":"Nature Publishing Group","source":"www.nature.com","title":"Ports’ criticality in international trade and global supply-chains","volume":"13","author":[{"family":"Verschuur","given":"J."},{"family":"Koks","given":"E. E."},{"family":"Hall","given":"J. W."}],"issued":{"date-parts":[["2022",7,27]]}}}],"schema":"https://github.com/citation-style-language/schema/raw/master/csl-citation.json"} </w:instrText>
      </w:r>
      <w:r w:rsidRPr="00766470">
        <w:rPr>
          <w:rFonts w:ascii="Arial" w:eastAsia="Calibri" w:hAnsi="Arial" w:cs="Arial"/>
        </w:rPr>
        <w:fldChar w:fldCharType="separate"/>
      </w:r>
      <w:r w:rsidRPr="00766470">
        <w:rPr>
          <w:rFonts w:ascii="Arial" w:hAnsi="Arial" w:cs="Arial"/>
        </w:rPr>
        <w:t xml:space="preserve">Verschuur </w:t>
      </w:r>
      <w:r w:rsidRPr="00766470">
        <w:rPr>
          <w:rFonts w:ascii="Arial" w:hAnsi="Arial" w:cs="Arial"/>
          <w:i/>
          <w:iCs/>
        </w:rPr>
        <w:t>et al</w:t>
      </w:r>
      <w:r w:rsidRPr="00766470">
        <w:rPr>
          <w:rFonts w:ascii="Arial" w:hAnsi="Arial" w:cs="Arial"/>
        </w:rPr>
        <w:t>. (2022)</w:t>
      </w:r>
      <w:r w:rsidRPr="00766470">
        <w:rPr>
          <w:rFonts w:ascii="Arial" w:eastAsia="Calibri" w:hAnsi="Arial" w:cs="Arial"/>
        </w:rPr>
        <w:fldChar w:fldCharType="end"/>
      </w:r>
      <w:r w:rsidRPr="00766470">
        <w:rPr>
          <w:rFonts w:ascii="Arial" w:eastAsia="Calibri" w:hAnsi="Arial" w:cs="Arial"/>
        </w:rPr>
        <w:t>, to which some missing ports in Africa were added from a USGS database</w:t>
      </w:r>
      <w:r w:rsidRPr="00766470">
        <w:rPr>
          <w:rFonts w:ascii="Arial" w:eastAsia="Calibri" w:hAnsi="Arial" w:cs="Arial"/>
        </w:rPr>
        <w:fldChar w:fldCharType="begin"/>
      </w:r>
      <w:r w:rsidR="0016542D">
        <w:rPr>
          <w:rFonts w:ascii="Arial" w:eastAsia="Calibri" w:hAnsi="Arial" w:cs="Arial"/>
        </w:rPr>
        <w:instrText xml:space="preserve"> ADDIN ZOTERO_ITEM CSL_CITATION {"citationID":"lZ6mrwKD","properties":{"formattedCitation":"\\super 108\\nosupersub{}","plainCitation":"108","noteIndex":0},"citationItems":[{"id":2079,"uris":["http://zotero.org/users/10918866/items/XC5I49AS"],"itemData":{"id":2079,"type":"report","abstract":"In 2021, the U.S. Geological Survey's (USGS) National Minerals Information Center (NMIC) completed the project titled \"Compilation of geospatial data for the mineral industries and related infrastructure of Africa.\" This project aimed to leverage the expertise and capabilities of the NMIC to collect, synthesize, and interpret geospatial data to inform on the extractive resources of the African region and expand the NMIC's understanding on the impact of mineral industry of African nations in the global economy. The African region, which comprises the independent nations that make up the African continent and its associated islands and dependencies, consists of a total of 58 mineral producing countries. The primary objective of this effort was to create a fully attributed Geographic Information System (GIS) portraying existing mining infrastructure, resources, and development capacity across Africa along with the related infrastructure capable of supporting current (for the reference year 2018) and future extractive industry operations...","DOI":"10.3133/ofr20241041","ISSN":"2331-1258","language":"en","note":"container-title: Open-File Report","number":"2024-1041","publisher":"U.S. Geological Survey","source":"pubs.usgs.gov","title":"Geospatial PDF map of the compilation of GIS data for the mineral industries and related infrastructure of Africa","URL":"https://pubs.usgs.gov/publication/ofr20241041","author":[{"family":"Neustaedter","given":"Elizabeth R."},{"family":"Kemna","given":"Ryan F."},{"family":"Padilla","given":"Abraham J."},{"family":"Otarod","given":"Donya"}],"accessed":{"date-parts":[["2024",11,19]]},"issued":{"date-parts":[["2024"]]}}}],"schema":"https://github.com/citation-style-language/schema/raw/master/csl-citation.json"}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108</w:t>
      </w:r>
      <w:r w:rsidRPr="00766470">
        <w:rPr>
          <w:rFonts w:ascii="Arial" w:eastAsia="Calibri" w:hAnsi="Arial" w:cs="Arial"/>
        </w:rPr>
        <w:fldChar w:fldCharType="end"/>
      </w:r>
      <w:r w:rsidRPr="00766470">
        <w:rPr>
          <w:rFonts w:ascii="Arial" w:eastAsia="Calibri" w:hAnsi="Arial" w:cs="Arial"/>
          <w:sz w:val="20"/>
          <w:szCs w:val="20"/>
        </w:rPr>
        <w:t>.</w:t>
      </w:r>
    </w:p>
    <w:p w14:paraId="53843B54" w14:textId="1A26651E" w:rsidR="00BE51B1" w:rsidRPr="00766470" w:rsidRDefault="00BE51B1" w:rsidP="00BE51B1">
      <w:pPr>
        <w:pStyle w:val="ListParagraph"/>
        <w:numPr>
          <w:ilvl w:val="0"/>
          <w:numId w:val="26"/>
        </w:numPr>
        <w:spacing w:after="0" w:line="259" w:lineRule="auto"/>
        <w:jc w:val="both"/>
        <w:rPr>
          <w:rFonts w:ascii="Arial" w:eastAsia="Calibri" w:hAnsi="Arial" w:cs="Arial"/>
        </w:rPr>
      </w:pPr>
      <w:r w:rsidRPr="00766470">
        <w:rPr>
          <w:rFonts w:ascii="Arial" w:eastAsia="Calibri" w:hAnsi="Arial" w:cs="Arial"/>
          <w:u w:val="single"/>
        </w:rPr>
        <w:t>Rail</w:t>
      </w:r>
      <w:r w:rsidRPr="00766470">
        <w:rPr>
          <w:rFonts w:ascii="Arial" w:eastAsia="Calibri" w:hAnsi="Arial" w:cs="Arial"/>
        </w:rPr>
        <w:t>. The railway network topology was created from OpenStreetMap (OSM) data, which did not have connectivity between stations and lines. This connectivity was created via a Python function</w:t>
      </w:r>
      <w:r w:rsidRPr="00766470">
        <w:rPr>
          <w:rFonts w:ascii="Arial" w:eastAsia="Calibri" w:hAnsi="Arial" w:cs="Arial"/>
        </w:rPr>
        <w:fldChar w:fldCharType="begin"/>
      </w:r>
      <w:r w:rsidR="0016542D">
        <w:rPr>
          <w:rFonts w:ascii="Arial" w:eastAsia="Calibri" w:hAnsi="Arial" w:cs="Arial"/>
        </w:rPr>
        <w:instrText xml:space="preserve"> ADDIN ZOTERO_ITEM CSL_CITATION {"citationID":"Vo0VvBhR","properties":{"formattedCitation":"\\super 114\\nosupersub{}","plainCitation":"114","noteIndex":0},"citationItems":[{"id":2076,"uris":["http://zotero.org/users/10918866/items/6IVK6FLE"],"itemData":{"id":2076,"type":"software","abstract":"Fixes\n\n\n\nCatch shapely.errors.GEOSException #66\n\n\nFeatures\n\n\n\nAdd type annotations","DOI":"10.5281/zenodo.3379650","publisher":"Zenodo","source":"Zenodo","title":"tomalrussell/snkit: v1.9.0","title-short":"tomalrussell/snkit","URL":"https://zenodo.org/records/3379650","version":"v1.9.0","author":[{"family":"Russell","given":"Tom"},{"family":"Majid","given":"Aman"},{"family":"Thomas","given":"Fred"},{"family":"Koks","given":"Elco"},{"family":"Montant","given":"Julien"}],"accessed":{"date-parts":[["2024",11,19]]},"issued":{"date-parts":[["2023",11,13]]}}}],"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114</w:t>
      </w:r>
      <w:r w:rsidRPr="00766470">
        <w:rPr>
          <w:rFonts w:ascii="Arial" w:eastAsia="Calibri" w:hAnsi="Arial" w:cs="Arial"/>
        </w:rPr>
        <w:fldChar w:fldCharType="end"/>
      </w:r>
      <w:r w:rsidRPr="00766470">
        <w:rPr>
          <w:rFonts w:ascii="Arial" w:eastAsia="Calibri" w:hAnsi="Arial" w:cs="Arial"/>
        </w:rPr>
        <w:t>, by joining stations to their nearest rail lines. Further modifications were made to add attributes to the lines (eg status of operation) and stations (eg type of usage: container depot, mine, ports, intermodal, etc) to infer major hubs where the railways network would connect with mines, roads, and ports. Some existing rail projects, missing in OSM, were also identified from a recent study</w:t>
      </w:r>
      <w:r w:rsidRPr="00766470">
        <w:rPr>
          <w:rFonts w:ascii="Arial" w:eastAsia="Calibri" w:hAnsi="Arial" w:cs="Arial"/>
        </w:rPr>
        <w:fldChar w:fldCharType="begin"/>
      </w:r>
      <w:r w:rsidR="0016542D">
        <w:rPr>
          <w:rFonts w:ascii="Arial" w:eastAsia="Calibri" w:hAnsi="Arial" w:cs="Arial"/>
        </w:rPr>
        <w:instrText xml:space="preserve"> ADDIN ZOTERO_ITEM CSL_CITATION {"citationID":"FtXEMjHG","properties":{"formattedCitation":"\\super 110\\nosupersub{}","plainCitation":"110","noteIndex":0},"citationItems":[{"id":2073,"uris":["http://zotero.org/users/10918866/items/C3RBI4RU"],"itemData":{"id":2073,"type":"article-journal","abstract":"The large-scale expansion of built infrastructure is profoundly reshaping the geographies of Africa, generating lock-in patterns of development for future generations. Understanding the impact of these massive investments can allow development ...","container-title":"Scientific Data","DOI":"10.1038/s41597-022-01771-y","language":"en","page":"679","PMID":"36351928","source":"pmc.ncbi.nlm.nih.gov","title":"The African Development Corridors Database: a new tool to assess the impacts of infrastructure investments","title-short":"The African Development Corridors Database","volume":"9","author":[{"family":"Thorn","given":"Jessica P. R."},{"family":"Bignoli","given":"Diego Juffe"},{"family":"Mwangi","given":"Ben"},{"family":"Marchant","given":"Robert A."}],"issued":{"date-parts":[["2022",11,9]]}}}],"schema":"https://github.com/citation-style-language/schema/raw/master/csl-citation.json"}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110</w:t>
      </w:r>
      <w:r w:rsidRPr="00766470">
        <w:rPr>
          <w:rFonts w:ascii="Arial" w:eastAsia="Calibri" w:hAnsi="Arial" w:cs="Arial"/>
        </w:rPr>
        <w:fldChar w:fldCharType="end"/>
      </w:r>
      <w:r w:rsidRPr="00766470">
        <w:rPr>
          <w:rFonts w:ascii="Arial" w:eastAsia="Calibri" w:hAnsi="Arial" w:cs="Arial"/>
        </w:rPr>
        <w:t>, spatially mapped, and joined to the OSM rail network.</w:t>
      </w:r>
    </w:p>
    <w:p w14:paraId="12E4E7AD" w14:textId="0FF0A467" w:rsidR="00BE51B1" w:rsidRPr="00766470" w:rsidRDefault="00BE51B1" w:rsidP="00BE51B1">
      <w:pPr>
        <w:pStyle w:val="ListParagraph"/>
        <w:numPr>
          <w:ilvl w:val="0"/>
          <w:numId w:val="26"/>
        </w:numPr>
        <w:spacing w:after="0" w:line="259" w:lineRule="auto"/>
        <w:jc w:val="both"/>
        <w:rPr>
          <w:rFonts w:ascii="Arial" w:eastAsia="Calibri" w:hAnsi="Arial" w:cs="Arial"/>
        </w:rPr>
      </w:pPr>
      <w:r w:rsidRPr="00766470">
        <w:rPr>
          <w:rFonts w:ascii="Arial" w:eastAsia="Calibri" w:hAnsi="Arial" w:cs="Arial"/>
          <w:u w:val="single"/>
        </w:rPr>
        <w:t>Roads</w:t>
      </w:r>
      <w:r w:rsidRPr="00766470">
        <w:rPr>
          <w:rFonts w:ascii="Arial" w:eastAsia="Calibri" w:hAnsi="Arial" w:cs="Arial"/>
        </w:rPr>
        <w:t>. The road network topology was created from road links data from OSM. The dataset of all roads in Africa contained several millions of roads, the majority of which were not useful for this study. This was converted to a topological network utilising a Python workflow</w:t>
      </w:r>
      <w:r w:rsidRPr="00766470">
        <w:rPr>
          <w:rFonts w:ascii="Arial" w:eastAsia="Calibri" w:hAnsi="Arial" w:cs="Arial"/>
        </w:rPr>
        <w:fldChar w:fldCharType="begin"/>
      </w:r>
      <w:r w:rsidR="0016542D">
        <w:rPr>
          <w:rFonts w:ascii="Arial" w:eastAsia="Calibri" w:hAnsi="Arial" w:cs="Arial"/>
        </w:rPr>
        <w:instrText xml:space="preserve"> ADDIN ZOTERO_ITEM CSL_CITATION {"citationID":"DXZx7EzX","properties":{"formattedCitation":"\\super 115\\nosupersub{}","plainCitation":"115","noteIndex":0},"citationItems":[{"id":2074,"uris":["http://zotero.org/users/10918866/items/3W6GC89E"],"itemData":{"id":2074,"type":"software","abstract":"What's Changed\n\n\n\nFix/storm fixed global by @tomalrussell in https://github.com/nismod/open-gira/pull/179\n\nMerge disruption results for admin levels of varying scale by @thomas-fred in https://github.com/nismod/open-gira/pull/180\n\nMulti-modal (road, rail, maritime) network integration by @thomas-fred in https://github.com/nismod/open-gira/pull/188\n\n\nFull Changelog: https://github.com/nismod/open-gira/compare/v0.2.0...v0.3.0\n\n\n\nAcknowledgments\n\n\nThis research received funding from the FCDO Climate Compatible Growth Programme. The views expressed here do not necessarily reflect the UK government's official policies.\n\nThis research has also been supported by funding from the World Bank Group.","DOI":"10.5281/zenodo.13760165","publisher":"Zenodo","source":"Zenodo","title":"nismod/open-gira: v0.3.0","title-short":"nismod/open-gira","URL":"https://zenodo.org/records/13760165","version":"v0.3.0","author":[{"family":"Thomas","given":"Fred"},{"family":"Russell","given":"Tom"},{"family":"Lestang","given":"Thibault"},{"family":"maxrob27","given":""}],"accessed":{"date-parts":[["2024",11,19]]},"issued":{"date-parts":[["2024",9,13]]}}}],"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115</w:t>
      </w:r>
      <w:r w:rsidRPr="00766470">
        <w:rPr>
          <w:rFonts w:ascii="Arial" w:eastAsia="Calibri" w:hAnsi="Arial" w:cs="Arial"/>
        </w:rPr>
        <w:fldChar w:fldCharType="end"/>
      </w:r>
      <w:r w:rsidRPr="00766470">
        <w:rPr>
          <w:rFonts w:ascii="Arial" w:eastAsia="Calibri" w:hAnsi="Arial" w:cs="Arial"/>
        </w:rPr>
        <w:t xml:space="preserve">. Roads that formed the main corridors in Africa and facilitated long-distance transport from mines to ports and major cities were most important. Hence, roads in OSM classified as motorways, trunk, primary, and secondary were selected as the main network of Africa, along with all the roads that connected mines, cities, and ports to the main network.       </w:t>
      </w:r>
    </w:p>
    <w:p w14:paraId="7298895F" w14:textId="66233709" w:rsidR="00BE51B1" w:rsidRPr="00B4252C" w:rsidRDefault="00BE51B1" w:rsidP="00BE51B1">
      <w:pPr>
        <w:pStyle w:val="paragraph"/>
        <w:spacing w:before="240" w:beforeAutospacing="0" w:after="0" w:afterAutospacing="0"/>
        <w:jc w:val="both"/>
        <w:rPr>
          <w:rFonts w:ascii="Arial" w:eastAsia="Calibri" w:hAnsi="Arial" w:cs="Arial"/>
          <w:kern w:val="2"/>
          <w:lang w:eastAsia="en-US"/>
          <w14:ligatures w14:val="standardContextual"/>
        </w:rPr>
      </w:pPr>
      <w:r w:rsidRPr="00B4252C">
        <w:rPr>
          <w:rFonts w:ascii="Arial" w:eastAsia="Calibri" w:hAnsi="Arial" w:cs="Arial"/>
          <w:kern w:val="2"/>
          <w:lang w:eastAsia="en-US"/>
          <w14:ligatures w14:val="standardContextual"/>
        </w:rPr>
        <w:t>The three networks were also spatially connected with each other by connecting mines, cities, and ports to their nearest roads. In the case of railways, the mines, cities, and ports were only connected to a railway station if it was within 2 km of the site. Rail stations that were identified as intermodal locations were connected to their nearest road node. The maps of all three modal networks for Southern Africa are shown in</w:t>
      </w:r>
      <w:r w:rsidR="00615C28" w:rsidRPr="00B4252C">
        <w:rPr>
          <w:rFonts w:ascii="Arial" w:eastAsia="Calibri" w:hAnsi="Arial" w:cs="Arial"/>
          <w:kern w:val="2"/>
          <w:lang w:eastAsia="en-US"/>
          <w14:ligatures w14:val="standardContextual"/>
        </w:rPr>
        <w:t xml:space="preserve"> </w:t>
      </w:r>
      <w:r w:rsidR="00615C28" w:rsidRPr="00B4252C">
        <w:rPr>
          <w:rFonts w:ascii="Arial" w:eastAsia="Calibri" w:hAnsi="Arial" w:cs="Arial"/>
          <w:kern w:val="2"/>
          <w:lang w:eastAsia="en-US"/>
          <w14:ligatures w14:val="standardContextual"/>
        </w:rPr>
        <w:fldChar w:fldCharType="begin"/>
      </w:r>
      <w:r w:rsidR="00615C28" w:rsidRPr="00B4252C">
        <w:rPr>
          <w:rFonts w:ascii="Arial" w:eastAsia="Calibri" w:hAnsi="Arial" w:cs="Arial"/>
          <w:kern w:val="2"/>
          <w:lang w:eastAsia="en-US"/>
          <w14:ligatures w14:val="standardContextual"/>
        </w:rPr>
        <w:instrText xml:space="preserve"> REF _Ref214453653 \h </w:instrText>
      </w:r>
      <w:r w:rsidR="00B4252C">
        <w:rPr>
          <w:rFonts w:ascii="Arial" w:eastAsia="Calibri" w:hAnsi="Arial" w:cs="Arial"/>
          <w:kern w:val="2"/>
          <w:lang w:eastAsia="en-US"/>
          <w14:ligatures w14:val="standardContextual"/>
        </w:rPr>
        <w:instrText xml:space="preserve"> \* MERGEFORMAT </w:instrText>
      </w:r>
      <w:r w:rsidR="00615C28" w:rsidRPr="00B4252C">
        <w:rPr>
          <w:rFonts w:ascii="Arial" w:eastAsia="Calibri" w:hAnsi="Arial" w:cs="Arial"/>
          <w:kern w:val="2"/>
          <w:lang w:eastAsia="en-US"/>
          <w14:ligatures w14:val="standardContextual"/>
        </w:rPr>
      </w:r>
      <w:r w:rsidR="00615C28" w:rsidRPr="00B4252C">
        <w:rPr>
          <w:rFonts w:ascii="Arial" w:eastAsia="Calibri" w:hAnsi="Arial" w:cs="Arial"/>
          <w:kern w:val="2"/>
          <w:lang w:eastAsia="en-US"/>
          <w14:ligatures w14:val="standardContextual"/>
        </w:rPr>
        <w:fldChar w:fldCharType="separate"/>
      </w:r>
      <w:r w:rsidR="00615C28" w:rsidRPr="00B4252C">
        <w:rPr>
          <w:rFonts w:ascii="Arial" w:eastAsia="Calibri" w:hAnsi="Arial" w:cs="Arial"/>
          <w:kern w:val="2"/>
          <w:lang w:eastAsia="en-US"/>
          <w14:ligatures w14:val="standardContextual"/>
        </w:rPr>
        <w:t>Figure 19</w:t>
      </w:r>
      <w:r w:rsidR="00615C28" w:rsidRPr="00B4252C">
        <w:rPr>
          <w:rFonts w:ascii="Arial" w:eastAsia="Calibri" w:hAnsi="Arial" w:cs="Arial"/>
          <w:kern w:val="2"/>
          <w:lang w:eastAsia="en-US"/>
          <w14:ligatures w14:val="standardContextual"/>
        </w:rPr>
        <w:fldChar w:fldCharType="end"/>
      </w:r>
      <w:r w:rsidRPr="00B4252C">
        <w:rPr>
          <w:rFonts w:ascii="Arial" w:eastAsia="Calibri" w:hAnsi="Arial" w:cs="Arial"/>
          <w:kern w:val="2"/>
          <w:lang w:eastAsia="en-US"/>
          <w14:ligatures w14:val="standardContextual"/>
        </w:rPr>
        <w:t>.</w:t>
      </w:r>
    </w:p>
    <w:p w14:paraId="60DB042F" w14:textId="77777777" w:rsidR="00BE51B1" w:rsidRPr="00766470" w:rsidRDefault="00BE51B1" w:rsidP="00BE51B1">
      <w:pPr>
        <w:pStyle w:val="paragraph"/>
        <w:spacing w:before="240" w:beforeAutospacing="0" w:after="0" w:afterAutospacing="0"/>
        <w:jc w:val="both"/>
        <w:rPr>
          <w:rFonts w:ascii="Arial" w:hAnsi="Arial" w:cs="Arial"/>
          <w:sz w:val="22"/>
          <w:szCs w:val="22"/>
        </w:rPr>
      </w:pPr>
    </w:p>
    <w:p w14:paraId="23A9A6F4" w14:textId="77777777" w:rsidR="00BE51B1" w:rsidRDefault="00BE51B1" w:rsidP="00BE51B1">
      <w:pPr>
        <w:pStyle w:val="paragraph"/>
        <w:spacing w:before="240" w:beforeAutospacing="0" w:after="0" w:afterAutospacing="0"/>
        <w:jc w:val="both"/>
        <w:rPr>
          <w:rFonts w:ascii="Arial" w:hAnsi="Arial" w:cs="Arial"/>
          <w:sz w:val="22"/>
          <w:szCs w:val="22"/>
        </w:rPr>
      </w:pPr>
      <w:r w:rsidRPr="00766470">
        <w:rPr>
          <w:rFonts w:ascii="Arial" w:hAnsi="Arial" w:cs="Arial"/>
          <w:noProof/>
          <w:sz w:val="22"/>
          <w:szCs w:val="22"/>
          <w14:ligatures w14:val="standardContextual"/>
        </w:rPr>
        <w:lastRenderedPageBreak/>
        <w:drawing>
          <wp:inline distT="0" distB="0" distL="0" distR="0" wp14:anchorId="07197200" wp14:editId="7637135C">
            <wp:extent cx="5877867" cy="2183524"/>
            <wp:effectExtent l="0" t="0" r="2540" b="1270"/>
            <wp:docPr id="2055432409" name="Picture 5" descr="A map of africa with rail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2409" name="Picture 5" descr="A map of africa with rail network&#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82743" cy="2185335"/>
                    </a:xfrm>
                    <a:prstGeom prst="rect">
                      <a:avLst/>
                    </a:prstGeom>
                  </pic:spPr>
                </pic:pic>
              </a:graphicData>
            </a:graphic>
          </wp:inline>
        </w:drawing>
      </w:r>
    </w:p>
    <w:p w14:paraId="235B54BA" w14:textId="3464995B" w:rsidR="009F3AF4" w:rsidRPr="009F3AF4" w:rsidRDefault="009F3AF4" w:rsidP="009F3AF4">
      <w:pPr>
        <w:pStyle w:val="Caption"/>
      </w:pPr>
      <w:bookmarkStart w:id="113" w:name="_Ref214453653"/>
      <w:bookmarkStart w:id="114" w:name="_Toc211272402"/>
      <w:r>
        <w:t xml:space="preserve">Figure </w:t>
      </w:r>
      <w:fldSimple w:instr=" SEQ Figure \* ARABIC ">
        <w:r w:rsidR="00E1763F">
          <w:rPr>
            <w:noProof/>
          </w:rPr>
          <w:t>19</w:t>
        </w:r>
      </w:fldSimple>
      <w:bookmarkEnd w:id="113"/>
      <w:r w:rsidRPr="009F3AF4">
        <w:t>: Road, rail, and sea network maps</w:t>
      </w:r>
      <w:bookmarkEnd w:id="114"/>
    </w:p>
    <w:p w14:paraId="33216639" w14:textId="77777777" w:rsidR="009F3AF4" w:rsidRPr="00766470" w:rsidRDefault="009F3AF4" w:rsidP="00BE51B1">
      <w:pPr>
        <w:pStyle w:val="paragraph"/>
        <w:spacing w:before="240" w:beforeAutospacing="0" w:after="0" w:afterAutospacing="0"/>
        <w:jc w:val="both"/>
        <w:rPr>
          <w:rFonts w:ascii="Arial" w:hAnsi="Arial" w:cs="Arial"/>
          <w:sz w:val="22"/>
          <w:szCs w:val="22"/>
        </w:rPr>
      </w:pPr>
    </w:p>
    <w:p w14:paraId="3E7692DE" w14:textId="77777777" w:rsidR="00BE51B1" w:rsidRPr="00AD40F3" w:rsidRDefault="00BE51B1" w:rsidP="00BE51B1">
      <w:pPr>
        <w:pStyle w:val="Heading3"/>
        <w:rPr>
          <w:rFonts w:ascii="Arial" w:hAnsi="Arial" w:cs="Arial"/>
          <w:b/>
          <w:bCs/>
          <w:sz w:val="24"/>
          <w:szCs w:val="24"/>
        </w:rPr>
      </w:pPr>
      <w:r w:rsidRPr="00766470">
        <w:rPr>
          <w:rFonts w:ascii="Arial" w:hAnsi="Arial" w:cs="Arial"/>
          <w:b/>
          <w:bCs/>
          <w:sz w:val="22"/>
          <w:szCs w:val="22"/>
        </w:rPr>
        <w:br/>
      </w:r>
      <w:bookmarkStart w:id="115" w:name="_Toc211272302"/>
      <w:r w:rsidRPr="00AD40F3">
        <w:rPr>
          <w:rFonts w:ascii="Arial" w:hAnsi="Arial" w:cs="Arial"/>
          <w:b/>
          <w:bCs/>
          <w:sz w:val="24"/>
          <w:szCs w:val="24"/>
        </w:rPr>
        <w:t>4.3.3 Network flows were optimised.</w:t>
      </w:r>
      <w:bookmarkEnd w:id="115"/>
    </w:p>
    <w:p w14:paraId="65ED1946" w14:textId="77777777" w:rsidR="00BE51B1" w:rsidRPr="00766470" w:rsidRDefault="00BE51B1" w:rsidP="00BE51B1">
      <w:pPr>
        <w:spacing w:before="240" w:after="240"/>
        <w:jc w:val="both"/>
        <w:rPr>
          <w:rFonts w:ascii="Arial" w:hAnsi="Arial" w:cs="Arial"/>
        </w:rPr>
      </w:pPr>
      <w:r w:rsidRPr="00766470">
        <w:rPr>
          <w:rFonts w:ascii="Arial" w:hAnsi="Arial" w:cs="Arial"/>
        </w:rPr>
        <w:t>The transport flow routing model for quantifying trade flows on the multi-modal transport network involved connected mines, roads, railways, and maritime ports in Africa to a global shipping network</w:t>
      </w:r>
      <w:r w:rsidRPr="00766470">
        <w:rPr>
          <w:rFonts w:ascii="Arial" w:eastAsiaTheme="minorEastAsia" w:hAnsi="Arial" w:cs="Arial"/>
        </w:rPr>
        <w:t xml:space="preserve">. </w:t>
      </w:r>
      <w:r w:rsidRPr="00766470">
        <w:rPr>
          <w:rFonts w:ascii="Arial" w:hAnsi="Arial" w:cs="Arial"/>
        </w:rPr>
        <w:t xml:space="preserve">These locations were therefore embedded within the multi-modal transport network that included geolocated railways, roads, and maritime nodes and edges. The resulting full transport network topology was modelling as a graph </w:t>
      </w:r>
      <m:oMath>
        <m:r>
          <w:rPr>
            <w:rFonts w:ascii="Cambria Math" w:hAnsi="Cambria Math" w:cs="Arial"/>
          </w:rPr>
          <m:t>G=(N,E)</m:t>
        </m:r>
      </m:oMath>
      <w:r w:rsidRPr="00766470">
        <w:rPr>
          <w:rFonts w:ascii="Arial" w:hAnsi="Arial" w:cs="Arial"/>
        </w:rPr>
        <w:t xml:space="preserve"> with nodes </w:t>
      </w:r>
      <m:oMath>
        <m:r>
          <w:rPr>
            <w:rFonts w:ascii="Cambria Math" w:hAnsi="Cambria Math" w:cs="Arial"/>
          </w:rPr>
          <m:t>N={1,…,n}</m:t>
        </m:r>
      </m:oMath>
      <w:r w:rsidRPr="00766470">
        <w:rPr>
          <w:rFonts w:ascii="Arial" w:hAnsi="Arial" w:cs="Arial"/>
        </w:rPr>
        <w:t xml:space="preserve"> and edges </w:t>
      </w:r>
      <m:oMath>
        <m:r>
          <w:rPr>
            <w:rFonts w:ascii="Cambria Math" w:hAnsi="Cambria Math" w:cs="Arial"/>
          </w:rPr>
          <m:t xml:space="preserve">E=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r>
              <w:rPr>
                <w:rFonts w:ascii="Cambria Math" w:hAnsi="Cambria Math" w:cs="Arial"/>
              </w:rPr>
              <m:t>=</m:t>
            </m:r>
            <m:d>
              <m:dPr>
                <m:ctrlPr>
                  <w:rPr>
                    <w:rFonts w:ascii="Cambria Math" w:hAnsi="Cambria Math" w:cs="Arial"/>
                    <w:i/>
                  </w:rPr>
                </m:ctrlPr>
              </m:dPr>
              <m:e>
                <m:r>
                  <w:rPr>
                    <w:rFonts w:ascii="Cambria Math" w:hAnsi="Cambria Math" w:cs="Arial"/>
                  </w:rPr>
                  <m:t>i,j</m:t>
                </m:r>
              </m:e>
            </m:d>
            <m:r>
              <w:rPr>
                <w:rFonts w:ascii="Cambria Math" w:hAnsi="Cambria Math" w:cs="Arial"/>
              </w:rPr>
              <m:t xml:space="preserve"> ∀i,j∈N</m:t>
            </m:r>
          </m:e>
        </m:d>
      </m:oMath>
      <w:r w:rsidRPr="00766470">
        <w:rPr>
          <w:rFonts w:ascii="Arial" w:hAnsi="Arial" w:cs="Arial"/>
        </w:rPr>
        <w:t xml:space="preserve">, where the relationship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r>
          <w:rPr>
            <w:rFonts w:ascii="Cambria Math" w:hAnsi="Cambria Math" w:cs="Arial"/>
          </w:rPr>
          <m:t>=</m:t>
        </m:r>
        <m:d>
          <m:dPr>
            <m:ctrlPr>
              <w:rPr>
                <w:rFonts w:ascii="Cambria Math" w:hAnsi="Cambria Math" w:cs="Arial"/>
                <w:i/>
              </w:rPr>
            </m:ctrlPr>
          </m:dPr>
          <m:e>
            <m:r>
              <w:rPr>
                <w:rFonts w:ascii="Cambria Math" w:hAnsi="Cambria Math" w:cs="Arial"/>
              </w:rPr>
              <m:t>i,j</m:t>
            </m:r>
          </m:e>
        </m:d>
      </m:oMath>
      <w:r w:rsidRPr="00766470">
        <w:rPr>
          <w:rFonts w:ascii="Arial" w:hAnsi="Arial" w:cs="Arial"/>
        </w:rPr>
        <w:t xml:space="preserve"> showed that edge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oMath>
      <w:r w:rsidRPr="00766470">
        <w:rPr>
          <w:rFonts w:ascii="Arial" w:hAnsi="Arial" w:cs="Arial"/>
        </w:rPr>
        <w:t xml:space="preserve"> connected from node </w:t>
      </w:r>
      <m:oMath>
        <m:r>
          <w:rPr>
            <w:rFonts w:ascii="Cambria Math" w:hAnsi="Cambria Math" w:cs="Arial"/>
          </w:rPr>
          <m:t>i</m:t>
        </m:r>
      </m:oMath>
      <w:r w:rsidRPr="00766470">
        <w:rPr>
          <w:rFonts w:ascii="Arial" w:hAnsi="Arial" w:cs="Arial"/>
        </w:rPr>
        <w:t xml:space="preserve"> towards </w:t>
      </w:r>
      <m:oMath>
        <m:r>
          <w:rPr>
            <w:rFonts w:ascii="Cambria Math" w:hAnsi="Cambria Math" w:cs="Arial"/>
          </w:rPr>
          <m:t>j</m:t>
        </m:r>
      </m:oMath>
      <w:r w:rsidRPr="00766470">
        <w:rPr>
          <w:rFonts w:ascii="Arial" w:hAnsi="Arial" w:cs="Arial"/>
        </w:rPr>
        <w:t xml:space="preserve">. Edges were assumed to be directed, that is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ji</m:t>
            </m:r>
          </m:sub>
        </m:sSub>
      </m:oMath>
      <w:r w:rsidRPr="00766470">
        <w:rPr>
          <w:rFonts w:ascii="Arial" w:hAnsi="Arial" w:cs="Arial"/>
        </w:rPr>
        <w:t xml:space="preserve">, to distinguish between the direction and volumes of export and import trade flows. This meant that the road and rail lines were duplicated to account for flows in both directions.  </w:t>
      </w:r>
    </w:p>
    <w:p w14:paraId="53EF8F56" w14:textId="77777777" w:rsidR="00BE51B1" w:rsidRPr="00766470" w:rsidRDefault="00BE51B1" w:rsidP="00BE51B1">
      <w:pPr>
        <w:spacing w:after="240"/>
        <w:jc w:val="both"/>
        <w:rPr>
          <w:rFonts w:ascii="Arial" w:hAnsi="Arial" w:cs="Arial"/>
        </w:rPr>
      </w:pPr>
      <w:r w:rsidRPr="00766470">
        <w:rPr>
          <w:rFonts w:ascii="Arial" w:hAnsi="Arial" w:cs="Arial"/>
        </w:rPr>
        <w:t xml:space="preserve">The multi-commodity origin–destination matrix data, for the set of </w:t>
      </w:r>
      <m:oMath>
        <m:r>
          <w:rPr>
            <w:rFonts w:ascii="Cambria Math" w:hAnsi="Cambria Math" w:cs="Arial"/>
          </w:rPr>
          <m:t>K={1,…,q}</m:t>
        </m:r>
      </m:oMath>
      <w:r w:rsidRPr="00766470">
        <w:rPr>
          <w:rFonts w:ascii="Arial" w:hAnsi="Arial" w:cs="Arial"/>
        </w:rPr>
        <w:t xml:space="preserve"> unique mineral products, denoted as </w:t>
      </w:r>
      <m:oMath>
        <m:r>
          <m:rPr>
            <m:sty m:val="b"/>
          </m:rPr>
          <w:rPr>
            <w:rFonts w:ascii="Cambria Math" w:hAnsi="Cambria Math" w:cs="Arial"/>
          </w:rPr>
          <m:t>V</m:t>
        </m:r>
        <m:d>
          <m:dPr>
            <m:ctrlPr>
              <w:rPr>
                <w:rFonts w:ascii="Cambria Math" w:hAnsi="Cambria Math" w:cs="Arial"/>
                <w:b/>
              </w:rPr>
            </m:ctrlPr>
          </m:dPr>
          <m:e>
            <m:r>
              <w:rPr>
                <w:rFonts w:ascii="Cambria Math" w:hAnsi="Cambria Math" w:cs="Arial"/>
              </w:rPr>
              <m:t>N,N,K</m:t>
            </m:r>
          </m:e>
        </m:d>
        <m:r>
          <w:rPr>
            <w:rFonts w:ascii="Cambria Math" w:hAnsi="Cambria Math" w:cs="Arial"/>
          </w:rPr>
          <m:t xml:space="preserve">= </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v</m:t>
                </m:r>
              </m:e>
              <m:sub>
                <m:r>
                  <w:rPr>
                    <w:rFonts w:ascii="Cambria Math" w:hAnsi="Cambria Math" w:cs="Arial"/>
                  </w:rPr>
                  <m:t>od</m:t>
                </m:r>
              </m:sub>
              <m:sup>
                <m:r>
                  <w:rPr>
                    <w:rFonts w:ascii="Cambria Math" w:hAnsi="Cambria Math" w:cs="Arial"/>
                  </w:rPr>
                  <m:t>k</m:t>
                </m:r>
              </m:sup>
            </m:sSubSup>
          </m:e>
        </m:d>
        <m:r>
          <w:rPr>
            <w:rFonts w:ascii="Cambria Math" w:hAnsi="Cambria Math" w:cs="Arial"/>
          </w:rPr>
          <m:t>,∀1≤r,s≤n;1≤k≤q</m:t>
        </m:r>
      </m:oMath>
      <w:r w:rsidRPr="00766470">
        <w:rPr>
          <w:rFonts w:ascii="Arial" w:hAnsi="Arial" w:cs="Arial"/>
        </w:rPr>
        <w:t>, contained the volume in annual tonnes (</w:t>
      </w:r>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od</m:t>
            </m:r>
          </m:sub>
          <m:sup>
            <m:r>
              <w:rPr>
                <w:rFonts w:ascii="Cambria Math" w:hAnsi="Cambria Math" w:cs="Arial"/>
              </w:rPr>
              <m:t>k</m:t>
            </m:r>
          </m:sup>
        </m:sSubSup>
      </m:oMath>
      <w:r w:rsidRPr="00766470">
        <w:rPr>
          <w:rFonts w:ascii="Arial" w:hAnsi="Arial" w:cs="Arial"/>
        </w:rPr>
        <w:t>) to be assigned between mines, processing locations, and ports via the network edges. For assigning the origin–destination</w:t>
      </w:r>
      <w:r w:rsidRPr="00766470" w:rsidDel="00E36B04">
        <w:rPr>
          <w:rFonts w:ascii="Arial" w:hAnsi="Arial" w:cs="Arial"/>
        </w:rPr>
        <w:t xml:space="preserve"> </w:t>
      </w:r>
      <w:r w:rsidRPr="00766470">
        <w:rPr>
          <w:rFonts w:ascii="Arial" w:hAnsi="Arial" w:cs="Arial"/>
        </w:rPr>
        <w:t>matrix onto the network, each edge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oMath>
      <w:r w:rsidRPr="00766470">
        <w:rPr>
          <w:rFonts w:ascii="Arial" w:hAnsi="Arial" w:cs="Arial"/>
        </w:rPr>
        <w:t>) was assigned a generalised cost (</w:t>
      </w:r>
      <m:oMath>
        <m:sSub>
          <m:sSubPr>
            <m:ctrlPr>
              <w:rPr>
                <w:rFonts w:ascii="Cambria Math" w:hAnsi="Cambria Math" w:cs="Arial"/>
                <w:i/>
              </w:rPr>
            </m:ctrlPr>
          </m:sSubPr>
          <m:e>
            <m:r>
              <w:rPr>
                <w:rFonts w:ascii="Cambria Math" w:hAnsi="Cambria Math" w:cs="Arial"/>
              </w:rPr>
              <m:t>c</m:t>
            </m:r>
          </m:e>
          <m:sub>
            <m:r>
              <w:rPr>
                <w:rFonts w:ascii="Cambria Math" w:hAnsi="Cambria Math" w:cs="Arial"/>
              </w:rPr>
              <m:t>ij</m:t>
            </m:r>
          </m:sub>
        </m:sSub>
      </m:oMath>
      <w:r w:rsidRPr="00766470">
        <w:rPr>
          <w:rFonts w:ascii="Arial" w:hAnsi="Arial" w:cs="Arial"/>
        </w:rPr>
        <w:t>) (in US$/tonne) of freight transport. Commodity-specific flows (</w:t>
      </w: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ij</m:t>
            </m:r>
          </m:sub>
          <m:sup>
            <m:r>
              <w:rPr>
                <w:rFonts w:ascii="Cambria Math" w:hAnsi="Cambria Math" w:cs="Arial"/>
              </w:rPr>
              <m:t>k</m:t>
            </m:r>
          </m:sup>
        </m:sSubSup>
      </m:oMath>
      <w:r w:rsidRPr="00766470">
        <w:rPr>
          <w:rFonts w:ascii="Arial" w:hAnsi="Arial" w:cs="Arial"/>
        </w:rPr>
        <w:t>) along network edges were estimated by minimising the total cost of transport for each origin–destination matrix flow (</w:t>
      </w:r>
      <m:oMath>
        <m:sSubSup>
          <m:sSubSupPr>
            <m:ctrlPr>
              <w:rPr>
                <w:rFonts w:ascii="Cambria Math" w:hAnsi="Cambria Math" w:cs="Arial"/>
                <w:i/>
              </w:rPr>
            </m:ctrlPr>
          </m:sSubSupPr>
          <m:e>
            <m:r>
              <w:rPr>
                <w:rFonts w:ascii="Cambria Math" w:hAnsi="Cambria Math" w:cs="Arial"/>
              </w:rPr>
              <m:t>v</m:t>
            </m:r>
          </m:e>
          <m:sub>
            <m:r>
              <w:rPr>
                <w:rFonts w:ascii="Cambria Math" w:hAnsi="Cambria Math" w:cs="Arial"/>
              </w:rPr>
              <m:t>od</m:t>
            </m:r>
          </m:sub>
          <m:sup>
            <m:r>
              <w:rPr>
                <w:rFonts w:ascii="Cambria Math" w:hAnsi="Cambria Math" w:cs="Arial"/>
              </w:rPr>
              <m:t>k</m:t>
            </m:r>
          </m:sup>
        </m:sSubSup>
      </m:oMath>
      <w:r w:rsidRPr="00766470">
        <w:rPr>
          <w:rFonts w:ascii="Arial" w:hAnsi="Arial" w:cs="Arial"/>
        </w:rPr>
        <w:t>) along the network edges (Equation (1)), with the total flow assigned to an edge not exceeding its capacity (</w:t>
      </w:r>
      <m:oMath>
        <m:sSub>
          <m:sSubPr>
            <m:ctrlPr>
              <w:rPr>
                <w:rFonts w:ascii="Cambria Math" w:hAnsi="Cambria Math" w:cs="Arial"/>
                <w:i/>
              </w:rPr>
            </m:ctrlPr>
          </m:sSubPr>
          <m:e>
            <m:r>
              <w:rPr>
                <w:rFonts w:ascii="Cambria Math" w:hAnsi="Cambria Math" w:cs="Arial"/>
              </w:rPr>
              <m:t>μ</m:t>
            </m:r>
          </m:e>
          <m:sub>
            <m:r>
              <w:rPr>
                <w:rFonts w:ascii="Cambria Math" w:hAnsi="Cambria Math" w:cs="Arial"/>
              </w:rPr>
              <m:t>ij</m:t>
            </m:r>
          </m:sub>
        </m:sSub>
      </m:oMath>
      <w:r w:rsidRPr="00766470">
        <w:rPr>
          <w:rFonts w:ascii="Arial" w:hAnsi="Arial" w:cs="Arial"/>
        </w:rPr>
        <w:t xml:space="preserve">) (Equation (2)), and all origin–destination matrix flows being assigned onto the network (Equation (3)). Here </w:t>
      </w:r>
      <m:oMath>
        <m:sSub>
          <m:sSubPr>
            <m:ctrlPr>
              <w:rPr>
                <w:rFonts w:ascii="Cambria Math" w:hAnsi="Cambria Math" w:cs="Arial"/>
                <w:i/>
              </w:rPr>
            </m:ctrlPr>
          </m:sSubPr>
          <m:e>
            <m:r>
              <w:rPr>
                <w:rFonts w:ascii="Cambria Math" w:hAnsi="Cambria Math" w:cs="Arial"/>
              </w:rPr>
              <m:t>1</m:t>
            </m:r>
          </m:e>
          <m:sub>
            <m:r>
              <w:rPr>
                <w:rFonts w:ascii="Cambria Math" w:hAnsi="Cambria Math" w:cs="Arial"/>
              </w:rPr>
              <m:t>ijod</m:t>
            </m:r>
          </m:sub>
        </m:sSub>
      </m:oMath>
      <w:r w:rsidRPr="00766470">
        <w:rPr>
          <w:rFonts w:ascii="Arial" w:hAnsi="Arial" w:cs="Arial"/>
        </w:rPr>
        <w:t xml:space="preserve"> denotes an indicator function equal to 1 if the edge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m:t>
            </m:r>
          </m:sub>
        </m:sSub>
      </m:oMath>
      <w:r w:rsidRPr="00766470">
        <w:rPr>
          <w:rFonts w:ascii="Arial" w:hAnsi="Arial" w:cs="Arial"/>
        </w:rPr>
        <w:t xml:space="preserve"> was chosen in the route between and origin (</w:t>
      </w:r>
      <m:oMath>
        <m:r>
          <w:rPr>
            <w:rFonts w:ascii="Cambria Math" w:hAnsi="Cambria Math" w:cs="Arial"/>
          </w:rPr>
          <m:t>o</m:t>
        </m:r>
      </m:oMath>
      <w:r w:rsidRPr="00766470">
        <w:rPr>
          <w:rFonts w:ascii="Arial" w:hAnsi="Arial" w:cs="Arial"/>
        </w:rPr>
        <w:t>) and destination (</w:t>
      </w:r>
      <m:oMath>
        <m:r>
          <w:rPr>
            <w:rFonts w:ascii="Cambria Math" w:hAnsi="Cambria Math" w:cs="Arial"/>
          </w:rPr>
          <m:t>d</m:t>
        </m:r>
      </m:oMath>
      <w:r w:rsidRPr="00766470">
        <w:rPr>
          <w:rFonts w:ascii="Arial" w:hAnsi="Arial" w:cs="Arial"/>
        </w:rPr>
        <w:t>) pair and was 0 otherwise.</w:t>
      </w:r>
    </w:p>
    <w:tbl>
      <w:tblPr>
        <w:tblW w:w="0" w:type="auto"/>
        <w:tblLook w:val="04A0" w:firstRow="1" w:lastRow="0" w:firstColumn="1" w:lastColumn="0" w:noHBand="0" w:noVBand="1"/>
      </w:tblPr>
      <w:tblGrid>
        <w:gridCol w:w="8359"/>
        <w:gridCol w:w="651"/>
      </w:tblGrid>
      <w:tr w:rsidR="00BE51B1" w:rsidRPr="007D3F22" w14:paraId="3C852EB8" w14:textId="77777777" w:rsidTr="00877C15">
        <w:trPr>
          <w:trHeight w:val="714"/>
        </w:trPr>
        <w:tc>
          <w:tcPr>
            <w:tcW w:w="8359" w:type="dxa"/>
            <w:vMerge w:val="restart"/>
          </w:tcPr>
          <w:p w14:paraId="285AA837" w14:textId="77777777" w:rsidR="00BE51B1" w:rsidRPr="00766470" w:rsidRDefault="00000000" w:rsidP="00877C15">
            <w:pPr>
              <w:jc w:val="both"/>
              <w:rPr>
                <w:rFonts w:ascii="Arial" w:hAnsi="Arial" w:cs="Arial"/>
              </w:rPr>
            </w:pPr>
            <m:oMathPara>
              <m:oMath>
                <m:m>
                  <m:mPr>
                    <m:mcs>
                      <m:mc>
                        <m:mcPr>
                          <m:count m:val="2"/>
                          <m:mcJc m:val="center"/>
                        </m:mcPr>
                      </m:mc>
                    </m:mcs>
                    <m:ctrlPr>
                      <w:rPr>
                        <w:rFonts w:ascii="Cambria Math" w:hAnsi="Cambria Math" w:cs="Arial"/>
                        <w:i/>
                      </w:rPr>
                    </m:ctrlPr>
                  </m:mPr>
                  <m:mr>
                    <m:e>
                      <m:r>
                        <m:rPr>
                          <m:sty m:val="p"/>
                        </m:rPr>
                        <w:rPr>
                          <w:rFonts w:ascii="Cambria Math" w:hAnsi="Cambria Math" w:cs="Arial"/>
                        </w:rPr>
                        <m:t>min</m:t>
                      </m:r>
                    </m:e>
                    <m:e>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j=n</m:t>
                          </m:r>
                        </m:sup>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1</m:t>
                                  </m:r>
                                </m:e>
                                <m:sub>
                                  <m:r>
                                    <w:rPr>
                                      <w:rFonts w:ascii="Cambria Math" w:hAnsi="Cambria Math" w:cs="Arial"/>
                                    </w:rPr>
                                    <m:t>ijod</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ij</m:t>
                                  </m:r>
                                </m:sub>
                                <m:sup>
                                  <m:r>
                                    <w:rPr>
                                      <w:rFonts w:ascii="Cambria Math" w:hAnsi="Cambria Math" w:cs="Arial"/>
                                    </w:rPr>
                                    <m:t>k</m:t>
                                  </m:r>
                                </m:sup>
                              </m:sSubSup>
                              <m:sSubSup>
                                <m:sSubSupPr>
                                  <m:ctrlPr>
                                    <w:rPr>
                                      <w:rFonts w:ascii="Cambria Math" w:hAnsi="Cambria Math" w:cs="Arial"/>
                                      <w:i/>
                                    </w:rPr>
                                  </m:ctrlPr>
                                </m:sSubSupPr>
                                <m:e>
                                  <m:r>
                                    <w:rPr>
                                      <w:rFonts w:ascii="Cambria Math" w:hAnsi="Cambria Math" w:cs="Arial"/>
                                    </w:rPr>
                                    <m:t>c</m:t>
                                  </m:r>
                                </m:e>
                                <m:sub>
                                  <m:r>
                                    <w:rPr>
                                      <w:rFonts w:ascii="Cambria Math" w:hAnsi="Cambria Math" w:cs="Arial"/>
                                    </w:rPr>
                                    <m:t>ij</m:t>
                                  </m:r>
                                </m:sub>
                                <m:sup>
                                  <m:r>
                                    <w:rPr>
                                      <w:rFonts w:ascii="Cambria Math" w:hAnsi="Cambria Math" w:cs="Arial"/>
                                    </w:rPr>
                                    <m:t>k</m:t>
                                  </m:r>
                                </m:sup>
                              </m:sSubSup>
                            </m:e>
                          </m:nary>
                        </m:e>
                      </m:nary>
                      <m:r>
                        <w:rPr>
                          <w:rFonts w:ascii="Cambria Math" w:hAnsi="Cambria Math" w:cs="Arial"/>
                        </w:rPr>
                        <m:t>,∀k,o,d</m:t>
                      </m:r>
                    </m:e>
                  </m:mr>
                  <m:mr>
                    <m:e>
                      <m:r>
                        <m:rPr>
                          <m:sty m:val="p"/>
                        </m:rPr>
                        <w:rPr>
                          <w:rFonts w:ascii="Cambria Math" w:hAnsi="Cambria Math" w:cs="Arial"/>
                        </w:rPr>
                        <m:t>s.t.</m:t>
                      </m:r>
                    </m:e>
                    <m:e>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k=q</m:t>
                          </m:r>
                        </m:sup>
                        <m:e>
                          <m:sSubSup>
                            <m:sSubSupPr>
                              <m:ctrlPr>
                                <w:rPr>
                                  <w:rFonts w:ascii="Cambria Math" w:hAnsi="Cambria Math" w:cs="Arial"/>
                                  <w:i/>
                                </w:rPr>
                              </m:ctrlPr>
                            </m:sSubSupPr>
                            <m:e>
                              <m:r>
                                <w:rPr>
                                  <w:rFonts w:ascii="Cambria Math" w:hAnsi="Cambria Math" w:cs="Arial"/>
                                </w:rPr>
                                <m:t>f</m:t>
                              </m:r>
                            </m:e>
                            <m:sub>
                              <m:r>
                                <w:rPr>
                                  <w:rFonts w:ascii="Cambria Math" w:hAnsi="Cambria Math" w:cs="Arial"/>
                                </w:rPr>
                                <m:t>ij</m:t>
                              </m:r>
                            </m:sub>
                            <m:sup>
                              <m:r>
                                <w:rPr>
                                  <w:rFonts w:ascii="Cambria Math" w:hAnsi="Cambria Math" w:cs="Arial"/>
                                </w:rPr>
                                <m:t>k</m:t>
                              </m:r>
                            </m:sup>
                          </m:sSubSup>
                        </m:e>
                      </m:nary>
                      <m:r>
                        <w:rPr>
                          <w:rFonts w:ascii="Cambria Math" w:hAnsi="Cambria Math" w:cs="Arial"/>
                        </w:rPr>
                        <m:t>≤</m:t>
                      </m:r>
                      <m:sSub>
                        <m:sSubPr>
                          <m:ctrlPr>
                            <w:rPr>
                              <w:rFonts w:ascii="Cambria Math" w:hAnsi="Cambria Math" w:cs="Arial"/>
                              <w:i/>
                            </w:rPr>
                          </m:ctrlPr>
                        </m:sSubPr>
                        <m:e>
                          <m:r>
                            <w:rPr>
                              <w:rFonts w:ascii="Cambria Math" w:hAnsi="Cambria Math" w:cs="Arial"/>
                            </w:rPr>
                            <m:t>μ</m:t>
                          </m:r>
                        </m:e>
                        <m:sub>
                          <m:r>
                            <w:rPr>
                              <w:rFonts w:ascii="Cambria Math" w:hAnsi="Cambria Math" w:cs="Arial"/>
                            </w:rPr>
                            <m:t>ij</m:t>
                          </m:r>
                        </m:sub>
                      </m:sSub>
                      <m:r>
                        <w:rPr>
                          <w:rFonts w:ascii="Cambria Math" w:hAnsi="Cambria Math" w:cs="Arial"/>
                        </w:rPr>
                        <m:t>,  ∀i,j</m:t>
                      </m:r>
                    </m:e>
                  </m:mr>
                  <m:mr>
                    <m:e>
                      <m:r>
                        <w:rPr>
                          <w:rFonts w:ascii="Cambria Math" w:hAnsi="Cambria Math" w:cs="Arial"/>
                        </w:rPr>
                        <m:t xml:space="preserve"> </m:t>
                      </m:r>
                    </m:e>
                    <m:e>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j=n</m:t>
                          </m:r>
                        </m:sup>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k=q</m:t>
                                  </m:r>
                                </m:sup>
                                <m:e>
                                  <m:sSubSup>
                                    <m:sSubSupPr>
                                      <m:ctrlPr>
                                        <w:rPr>
                                          <w:rFonts w:ascii="Cambria Math" w:hAnsi="Cambria Math" w:cs="Arial"/>
                                          <w:i/>
                                        </w:rPr>
                                      </m:ctrlPr>
                                    </m:sSubSupPr>
                                    <m:e>
                                      <m:r>
                                        <w:rPr>
                                          <w:rFonts w:ascii="Cambria Math" w:hAnsi="Cambria Math" w:cs="Arial"/>
                                        </w:rPr>
                                        <m:t>f</m:t>
                                      </m:r>
                                    </m:e>
                                    <m:sub>
                                      <m:r>
                                        <w:rPr>
                                          <w:rFonts w:ascii="Cambria Math" w:hAnsi="Cambria Math" w:cs="Arial"/>
                                        </w:rPr>
                                        <m:t>ij</m:t>
                                      </m:r>
                                    </m:sub>
                                    <m:sup>
                                      <m:r>
                                        <w:rPr>
                                          <w:rFonts w:ascii="Cambria Math" w:hAnsi="Cambria Math" w:cs="Arial"/>
                                        </w:rPr>
                                        <m:t>k</m:t>
                                      </m:r>
                                    </m:sup>
                                  </m:sSubSup>
                                </m:e>
                              </m:nary>
                            </m:e>
                          </m:nary>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d=1</m:t>
                          </m:r>
                        </m:sub>
                        <m:sup>
                          <m:r>
                            <w:rPr>
                              <w:rFonts w:ascii="Cambria Math" w:hAnsi="Cambria Math" w:cs="Arial"/>
                            </w:rPr>
                            <m:t>d=n</m:t>
                          </m:r>
                        </m:sup>
                        <m:e>
                          <m:nary>
                            <m:naryPr>
                              <m:chr m:val="∑"/>
                              <m:limLoc m:val="undOvr"/>
                              <m:ctrlPr>
                                <w:rPr>
                                  <w:rFonts w:ascii="Cambria Math" w:hAnsi="Cambria Math" w:cs="Arial"/>
                                  <w:i/>
                                </w:rPr>
                              </m:ctrlPr>
                            </m:naryPr>
                            <m:sub>
                              <m:r>
                                <w:rPr>
                                  <w:rFonts w:ascii="Cambria Math" w:hAnsi="Cambria Math" w:cs="Arial"/>
                                </w:rPr>
                                <m:t>o=1</m:t>
                              </m:r>
                            </m:sub>
                            <m:sup>
                              <m:r>
                                <w:rPr>
                                  <w:rFonts w:ascii="Cambria Math" w:hAnsi="Cambria Math" w:cs="Arial"/>
                                </w:rPr>
                                <m:t>o=n</m:t>
                              </m:r>
                            </m:sup>
                            <m:e>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k=q</m:t>
                                  </m:r>
                                </m:sup>
                                <m:e>
                                  <m:sSubSup>
                                    <m:sSubSupPr>
                                      <m:ctrlPr>
                                        <w:rPr>
                                          <w:rFonts w:ascii="Cambria Math" w:hAnsi="Cambria Math" w:cs="Arial"/>
                                          <w:i/>
                                        </w:rPr>
                                      </m:ctrlPr>
                                    </m:sSubSupPr>
                                    <m:e>
                                      <m:r>
                                        <w:rPr>
                                          <w:rFonts w:ascii="Cambria Math" w:hAnsi="Cambria Math" w:cs="Arial"/>
                                        </w:rPr>
                                        <m:t>v</m:t>
                                      </m:r>
                                    </m:e>
                                    <m:sub>
                                      <m:r>
                                        <w:rPr>
                                          <w:rFonts w:ascii="Cambria Math" w:hAnsi="Cambria Math" w:cs="Arial"/>
                                        </w:rPr>
                                        <m:t>od</m:t>
                                      </m:r>
                                    </m:sub>
                                    <m:sup>
                                      <m:r>
                                        <w:rPr>
                                          <w:rFonts w:ascii="Cambria Math" w:hAnsi="Cambria Math" w:cs="Arial"/>
                                        </w:rPr>
                                        <m:t>k</m:t>
                                      </m:r>
                                    </m:sup>
                                  </m:sSubSup>
                                </m:e>
                              </m:nary>
                            </m:e>
                          </m:nary>
                        </m:e>
                      </m:nary>
                    </m:e>
                  </m:mr>
                </m:m>
              </m:oMath>
            </m:oMathPara>
          </w:p>
        </w:tc>
        <w:tc>
          <w:tcPr>
            <w:tcW w:w="651" w:type="dxa"/>
          </w:tcPr>
          <w:p w14:paraId="38F414E1" w14:textId="77777777" w:rsidR="00BE51B1" w:rsidRPr="00766470" w:rsidRDefault="00BE51B1" w:rsidP="00877C15">
            <w:pPr>
              <w:jc w:val="center"/>
              <w:rPr>
                <w:rFonts w:ascii="Arial" w:hAnsi="Arial" w:cs="Arial"/>
              </w:rPr>
            </w:pPr>
          </w:p>
          <w:p w14:paraId="06D1DFD9" w14:textId="77777777" w:rsidR="00BE51B1" w:rsidRPr="00766470" w:rsidRDefault="00BE51B1" w:rsidP="00877C15">
            <w:pPr>
              <w:jc w:val="center"/>
              <w:rPr>
                <w:rFonts w:ascii="Arial" w:hAnsi="Arial" w:cs="Arial"/>
              </w:rPr>
            </w:pPr>
            <w:r w:rsidRPr="00766470">
              <w:rPr>
                <w:rFonts w:ascii="Arial" w:hAnsi="Arial" w:cs="Arial"/>
              </w:rPr>
              <w:lastRenderedPageBreak/>
              <w:t>(1)</w:t>
            </w:r>
          </w:p>
        </w:tc>
      </w:tr>
      <w:tr w:rsidR="00BE51B1" w:rsidRPr="007D3F22" w14:paraId="43C92D34" w14:textId="77777777" w:rsidTr="00877C15">
        <w:trPr>
          <w:trHeight w:val="979"/>
        </w:trPr>
        <w:tc>
          <w:tcPr>
            <w:tcW w:w="8359" w:type="dxa"/>
            <w:vMerge/>
          </w:tcPr>
          <w:p w14:paraId="5C5E2D19" w14:textId="77777777" w:rsidR="00BE51B1" w:rsidRPr="00766470" w:rsidRDefault="00BE51B1" w:rsidP="00877C15">
            <w:pPr>
              <w:jc w:val="both"/>
              <w:rPr>
                <w:rFonts w:ascii="Arial" w:hAnsi="Arial" w:cs="Arial"/>
              </w:rPr>
            </w:pPr>
          </w:p>
        </w:tc>
        <w:tc>
          <w:tcPr>
            <w:tcW w:w="651" w:type="dxa"/>
          </w:tcPr>
          <w:p w14:paraId="23F4F346" w14:textId="77777777" w:rsidR="00BE51B1" w:rsidRPr="00766470" w:rsidRDefault="00BE51B1" w:rsidP="00877C15">
            <w:pPr>
              <w:jc w:val="center"/>
              <w:rPr>
                <w:rFonts w:ascii="Arial" w:hAnsi="Arial" w:cs="Arial"/>
              </w:rPr>
            </w:pPr>
          </w:p>
          <w:p w14:paraId="07257A15" w14:textId="77777777" w:rsidR="00BE51B1" w:rsidRPr="00766470" w:rsidRDefault="00BE51B1" w:rsidP="00877C15">
            <w:pPr>
              <w:jc w:val="center"/>
              <w:rPr>
                <w:rFonts w:ascii="Arial" w:hAnsi="Arial" w:cs="Arial"/>
              </w:rPr>
            </w:pPr>
            <w:r w:rsidRPr="00766470">
              <w:rPr>
                <w:rFonts w:ascii="Arial" w:hAnsi="Arial" w:cs="Arial"/>
              </w:rPr>
              <w:t>(2)</w:t>
            </w:r>
          </w:p>
        </w:tc>
      </w:tr>
      <w:tr w:rsidR="00BE51B1" w:rsidRPr="007D3F22" w14:paraId="1A5FEB13" w14:textId="77777777" w:rsidTr="00877C15">
        <w:tc>
          <w:tcPr>
            <w:tcW w:w="8359" w:type="dxa"/>
            <w:vMerge/>
          </w:tcPr>
          <w:p w14:paraId="17D7F8DD" w14:textId="77777777" w:rsidR="00BE51B1" w:rsidRPr="00766470" w:rsidRDefault="00BE51B1" w:rsidP="00877C15">
            <w:pPr>
              <w:jc w:val="both"/>
              <w:rPr>
                <w:rFonts w:ascii="Arial" w:hAnsi="Arial" w:cs="Arial"/>
              </w:rPr>
            </w:pPr>
          </w:p>
        </w:tc>
        <w:tc>
          <w:tcPr>
            <w:tcW w:w="651" w:type="dxa"/>
          </w:tcPr>
          <w:p w14:paraId="5372E903" w14:textId="77777777" w:rsidR="00BE51B1" w:rsidRPr="00766470" w:rsidRDefault="00BE51B1" w:rsidP="00877C15">
            <w:pPr>
              <w:jc w:val="center"/>
              <w:rPr>
                <w:rFonts w:ascii="Arial" w:hAnsi="Arial" w:cs="Arial"/>
              </w:rPr>
            </w:pPr>
          </w:p>
          <w:p w14:paraId="7A61F0CD" w14:textId="77777777" w:rsidR="00BE51B1" w:rsidRPr="00766470" w:rsidRDefault="00BE51B1" w:rsidP="00877C15">
            <w:pPr>
              <w:jc w:val="center"/>
              <w:rPr>
                <w:rFonts w:ascii="Arial" w:hAnsi="Arial" w:cs="Arial"/>
              </w:rPr>
            </w:pPr>
            <w:r w:rsidRPr="00766470">
              <w:rPr>
                <w:rFonts w:ascii="Arial" w:hAnsi="Arial" w:cs="Arial"/>
              </w:rPr>
              <w:t>(3)</w:t>
            </w:r>
          </w:p>
        </w:tc>
      </w:tr>
    </w:tbl>
    <w:p w14:paraId="6CCA0274" w14:textId="77777777" w:rsidR="00BE51B1" w:rsidRPr="00766470" w:rsidRDefault="00BE51B1" w:rsidP="00BE51B1">
      <w:pPr>
        <w:spacing w:after="240"/>
        <w:jc w:val="both"/>
        <w:rPr>
          <w:rFonts w:ascii="Arial" w:hAnsi="Arial" w:cs="Arial"/>
        </w:rPr>
      </w:pPr>
    </w:p>
    <w:p w14:paraId="1CCD1215" w14:textId="77777777" w:rsidR="00BE51B1" w:rsidRPr="00766470" w:rsidRDefault="00BE51B1" w:rsidP="00BE51B1">
      <w:pPr>
        <w:spacing w:after="240"/>
        <w:jc w:val="both"/>
        <w:rPr>
          <w:rFonts w:ascii="Arial" w:hAnsi="Arial" w:cs="Arial"/>
        </w:rPr>
      </w:pPr>
      <w:r w:rsidRPr="00766470">
        <w:rPr>
          <w:rFonts w:ascii="Arial" w:hAnsi="Arial" w:cs="Arial"/>
        </w:rPr>
        <w:t>The solution of the above flow assignment problem resulted in optimising the flow of the commodities between mines, processing sites, and ports. The generalised cost along a particular network edge is expressed in Equation (4) in terms of factors described below.</w:t>
      </w:r>
    </w:p>
    <w:p w14:paraId="023B5F83" w14:textId="77777777" w:rsidR="00BE51B1" w:rsidRPr="00766470" w:rsidRDefault="00000000" w:rsidP="00BE51B1">
      <w:pPr>
        <w:jc w:val="center"/>
        <w:rPr>
          <w:rFonts w:ascii="Arial" w:eastAsia="PMingLiU" w:hAnsi="Arial" w:cs="Arial"/>
        </w:rPr>
      </w:pPr>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ij</m:t>
            </m:r>
          </m:sub>
          <m:sup>
            <m:r>
              <w:rPr>
                <w:rFonts w:ascii="Cambria Math" w:hAnsi="Cambria Math" w:cs="Arial"/>
              </w:rPr>
              <m:t>k</m:t>
            </m:r>
          </m:sup>
        </m:sSubSup>
        <m:r>
          <m:rPr>
            <m:sty m:val="p"/>
          </m:rPr>
          <w:rPr>
            <w:rFonts w:ascii="Cambria Math" w:eastAsia="PMingLiU" w:hAnsi="Cambria Math" w:cs="Arial"/>
            <w:sz w:val="23"/>
            <w:szCs w:val="23"/>
          </w:rPr>
          <m:t>=</m:t>
        </m:r>
        <m:sSub>
          <m:sSubPr>
            <m:ctrlPr>
              <w:rPr>
                <w:rFonts w:ascii="Cambria Math" w:eastAsia="PMingLiU" w:hAnsi="Cambria Math" w:cs="Arial"/>
                <w:sz w:val="23"/>
                <w:szCs w:val="23"/>
              </w:rPr>
            </m:ctrlPr>
          </m:sSubPr>
          <m:e>
            <m:r>
              <w:rPr>
                <w:rFonts w:ascii="Cambria Math" w:eastAsia="PMingLiU" w:hAnsi="Cambria Math" w:cs="Arial"/>
                <w:sz w:val="23"/>
                <w:szCs w:val="23"/>
              </w:rPr>
              <m:t>a</m:t>
            </m:r>
          </m:e>
          <m:sub>
            <m:r>
              <w:rPr>
                <w:rFonts w:ascii="Cambria Math" w:eastAsia="PMingLiU" w:hAnsi="Cambria Math" w:cs="Arial"/>
                <w:sz w:val="23"/>
                <w:szCs w:val="23"/>
              </w:rPr>
              <m:t>ij</m:t>
            </m:r>
          </m:sub>
        </m:sSub>
        <m:r>
          <m:rPr>
            <m:sty m:val="p"/>
          </m:rPr>
          <w:rPr>
            <w:rFonts w:ascii="Cambria Math" w:eastAsia="PMingLiU" w:hAnsi="Cambria Math" w:cs="Arial"/>
            <w:sz w:val="23"/>
            <w:szCs w:val="23"/>
          </w:rPr>
          <m:t>(</m:t>
        </m:r>
        <m:sSubSup>
          <m:sSubSupPr>
            <m:ctrlPr>
              <w:rPr>
                <w:rFonts w:ascii="Cambria Math" w:eastAsia="PMingLiU" w:hAnsi="Cambria Math" w:cs="Arial"/>
                <w:sz w:val="23"/>
                <w:szCs w:val="23"/>
              </w:rPr>
            </m:ctrlPr>
          </m:sSubSupPr>
          <m:e>
            <m:r>
              <w:rPr>
                <w:rFonts w:ascii="Cambria Math" w:eastAsia="PMingLiU" w:hAnsi="Cambria Math" w:cs="Arial"/>
                <w:sz w:val="23"/>
                <w:szCs w:val="23"/>
              </w:rPr>
              <m:t>w</m:t>
            </m:r>
          </m:e>
          <m:sub>
            <m:r>
              <w:rPr>
                <w:rFonts w:ascii="Cambria Math" w:eastAsia="PMingLiU" w:hAnsi="Cambria Math" w:cs="Arial"/>
                <w:sz w:val="23"/>
                <w:szCs w:val="23"/>
              </w:rPr>
              <m:t>ij</m:t>
            </m:r>
          </m:sub>
          <m:sup>
            <m:r>
              <w:rPr>
                <w:rFonts w:ascii="Cambria Math" w:eastAsia="PMingLiU" w:hAnsi="Cambria Math" w:cs="Arial"/>
                <w:sz w:val="23"/>
                <w:szCs w:val="23"/>
              </w:rPr>
              <m:t>k</m:t>
            </m:r>
          </m:sup>
        </m:sSubSup>
        <m:r>
          <w:rPr>
            <w:rFonts w:ascii="Cambria Math" w:hAnsi="Cambria Math" w:cs="Arial"/>
          </w:rPr>
          <m:t>+</m:t>
        </m:r>
        <m:sSubSup>
          <m:sSubSupPr>
            <m:ctrlPr>
              <w:rPr>
                <w:rFonts w:ascii="Cambria Math" w:eastAsia="PMingLiU" w:hAnsi="Cambria Math" w:cs="Arial"/>
                <w:sz w:val="23"/>
                <w:szCs w:val="23"/>
              </w:rPr>
            </m:ctrlPr>
          </m:sSubSupPr>
          <m:e>
            <m:r>
              <w:rPr>
                <w:rFonts w:ascii="Cambria Math" w:eastAsia="PMingLiU" w:hAnsi="Cambria Math" w:cs="Arial"/>
                <w:sz w:val="23"/>
                <w:szCs w:val="23"/>
              </w:rPr>
              <m:t>t</m:t>
            </m:r>
          </m:e>
          <m:sub>
            <m:r>
              <w:rPr>
                <w:rFonts w:ascii="Cambria Math" w:eastAsia="PMingLiU" w:hAnsi="Cambria Math" w:cs="Arial"/>
                <w:sz w:val="23"/>
                <w:szCs w:val="23"/>
              </w:rPr>
              <m:t>ij</m:t>
            </m:r>
          </m:sub>
          <m:sup>
            <m:r>
              <w:rPr>
                <w:rFonts w:ascii="Cambria Math" w:eastAsia="PMingLiU" w:hAnsi="Cambria Math" w:cs="Arial"/>
                <w:sz w:val="23"/>
                <w:szCs w:val="23"/>
              </w:rPr>
              <m:t xml:space="preserve"> </m:t>
            </m:r>
          </m:sup>
        </m:sSubSup>
        <m:r>
          <m:rPr>
            <m:sty m:val="p"/>
          </m:rPr>
          <w:rPr>
            <w:rFonts w:ascii="Cambria Math" w:eastAsia="PMingLiU" w:hAnsi="Cambria Math" w:cs="Arial"/>
            <w:sz w:val="23"/>
            <w:szCs w:val="23"/>
          </w:rPr>
          <m:t>)+</m:t>
        </m:r>
        <m:sSubSup>
          <m:sSubSupPr>
            <m:ctrlPr>
              <w:rPr>
                <w:rFonts w:ascii="Cambria Math" w:eastAsia="PMingLiU" w:hAnsi="Cambria Math" w:cs="Arial"/>
                <w:sz w:val="23"/>
                <w:szCs w:val="23"/>
              </w:rPr>
            </m:ctrlPr>
          </m:sSubSupPr>
          <m:e>
            <m:r>
              <w:rPr>
                <w:rFonts w:ascii="Cambria Math" w:eastAsia="PMingLiU" w:hAnsi="Cambria Math" w:cs="Arial"/>
                <w:sz w:val="23"/>
                <w:szCs w:val="23"/>
              </w:rPr>
              <m:t>h</m:t>
            </m:r>
          </m:e>
          <m:sub>
            <m:r>
              <w:rPr>
                <w:rFonts w:ascii="Cambria Math" w:eastAsia="PMingLiU" w:hAnsi="Cambria Math" w:cs="Arial"/>
                <w:sz w:val="23"/>
                <w:szCs w:val="23"/>
              </w:rPr>
              <m:t>ij</m:t>
            </m:r>
          </m:sub>
          <m:sup>
            <m:r>
              <w:rPr>
                <w:rFonts w:ascii="Cambria Math" w:eastAsia="PMingLiU" w:hAnsi="Cambria Math" w:cs="Arial"/>
                <w:sz w:val="23"/>
                <w:szCs w:val="23"/>
              </w:rPr>
              <m:t>k</m:t>
            </m:r>
          </m:sup>
        </m:sSubSup>
        <m:r>
          <m:rPr>
            <m:sty m:val="p"/>
          </m:rPr>
          <w:rPr>
            <w:rFonts w:ascii="Cambria Math" w:eastAsia="PMingLiU" w:hAnsi="Cambria Math" w:cs="Arial"/>
            <w:sz w:val="23"/>
            <w:szCs w:val="23"/>
          </w:rPr>
          <m:t>+</m:t>
        </m:r>
        <m:sSub>
          <m:sSubPr>
            <m:ctrlPr>
              <w:rPr>
                <w:rFonts w:ascii="Cambria Math" w:hAnsi="Cambria Math" w:cs="Arial"/>
                <w:i/>
              </w:rPr>
            </m:ctrlPr>
          </m:sSubPr>
          <m:e>
            <m:r>
              <w:rPr>
                <w:rFonts w:ascii="Cambria Math" w:hAnsi="Cambria Math" w:cs="Arial"/>
              </w:rPr>
              <m:t>l</m:t>
            </m:r>
          </m:e>
          <m:sub>
            <m:r>
              <w:rPr>
                <w:rFonts w:ascii="Cambria Math" w:hAnsi="Cambria Math" w:cs="Arial"/>
              </w:rPr>
              <m:t>ij</m:t>
            </m:r>
          </m:sub>
        </m:sSub>
        <m:sSubSup>
          <m:sSubSupPr>
            <m:ctrlPr>
              <w:rPr>
                <w:rFonts w:ascii="Cambria Math" w:hAnsi="Cambria Math" w:cs="Arial"/>
                <w:i/>
              </w:rPr>
            </m:ctrlPr>
          </m:sSubSupPr>
          <m:e>
            <m:r>
              <w:rPr>
                <w:rFonts w:ascii="Cambria Math" w:hAnsi="Cambria Math" w:cs="Arial"/>
              </w:rPr>
              <m:t>b</m:t>
            </m:r>
          </m:e>
          <m:sub>
            <m:r>
              <w:rPr>
                <w:rFonts w:ascii="Cambria Math" w:hAnsi="Cambria Math" w:cs="Arial"/>
              </w:rPr>
              <m:t>ij</m:t>
            </m:r>
          </m:sub>
          <m:sup>
            <m:r>
              <w:rPr>
                <w:rFonts w:ascii="Cambria Math" w:hAnsi="Cambria Math" w:cs="Arial"/>
              </w:rPr>
              <m:t>k</m:t>
            </m:r>
          </m:sup>
        </m:sSubSup>
        <m:r>
          <m:rPr>
            <m:sty m:val="p"/>
          </m:rPr>
          <w:rPr>
            <w:rFonts w:ascii="Cambria Math" w:eastAsia="PMingLiU" w:hAnsi="Cambria Math" w:cs="Arial"/>
            <w:sz w:val="23"/>
            <w:szCs w:val="23"/>
          </w:rPr>
          <m:t xml:space="preserve"> </m:t>
        </m:r>
      </m:oMath>
      <w:r w:rsidR="00BE51B1" w:rsidRPr="00766470">
        <w:rPr>
          <w:rFonts w:ascii="Arial" w:eastAsia="PMingLiU" w:hAnsi="Arial" w:cs="Arial"/>
        </w:rPr>
        <w:t xml:space="preserve">       (4)</w:t>
      </w:r>
    </w:p>
    <w:p w14:paraId="3ACBDAB0"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u w:val="single"/>
        </w:rPr>
        <w:t>Waiting times or dwell times</w:t>
      </w:r>
      <w:r w:rsidRPr="00766470">
        <w:rPr>
          <w:rFonts w:ascii="Arial" w:hAnsi="Arial" w:cs="Arial"/>
        </w:rPr>
        <w:t xml:space="preserve"> (</w:t>
      </w:r>
      <m:oMath>
        <m:sSubSup>
          <m:sSubSupPr>
            <m:ctrlPr>
              <w:rPr>
                <w:rFonts w:ascii="Cambria Math" w:eastAsia="PMingLiU" w:hAnsi="Cambria Math" w:cs="Arial"/>
                <w:sz w:val="23"/>
                <w:szCs w:val="23"/>
              </w:rPr>
            </m:ctrlPr>
          </m:sSubSupPr>
          <m:e>
            <m:r>
              <w:rPr>
                <w:rFonts w:ascii="Cambria Math" w:eastAsia="PMingLiU" w:hAnsi="Cambria Math" w:cs="Arial"/>
                <w:sz w:val="23"/>
                <w:szCs w:val="23"/>
              </w:rPr>
              <m:t>w</m:t>
            </m:r>
          </m:e>
          <m:sub>
            <m:r>
              <w:rPr>
                <w:rFonts w:ascii="Cambria Math" w:eastAsia="PMingLiU" w:hAnsi="Cambria Math" w:cs="Arial"/>
                <w:sz w:val="23"/>
                <w:szCs w:val="23"/>
              </w:rPr>
              <m:t>ij</m:t>
            </m:r>
          </m:sub>
          <m:sup>
            <m:r>
              <w:rPr>
                <w:rFonts w:ascii="Cambria Math" w:eastAsia="PMingLiU" w:hAnsi="Cambria Math" w:cs="Arial"/>
                <w:sz w:val="23"/>
                <w:szCs w:val="23"/>
              </w:rPr>
              <m:t>k</m:t>
            </m:r>
          </m:sup>
        </m:sSubSup>
      </m:oMath>
      <w:r w:rsidRPr="00766470">
        <w:rPr>
          <w:rFonts w:ascii="Arial" w:hAnsi="Arial" w:cs="Arial"/>
        </w:rPr>
        <w:t xml:space="preserve">). Commodity-specific time (in hours) spent by unit tonnage of the cargo from its arrival to departure at a port or land border crossing (road or rail post). In the network flow assignment model, these costs were applied to country-specific ports and border crossings (point locations), and they were given to the edges that connected to these point locations. </w:t>
      </w:r>
    </w:p>
    <w:p w14:paraId="39917153"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u w:val="single"/>
        </w:rPr>
        <w:t>Travel times</w:t>
      </w:r>
      <w:r w:rsidRPr="00766470">
        <w:rPr>
          <w:rFonts w:ascii="Arial" w:hAnsi="Arial" w:cs="Arial"/>
        </w:rPr>
        <w:t xml:space="preserve"> (</w:t>
      </w:r>
      <m:oMath>
        <m:sSubSup>
          <m:sSubSupPr>
            <m:ctrlPr>
              <w:rPr>
                <w:rFonts w:ascii="Cambria Math" w:eastAsia="PMingLiU" w:hAnsi="Cambria Math" w:cs="Arial"/>
                <w:sz w:val="23"/>
                <w:szCs w:val="23"/>
              </w:rPr>
            </m:ctrlPr>
          </m:sSubSupPr>
          <m:e>
            <m:r>
              <w:rPr>
                <w:rFonts w:ascii="Cambria Math" w:eastAsia="PMingLiU" w:hAnsi="Cambria Math" w:cs="Arial"/>
                <w:sz w:val="23"/>
                <w:szCs w:val="23"/>
              </w:rPr>
              <m:t>t</m:t>
            </m:r>
          </m:e>
          <m:sub>
            <m:r>
              <w:rPr>
                <w:rFonts w:ascii="Cambria Math" w:eastAsia="PMingLiU" w:hAnsi="Cambria Math" w:cs="Arial"/>
                <w:sz w:val="23"/>
                <w:szCs w:val="23"/>
              </w:rPr>
              <m:t>ij</m:t>
            </m:r>
          </m:sub>
          <m:sup>
            <m:r>
              <w:rPr>
                <w:rFonts w:ascii="Cambria Math" w:eastAsia="PMingLiU" w:hAnsi="Cambria Math" w:cs="Arial"/>
                <w:sz w:val="23"/>
                <w:szCs w:val="23"/>
              </w:rPr>
              <m:t xml:space="preserve"> </m:t>
            </m:r>
          </m:sup>
        </m:sSubSup>
      </m:oMath>
      <w:r w:rsidRPr="00766470">
        <w:rPr>
          <w:rFonts w:ascii="Arial" w:hAnsi="Arial" w:cs="Arial"/>
        </w:rPr>
        <w:t xml:space="preserve">). The time (in hours) depending upon the speed to travel through a network edge (road section, rail line, or maritime routes). </w:t>
      </w:r>
    </w:p>
    <w:p w14:paraId="1BB55066"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u w:val="single"/>
        </w:rPr>
        <w:t>Value of time</w:t>
      </w:r>
      <w:r w:rsidRPr="00766470">
        <w:rPr>
          <w:rFonts w:ascii="Arial" w:hAnsi="Arial" w:cs="Arial"/>
          <w:i/>
          <w:iCs/>
        </w:rPr>
        <w:t xml:space="preserve"> </w:t>
      </w:r>
      <w:r w:rsidRPr="00766470">
        <w:rPr>
          <w:rFonts w:ascii="Arial" w:hAnsi="Arial" w:cs="Arial"/>
          <w:iCs/>
        </w:rPr>
        <w:t>(</w:t>
      </w:r>
      <m:oMath>
        <m:sSub>
          <m:sSubPr>
            <m:ctrlPr>
              <w:rPr>
                <w:rFonts w:ascii="Cambria Math" w:eastAsia="PMingLiU" w:hAnsi="Cambria Math" w:cs="Arial"/>
                <w:sz w:val="23"/>
                <w:szCs w:val="23"/>
              </w:rPr>
            </m:ctrlPr>
          </m:sSubPr>
          <m:e>
            <m:r>
              <w:rPr>
                <w:rFonts w:ascii="Cambria Math" w:eastAsia="PMingLiU" w:hAnsi="Cambria Math" w:cs="Arial"/>
                <w:sz w:val="23"/>
                <w:szCs w:val="23"/>
              </w:rPr>
              <m:t>a</m:t>
            </m:r>
          </m:e>
          <m:sub>
            <m:r>
              <w:rPr>
                <w:rFonts w:ascii="Cambria Math" w:eastAsia="PMingLiU" w:hAnsi="Cambria Math" w:cs="Arial"/>
                <w:sz w:val="23"/>
                <w:szCs w:val="23"/>
              </w:rPr>
              <m:t>ij</m:t>
            </m:r>
          </m:sub>
        </m:sSub>
      </m:oMath>
      <w:r w:rsidRPr="00766470">
        <w:rPr>
          <w:rFonts w:ascii="Arial" w:hAnsi="Arial" w:cs="Arial"/>
          <w:iCs/>
        </w:rPr>
        <w:t xml:space="preserve">). A factor applied to indicate the cost of time (in US$/tonne-hour) to the shipping company sending the cargo.  </w:t>
      </w:r>
    </w:p>
    <w:p w14:paraId="15DA2B54"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u w:val="single"/>
        </w:rPr>
        <w:t>Handling costs</w:t>
      </w:r>
      <w:r w:rsidRPr="00766470">
        <w:rPr>
          <w:rFonts w:ascii="Arial" w:hAnsi="Arial" w:cs="Arial"/>
        </w:rPr>
        <w:t xml:space="preserve"> (</w:t>
      </w:r>
      <m:oMath>
        <m:sSubSup>
          <m:sSubSupPr>
            <m:ctrlPr>
              <w:rPr>
                <w:rFonts w:ascii="Cambria Math" w:eastAsia="PMingLiU" w:hAnsi="Cambria Math" w:cs="Arial"/>
                <w:sz w:val="23"/>
                <w:szCs w:val="23"/>
              </w:rPr>
            </m:ctrlPr>
          </m:sSubSupPr>
          <m:e>
            <m:r>
              <w:rPr>
                <w:rFonts w:ascii="Cambria Math" w:eastAsia="PMingLiU" w:hAnsi="Cambria Math" w:cs="Arial"/>
                <w:sz w:val="23"/>
                <w:szCs w:val="23"/>
              </w:rPr>
              <m:t>h</m:t>
            </m:r>
          </m:e>
          <m:sub>
            <m:r>
              <w:rPr>
                <w:rFonts w:ascii="Cambria Math" w:eastAsia="PMingLiU" w:hAnsi="Cambria Math" w:cs="Arial"/>
                <w:sz w:val="23"/>
                <w:szCs w:val="23"/>
              </w:rPr>
              <m:t>ij</m:t>
            </m:r>
          </m:sub>
          <m:sup>
            <m:r>
              <w:rPr>
                <w:rFonts w:ascii="Cambria Math" w:eastAsia="PMingLiU" w:hAnsi="Cambria Math" w:cs="Arial"/>
                <w:sz w:val="23"/>
                <w:szCs w:val="23"/>
              </w:rPr>
              <m:t>k</m:t>
            </m:r>
          </m:sup>
        </m:sSubSup>
      </m:oMath>
      <w:r w:rsidRPr="00766470">
        <w:rPr>
          <w:rFonts w:ascii="Arial" w:eastAsiaTheme="minorEastAsia" w:hAnsi="Arial" w:cs="Arial"/>
        </w:rPr>
        <w:t>). Commodity-specific costs in US$/tonnes for loading and unloading cargo at maritime ports and inter-modal transfer points between road and rail links. These costs are applied the multi-modal edges that connect these point locations.</w:t>
      </w:r>
    </w:p>
    <w:p w14:paraId="6DBCF9EC"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iCs/>
          <w:u w:val="single"/>
        </w:rPr>
        <w:t>Edge length</w:t>
      </w:r>
      <w:r w:rsidRPr="00766470">
        <w:rPr>
          <w:rFonts w:ascii="Arial" w:hAnsi="Arial"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ij</m:t>
            </m:r>
          </m:sub>
        </m:sSub>
      </m:oMath>
      <w:r w:rsidRPr="00766470">
        <w:rPr>
          <w:rFonts w:ascii="Arial" w:hAnsi="Arial" w:cs="Arial"/>
        </w:rPr>
        <w:t xml:space="preserve">). The length of the road, rail, or maritime route in kilometres. </w:t>
      </w:r>
    </w:p>
    <w:p w14:paraId="05CCCCB9" w14:textId="77777777" w:rsidR="00BE51B1" w:rsidRPr="00766470" w:rsidRDefault="00BE51B1" w:rsidP="00BE51B1">
      <w:pPr>
        <w:pStyle w:val="ListParagraph"/>
        <w:numPr>
          <w:ilvl w:val="0"/>
          <w:numId w:val="15"/>
        </w:numPr>
        <w:spacing w:after="0" w:line="240" w:lineRule="auto"/>
        <w:jc w:val="both"/>
        <w:rPr>
          <w:rFonts w:ascii="Arial" w:hAnsi="Arial" w:cs="Arial"/>
        </w:rPr>
      </w:pPr>
      <w:r w:rsidRPr="00766470">
        <w:rPr>
          <w:rFonts w:ascii="Arial" w:hAnsi="Arial" w:cs="Arial"/>
          <w:u w:val="single"/>
        </w:rPr>
        <w:t>Tariff rates</w:t>
      </w:r>
      <w:r w:rsidRPr="00766470">
        <w:rPr>
          <w:rFonts w:ascii="Arial" w:hAnsi="Arial" w:cs="Arial"/>
        </w:rPr>
        <w:t xml:space="preserve"> (</w:t>
      </w:r>
      <m:oMath>
        <m:sSubSup>
          <m:sSubSupPr>
            <m:ctrlPr>
              <w:rPr>
                <w:rFonts w:ascii="Cambria Math" w:hAnsi="Cambria Math" w:cs="Arial"/>
                <w:i/>
              </w:rPr>
            </m:ctrlPr>
          </m:sSubSupPr>
          <m:e>
            <m:r>
              <w:rPr>
                <w:rFonts w:ascii="Cambria Math" w:hAnsi="Cambria Math" w:cs="Arial"/>
              </w:rPr>
              <m:t>b</m:t>
            </m:r>
          </m:e>
          <m:sub>
            <m:r>
              <w:rPr>
                <w:rFonts w:ascii="Cambria Math" w:hAnsi="Cambria Math" w:cs="Arial"/>
              </w:rPr>
              <m:t>ij</m:t>
            </m:r>
          </m:sub>
          <m:sup>
            <m:r>
              <w:rPr>
                <w:rFonts w:ascii="Cambria Math" w:hAnsi="Cambria Math" w:cs="Arial"/>
              </w:rPr>
              <m:t>k</m:t>
            </m:r>
          </m:sup>
        </m:sSubSup>
      </m:oMath>
      <w:r w:rsidRPr="00766470">
        <w:rPr>
          <w:rFonts w:ascii="Arial" w:hAnsi="Arial" w:cs="Arial"/>
        </w:rPr>
        <w:t xml:space="preserve">). </w:t>
      </w:r>
      <w:r w:rsidRPr="00766470">
        <w:rPr>
          <w:rFonts w:ascii="Arial" w:eastAsiaTheme="minorEastAsia" w:hAnsi="Arial" w:cs="Arial"/>
        </w:rPr>
        <w:t>A fixed commodity-specific tariff (in US$/tonne-km) imposed on the road or rail routes based on the weight and distance of cargo being transported.</w:t>
      </w:r>
      <w:r w:rsidRPr="00766470">
        <w:rPr>
          <w:rFonts w:ascii="Arial" w:hAnsi="Arial" w:cs="Arial"/>
        </w:rPr>
        <w:t xml:space="preserve">  </w:t>
      </w:r>
    </w:p>
    <w:p w14:paraId="1CD67D99" w14:textId="77777777" w:rsidR="00BE51B1" w:rsidRPr="00766470" w:rsidRDefault="00BE51B1" w:rsidP="00BE51B1">
      <w:pPr>
        <w:pStyle w:val="paragraph"/>
        <w:spacing w:before="0" w:beforeAutospacing="0" w:after="0" w:afterAutospacing="0"/>
        <w:jc w:val="both"/>
        <w:rPr>
          <w:rFonts w:ascii="Arial" w:hAnsi="Arial" w:cs="Arial"/>
          <w:sz w:val="22"/>
          <w:szCs w:val="22"/>
        </w:rPr>
      </w:pPr>
      <w:r w:rsidRPr="00766470">
        <w:rPr>
          <w:rFonts w:ascii="Arial" w:hAnsi="Arial" w:cs="Arial"/>
          <w:sz w:val="22"/>
          <w:szCs w:val="22"/>
        </w:rPr>
        <w:t xml:space="preserve"> </w:t>
      </w:r>
    </w:p>
    <w:p w14:paraId="6B9D0662" w14:textId="3F0B1883" w:rsidR="00BE51B1" w:rsidRPr="00AD40F3" w:rsidRDefault="00BE51B1" w:rsidP="00BE51B1">
      <w:pPr>
        <w:pStyle w:val="paragraph"/>
        <w:spacing w:before="0" w:beforeAutospacing="0" w:after="0" w:afterAutospacing="0"/>
        <w:jc w:val="both"/>
        <w:rPr>
          <w:rFonts w:ascii="Arial" w:hAnsi="Arial" w:cs="Arial"/>
        </w:rPr>
      </w:pPr>
      <w:r w:rsidRPr="00AD40F3">
        <w:rPr>
          <w:rFonts w:ascii="Arial" w:hAnsi="Arial" w:cs="Arial"/>
        </w:rPr>
        <w:t xml:space="preserve">Values for the parameters of the generalised cost function were obtained from a global database </w:t>
      </w:r>
      <w:r w:rsidRPr="00AD40F3">
        <w:rPr>
          <w:rFonts w:ascii="Arial" w:hAnsi="Arial" w:cs="Arial"/>
        </w:rPr>
        <w:fldChar w:fldCharType="begin"/>
      </w:r>
      <w:r w:rsidR="007E07E0" w:rsidRPr="00AD40F3">
        <w:rPr>
          <w:rFonts w:ascii="Arial" w:hAnsi="Arial" w:cs="Arial"/>
        </w:rPr>
        <w:instrText xml:space="preserve"> ADDIN ZOTERO_ITEM CSL_CITATION {"citationID":"8IKgaHqR","properties":{"formattedCitation":"\\super 116\\nosupersub{}","plainCitation":"116","noteIndex":0},"citationItems":[{"id":2068,"uris":["http://zotero.org/users/10918866/items/LLBRTL9Y"],"itemData":{"id":2068,"type":"article","abstract":"Despite the importance of international trade for food security, high production costs and trade frictions are still prevalent, contributing to regional heterogeneities in the landed cost of food commodities. Here, we quantify the landed cost for six grain commodities across 3,500 subnational regions. We find large heterogeneities in the costs of imported foods, which are highest in Oceania, Central America and landlocked Africa. While some regions have uniform landed costs across sourcing locations, others face large cost spreads across trading partners causing volatility in food prices. Regions with high transport costs are more sensitive to price shocks to food production/transport inputs. We find that most regions could benefit from a targeted approach to reduce landed cost while others benefit from a mixed strategies approach. Our results highlight that spatial information on production, trade and transport is essential to inform policies aiming to build an efficient and resilient global food system.","DOI":"10.21203/rs.3.rs-3289367/v1","note":"ISSN: 2693-5015","publisher":"Research Square","source":"Research Square","title":"Cost drivers of international grains and oilseeds trade","URL":"https://www.researchsquare.com/article/rs-3289367/v1","author":[{"family":"Verschuur","given":"Jasper"},{"family":"Vittis","given":"Yiorgos"},{"family":"Obersteiner","given":"Michael"},{"family":"Hall","given":"Jim"}],"accessed":{"date-parts":[["2024",11,19]]},"issued":{"date-parts":[["2023",10,27]]}}}],"schema":"https://github.com/citation-style-language/schema/raw/master/csl-citation.json"} </w:instrText>
      </w:r>
      <w:r w:rsidRPr="00AD40F3">
        <w:rPr>
          <w:rFonts w:ascii="Arial" w:hAnsi="Arial" w:cs="Arial"/>
        </w:rPr>
        <w:fldChar w:fldCharType="separate"/>
      </w:r>
      <w:r w:rsidR="007E07E0" w:rsidRPr="00AD40F3">
        <w:rPr>
          <w:rFonts w:ascii="Arial" w:hAnsi="Arial" w:cs="Arial"/>
          <w:vertAlign w:val="superscript"/>
        </w:rPr>
        <w:t>116</w:t>
      </w:r>
      <w:r w:rsidRPr="00AD40F3">
        <w:rPr>
          <w:rFonts w:ascii="Arial" w:hAnsi="Arial" w:cs="Arial"/>
        </w:rPr>
        <w:fldChar w:fldCharType="end"/>
      </w:r>
      <w:r w:rsidRPr="00AD40F3">
        <w:rPr>
          <w:rFonts w:ascii="Arial" w:hAnsi="Arial" w:cs="Arial"/>
        </w:rPr>
        <w:t>. Since the transport flows only captured a small fraction of the actual products being transported along roads, railways, and maritime networks, there was no need to put capacity constraints along most of the edges. Annual capacity values (</w:t>
      </w:r>
      <m:oMath>
        <m:sSub>
          <m:sSubPr>
            <m:ctrlPr>
              <w:rPr>
                <w:rFonts w:ascii="Cambria Math" w:hAnsi="Cambria Math" w:cs="Arial"/>
                <w:i/>
              </w:rPr>
            </m:ctrlPr>
          </m:sSubPr>
          <m:e>
            <m:r>
              <w:rPr>
                <w:rFonts w:ascii="Cambria Math" w:hAnsi="Cambria Math" w:cs="Arial"/>
              </w:rPr>
              <m:t>μ</m:t>
            </m:r>
          </m:e>
          <m:sub>
            <m:r>
              <w:rPr>
                <w:rFonts w:ascii="Cambria Math" w:hAnsi="Cambria Math" w:cs="Arial"/>
              </w:rPr>
              <m:t>ij</m:t>
            </m:r>
          </m:sub>
        </m:sSub>
      </m:oMath>
      <w:r w:rsidRPr="00AD40F3">
        <w:rPr>
          <w:rFonts w:ascii="Arial" w:hAnsi="Arial" w:cs="Arial"/>
        </w:rPr>
        <w:t xml:space="preserve">) were applied to the edges coming in and out of the port nodes to constrain the flows in and out of these ports.  </w:t>
      </w:r>
    </w:p>
    <w:p w14:paraId="020AD976" w14:textId="77777777" w:rsidR="00BE51B1" w:rsidRPr="00766470" w:rsidRDefault="00BE51B1" w:rsidP="00BE51B1">
      <w:pPr>
        <w:pStyle w:val="paragraph"/>
        <w:spacing w:before="0" w:beforeAutospacing="0" w:after="0" w:afterAutospacing="0"/>
        <w:jc w:val="both"/>
        <w:rPr>
          <w:rFonts w:ascii="Arial" w:hAnsi="Arial" w:cs="Arial"/>
          <w:sz w:val="22"/>
          <w:szCs w:val="22"/>
        </w:rPr>
      </w:pPr>
    </w:p>
    <w:p w14:paraId="75454115" w14:textId="77777777" w:rsidR="00BE51B1" w:rsidRPr="00AD40F3" w:rsidRDefault="00BE51B1" w:rsidP="00BE51B1">
      <w:pPr>
        <w:pStyle w:val="Heading3"/>
        <w:rPr>
          <w:rFonts w:ascii="Arial" w:hAnsi="Arial" w:cs="Arial"/>
          <w:b/>
          <w:bCs/>
          <w:sz w:val="24"/>
          <w:szCs w:val="24"/>
        </w:rPr>
      </w:pPr>
      <w:bookmarkStart w:id="116" w:name="_Toc211272303"/>
      <w:r w:rsidRPr="00AD40F3">
        <w:rPr>
          <w:rFonts w:ascii="Arial" w:hAnsi="Arial" w:cs="Arial"/>
          <w:b/>
          <w:bCs/>
          <w:sz w:val="24"/>
          <w:szCs w:val="24"/>
        </w:rPr>
        <w:t>4.3.4 Future processing sites were identified via transport flow optimisation.</w:t>
      </w:r>
      <w:bookmarkEnd w:id="116"/>
    </w:p>
    <w:p w14:paraId="7CDEABD4" w14:textId="77777777" w:rsidR="00BE51B1" w:rsidRPr="00766470" w:rsidRDefault="00BE51B1" w:rsidP="00BE51B1">
      <w:pPr>
        <w:pStyle w:val="paragraph"/>
        <w:spacing w:before="0" w:beforeAutospacing="0" w:after="0" w:afterAutospacing="0"/>
        <w:jc w:val="both"/>
        <w:rPr>
          <w:rFonts w:ascii="Arial" w:hAnsi="Arial" w:cs="Arial"/>
          <w:sz w:val="22"/>
          <w:szCs w:val="22"/>
        </w:rPr>
      </w:pPr>
    </w:p>
    <w:p w14:paraId="0572D5D6" w14:textId="02B5AAF7" w:rsidR="00BE51B1" w:rsidRPr="00766470" w:rsidRDefault="00BE51B1" w:rsidP="00BE51B1">
      <w:pPr>
        <w:jc w:val="both"/>
        <w:rPr>
          <w:rFonts w:ascii="Arial" w:hAnsi="Arial" w:cs="Arial"/>
        </w:rPr>
      </w:pPr>
      <w:r w:rsidRPr="00766470">
        <w:rPr>
          <w:rFonts w:ascii="Arial" w:hAnsi="Arial" w:cs="Arial"/>
        </w:rPr>
        <w:t xml:space="preserve">The flow allocation in the future scenarios (2040) involved moving towards higher stages of processing and finding locations where such processing could be done, </w:t>
      </w:r>
      <w:r w:rsidRPr="00766470">
        <w:rPr>
          <w:rFonts w:ascii="Arial" w:hAnsi="Arial" w:cs="Arial"/>
        </w:rPr>
        <w:lastRenderedPageBreak/>
        <w:t>either within a country (constrained by a minimum observable scale) or via regional collaboration (aiming for processing above observable</w:t>
      </w:r>
      <w:r w:rsidRPr="00766470">
        <w:rPr>
          <w:rFonts w:ascii="Arial" w:hAnsi="Arial" w:cs="Arial"/>
          <w:i/>
          <w:iCs/>
        </w:rPr>
        <w:t xml:space="preserve"> </w:t>
      </w:r>
      <w:r w:rsidRPr="00766470">
        <w:rPr>
          <w:rFonts w:ascii="Arial" w:hAnsi="Arial" w:cs="Arial"/>
        </w:rPr>
        <w:t>scale), as illustrated in</w:t>
      </w:r>
      <w:r w:rsidR="00615C28">
        <w:rPr>
          <w:rFonts w:ascii="Arial" w:hAnsi="Arial" w:cs="Arial"/>
          <w:b/>
          <w:bCs/>
          <w:color w:val="000000" w:themeColor="text1"/>
        </w:rPr>
        <w:t xml:space="preserve"> </w:t>
      </w:r>
      <w:r w:rsidR="00615C28">
        <w:rPr>
          <w:rFonts w:ascii="Arial" w:hAnsi="Arial" w:cs="Arial"/>
          <w:b/>
          <w:bCs/>
          <w:color w:val="000000" w:themeColor="text1"/>
        </w:rPr>
        <w:fldChar w:fldCharType="begin"/>
      </w:r>
      <w:r w:rsidR="00615C28">
        <w:rPr>
          <w:rFonts w:ascii="Arial" w:hAnsi="Arial" w:cs="Arial"/>
          <w:b/>
          <w:bCs/>
          <w:color w:val="000000" w:themeColor="text1"/>
        </w:rPr>
        <w:instrText xml:space="preserve"> REF _Ref214453553 \h </w:instrText>
      </w:r>
      <w:r w:rsidR="00615C28">
        <w:rPr>
          <w:rFonts w:ascii="Arial" w:hAnsi="Arial" w:cs="Arial"/>
          <w:b/>
          <w:bCs/>
          <w:color w:val="000000" w:themeColor="text1"/>
        </w:rPr>
      </w:r>
      <w:r w:rsidR="00615C28">
        <w:rPr>
          <w:rFonts w:ascii="Arial" w:hAnsi="Arial" w:cs="Arial"/>
          <w:b/>
          <w:bCs/>
          <w:color w:val="000000" w:themeColor="text1"/>
        </w:rPr>
        <w:fldChar w:fldCharType="separate"/>
      </w:r>
      <w:r w:rsidR="00615C28">
        <w:t xml:space="preserve">Figure </w:t>
      </w:r>
      <w:r w:rsidR="00615C28">
        <w:rPr>
          <w:noProof/>
        </w:rPr>
        <w:t>18</w:t>
      </w:r>
      <w:r w:rsidR="00615C28">
        <w:rPr>
          <w:rFonts w:ascii="Arial" w:hAnsi="Arial" w:cs="Arial"/>
          <w:b/>
          <w:bCs/>
          <w:color w:val="000000" w:themeColor="text1"/>
        </w:rPr>
        <w:fldChar w:fldCharType="end"/>
      </w:r>
      <w:r w:rsidRPr="00766470">
        <w:rPr>
          <w:rFonts w:ascii="Arial" w:hAnsi="Arial" w:cs="Arial"/>
        </w:rPr>
        <w:t>. This involved the following steps.</w:t>
      </w:r>
    </w:p>
    <w:p w14:paraId="218222EC" w14:textId="77777777"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The origin–destination matrix for a given future scenario was taken, which contained new products being traded out of the 14 African countries, and the flow allocation was done as described in the previous section.</w:t>
      </w:r>
    </w:p>
    <w:p w14:paraId="188289B5" w14:textId="4F922278"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The flows corresponding to the highest mineral stage of product for each mineral in the future (eg Stage 5 copper in 2050) were tracked along the transport routes from each origin to each destination. This resulted in identifying each road and rail node and edge over which these flows passed and their total volumes (in annual tonnes).</w:t>
      </w:r>
    </w:p>
    <w:p w14:paraId="62E9B3A7" w14:textId="77777777"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 xml:space="preserve">The nodes with the highest accumulation of flows of the desired mineral stage product and the required metal (or lithium carbonate) content were identified as potential locations for future processing and out of these locations the one which required the least total transport costs, distance and time to reach across all origin–destination routes (passing through it) was chosen as the location of a new processing hub in the future. In other words, this was a network level optimisation problem of maximising flow volumes and minimising transport costs, distance and time. </w:t>
      </w:r>
    </w:p>
    <w:p w14:paraId="3A9DF1C6" w14:textId="77777777"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The choice of the hub was finally determined by the total volume of the metal content arriving at it, because if it was below the relevant scale thresholds needed for production then the conversion to the higher stage would not happen. Instead, the mineral would be traded for the products corresponding to the unrefined (eg Stage 1) mineral stages.</w:t>
      </w:r>
    </w:p>
    <w:p w14:paraId="5851062E" w14:textId="77777777"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Steps 3–4 were repeated multiple times to find successive locations for the origin–destination</w:t>
      </w:r>
      <w:r w:rsidRPr="00766470" w:rsidDel="00E36B04">
        <w:rPr>
          <w:rFonts w:ascii="Arial" w:hAnsi="Arial" w:cs="Arial"/>
        </w:rPr>
        <w:t xml:space="preserve"> </w:t>
      </w:r>
      <w:r w:rsidRPr="00766470">
        <w:rPr>
          <w:rFonts w:ascii="Arial" w:hAnsi="Arial" w:cs="Arial"/>
        </w:rPr>
        <w:t>flows going through different routes that did not involve passing through the chosen processing hubs, till all unique origin–destination</w:t>
      </w:r>
      <w:r w:rsidRPr="00766470" w:rsidDel="00E36B04">
        <w:rPr>
          <w:rFonts w:ascii="Arial" w:hAnsi="Arial" w:cs="Arial"/>
        </w:rPr>
        <w:t xml:space="preserve"> </w:t>
      </w:r>
      <w:r w:rsidRPr="00766470">
        <w:rPr>
          <w:rFonts w:ascii="Arial" w:hAnsi="Arial" w:cs="Arial"/>
        </w:rPr>
        <w:t xml:space="preserve">flow routes were accounted for. </w:t>
      </w:r>
    </w:p>
    <w:p w14:paraId="3766F6F7" w14:textId="77777777" w:rsidR="00BE51B1" w:rsidRPr="00766470" w:rsidRDefault="00BE51B1" w:rsidP="00BE51B1">
      <w:pPr>
        <w:pStyle w:val="ListParagraph"/>
        <w:numPr>
          <w:ilvl w:val="0"/>
          <w:numId w:val="16"/>
        </w:numPr>
        <w:spacing w:line="259" w:lineRule="auto"/>
        <w:jc w:val="both"/>
        <w:rPr>
          <w:rFonts w:ascii="Arial" w:hAnsi="Arial" w:cs="Arial"/>
        </w:rPr>
      </w:pPr>
      <w:r w:rsidRPr="00766470">
        <w:rPr>
          <w:rFonts w:ascii="Arial" w:hAnsi="Arial" w:cs="Arial"/>
        </w:rPr>
        <w:t xml:space="preserve">In the </w:t>
      </w:r>
      <w:r>
        <w:rPr>
          <w:rFonts w:ascii="Arial" w:hAnsi="Arial" w:cs="Arial"/>
        </w:rPr>
        <w:t>National</w:t>
      </w:r>
      <w:r w:rsidRPr="00766470">
        <w:rPr>
          <w:rFonts w:ascii="Arial" w:hAnsi="Arial" w:cs="Arial"/>
        </w:rPr>
        <w:t xml:space="preserve"> </w:t>
      </w:r>
      <w:r>
        <w:rPr>
          <w:rFonts w:ascii="Arial" w:hAnsi="Arial" w:cs="Arial"/>
        </w:rPr>
        <w:t>S</w:t>
      </w:r>
      <w:r w:rsidRPr="00766470">
        <w:rPr>
          <w:rFonts w:ascii="Arial" w:hAnsi="Arial" w:cs="Arial"/>
        </w:rPr>
        <w:t xml:space="preserve">cenario (based on minimum observable scale), the processing hub locations were determined based on only flows originating and remaining within country. While, in the regional scenario (based on processing above the minimum observable scale), all flows across all countries were accumulated at the suitable locations.                  </w:t>
      </w:r>
    </w:p>
    <w:p w14:paraId="041D3CEC" w14:textId="77777777" w:rsidR="00BE51B1" w:rsidRDefault="00BE51B1" w:rsidP="00BE51B1">
      <w:bookmarkStart w:id="117" w:name="_Ref190748880"/>
      <w:r>
        <w:br w:type="page"/>
      </w:r>
    </w:p>
    <w:p w14:paraId="70B6DF61" w14:textId="3EFD3EAE" w:rsidR="00BE51B1" w:rsidRPr="00CE6832" w:rsidRDefault="00615C28" w:rsidP="00615C28">
      <w:pPr>
        <w:pStyle w:val="Caption"/>
      </w:pPr>
      <w:bookmarkStart w:id="118" w:name="_Ref214453553"/>
      <w:bookmarkStart w:id="119" w:name="_Toc211272403"/>
      <w:bookmarkEnd w:id="117"/>
      <w:r>
        <w:lastRenderedPageBreak/>
        <w:t xml:space="preserve">Figure </w:t>
      </w:r>
      <w:fldSimple w:instr=" SEQ Figure \* ARABIC ">
        <w:r w:rsidR="00E1763F">
          <w:rPr>
            <w:noProof/>
          </w:rPr>
          <w:t>20</w:t>
        </w:r>
      </w:fldSimple>
      <w:bookmarkEnd w:id="118"/>
      <w:r w:rsidR="00BE51B1" w:rsidRPr="00CE6832">
        <w:t>: Schematic for future flow routing</w:t>
      </w:r>
      <w:bookmarkEnd w:id="119"/>
    </w:p>
    <w:p w14:paraId="32A48E8A" w14:textId="77777777" w:rsidR="00BE51B1" w:rsidRDefault="00BE51B1" w:rsidP="00BE51B1">
      <w:pPr>
        <w:pStyle w:val="Caption"/>
        <w:keepNext/>
        <w:jc w:val="center"/>
        <w:rPr>
          <w:rFonts w:ascii="Arial" w:eastAsia="Calibri" w:hAnsi="Arial" w:cs="Arial"/>
          <w:color w:val="auto"/>
          <w:sz w:val="22"/>
          <w:szCs w:val="22"/>
        </w:rPr>
      </w:pPr>
      <w:r w:rsidRPr="009F2508">
        <w:rPr>
          <w:rFonts w:ascii="Arial" w:eastAsia="Calibri" w:hAnsi="Arial" w:cs="Arial"/>
          <w:noProof/>
          <w:color w:val="auto"/>
          <w:sz w:val="22"/>
          <w:szCs w:val="22"/>
        </w:rPr>
        <w:drawing>
          <wp:inline distT="0" distB="0" distL="0" distR="0" wp14:anchorId="39EE9474" wp14:editId="22F58D0A">
            <wp:extent cx="5211289" cy="2701362"/>
            <wp:effectExtent l="0" t="0" r="8890" b="3810"/>
            <wp:docPr id="2007793518" name="Picture 15" descr="A diagram of a trade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3518" name="Picture 15" descr="A diagram of a trade flow&#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1880" cy="2701668"/>
                    </a:xfrm>
                    <a:prstGeom prst="rect">
                      <a:avLst/>
                    </a:prstGeom>
                    <a:noFill/>
                  </pic:spPr>
                </pic:pic>
              </a:graphicData>
            </a:graphic>
          </wp:inline>
        </w:drawing>
      </w:r>
    </w:p>
    <w:p w14:paraId="6DFD192D" w14:textId="77777777" w:rsidR="00BE51B1" w:rsidRPr="009F2508" w:rsidRDefault="00BE51B1" w:rsidP="00BE51B1"/>
    <w:p w14:paraId="21BBB368" w14:textId="77777777" w:rsidR="00BE51B1" w:rsidRPr="00AD40F3" w:rsidRDefault="00BE51B1" w:rsidP="00BE51B1">
      <w:pPr>
        <w:pStyle w:val="Heading3"/>
        <w:rPr>
          <w:rFonts w:ascii="Arial" w:hAnsi="Arial" w:cs="Arial"/>
          <w:b/>
          <w:bCs/>
          <w:sz w:val="24"/>
          <w:szCs w:val="24"/>
        </w:rPr>
      </w:pPr>
      <w:bookmarkStart w:id="120" w:name="_Toc211272304"/>
      <w:r w:rsidRPr="00AD40F3">
        <w:rPr>
          <w:rFonts w:ascii="Arial" w:hAnsi="Arial" w:cs="Arial"/>
          <w:b/>
          <w:bCs/>
          <w:sz w:val="24"/>
          <w:szCs w:val="24"/>
        </w:rPr>
        <w:t>4.3.5</w:t>
      </w:r>
      <w:r w:rsidRPr="00AD40F3">
        <w:rPr>
          <w:rFonts w:ascii="Arial" w:hAnsi="Arial" w:cs="Arial"/>
          <w:b/>
          <w:bCs/>
          <w:sz w:val="24"/>
          <w:szCs w:val="24"/>
        </w:rPr>
        <w:tab/>
        <w:t>Transport-related carbon emissions were estimated.</w:t>
      </w:r>
      <w:bookmarkEnd w:id="120"/>
    </w:p>
    <w:p w14:paraId="38DE7187" w14:textId="44F6394A" w:rsidR="00BE51B1" w:rsidRPr="00766470" w:rsidRDefault="00BE51B1" w:rsidP="00BE51B1">
      <w:pPr>
        <w:jc w:val="both"/>
        <w:rPr>
          <w:rFonts w:ascii="Arial" w:eastAsia="Calibri" w:hAnsi="Arial" w:cs="Arial"/>
        </w:rPr>
      </w:pPr>
      <w:r>
        <w:rPr>
          <w:rFonts w:ascii="Arial" w:eastAsia="Calibri" w:hAnsi="Arial" w:cs="Arial"/>
        </w:rPr>
        <w:br/>
      </w:r>
      <w:r w:rsidRPr="00766470">
        <w:rPr>
          <w:rFonts w:ascii="Arial" w:eastAsia="Calibri" w:hAnsi="Arial" w:cs="Arial"/>
        </w:rPr>
        <w:t>Following the allocation of flows on the transport network for each scenario, the carbon emissions in tonnes-CO</w:t>
      </w:r>
      <w:r w:rsidRPr="00766470">
        <w:rPr>
          <w:rFonts w:ascii="Arial" w:eastAsia="Calibri" w:hAnsi="Arial" w:cs="Arial"/>
          <w:vertAlign w:val="subscript"/>
        </w:rPr>
        <w:t>2</w:t>
      </w:r>
      <w:r w:rsidRPr="00766470">
        <w:rPr>
          <w:rFonts w:ascii="Arial" w:eastAsia="Calibri" w:hAnsi="Arial" w:cs="Arial"/>
        </w:rPr>
        <w:t>eq were estimated. A Transport Energy and Air pollution Model (TEAM) was used to convert the tonnages of cargo transported along roads and railway lines in tonnes-CO</w:t>
      </w:r>
      <w:r w:rsidRPr="00766470">
        <w:rPr>
          <w:rFonts w:ascii="Arial" w:eastAsia="Calibri" w:hAnsi="Arial" w:cs="Arial"/>
          <w:vertAlign w:val="subscript"/>
        </w:rPr>
        <w:t>2</w:t>
      </w:r>
      <w:r w:rsidRPr="00766470">
        <w:rPr>
          <w:rFonts w:ascii="Arial" w:eastAsia="Calibri" w:hAnsi="Arial" w:cs="Arial"/>
        </w:rPr>
        <w:t>eq of carbon emissions</w:t>
      </w:r>
      <w:r w:rsidRPr="00766470">
        <w:rPr>
          <w:rFonts w:ascii="Arial" w:eastAsia="Calibri" w:hAnsi="Arial" w:cs="Arial"/>
        </w:rPr>
        <w:fldChar w:fldCharType="begin"/>
      </w:r>
      <w:r w:rsidR="007E07E0">
        <w:rPr>
          <w:rFonts w:ascii="Arial" w:eastAsia="Calibri" w:hAnsi="Arial" w:cs="Arial"/>
        </w:rPr>
        <w:instrText xml:space="preserve"> ADDIN ZOTERO_ITEM CSL_CITATION {"citationID":"2wNVCKTy","properties":{"formattedCitation":"\\super 117\\nosupersub{}","plainCitation":"117","noteIndex":0},"citationItems":[{"id":2,"uris":["http://zotero.org/users/10918866/items/VCTYL7U7"],"itemData":{"id":2,"type":"article-journal","abstract":"Current debate focuses on the need for the transport sector to contribute to more ambitious carbon emission reduction targets. In the UK, various macro-economic and energy system wide, top-down models are used to explore the potential for energy demand and carbon emissions reduction in the transport sector. These models can lack the bottom-up, sectoral detail needed to simulate the effects of integrated demand and supply-side policy strategies to reduce emissions. Bridging the gap between short-term forecasting and long-term scenario “models”, this paper introduces a newly developed strategic transport, energy, emissions and environmental impacts model, the UK Transport Carbon Model (UKTCM). The UKTCM covers the range of transport–energy–environment issues from socio-economic and policy influences on energy demand reduction through to life cycle carbon emissions and external costs. The model is demonstrated in this paper by presenting the results of three single policies and one policy package scenario. Limitations of the model are also discussed. Developed under the auspices of the UK Energy Research Centre (UKERC) the UKTCM can be used to develop transport policy scenarios that explore the full range of technological, fiscal, regulatory and behavioural change policy interventions to meet UK climate change and energy security goals.","collection-title":"Modeling Transport (Energy) Demand and Policies","container-title":"Energy Policy","DOI":"10.1016/j.enpol.2010.08.019","ISSN":"0301-4215","journalAbbreviation":"Energy Policy","page":"107-124","source":"ScienceDirect","title":"The UK transport carbon model: An integrated life cycle approach to explore low carbon futures","title-short":"The UK transport carbon model","volume":"41","author":[{"family":"Brand","given":"Christian"},{"family":"Tran","given":"Martino"},{"family":"Anable","given":"Jillian"}],"issued":{"date-parts":[["2012",2,1]]}}}],"schema":"https://github.com/citation-style-language/schema/raw/master/csl-citation.json"}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117</w:t>
      </w:r>
      <w:r w:rsidRPr="00766470">
        <w:rPr>
          <w:rFonts w:ascii="Arial" w:eastAsia="Calibri" w:hAnsi="Arial" w:cs="Arial"/>
        </w:rPr>
        <w:fldChar w:fldCharType="end"/>
      </w:r>
      <w:r w:rsidRPr="00766470">
        <w:rPr>
          <w:rFonts w:ascii="Arial" w:eastAsia="Calibri" w:hAnsi="Arial" w:cs="Arial"/>
        </w:rPr>
        <w:t>. The aim of the analysis was to produce a generalised estimate of carbon emissions, instead of using more detailed estimates that would require, among other attributes, data on individual cargo vehicle types, their fuel types, and occupancy</w:t>
      </w:r>
      <w:r w:rsidRPr="00766470">
        <w:rPr>
          <w:rFonts w:ascii="Arial" w:eastAsia="Calibri" w:hAnsi="Arial" w:cs="Arial"/>
        </w:rPr>
        <w:fldChar w:fldCharType="begin"/>
      </w:r>
      <w:r w:rsidR="007E07E0">
        <w:rPr>
          <w:rFonts w:ascii="Arial" w:eastAsia="Calibri" w:hAnsi="Arial" w:cs="Arial"/>
        </w:rPr>
        <w:instrText xml:space="preserve"> ADDIN ZOTERO_ITEM CSL_CITATION {"citationID":"vr1Jhn2m","properties":{"formattedCitation":"\\super 118\\nosupersub{}","plainCitation":"118","noteIndex":0},"citationItems":[{"id":3,"uris":["http://zotero.org/users/10918866/items/84FUUJC5"],"itemData":{"id":3,"type":"article-journal","DOI":"https://doi.org/10.1016/j.enpol.2010.08.020","page":"125-138","title":"Modelling transport energy demand: A socio-technical approach","volume":"41","author":[{"family":"Anable","given":"Jilian"},{"family":"Brand","given":"Christian"},{"family":"Tran","given":"Martino"},{"family":"Eyre","given":"Nick"}],"issued":{"date-parts":[["2019",2]]}}}],"schema":"https://github.com/citation-style-language/schema/raw/master/csl-citation.json"} </w:instrText>
      </w:r>
      <w:r w:rsidRPr="00766470">
        <w:rPr>
          <w:rFonts w:ascii="Arial" w:eastAsia="Calibri" w:hAnsi="Arial" w:cs="Arial"/>
        </w:rPr>
        <w:fldChar w:fldCharType="separate"/>
      </w:r>
      <w:r w:rsidR="007E07E0" w:rsidRPr="007E07E0">
        <w:rPr>
          <w:rFonts w:ascii="Arial" w:hAnsi="Arial" w:cs="Arial"/>
          <w:kern w:val="0"/>
          <w:vertAlign w:val="superscript"/>
        </w:rPr>
        <w:t>118</w:t>
      </w:r>
      <w:r w:rsidRPr="00766470">
        <w:rPr>
          <w:rFonts w:ascii="Arial" w:eastAsia="Calibri" w:hAnsi="Arial" w:cs="Arial"/>
        </w:rPr>
        <w:fldChar w:fldCharType="end"/>
      </w:r>
      <w:r w:rsidRPr="00766470">
        <w:rPr>
          <w:rFonts w:ascii="Arial" w:eastAsia="Calibri" w:hAnsi="Arial" w:cs="Arial"/>
        </w:rPr>
        <w:t xml:space="preserve">. TEAM allowed such a generalised estimate based on the assumption that all cargo along roads and rail networks would be transported using standard class of vehicles.       </w:t>
      </w:r>
    </w:p>
    <w:p w14:paraId="48B60C3A" w14:textId="77777777" w:rsidR="00BE51B1" w:rsidRPr="00766470" w:rsidRDefault="00BE51B1" w:rsidP="00BE51B1">
      <w:pPr>
        <w:jc w:val="both"/>
        <w:rPr>
          <w:rFonts w:ascii="Arial" w:eastAsia="Calibri" w:hAnsi="Arial" w:cs="Arial"/>
        </w:rPr>
      </w:pPr>
      <w:r w:rsidRPr="00766470">
        <w:rPr>
          <w:rFonts w:ascii="Arial" w:eastAsia="Calibri" w:hAnsi="Arial" w:cs="Arial"/>
        </w:rPr>
        <w:t xml:space="preserve">Along a given network edge, </w:t>
      </w:r>
      <m:oMath>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ij</m:t>
            </m:r>
          </m:sub>
        </m:sSub>
      </m:oMath>
      <w:r w:rsidRPr="00766470">
        <w:rPr>
          <w:rFonts w:ascii="Arial" w:eastAsia="Calibri" w:hAnsi="Arial" w:cs="Arial"/>
        </w:rPr>
        <w:t>, the conversion of tonnage of cargo (</w:t>
      </w:r>
      <m:oMath>
        <m:sSubSup>
          <m:sSubSupPr>
            <m:ctrlPr>
              <w:rPr>
                <w:rFonts w:ascii="Cambria Math" w:eastAsia="Calibri" w:hAnsi="Cambria Math" w:cs="Arial"/>
                <w:i/>
              </w:rPr>
            </m:ctrlPr>
          </m:sSubSupPr>
          <m:e>
            <m:r>
              <w:rPr>
                <w:rFonts w:ascii="Cambria Math" w:eastAsia="Calibri" w:hAnsi="Cambria Math" w:cs="Arial"/>
              </w:rPr>
              <m:t>T</m:t>
            </m:r>
          </m:e>
          <m:sub>
            <m:r>
              <w:rPr>
                <w:rFonts w:ascii="Cambria Math" w:eastAsia="Calibri" w:hAnsi="Cambria Math" w:cs="Arial"/>
              </w:rPr>
              <m:t>ij</m:t>
            </m:r>
          </m:sub>
          <m:sup>
            <m:r>
              <w:rPr>
                <w:rFonts w:ascii="Cambria Math" w:eastAsia="Calibri" w:hAnsi="Cambria Math" w:cs="Arial"/>
              </w:rPr>
              <m:t>m</m:t>
            </m:r>
          </m:sup>
        </m:sSubSup>
      </m:oMath>
      <w:r w:rsidRPr="00766470">
        <w:rPr>
          <w:rFonts w:ascii="Arial" w:eastAsia="Calibri" w:hAnsi="Arial" w:cs="Arial"/>
        </w:rPr>
        <w:t>) to carbon emissions (</w:t>
      </w:r>
      <m:oMath>
        <m:sSubSup>
          <m:sSubSupPr>
            <m:ctrlPr>
              <w:rPr>
                <w:rFonts w:ascii="Cambria Math" w:eastAsia="Calibri" w:hAnsi="Cambria Math" w:cs="Arial"/>
                <w:i/>
              </w:rPr>
            </m:ctrlPr>
          </m:sSubSupPr>
          <m:e>
            <m:r>
              <w:rPr>
                <w:rFonts w:ascii="Cambria Math" w:eastAsia="Calibri" w:hAnsi="Cambria Math" w:cs="Arial"/>
              </w:rPr>
              <m:t>E</m:t>
            </m:r>
          </m:e>
          <m:sub>
            <m:r>
              <w:rPr>
                <w:rFonts w:ascii="Cambria Math" w:eastAsia="Calibri" w:hAnsi="Cambria Math" w:cs="Arial"/>
              </w:rPr>
              <m:t>ij</m:t>
            </m:r>
          </m:sub>
          <m:sup>
            <m:r>
              <w:rPr>
                <w:rFonts w:ascii="Cambria Math" w:eastAsia="Calibri" w:hAnsi="Cambria Math" w:cs="Arial"/>
              </w:rPr>
              <m:t>m</m:t>
            </m:r>
          </m:sup>
        </m:sSubSup>
      </m:oMath>
      <w:r w:rsidRPr="00766470">
        <w:rPr>
          <w:rFonts w:ascii="Arial" w:eastAsia="Calibri" w:hAnsi="Arial" w:cs="Arial"/>
        </w:rPr>
        <w:t>) carried along a given mode (</w:t>
      </w:r>
      <m:oMath>
        <m:r>
          <w:rPr>
            <w:rFonts w:ascii="Cambria Math" w:eastAsia="Calibri" w:hAnsi="Cambria Math" w:cs="Arial"/>
          </w:rPr>
          <m:t>m</m:t>
        </m:r>
      </m:oMath>
      <w:r w:rsidRPr="00766470">
        <w:rPr>
          <w:rFonts w:ascii="Arial" w:eastAsia="Calibri" w:hAnsi="Arial" w:cs="Arial"/>
        </w:rPr>
        <w:t>) of travel (road or rail) was done by applying the following equation:</w:t>
      </w:r>
    </w:p>
    <w:p w14:paraId="0AFFF227" w14:textId="77777777" w:rsidR="00BE51B1" w:rsidRPr="00766470" w:rsidRDefault="00000000" w:rsidP="00BE51B1">
      <w:pPr>
        <w:jc w:val="center"/>
        <w:rPr>
          <w:rFonts w:ascii="Arial" w:eastAsia="Calibri" w:hAnsi="Arial" w:cs="Arial"/>
        </w:rPr>
      </w:pPr>
      <m:oMath>
        <m:sSubSup>
          <m:sSubSupPr>
            <m:ctrlPr>
              <w:rPr>
                <w:rFonts w:ascii="Cambria Math" w:eastAsia="Calibri" w:hAnsi="Cambria Math" w:cs="Arial"/>
                <w:i/>
              </w:rPr>
            </m:ctrlPr>
          </m:sSubSupPr>
          <m:e>
            <m:r>
              <w:rPr>
                <w:rFonts w:ascii="Cambria Math" w:eastAsia="Calibri" w:hAnsi="Cambria Math" w:cs="Arial"/>
              </w:rPr>
              <m:t>E</m:t>
            </m:r>
          </m:e>
          <m:sub>
            <m:r>
              <w:rPr>
                <w:rFonts w:ascii="Cambria Math" w:eastAsia="Calibri" w:hAnsi="Cambria Math" w:cs="Arial"/>
              </w:rPr>
              <m:t>ij</m:t>
            </m:r>
          </m:sub>
          <m:sup>
            <m:r>
              <w:rPr>
                <w:rFonts w:ascii="Cambria Math" w:eastAsia="Calibri" w:hAnsi="Cambria Math" w:cs="Arial"/>
              </w:rPr>
              <m:t>m</m:t>
            </m:r>
          </m:sup>
        </m:sSubSup>
        <m:r>
          <w:rPr>
            <w:rFonts w:ascii="Cambria Math" w:eastAsia="Calibri" w:hAnsi="Cambria Math" w:cs="Arial"/>
          </w:rPr>
          <m:t xml:space="preserve">= </m:t>
        </m:r>
        <m:sSup>
          <m:sSupPr>
            <m:ctrlPr>
              <w:rPr>
                <w:rFonts w:ascii="Cambria Math" w:eastAsia="Calibri" w:hAnsi="Cambria Math" w:cs="Arial"/>
                <w:i/>
              </w:rPr>
            </m:ctrlPr>
          </m:sSupPr>
          <m:e>
            <m:r>
              <w:rPr>
                <w:rFonts w:ascii="Cambria Math" w:eastAsia="Calibri" w:hAnsi="Cambria Math" w:cs="Arial"/>
              </w:rPr>
              <m:t>10</m:t>
            </m:r>
          </m:e>
          <m:sup>
            <m:r>
              <w:rPr>
                <w:rFonts w:ascii="Cambria Math" w:eastAsia="Calibri" w:hAnsi="Cambria Math" w:cs="Arial"/>
              </w:rPr>
              <m:t>-5</m:t>
            </m:r>
          </m:sup>
        </m:sSup>
        <m:sSubSup>
          <m:sSubSupPr>
            <m:ctrlPr>
              <w:rPr>
                <w:rFonts w:ascii="Cambria Math" w:eastAsia="Calibri" w:hAnsi="Cambria Math" w:cs="Arial"/>
                <w:i/>
              </w:rPr>
            </m:ctrlPr>
          </m:sSubSupPr>
          <m:e>
            <m:r>
              <w:rPr>
                <w:rFonts w:ascii="Cambria Math" w:eastAsia="Calibri" w:hAnsi="Cambria Math" w:cs="Arial"/>
              </w:rPr>
              <m:t>T</m:t>
            </m:r>
          </m:e>
          <m:sub>
            <m:r>
              <w:rPr>
                <w:rFonts w:ascii="Cambria Math" w:eastAsia="Calibri" w:hAnsi="Cambria Math" w:cs="Arial"/>
              </w:rPr>
              <m:t>ij</m:t>
            </m:r>
          </m:sub>
          <m:sup>
            <m:r>
              <w:rPr>
                <w:rFonts w:ascii="Cambria Math" w:eastAsia="Calibri" w:hAnsi="Cambria Math" w:cs="Arial"/>
              </w:rPr>
              <m:t>m</m:t>
            </m:r>
          </m:sup>
        </m:sSubSup>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ij</m:t>
            </m:r>
          </m:sub>
        </m:sSub>
        <m:d>
          <m:dPr>
            <m:ctrlPr>
              <w:rPr>
                <w:rFonts w:ascii="Cambria Math" w:eastAsia="Calibri" w:hAnsi="Cambria Math" w:cs="Arial"/>
                <w:i/>
              </w:rPr>
            </m:ctrlPr>
          </m:dPr>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ϵ</m:t>
                    </m:r>
                  </m:e>
                  <m:sub>
                    <m:r>
                      <w:rPr>
                        <w:rFonts w:ascii="Cambria Math" w:eastAsia="Calibri" w:hAnsi="Cambria Math" w:cs="Arial"/>
                      </w:rPr>
                      <m:t>m</m:t>
                    </m:r>
                  </m:sub>
                </m:sSub>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m</m:t>
                    </m:r>
                  </m:sub>
                </m:sSub>
              </m:num>
              <m:den>
                <m:sSub>
                  <m:sSubPr>
                    <m:ctrlPr>
                      <w:rPr>
                        <w:rFonts w:ascii="Cambria Math" w:eastAsia="Calibri" w:hAnsi="Cambria Math" w:cs="Arial"/>
                        <w:i/>
                      </w:rPr>
                    </m:ctrlPr>
                  </m:sSubPr>
                  <m:e>
                    <m:r>
                      <w:rPr>
                        <w:rFonts w:ascii="Cambria Math" w:eastAsia="Calibri" w:hAnsi="Cambria Math" w:cs="Arial"/>
                      </w:rPr>
                      <m:t>ω</m:t>
                    </m:r>
                  </m:e>
                  <m:sub>
                    <m:r>
                      <w:rPr>
                        <w:rFonts w:ascii="Cambria Math" w:eastAsia="Calibri" w:hAnsi="Cambria Math" w:cs="Arial"/>
                      </w:rPr>
                      <m:t>m</m:t>
                    </m:r>
                  </m:sub>
                </m:sSub>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m</m:t>
                    </m:r>
                  </m:sub>
                </m:sSub>
              </m:den>
            </m:f>
          </m:e>
        </m:d>
      </m:oMath>
      <w:r w:rsidR="00BE51B1" w:rsidRPr="00766470">
        <w:rPr>
          <w:rFonts w:ascii="Arial" w:eastAsia="Calibri" w:hAnsi="Arial" w:cs="Arial"/>
        </w:rPr>
        <w:t xml:space="preserve">         (5)</w:t>
      </w:r>
    </w:p>
    <w:p w14:paraId="17F976EC" w14:textId="77777777" w:rsidR="00BE51B1" w:rsidRPr="00766470" w:rsidRDefault="00BE51B1" w:rsidP="00BE51B1">
      <w:pPr>
        <w:jc w:val="both"/>
        <w:rPr>
          <w:rFonts w:ascii="Arial" w:eastAsia="Calibri" w:hAnsi="Arial" w:cs="Arial"/>
        </w:rPr>
      </w:pPr>
      <w:r w:rsidRPr="00766470">
        <w:rPr>
          <w:rFonts w:ascii="Arial" w:eastAsia="Calibri" w:hAnsi="Arial" w:cs="Arial"/>
        </w:rPr>
        <w:t xml:space="preserve">Where </w:t>
      </w:r>
      <m:oMath>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ij</m:t>
            </m:r>
          </m:sub>
        </m:sSub>
      </m:oMath>
      <w:r w:rsidRPr="00766470">
        <w:rPr>
          <w:rFonts w:ascii="Arial" w:eastAsia="Calibri" w:hAnsi="Arial" w:cs="Arial"/>
        </w:rPr>
        <w:t xml:space="preserve"> is the length of the edge in kilometres, </w:t>
      </w:r>
      <m:oMath>
        <m:sSub>
          <m:sSubPr>
            <m:ctrlPr>
              <w:rPr>
                <w:rFonts w:ascii="Cambria Math" w:eastAsia="Calibri" w:hAnsi="Cambria Math" w:cs="Arial"/>
                <w:i/>
              </w:rPr>
            </m:ctrlPr>
          </m:sSubPr>
          <m:e>
            <m:r>
              <w:rPr>
                <w:rFonts w:ascii="Cambria Math" w:eastAsia="Calibri" w:hAnsi="Cambria Math" w:cs="Arial"/>
              </w:rPr>
              <m:t>ϵ</m:t>
            </m:r>
          </m:e>
          <m:sub>
            <m:r>
              <w:rPr>
                <w:rFonts w:ascii="Cambria Math" w:eastAsia="Calibri" w:hAnsi="Cambria Math" w:cs="Arial"/>
              </w:rPr>
              <m:t>m</m:t>
            </m:r>
          </m:sub>
        </m:sSub>
      </m:oMath>
      <w:r w:rsidRPr="00766470">
        <w:rPr>
          <w:rFonts w:ascii="Arial" w:eastAsia="Calibri" w:hAnsi="Arial" w:cs="Arial"/>
        </w:rPr>
        <w:t xml:space="preserve"> is the energy consumption in litres per 100 km (L/100 km) of a standard vehicle type carrying the cargo, </w:t>
      </w:r>
      <m:oMath>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m</m:t>
            </m:r>
          </m:sub>
        </m:sSub>
      </m:oMath>
      <w:r w:rsidRPr="00766470">
        <w:rPr>
          <w:rFonts w:ascii="Arial" w:eastAsia="Calibri" w:hAnsi="Arial" w:cs="Arial"/>
        </w:rPr>
        <w:t xml:space="preserve"> is the fuel density in kg/L for the standard fuel type of a vehicle, </w:t>
      </w:r>
      <m:oMath>
        <m:sSub>
          <m:sSubPr>
            <m:ctrlPr>
              <w:rPr>
                <w:rFonts w:ascii="Cambria Math" w:eastAsia="Calibri" w:hAnsi="Cambria Math" w:cs="Arial"/>
                <w:i/>
              </w:rPr>
            </m:ctrlPr>
          </m:sSubPr>
          <m:e>
            <m:r>
              <w:rPr>
                <w:rFonts w:ascii="Cambria Math" w:eastAsia="Calibri" w:hAnsi="Cambria Math" w:cs="Arial"/>
              </w:rPr>
              <m:t>ω</m:t>
            </m:r>
          </m:e>
          <m:sub>
            <m:r>
              <w:rPr>
                <w:rFonts w:ascii="Cambria Math" w:eastAsia="Calibri" w:hAnsi="Cambria Math" w:cs="Arial"/>
              </w:rPr>
              <m:t>m</m:t>
            </m:r>
          </m:sub>
        </m:sSub>
      </m:oMath>
      <w:r w:rsidRPr="00766470">
        <w:rPr>
          <w:rFonts w:ascii="Arial" w:eastAsia="Calibri" w:hAnsi="Arial" w:cs="Arial"/>
        </w:rPr>
        <w:t xml:space="preserve"> is the standard vehicle weight in tonnes of a fully loaded vehicle, and </w:t>
      </w:r>
      <m:oMath>
        <m:sSub>
          <m:sSubPr>
            <m:ctrlPr>
              <w:rPr>
                <w:rFonts w:ascii="Cambria Math" w:eastAsia="Calibri" w:hAnsi="Cambria Math" w:cs="Arial"/>
                <w:i/>
              </w:rPr>
            </m:ctrlPr>
          </m:sSubPr>
          <m:e>
            <m:r>
              <w:rPr>
                <w:rFonts w:ascii="Cambria Math" w:eastAsia="Calibri" w:hAnsi="Cambria Math" w:cs="Arial"/>
              </w:rPr>
              <m:t>f</m:t>
            </m:r>
          </m:e>
          <m:sub>
            <m:r>
              <w:rPr>
                <w:rFonts w:ascii="Cambria Math" w:eastAsia="Calibri" w:hAnsi="Cambria Math" w:cs="Arial"/>
              </w:rPr>
              <m:t>m</m:t>
            </m:r>
          </m:sub>
        </m:sSub>
      </m:oMath>
      <w:r w:rsidRPr="00766470">
        <w:rPr>
          <w:rFonts w:ascii="Arial" w:eastAsia="Calibri" w:hAnsi="Arial" w:cs="Arial"/>
        </w:rPr>
        <w:t xml:space="preserve"> is a load factor signifying the fraction of the vehicle that might be carrying the load. </w:t>
      </w:r>
    </w:p>
    <w:p w14:paraId="5853EA6A" w14:textId="6F741D35" w:rsidR="00BE51B1" w:rsidRPr="00766470" w:rsidRDefault="00BE51B1" w:rsidP="00BE51B1">
      <w:pPr>
        <w:jc w:val="both"/>
        <w:rPr>
          <w:rFonts w:ascii="Arial" w:hAnsi="Arial" w:cs="Arial"/>
        </w:rPr>
      </w:pPr>
      <w:r w:rsidRPr="00766470">
        <w:rPr>
          <w:rFonts w:ascii="Arial" w:hAnsi="Arial" w:cs="Arial"/>
        </w:rPr>
        <w:t xml:space="preserve">For the study region, the values for the mode-specific parameters were chosen based on the assumption that the standard vehicle type on the roads was a heavy goods truck that used diesel and was designed as per the EURO 5 (2009–2014) emission </w:t>
      </w:r>
      <w:r w:rsidRPr="00766470">
        <w:rPr>
          <w:rFonts w:ascii="Arial" w:hAnsi="Arial" w:cs="Arial"/>
        </w:rPr>
        <w:lastRenderedPageBreak/>
        <w:t>standard, whereas for railways a standard diesel locomotive train was assumed</w:t>
      </w:r>
      <w:r w:rsidRPr="00766470">
        <w:rPr>
          <w:rFonts w:ascii="Arial" w:hAnsi="Arial" w:cs="Arial"/>
        </w:rPr>
        <w:fldChar w:fldCharType="begin"/>
      </w:r>
      <w:r w:rsidR="007E07E0">
        <w:rPr>
          <w:rFonts w:ascii="Arial" w:hAnsi="Arial" w:cs="Arial"/>
        </w:rPr>
        <w:instrText xml:space="preserve"> ADDIN ZOTERO_ITEM CSL_CITATION {"citationID":"janaMtEq","properties":{"formattedCitation":"\\super 119\\nosupersub{}","plainCitation":"119","noteIndex":0},"citationItems":[{"id":4,"uris":["http://zotero.org/users/10918866/items/IFYV7GMP"],"itemData":{"id":4,"type":"report","publisher":"UKERC","title":"Transport Energy Air pollution Model (TEAM): Methodology Guide","URL":"https://ukerc.rl.ac.uk/UCAT/PUBLICATIONS/UKERC_WP_TEAM_Guide.pdf","author":[{"family":"Brand","given":"Christian"},{"family":"Anable","given":"Jilian"},{"family":"Philips","given":"Ian"},{"family":"Morton","given":"Craig"}],"accessed":{"date-parts":[["2025",7,2]]},"issued":{"date-parts":[["2019",5,10]]}}}],"schema":"https://github.com/citation-style-language/schema/raw/master/csl-citation.json"} </w:instrText>
      </w:r>
      <w:r w:rsidRPr="00766470">
        <w:rPr>
          <w:rFonts w:ascii="Arial" w:hAnsi="Arial" w:cs="Arial"/>
        </w:rPr>
        <w:fldChar w:fldCharType="separate"/>
      </w:r>
      <w:r w:rsidR="007E07E0" w:rsidRPr="007E07E0">
        <w:rPr>
          <w:rFonts w:ascii="Arial" w:hAnsi="Arial" w:cs="Arial"/>
          <w:kern w:val="0"/>
          <w:vertAlign w:val="superscript"/>
        </w:rPr>
        <w:t>119</w:t>
      </w:r>
      <w:r w:rsidRPr="00766470">
        <w:rPr>
          <w:rFonts w:ascii="Arial" w:hAnsi="Arial" w:cs="Arial"/>
        </w:rPr>
        <w:fldChar w:fldCharType="end"/>
      </w:r>
      <w:r w:rsidRPr="00766470">
        <w:rPr>
          <w:rFonts w:ascii="Arial" w:hAnsi="Arial" w:cs="Arial"/>
        </w:rPr>
        <w:t>. Parameter values obtained from</w:t>
      </w:r>
      <w:r w:rsidR="00A404E1">
        <w:rPr>
          <w:rFonts w:ascii="Arial" w:hAnsi="Arial" w:cs="Arial"/>
        </w:rPr>
        <w:fldChar w:fldCharType="begin"/>
      </w:r>
      <w:r w:rsidR="00A404E1">
        <w:rPr>
          <w:rFonts w:ascii="Arial" w:hAnsi="Arial" w:cs="Arial"/>
        </w:rPr>
        <w:instrText xml:space="preserve"> ADDIN ZOTERO_ITEM CSL_CITATION {"citationID":"eRHtDWWF","properties":{"formattedCitation":"\\super 119\\nosupersub{}","plainCitation":"119","noteIndex":0},"citationItems":[{"id":4,"uris":["http://zotero.org/users/10918866/items/IFYV7GMP"],"itemData":{"id":4,"type":"report","publisher":"UKERC","title":"Transport Energy Air pollution Model (TEAM): Methodology Guide","URL":"https://ukerc.rl.ac.uk/UCAT/PUBLICATIONS/UKERC_WP_TEAM_Guide.pdf","author":[{"family":"Brand","given":"Christian"},{"family":"Anable","given":"Jilian"},{"family":"Philips","given":"Ian"},{"family":"Morton","given":"Craig"}],"accessed":{"date-parts":[["2025",7,2]]},"issued":{"date-parts":[["2019",5,10]]}}}],"schema":"https://github.com/citation-style-language/schema/raw/master/csl-citation.json"} </w:instrText>
      </w:r>
      <w:r w:rsidR="00A404E1">
        <w:rPr>
          <w:rFonts w:ascii="Arial" w:hAnsi="Arial" w:cs="Arial"/>
        </w:rPr>
        <w:fldChar w:fldCharType="separate"/>
      </w:r>
      <w:r w:rsidR="00A404E1" w:rsidRPr="00A404E1">
        <w:rPr>
          <w:rFonts w:ascii="Arial" w:hAnsi="Arial" w:cs="Arial"/>
          <w:kern w:val="0"/>
          <w:vertAlign w:val="superscript"/>
        </w:rPr>
        <w:t>119</w:t>
      </w:r>
      <w:r w:rsidR="00A404E1">
        <w:rPr>
          <w:rFonts w:ascii="Arial" w:hAnsi="Arial" w:cs="Arial"/>
        </w:rPr>
        <w:fldChar w:fldCharType="end"/>
      </w:r>
      <w:r w:rsidRPr="00766470">
        <w:rPr>
          <w:rFonts w:ascii="Arial" w:hAnsi="Arial" w:cs="Arial"/>
        </w:rPr>
        <w:t xml:space="preserve"> are shown in</w:t>
      </w:r>
      <w:r w:rsidR="00615C28">
        <w:rPr>
          <w:rFonts w:ascii="Arial" w:hAnsi="Arial" w:cs="Arial"/>
          <w:b/>
          <w:bCs/>
        </w:rPr>
        <w:t xml:space="preserve"> </w:t>
      </w:r>
      <w:r w:rsidR="00615C28">
        <w:rPr>
          <w:rFonts w:ascii="Arial" w:hAnsi="Arial" w:cs="Arial"/>
          <w:b/>
          <w:bCs/>
        </w:rPr>
        <w:fldChar w:fldCharType="begin"/>
      </w:r>
      <w:r w:rsidR="00615C28">
        <w:rPr>
          <w:rFonts w:ascii="Arial" w:hAnsi="Arial" w:cs="Arial"/>
          <w:b/>
          <w:bCs/>
        </w:rPr>
        <w:instrText xml:space="preserve"> REF _Ref214453333 \h </w:instrText>
      </w:r>
      <w:r w:rsidR="00615C28">
        <w:rPr>
          <w:rFonts w:ascii="Arial" w:hAnsi="Arial" w:cs="Arial"/>
          <w:b/>
          <w:bCs/>
        </w:rPr>
      </w:r>
      <w:r w:rsidR="00615C28">
        <w:rPr>
          <w:rFonts w:ascii="Arial" w:hAnsi="Arial" w:cs="Arial"/>
          <w:b/>
          <w:bCs/>
        </w:rPr>
        <w:fldChar w:fldCharType="separate"/>
      </w:r>
      <w:r w:rsidR="00615C28">
        <w:t xml:space="preserve">Table </w:t>
      </w:r>
      <w:r w:rsidR="00615C28">
        <w:rPr>
          <w:noProof/>
        </w:rPr>
        <w:t>18</w:t>
      </w:r>
      <w:r w:rsidR="00615C28">
        <w:rPr>
          <w:rFonts w:ascii="Arial" w:hAnsi="Arial" w:cs="Arial"/>
          <w:b/>
          <w:bCs/>
        </w:rPr>
        <w:fldChar w:fldCharType="end"/>
      </w:r>
      <w:r w:rsidRPr="00766470">
        <w:rPr>
          <w:rFonts w:ascii="Arial" w:hAnsi="Arial" w:cs="Arial"/>
        </w:rPr>
        <w:t xml:space="preserve">. </w:t>
      </w:r>
    </w:p>
    <w:p w14:paraId="2654C491" w14:textId="1E36465F" w:rsidR="00BE51B1" w:rsidRPr="00CE6832" w:rsidRDefault="00615C28" w:rsidP="00615C28">
      <w:pPr>
        <w:pStyle w:val="Caption"/>
      </w:pPr>
      <w:bookmarkStart w:id="121" w:name="_Ref214453333"/>
      <w:bookmarkStart w:id="122" w:name="_Toc211509413"/>
      <w:r>
        <w:t xml:space="preserve">Table </w:t>
      </w:r>
      <w:fldSimple w:instr=" SEQ Table \* ARABIC ">
        <w:r>
          <w:t>18</w:t>
        </w:r>
      </w:fldSimple>
      <w:bookmarkEnd w:id="121"/>
      <w:r>
        <w:t xml:space="preserve">: </w:t>
      </w:r>
      <w:r w:rsidR="00BE51B1" w:rsidRPr="00CE6832">
        <w:t>Parameter values for road and rail vehicle types</w:t>
      </w:r>
      <w:bookmarkEnd w:id="122"/>
    </w:p>
    <w:tbl>
      <w:tblPr>
        <w:tblStyle w:val="PlainTable2"/>
        <w:tblW w:w="90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84"/>
        <w:gridCol w:w="2759"/>
        <w:gridCol w:w="1719"/>
        <w:gridCol w:w="1719"/>
        <w:gridCol w:w="1447"/>
      </w:tblGrid>
      <w:tr w:rsidR="00BE51B1" w:rsidRPr="007D3F22" w14:paraId="7E73E7EA" w14:textId="77777777" w:rsidTr="00877C15">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84" w:type="dxa"/>
            <w:tcBorders>
              <w:bottom w:val="none" w:sz="0" w:space="0" w:color="auto"/>
            </w:tcBorders>
            <w:shd w:val="clear" w:color="auto" w:fill="B7D4EF" w:themeFill="text2" w:themeFillTint="33"/>
            <w:noWrap/>
            <w:hideMark/>
          </w:tcPr>
          <w:p w14:paraId="1D05C346" w14:textId="77777777" w:rsidR="00BE51B1" w:rsidRPr="00766470" w:rsidRDefault="00BE51B1" w:rsidP="00877C15">
            <w:pPr>
              <w:spacing w:before="40" w:after="40"/>
              <w:jc w:val="center"/>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Mode (</w:t>
            </w:r>
            <m:oMath>
              <m:r>
                <m:rPr>
                  <m:sty m:val="bi"/>
                </m:rPr>
                <w:rPr>
                  <w:rFonts w:ascii="Cambria Math" w:eastAsia="Calibri" w:hAnsi="Cambria Math" w:cs="Arial"/>
                  <w:sz w:val="20"/>
                  <w:szCs w:val="20"/>
                </w:rPr>
                <m:t>m)</m:t>
              </m:r>
            </m:oMath>
          </w:p>
        </w:tc>
        <w:tc>
          <w:tcPr>
            <w:tcW w:w="2759" w:type="dxa"/>
            <w:tcBorders>
              <w:bottom w:val="none" w:sz="0" w:space="0" w:color="auto"/>
            </w:tcBorders>
            <w:shd w:val="clear" w:color="auto" w:fill="B7D4EF" w:themeFill="text2" w:themeFillTint="33"/>
            <w:noWrap/>
            <w:hideMark/>
          </w:tcPr>
          <w:p w14:paraId="01210AAF" w14:textId="77777777" w:rsidR="00BE51B1" w:rsidRPr="00766470"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Energy consumption (</w:t>
            </w:r>
            <m:oMath>
              <m:sSub>
                <m:sSubPr>
                  <m:ctrlPr>
                    <w:rPr>
                      <w:rFonts w:ascii="Cambria Math" w:eastAsia="Calibri" w:hAnsi="Cambria Math" w:cs="Arial"/>
                      <w:i/>
                      <w:sz w:val="20"/>
                      <w:szCs w:val="20"/>
                    </w:rPr>
                  </m:ctrlPr>
                </m:sSubPr>
                <m:e>
                  <m:r>
                    <m:rPr>
                      <m:sty m:val="bi"/>
                    </m:rPr>
                    <w:rPr>
                      <w:rFonts w:ascii="Cambria Math" w:eastAsia="Calibri" w:hAnsi="Cambria Math" w:cs="Arial"/>
                      <w:sz w:val="20"/>
                      <w:szCs w:val="20"/>
                    </w:rPr>
                    <m:t>ϵ</m:t>
                  </m:r>
                </m:e>
                <m:sub>
                  <m:r>
                    <m:rPr>
                      <m:sty m:val="bi"/>
                    </m:rPr>
                    <w:rPr>
                      <w:rFonts w:ascii="Cambria Math" w:eastAsia="Calibri" w:hAnsi="Cambria Math" w:cs="Arial"/>
                      <w:sz w:val="20"/>
                      <w:szCs w:val="20"/>
                    </w:rPr>
                    <m:t>m</m:t>
                  </m:r>
                </m:sub>
              </m:sSub>
            </m:oMath>
            <w:r w:rsidRPr="00766470">
              <w:rPr>
                <w:rFonts w:ascii="Arial" w:eastAsia="Times New Roman" w:hAnsi="Arial" w:cs="Arial"/>
                <w:sz w:val="20"/>
                <w:szCs w:val="20"/>
              </w:rPr>
              <w:t>) – L/100 km</w:t>
            </w:r>
          </w:p>
        </w:tc>
        <w:tc>
          <w:tcPr>
            <w:tcW w:w="1719" w:type="dxa"/>
            <w:tcBorders>
              <w:bottom w:val="none" w:sz="0" w:space="0" w:color="auto"/>
            </w:tcBorders>
            <w:shd w:val="clear" w:color="auto" w:fill="B7D4EF" w:themeFill="text2" w:themeFillTint="33"/>
            <w:noWrap/>
            <w:hideMark/>
          </w:tcPr>
          <w:p w14:paraId="6BA37C2A" w14:textId="77777777" w:rsidR="00BE51B1" w:rsidRPr="00766470"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Fuel density (</w:t>
            </w:r>
            <m:oMath>
              <m:sSub>
                <m:sSubPr>
                  <m:ctrlPr>
                    <w:rPr>
                      <w:rFonts w:ascii="Cambria Math" w:eastAsia="Calibri" w:hAnsi="Cambria Math" w:cs="Arial"/>
                      <w:i/>
                      <w:sz w:val="20"/>
                      <w:szCs w:val="20"/>
                    </w:rPr>
                  </m:ctrlPr>
                </m:sSubPr>
                <m:e>
                  <m:r>
                    <m:rPr>
                      <m:sty m:val="bi"/>
                    </m:rPr>
                    <w:rPr>
                      <w:rFonts w:ascii="Cambria Math" w:eastAsia="Calibri" w:hAnsi="Cambria Math" w:cs="Arial"/>
                      <w:sz w:val="20"/>
                      <w:szCs w:val="20"/>
                    </w:rPr>
                    <m:t>d</m:t>
                  </m:r>
                </m:e>
                <m:sub>
                  <m:r>
                    <m:rPr>
                      <m:sty m:val="bi"/>
                    </m:rPr>
                    <w:rPr>
                      <w:rFonts w:ascii="Cambria Math" w:eastAsia="Calibri" w:hAnsi="Cambria Math" w:cs="Arial"/>
                      <w:sz w:val="20"/>
                      <w:szCs w:val="20"/>
                    </w:rPr>
                    <m:t>m</m:t>
                  </m:r>
                </m:sub>
              </m:sSub>
            </m:oMath>
            <w:r w:rsidRPr="00766470">
              <w:rPr>
                <w:rFonts w:ascii="Arial" w:eastAsia="Times New Roman" w:hAnsi="Arial" w:cs="Arial"/>
                <w:sz w:val="20"/>
                <w:szCs w:val="20"/>
              </w:rPr>
              <w:t>) – kg/L</w:t>
            </w:r>
          </w:p>
        </w:tc>
        <w:tc>
          <w:tcPr>
            <w:tcW w:w="1719" w:type="dxa"/>
            <w:tcBorders>
              <w:bottom w:val="none" w:sz="0" w:space="0" w:color="auto"/>
            </w:tcBorders>
            <w:shd w:val="clear" w:color="auto" w:fill="B7D4EF" w:themeFill="text2" w:themeFillTint="33"/>
            <w:noWrap/>
            <w:hideMark/>
          </w:tcPr>
          <w:p w14:paraId="79DF57FC" w14:textId="77777777" w:rsidR="00BE51B1" w:rsidRPr="00766470"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Vehicle weight (</w:t>
            </w:r>
            <m:oMath>
              <m:sSub>
                <m:sSubPr>
                  <m:ctrlPr>
                    <w:rPr>
                      <w:rFonts w:ascii="Cambria Math" w:eastAsia="Calibri" w:hAnsi="Cambria Math" w:cs="Arial"/>
                      <w:i/>
                      <w:sz w:val="20"/>
                      <w:szCs w:val="20"/>
                    </w:rPr>
                  </m:ctrlPr>
                </m:sSubPr>
                <m:e>
                  <m:r>
                    <m:rPr>
                      <m:sty m:val="bi"/>
                    </m:rPr>
                    <w:rPr>
                      <w:rFonts w:ascii="Cambria Math" w:eastAsia="Calibri" w:hAnsi="Cambria Math" w:cs="Arial"/>
                      <w:sz w:val="20"/>
                      <w:szCs w:val="20"/>
                    </w:rPr>
                    <m:t>ω</m:t>
                  </m:r>
                </m:e>
                <m:sub>
                  <m:r>
                    <m:rPr>
                      <m:sty m:val="bi"/>
                    </m:rPr>
                    <w:rPr>
                      <w:rFonts w:ascii="Cambria Math" w:eastAsia="Calibri" w:hAnsi="Cambria Math" w:cs="Arial"/>
                      <w:sz w:val="20"/>
                      <w:szCs w:val="20"/>
                    </w:rPr>
                    <m:t>m</m:t>
                  </m:r>
                </m:sub>
              </m:sSub>
            </m:oMath>
            <w:r w:rsidRPr="00766470">
              <w:rPr>
                <w:rFonts w:ascii="Arial" w:eastAsia="Times New Roman" w:hAnsi="Arial" w:cs="Arial"/>
                <w:sz w:val="20"/>
                <w:szCs w:val="20"/>
              </w:rPr>
              <w:t>) - tonnes</w:t>
            </w:r>
          </w:p>
        </w:tc>
        <w:tc>
          <w:tcPr>
            <w:tcW w:w="1447" w:type="dxa"/>
            <w:tcBorders>
              <w:bottom w:val="none" w:sz="0" w:space="0" w:color="auto"/>
            </w:tcBorders>
            <w:shd w:val="clear" w:color="auto" w:fill="B7D4EF" w:themeFill="text2" w:themeFillTint="33"/>
            <w:noWrap/>
            <w:hideMark/>
          </w:tcPr>
          <w:p w14:paraId="083F462D" w14:textId="77777777" w:rsidR="00BE51B1" w:rsidRPr="00766470" w:rsidRDefault="00BE51B1" w:rsidP="00877C1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Load factor (</w:t>
            </w:r>
            <m:oMath>
              <m:sSub>
                <m:sSubPr>
                  <m:ctrlPr>
                    <w:rPr>
                      <w:rFonts w:ascii="Cambria Math" w:eastAsia="Calibri" w:hAnsi="Cambria Math" w:cs="Arial"/>
                      <w:i/>
                      <w:sz w:val="20"/>
                      <w:szCs w:val="20"/>
                    </w:rPr>
                  </m:ctrlPr>
                </m:sSubPr>
                <m:e>
                  <m:r>
                    <m:rPr>
                      <m:sty m:val="bi"/>
                    </m:rPr>
                    <w:rPr>
                      <w:rFonts w:ascii="Cambria Math" w:eastAsia="Calibri" w:hAnsi="Cambria Math" w:cs="Arial"/>
                      <w:sz w:val="20"/>
                      <w:szCs w:val="20"/>
                    </w:rPr>
                    <m:t>f</m:t>
                  </m:r>
                </m:e>
                <m:sub>
                  <m:r>
                    <m:rPr>
                      <m:sty m:val="bi"/>
                    </m:rPr>
                    <w:rPr>
                      <w:rFonts w:ascii="Cambria Math" w:eastAsia="Calibri" w:hAnsi="Cambria Math" w:cs="Arial"/>
                      <w:sz w:val="20"/>
                      <w:szCs w:val="20"/>
                    </w:rPr>
                    <m:t>m</m:t>
                  </m:r>
                </m:sub>
              </m:sSub>
              <m:r>
                <m:rPr>
                  <m:sty m:val="bi"/>
                </m:rPr>
                <w:rPr>
                  <w:rFonts w:ascii="Cambria Math" w:eastAsia="Calibri" w:hAnsi="Cambria Math" w:cs="Arial"/>
                  <w:sz w:val="20"/>
                  <w:szCs w:val="20"/>
                </w:rPr>
                <m:t>)</m:t>
              </m:r>
            </m:oMath>
          </w:p>
        </w:tc>
      </w:tr>
      <w:tr w:rsidR="00BE51B1" w:rsidRPr="007D3F22" w14:paraId="11A11346" w14:textId="77777777" w:rsidTr="00877C1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noWrap/>
            <w:hideMark/>
          </w:tcPr>
          <w:p w14:paraId="3F94E55B" w14:textId="77777777" w:rsidR="00BE51B1" w:rsidRPr="00766470" w:rsidRDefault="00BE51B1" w:rsidP="00877C15">
            <w:pPr>
              <w:spacing w:before="40" w:after="40"/>
              <w:jc w:val="center"/>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Road</w:t>
            </w:r>
          </w:p>
        </w:tc>
        <w:tc>
          <w:tcPr>
            <w:tcW w:w="2759" w:type="dxa"/>
            <w:tcBorders>
              <w:top w:val="none" w:sz="0" w:space="0" w:color="auto"/>
              <w:bottom w:val="none" w:sz="0" w:space="0" w:color="auto"/>
            </w:tcBorders>
            <w:hideMark/>
          </w:tcPr>
          <w:p w14:paraId="4E2FBCE2" w14:textId="77777777" w:rsidR="00BE51B1" w:rsidRPr="00766470" w:rsidRDefault="00BE51B1" w:rsidP="00877C1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32.19</w:t>
            </w:r>
          </w:p>
        </w:tc>
        <w:tc>
          <w:tcPr>
            <w:tcW w:w="1719" w:type="dxa"/>
            <w:tcBorders>
              <w:top w:val="none" w:sz="0" w:space="0" w:color="auto"/>
              <w:bottom w:val="none" w:sz="0" w:space="0" w:color="auto"/>
            </w:tcBorders>
            <w:hideMark/>
          </w:tcPr>
          <w:p w14:paraId="186E085D" w14:textId="77777777" w:rsidR="00BE51B1" w:rsidRPr="00766470" w:rsidRDefault="00BE51B1" w:rsidP="00877C1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0.83</w:t>
            </w:r>
          </w:p>
        </w:tc>
        <w:tc>
          <w:tcPr>
            <w:tcW w:w="1719" w:type="dxa"/>
            <w:tcBorders>
              <w:top w:val="none" w:sz="0" w:space="0" w:color="auto"/>
              <w:bottom w:val="none" w:sz="0" w:space="0" w:color="auto"/>
            </w:tcBorders>
            <w:noWrap/>
            <w:hideMark/>
          </w:tcPr>
          <w:p w14:paraId="50439E97" w14:textId="77777777" w:rsidR="00BE51B1" w:rsidRPr="00766470" w:rsidRDefault="00BE51B1" w:rsidP="00877C1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22</w:t>
            </w:r>
          </w:p>
        </w:tc>
        <w:tc>
          <w:tcPr>
            <w:tcW w:w="1447" w:type="dxa"/>
            <w:tcBorders>
              <w:top w:val="none" w:sz="0" w:space="0" w:color="auto"/>
              <w:bottom w:val="none" w:sz="0" w:space="0" w:color="auto"/>
            </w:tcBorders>
            <w:noWrap/>
            <w:hideMark/>
          </w:tcPr>
          <w:p w14:paraId="4D27F9A5" w14:textId="77777777" w:rsidR="00BE51B1" w:rsidRPr="00766470" w:rsidRDefault="00BE51B1" w:rsidP="00877C1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0.386</w:t>
            </w:r>
          </w:p>
        </w:tc>
      </w:tr>
      <w:tr w:rsidR="00BE51B1" w:rsidRPr="007D3F22" w14:paraId="7E3CC99A" w14:textId="77777777" w:rsidTr="00877C15">
        <w:trPr>
          <w:trHeight w:val="361"/>
        </w:trPr>
        <w:tc>
          <w:tcPr>
            <w:cnfStyle w:val="001000000000" w:firstRow="0" w:lastRow="0" w:firstColumn="1" w:lastColumn="0" w:oddVBand="0" w:evenVBand="0" w:oddHBand="0" w:evenHBand="0" w:firstRowFirstColumn="0" w:firstRowLastColumn="0" w:lastRowFirstColumn="0" w:lastRowLastColumn="0"/>
            <w:tcW w:w="1384" w:type="dxa"/>
            <w:noWrap/>
            <w:hideMark/>
          </w:tcPr>
          <w:p w14:paraId="6B6D2038" w14:textId="77777777" w:rsidR="00BE51B1" w:rsidRPr="00766470" w:rsidRDefault="00BE51B1" w:rsidP="00877C15">
            <w:pPr>
              <w:spacing w:before="40" w:after="40"/>
              <w:jc w:val="center"/>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Rail</w:t>
            </w:r>
          </w:p>
        </w:tc>
        <w:tc>
          <w:tcPr>
            <w:tcW w:w="2759" w:type="dxa"/>
            <w:hideMark/>
          </w:tcPr>
          <w:p w14:paraId="547A0299" w14:textId="77777777" w:rsidR="00BE51B1" w:rsidRPr="00766470" w:rsidRDefault="00BE51B1" w:rsidP="00877C1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301.34</w:t>
            </w:r>
          </w:p>
        </w:tc>
        <w:tc>
          <w:tcPr>
            <w:tcW w:w="1719" w:type="dxa"/>
            <w:hideMark/>
          </w:tcPr>
          <w:p w14:paraId="67C283F7" w14:textId="77777777" w:rsidR="00BE51B1" w:rsidRPr="00766470" w:rsidRDefault="00BE51B1" w:rsidP="00877C1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0.83</w:t>
            </w:r>
          </w:p>
        </w:tc>
        <w:tc>
          <w:tcPr>
            <w:tcW w:w="1719" w:type="dxa"/>
            <w:noWrap/>
            <w:hideMark/>
          </w:tcPr>
          <w:p w14:paraId="2C4D9983" w14:textId="77777777" w:rsidR="00BE51B1" w:rsidRPr="00766470" w:rsidRDefault="00BE51B1" w:rsidP="00877C1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380</w:t>
            </w:r>
          </w:p>
        </w:tc>
        <w:tc>
          <w:tcPr>
            <w:tcW w:w="1447" w:type="dxa"/>
            <w:noWrap/>
            <w:hideMark/>
          </w:tcPr>
          <w:p w14:paraId="3806F6F4" w14:textId="77777777" w:rsidR="00BE51B1" w:rsidRPr="00766470" w:rsidRDefault="00BE51B1" w:rsidP="00877C1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GB"/>
                <w14:ligatures w14:val="none"/>
              </w:rPr>
            </w:pPr>
            <w:r w:rsidRPr="00766470">
              <w:rPr>
                <w:rFonts w:ascii="Arial" w:eastAsia="Times New Roman" w:hAnsi="Arial" w:cs="Arial"/>
                <w:color w:val="000000"/>
                <w:kern w:val="0"/>
                <w:sz w:val="20"/>
                <w:szCs w:val="20"/>
                <w:lang w:eastAsia="en-GB"/>
                <w14:ligatures w14:val="none"/>
              </w:rPr>
              <w:t>0.7</w:t>
            </w:r>
          </w:p>
        </w:tc>
      </w:tr>
    </w:tbl>
    <w:p w14:paraId="7D0F066A" w14:textId="77777777" w:rsidR="00BE51B1" w:rsidRPr="00766470" w:rsidRDefault="00BE51B1" w:rsidP="00BE51B1">
      <w:pPr>
        <w:jc w:val="both"/>
        <w:rPr>
          <w:rFonts w:ascii="Arial" w:eastAsia="Calibri" w:hAnsi="Arial" w:cs="Arial"/>
        </w:rPr>
      </w:pPr>
    </w:p>
    <w:p w14:paraId="4475F8E2" w14:textId="77777777" w:rsidR="00BE51B1" w:rsidRPr="00766470" w:rsidRDefault="00BE51B1" w:rsidP="00BE51B1">
      <w:pPr>
        <w:rPr>
          <w:rFonts w:ascii="Arial" w:hAnsi="Arial" w:cs="Arial"/>
        </w:rPr>
      </w:pPr>
      <w:r w:rsidRPr="00766470">
        <w:rPr>
          <w:rFonts w:ascii="Arial" w:hAnsi="Arial" w:cs="Arial"/>
        </w:rPr>
        <w:br w:type="page"/>
      </w:r>
    </w:p>
    <w:p w14:paraId="7CD9D0FC" w14:textId="60C0EC67" w:rsidR="00BE51B1" w:rsidRPr="00674898" w:rsidRDefault="00BE51B1" w:rsidP="00512EE5">
      <w:pPr>
        <w:pStyle w:val="Heading1"/>
        <w:numPr>
          <w:ilvl w:val="0"/>
          <w:numId w:val="10"/>
        </w:numPr>
        <w:rPr>
          <w:rFonts w:ascii="Arial" w:hAnsi="Arial" w:cs="Arial"/>
        </w:rPr>
      </w:pPr>
      <w:bookmarkStart w:id="123" w:name="_Toc211272305"/>
      <w:r w:rsidRPr="00674898">
        <w:rPr>
          <w:rFonts w:ascii="Arial" w:hAnsi="Arial" w:cs="Arial"/>
        </w:rPr>
        <w:lastRenderedPageBreak/>
        <w:t>Modelling Energy Needs Along Critical Minerals Value Chains</w:t>
      </w:r>
      <w:bookmarkEnd w:id="123"/>
    </w:p>
    <w:p w14:paraId="4B336069" w14:textId="77777777" w:rsidR="00BE51B1" w:rsidRPr="00674898" w:rsidRDefault="00BE51B1" w:rsidP="00BE51B1">
      <w:pPr>
        <w:spacing w:line="276" w:lineRule="auto"/>
        <w:jc w:val="both"/>
        <w:rPr>
          <w:rFonts w:ascii="Arial" w:hAnsi="Arial" w:cs="Arial"/>
        </w:rPr>
      </w:pPr>
    </w:p>
    <w:p w14:paraId="0D068892" w14:textId="1D375FF0" w:rsidR="00BE51B1" w:rsidRPr="00674898" w:rsidRDefault="00BE51B1" w:rsidP="00BE51B1">
      <w:pPr>
        <w:jc w:val="both"/>
        <w:rPr>
          <w:rFonts w:ascii="Arial" w:hAnsi="Arial" w:cs="Arial"/>
        </w:rPr>
      </w:pPr>
      <w:r w:rsidRPr="00674898">
        <w:rPr>
          <w:rFonts w:ascii="Arial" w:hAnsi="Arial" w:cs="Arial"/>
        </w:rPr>
        <w:t xml:space="preserve">This </w:t>
      </w:r>
      <w:r w:rsidR="00763584">
        <w:rPr>
          <w:rFonts w:ascii="Arial" w:hAnsi="Arial" w:cs="Arial"/>
        </w:rPr>
        <w:t>section</w:t>
      </w:r>
      <w:r w:rsidRPr="00674898">
        <w:rPr>
          <w:rFonts w:ascii="Arial" w:hAnsi="Arial" w:cs="Arial"/>
        </w:rPr>
        <w:t xml:space="preserve"> documents the detailed methodological steps used to model energy supply for critical minerals processing. This begins by estimating location-specific energy requirements and goes on to calculate and compare the cost of serving each location through grid versus off-grid technologies. </w:t>
      </w:r>
    </w:p>
    <w:p w14:paraId="4EB1F625" w14:textId="77777777" w:rsidR="00BE51B1" w:rsidRPr="00083DAB" w:rsidRDefault="00BE51B1" w:rsidP="00BE51B1">
      <w:pPr>
        <w:jc w:val="both"/>
        <w:rPr>
          <w:rFonts w:ascii="Arial" w:hAnsi="Arial" w:cs="Arial"/>
          <w:b/>
          <w:bCs/>
          <w:color w:val="E97132" w:themeColor="accent2"/>
        </w:rPr>
      </w:pPr>
      <w:r w:rsidRPr="00083DAB">
        <w:rPr>
          <w:rFonts w:ascii="Arial" w:hAnsi="Arial" w:cs="Arial"/>
          <w:b/>
          <w:bCs/>
          <w:color w:val="E97132" w:themeColor="accent2"/>
        </w:rPr>
        <w:t>5.1 Estimation of Energy Requirements per location </w:t>
      </w:r>
    </w:p>
    <w:p w14:paraId="1C3CD09F" w14:textId="77777777" w:rsidR="00BE51B1" w:rsidRPr="00674898" w:rsidRDefault="00BE51B1" w:rsidP="00BE51B1">
      <w:pPr>
        <w:jc w:val="both"/>
        <w:rPr>
          <w:rFonts w:ascii="Arial" w:hAnsi="Arial" w:cs="Arial"/>
          <w:b/>
          <w:bCs/>
        </w:rPr>
      </w:pPr>
      <w:r>
        <w:rPr>
          <w:rFonts w:ascii="Arial" w:hAnsi="Arial" w:cs="Arial"/>
          <w:b/>
          <w:bCs/>
        </w:rPr>
        <w:t>5</w:t>
      </w:r>
      <w:r w:rsidRPr="00674898">
        <w:rPr>
          <w:rFonts w:ascii="Arial" w:hAnsi="Arial" w:cs="Arial"/>
          <w:b/>
          <w:bCs/>
        </w:rPr>
        <w:t>.1.1</w:t>
      </w:r>
      <w:r w:rsidRPr="00674898">
        <w:rPr>
          <w:rFonts w:ascii="Arial" w:hAnsi="Arial" w:cs="Arial"/>
          <w:b/>
          <w:bCs/>
        </w:rPr>
        <w:t> </w:t>
      </w:r>
      <w:r w:rsidRPr="00674898">
        <w:rPr>
          <w:rFonts w:ascii="Arial" w:hAnsi="Arial" w:cs="Arial"/>
          <w:b/>
          <w:bCs/>
        </w:rPr>
        <w:t>Location-specific energy demands were estimated </w:t>
      </w:r>
    </w:p>
    <w:p w14:paraId="641C1BCE" w14:textId="4C7FC54E" w:rsidR="00BE51B1" w:rsidRPr="00674898" w:rsidRDefault="00BE51B1" w:rsidP="00BE51B1">
      <w:pPr>
        <w:jc w:val="both"/>
        <w:rPr>
          <w:rFonts w:ascii="Arial" w:hAnsi="Arial" w:cs="Arial"/>
        </w:rPr>
      </w:pPr>
      <w:r w:rsidRPr="00674898">
        <w:rPr>
          <w:rFonts w:ascii="Arial" w:hAnsi="Arial" w:cs="Arial"/>
        </w:rPr>
        <w:t>Modelling the costs of energy provision for critical minerals processing entails estimating location-specific energy demand. This builds on previous steps, which have already identified the nature of the mining and processing activities taking place at each geographic location, as well as the tonnages of minerals involved. Since the energy intensities associated with each stage of mineral processing are already known (see</w:t>
      </w:r>
      <w:r w:rsidR="00615C28">
        <w:rPr>
          <w:rFonts w:ascii="Arial" w:hAnsi="Arial" w:cs="Arial"/>
        </w:rPr>
        <w:t xml:space="preserve"> </w:t>
      </w:r>
      <w:r w:rsidR="00615C28">
        <w:rPr>
          <w:rFonts w:ascii="Arial" w:hAnsi="Arial" w:cs="Arial"/>
        </w:rPr>
        <w:fldChar w:fldCharType="begin"/>
      </w:r>
      <w:r w:rsidR="00615C28">
        <w:rPr>
          <w:rFonts w:ascii="Arial" w:hAnsi="Arial" w:cs="Arial"/>
        </w:rPr>
        <w:instrText xml:space="preserve"> REF _Ref214453355 \h </w:instrText>
      </w:r>
      <w:r w:rsidR="00615C28">
        <w:rPr>
          <w:rFonts w:ascii="Arial" w:hAnsi="Arial" w:cs="Arial"/>
        </w:rPr>
      </w:r>
      <w:r w:rsidR="00615C28">
        <w:rPr>
          <w:rFonts w:ascii="Arial" w:hAnsi="Arial" w:cs="Arial"/>
        </w:rPr>
        <w:fldChar w:fldCharType="separate"/>
      </w:r>
      <w:r w:rsidR="00615C28">
        <w:t xml:space="preserve">Table </w:t>
      </w:r>
      <w:r w:rsidR="00615C28">
        <w:rPr>
          <w:noProof/>
        </w:rPr>
        <w:t>19</w:t>
      </w:r>
      <w:r w:rsidR="00615C28">
        <w:rPr>
          <w:rFonts w:ascii="Arial" w:hAnsi="Arial" w:cs="Arial"/>
        </w:rPr>
        <w:fldChar w:fldCharType="end"/>
      </w:r>
      <w:r w:rsidRPr="00674898">
        <w:rPr>
          <w:rFonts w:ascii="Arial" w:hAnsi="Arial" w:cs="Arial"/>
        </w:rPr>
        <w:t>), an estimate of energy demand can be obtained simply by multiplying energy intensities by mineral tonnages.  </w:t>
      </w:r>
    </w:p>
    <w:p w14:paraId="2563A8F2" w14:textId="5B7FC928" w:rsidR="00BE51B1" w:rsidRPr="00CE6832" w:rsidRDefault="00615C28" w:rsidP="00615C28">
      <w:pPr>
        <w:pStyle w:val="Caption"/>
      </w:pPr>
      <w:bookmarkStart w:id="124" w:name="_Ref214453355"/>
      <w:bookmarkStart w:id="125" w:name="_Toc211509414"/>
      <w:r>
        <w:t xml:space="preserve">Table </w:t>
      </w:r>
      <w:fldSimple w:instr=" SEQ Table \* ARABIC ">
        <w:r>
          <w:t>19</w:t>
        </w:r>
      </w:fldSimple>
      <w:bookmarkEnd w:id="124"/>
      <w:r w:rsidR="00BE51B1" w:rsidRPr="00CE6832">
        <w:t>: Overview of average energy intensity of mineral processing at different stages in kWh per kg of output product. The processing stage is simplified to remove decimals. For example, if any stage was called 3.1, it is now referred to as 3.</w:t>
      </w:r>
      <w:bookmarkEnd w:id="125"/>
    </w:p>
    <w:tbl>
      <w:tblPr>
        <w:tblW w:w="8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96"/>
        <w:gridCol w:w="1164"/>
        <w:gridCol w:w="1029"/>
        <w:gridCol w:w="1152"/>
        <w:gridCol w:w="1052"/>
        <w:gridCol w:w="1419"/>
        <w:gridCol w:w="960"/>
      </w:tblGrid>
      <w:tr w:rsidR="00BE51B1" w:rsidRPr="000A045C" w14:paraId="7B102414" w14:textId="77777777" w:rsidTr="00877C15">
        <w:trPr>
          <w:trHeight w:val="290"/>
        </w:trPr>
        <w:tc>
          <w:tcPr>
            <w:tcW w:w="1396" w:type="dxa"/>
            <w:shd w:val="clear" w:color="auto" w:fill="B7D4EF" w:themeFill="text2" w:themeFillTint="33"/>
            <w:noWrap/>
            <w:vAlign w:val="bottom"/>
          </w:tcPr>
          <w:p w14:paraId="7B551018" w14:textId="77777777" w:rsidR="00BE51B1" w:rsidRDefault="00BE51B1" w:rsidP="00877C15">
            <w:pPr>
              <w:spacing w:after="40" w:line="240" w:lineRule="auto"/>
              <w:ind w:left="113"/>
              <w:rPr>
                <w:rFonts w:ascii="Arial" w:hAnsi="Arial" w:cs="Arial"/>
                <w:b/>
                <w:bCs/>
                <w:color w:val="156082" w:themeColor="accent1"/>
                <w:sz w:val="20"/>
                <w:szCs w:val="20"/>
              </w:rPr>
            </w:pPr>
          </w:p>
        </w:tc>
        <w:tc>
          <w:tcPr>
            <w:tcW w:w="6776" w:type="dxa"/>
            <w:gridSpan w:val="6"/>
            <w:shd w:val="clear" w:color="auto" w:fill="B7D4EF" w:themeFill="text2" w:themeFillTint="33"/>
            <w:noWrap/>
            <w:vAlign w:val="bottom"/>
          </w:tcPr>
          <w:p w14:paraId="0957742A" w14:textId="77777777" w:rsidR="00BE51B1" w:rsidRDefault="00BE51B1" w:rsidP="00877C15">
            <w:pPr>
              <w:spacing w:after="40" w:line="240" w:lineRule="auto"/>
              <w:ind w:left="113"/>
              <w:jc w:val="center"/>
              <w:rPr>
                <w:rFonts w:ascii="Arial" w:hAnsi="Arial" w:cs="Arial"/>
                <w:b/>
                <w:bCs/>
                <w:color w:val="156082" w:themeColor="accent1"/>
                <w:sz w:val="20"/>
                <w:szCs w:val="20"/>
              </w:rPr>
            </w:pPr>
            <w:r w:rsidRPr="4708CF91">
              <w:rPr>
                <w:rFonts w:ascii="Arial" w:hAnsi="Arial" w:cs="Arial"/>
                <w:b/>
                <w:bCs/>
                <w:color w:val="156082" w:themeColor="accent1"/>
                <w:sz w:val="20"/>
                <w:szCs w:val="20"/>
              </w:rPr>
              <w:t>Average electricity intensity (kWh/kg)</w:t>
            </w:r>
          </w:p>
        </w:tc>
      </w:tr>
      <w:tr w:rsidR="00BE51B1" w:rsidRPr="000A045C" w14:paraId="7E636504" w14:textId="77777777" w:rsidTr="00877C15">
        <w:trPr>
          <w:trHeight w:val="290"/>
        </w:trPr>
        <w:tc>
          <w:tcPr>
            <w:tcW w:w="1396" w:type="dxa"/>
            <w:shd w:val="clear" w:color="auto" w:fill="B7D4EF" w:themeFill="text2" w:themeFillTint="33"/>
            <w:noWrap/>
            <w:vAlign w:val="bottom"/>
            <w:hideMark/>
          </w:tcPr>
          <w:p w14:paraId="354515A4"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 xml:space="preserve">Simplified processing </w:t>
            </w:r>
            <w:r w:rsidRPr="000A045C">
              <w:rPr>
                <w:rFonts w:ascii="Arial" w:hAnsi="Arial" w:cs="Arial"/>
                <w:b/>
                <w:bCs/>
                <w:color w:val="156082" w:themeColor="accent1"/>
                <w:sz w:val="20"/>
                <w:szCs w:val="20"/>
              </w:rPr>
              <w:t>stage</w:t>
            </w:r>
          </w:p>
        </w:tc>
        <w:tc>
          <w:tcPr>
            <w:tcW w:w="1164" w:type="dxa"/>
            <w:shd w:val="clear" w:color="auto" w:fill="B7D4EF" w:themeFill="text2" w:themeFillTint="33"/>
            <w:noWrap/>
            <w:vAlign w:val="bottom"/>
            <w:hideMark/>
          </w:tcPr>
          <w:p w14:paraId="365C1084"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C</w:t>
            </w:r>
            <w:r w:rsidRPr="000A045C">
              <w:rPr>
                <w:rFonts w:ascii="Arial" w:hAnsi="Arial" w:cs="Arial"/>
                <w:b/>
                <w:bCs/>
                <w:color w:val="156082" w:themeColor="accent1"/>
                <w:sz w:val="20"/>
                <w:szCs w:val="20"/>
              </w:rPr>
              <w:t>obalt</w:t>
            </w:r>
          </w:p>
        </w:tc>
        <w:tc>
          <w:tcPr>
            <w:tcW w:w="1029" w:type="dxa"/>
            <w:shd w:val="clear" w:color="auto" w:fill="B7D4EF" w:themeFill="text2" w:themeFillTint="33"/>
            <w:noWrap/>
            <w:vAlign w:val="bottom"/>
            <w:hideMark/>
          </w:tcPr>
          <w:p w14:paraId="04F26CED"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C</w:t>
            </w:r>
            <w:r w:rsidRPr="000A045C">
              <w:rPr>
                <w:rFonts w:ascii="Arial" w:hAnsi="Arial" w:cs="Arial"/>
                <w:b/>
                <w:bCs/>
                <w:color w:val="156082" w:themeColor="accent1"/>
                <w:sz w:val="20"/>
                <w:szCs w:val="20"/>
              </w:rPr>
              <w:t>opper</w:t>
            </w:r>
          </w:p>
        </w:tc>
        <w:tc>
          <w:tcPr>
            <w:tcW w:w="1152" w:type="dxa"/>
            <w:shd w:val="clear" w:color="auto" w:fill="B7D4EF" w:themeFill="text2" w:themeFillTint="33"/>
            <w:noWrap/>
            <w:vAlign w:val="bottom"/>
            <w:hideMark/>
          </w:tcPr>
          <w:p w14:paraId="634972D3"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G</w:t>
            </w:r>
            <w:r w:rsidRPr="000A045C">
              <w:rPr>
                <w:rFonts w:ascii="Arial" w:hAnsi="Arial" w:cs="Arial"/>
                <w:b/>
                <w:bCs/>
                <w:color w:val="156082" w:themeColor="accent1"/>
                <w:sz w:val="20"/>
                <w:szCs w:val="20"/>
              </w:rPr>
              <w:t>raphite</w:t>
            </w:r>
          </w:p>
        </w:tc>
        <w:tc>
          <w:tcPr>
            <w:tcW w:w="1052" w:type="dxa"/>
            <w:shd w:val="clear" w:color="auto" w:fill="B7D4EF" w:themeFill="text2" w:themeFillTint="33"/>
            <w:noWrap/>
            <w:vAlign w:val="bottom"/>
            <w:hideMark/>
          </w:tcPr>
          <w:p w14:paraId="13C6E15F"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L</w:t>
            </w:r>
            <w:r w:rsidRPr="000A045C">
              <w:rPr>
                <w:rFonts w:ascii="Arial" w:hAnsi="Arial" w:cs="Arial"/>
                <w:b/>
                <w:bCs/>
                <w:color w:val="156082" w:themeColor="accent1"/>
                <w:sz w:val="20"/>
                <w:szCs w:val="20"/>
              </w:rPr>
              <w:t>ithium</w:t>
            </w:r>
          </w:p>
        </w:tc>
        <w:tc>
          <w:tcPr>
            <w:tcW w:w="1419" w:type="dxa"/>
            <w:shd w:val="clear" w:color="auto" w:fill="B7D4EF" w:themeFill="text2" w:themeFillTint="33"/>
            <w:noWrap/>
            <w:vAlign w:val="bottom"/>
            <w:hideMark/>
          </w:tcPr>
          <w:p w14:paraId="4FC0AF62"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M</w:t>
            </w:r>
            <w:r w:rsidRPr="000A045C">
              <w:rPr>
                <w:rFonts w:ascii="Arial" w:hAnsi="Arial" w:cs="Arial"/>
                <w:b/>
                <w:bCs/>
                <w:color w:val="156082" w:themeColor="accent1"/>
                <w:sz w:val="20"/>
                <w:szCs w:val="20"/>
              </w:rPr>
              <w:t>anganese</w:t>
            </w:r>
          </w:p>
        </w:tc>
        <w:tc>
          <w:tcPr>
            <w:tcW w:w="960" w:type="dxa"/>
            <w:shd w:val="clear" w:color="auto" w:fill="B7D4EF" w:themeFill="text2" w:themeFillTint="33"/>
            <w:noWrap/>
            <w:vAlign w:val="bottom"/>
            <w:hideMark/>
          </w:tcPr>
          <w:p w14:paraId="2E153372" w14:textId="77777777" w:rsidR="00BE51B1" w:rsidRPr="000A045C" w:rsidRDefault="00BE51B1" w:rsidP="00877C15">
            <w:pPr>
              <w:spacing w:after="40" w:line="240" w:lineRule="auto"/>
              <w:ind w:left="113"/>
              <w:rPr>
                <w:rFonts w:ascii="Arial" w:hAnsi="Arial" w:cs="Arial"/>
                <w:b/>
                <w:bCs/>
                <w:color w:val="156082" w:themeColor="accent1"/>
                <w:sz w:val="20"/>
                <w:szCs w:val="20"/>
              </w:rPr>
            </w:pPr>
            <w:r>
              <w:rPr>
                <w:rFonts w:ascii="Arial" w:hAnsi="Arial" w:cs="Arial"/>
                <w:b/>
                <w:bCs/>
                <w:color w:val="156082" w:themeColor="accent1"/>
                <w:sz w:val="20"/>
                <w:szCs w:val="20"/>
              </w:rPr>
              <w:t>N</w:t>
            </w:r>
            <w:r w:rsidRPr="000A045C">
              <w:rPr>
                <w:rFonts w:ascii="Arial" w:hAnsi="Arial" w:cs="Arial"/>
                <w:b/>
                <w:bCs/>
                <w:color w:val="156082" w:themeColor="accent1"/>
                <w:sz w:val="20"/>
                <w:szCs w:val="20"/>
              </w:rPr>
              <w:t>ickel</w:t>
            </w:r>
          </w:p>
        </w:tc>
      </w:tr>
      <w:tr w:rsidR="00BE51B1" w:rsidRPr="000A045C" w14:paraId="7BC3348A" w14:textId="77777777" w:rsidTr="00877C15">
        <w:trPr>
          <w:trHeight w:val="290"/>
        </w:trPr>
        <w:tc>
          <w:tcPr>
            <w:tcW w:w="1396" w:type="dxa"/>
            <w:noWrap/>
            <w:vAlign w:val="bottom"/>
            <w:hideMark/>
          </w:tcPr>
          <w:p w14:paraId="46274B08"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1</w:t>
            </w:r>
          </w:p>
        </w:tc>
        <w:tc>
          <w:tcPr>
            <w:tcW w:w="1164" w:type="dxa"/>
            <w:noWrap/>
            <w:vAlign w:val="bottom"/>
            <w:hideMark/>
          </w:tcPr>
          <w:p w14:paraId="6C76400E" w14:textId="77777777" w:rsidR="00BE51B1" w:rsidRPr="000A045C" w:rsidRDefault="00BE51B1" w:rsidP="00877C15">
            <w:pPr>
              <w:spacing w:after="40" w:line="240" w:lineRule="auto"/>
              <w:ind w:left="113"/>
              <w:rPr>
                <w:rFonts w:ascii="Arial" w:hAnsi="Arial" w:cs="Arial"/>
                <w:sz w:val="20"/>
                <w:szCs w:val="20"/>
              </w:rPr>
            </w:pPr>
            <w:r w:rsidRPr="4708CF91">
              <w:rPr>
                <w:rFonts w:ascii="Arial" w:hAnsi="Arial" w:cs="Arial"/>
                <w:sz w:val="20"/>
                <w:szCs w:val="20"/>
              </w:rPr>
              <w:t>0.72</w:t>
            </w:r>
          </w:p>
        </w:tc>
        <w:tc>
          <w:tcPr>
            <w:tcW w:w="1029" w:type="dxa"/>
            <w:noWrap/>
            <w:vAlign w:val="bottom"/>
            <w:hideMark/>
          </w:tcPr>
          <w:p w14:paraId="0F84443D"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0.49</w:t>
            </w:r>
          </w:p>
        </w:tc>
        <w:tc>
          <w:tcPr>
            <w:tcW w:w="1152" w:type="dxa"/>
            <w:noWrap/>
            <w:vAlign w:val="bottom"/>
            <w:hideMark/>
          </w:tcPr>
          <w:p w14:paraId="603A820B"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0.6</w:t>
            </w:r>
            <w:r w:rsidRPr="00BE628A">
              <w:rPr>
                <w:rFonts w:ascii="Arial" w:hAnsi="Arial" w:cs="Arial"/>
                <w:sz w:val="20"/>
                <w:szCs w:val="20"/>
              </w:rPr>
              <w:t>2</w:t>
            </w:r>
          </w:p>
        </w:tc>
        <w:tc>
          <w:tcPr>
            <w:tcW w:w="1052" w:type="dxa"/>
            <w:noWrap/>
            <w:vAlign w:val="bottom"/>
            <w:hideMark/>
          </w:tcPr>
          <w:p w14:paraId="3F9BCE71"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0.0</w:t>
            </w:r>
            <w:r w:rsidRPr="00BE628A">
              <w:rPr>
                <w:rFonts w:ascii="Arial" w:hAnsi="Arial" w:cs="Arial"/>
                <w:sz w:val="20"/>
                <w:szCs w:val="20"/>
              </w:rPr>
              <w:t>4</w:t>
            </w:r>
          </w:p>
        </w:tc>
        <w:tc>
          <w:tcPr>
            <w:tcW w:w="1419" w:type="dxa"/>
            <w:noWrap/>
            <w:vAlign w:val="bottom"/>
            <w:hideMark/>
          </w:tcPr>
          <w:p w14:paraId="574B94D9"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0.2</w:t>
            </w:r>
            <w:r w:rsidRPr="00BE628A">
              <w:rPr>
                <w:rFonts w:ascii="Arial" w:hAnsi="Arial" w:cs="Arial"/>
                <w:sz w:val="20"/>
                <w:szCs w:val="20"/>
              </w:rPr>
              <w:t>3</w:t>
            </w:r>
          </w:p>
        </w:tc>
        <w:tc>
          <w:tcPr>
            <w:tcW w:w="960" w:type="dxa"/>
            <w:noWrap/>
            <w:vAlign w:val="bottom"/>
            <w:hideMark/>
          </w:tcPr>
          <w:p w14:paraId="099A33D5"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w:t>
            </w:r>
          </w:p>
        </w:tc>
      </w:tr>
      <w:tr w:rsidR="00BE51B1" w:rsidRPr="000A045C" w14:paraId="3722CBD7" w14:textId="77777777" w:rsidTr="00877C15">
        <w:trPr>
          <w:trHeight w:val="290"/>
        </w:trPr>
        <w:tc>
          <w:tcPr>
            <w:tcW w:w="1396" w:type="dxa"/>
            <w:noWrap/>
            <w:vAlign w:val="bottom"/>
            <w:hideMark/>
          </w:tcPr>
          <w:p w14:paraId="0AC37AE3"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2</w:t>
            </w:r>
          </w:p>
        </w:tc>
        <w:tc>
          <w:tcPr>
            <w:tcW w:w="1164" w:type="dxa"/>
            <w:noWrap/>
            <w:vAlign w:val="bottom"/>
            <w:hideMark/>
          </w:tcPr>
          <w:p w14:paraId="084E078C" w14:textId="77777777" w:rsidR="00BE51B1" w:rsidRPr="000A045C" w:rsidRDefault="00BE51B1" w:rsidP="00877C15">
            <w:pPr>
              <w:spacing w:after="40" w:line="240" w:lineRule="auto"/>
              <w:ind w:left="113"/>
              <w:rPr>
                <w:rFonts w:ascii="Arial" w:hAnsi="Arial" w:cs="Arial"/>
                <w:sz w:val="20"/>
                <w:szCs w:val="20"/>
              </w:rPr>
            </w:pPr>
          </w:p>
        </w:tc>
        <w:tc>
          <w:tcPr>
            <w:tcW w:w="1029" w:type="dxa"/>
            <w:noWrap/>
            <w:vAlign w:val="bottom"/>
            <w:hideMark/>
          </w:tcPr>
          <w:p w14:paraId="3484385D"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0.91</w:t>
            </w:r>
          </w:p>
        </w:tc>
        <w:tc>
          <w:tcPr>
            <w:tcW w:w="1152" w:type="dxa"/>
            <w:noWrap/>
            <w:vAlign w:val="bottom"/>
            <w:hideMark/>
          </w:tcPr>
          <w:p w14:paraId="4F730B98" w14:textId="77777777" w:rsidR="00BE51B1" w:rsidRPr="000A045C" w:rsidRDefault="00BE51B1" w:rsidP="00877C15">
            <w:pPr>
              <w:spacing w:after="40" w:line="240" w:lineRule="auto"/>
              <w:ind w:left="113"/>
              <w:rPr>
                <w:rFonts w:ascii="Arial" w:hAnsi="Arial" w:cs="Arial"/>
                <w:sz w:val="20"/>
                <w:szCs w:val="20"/>
              </w:rPr>
            </w:pPr>
          </w:p>
        </w:tc>
        <w:tc>
          <w:tcPr>
            <w:tcW w:w="1052" w:type="dxa"/>
            <w:noWrap/>
            <w:vAlign w:val="bottom"/>
            <w:hideMark/>
          </w:tcPr>
          <w:p w14:paraId="0B90AED2" w14:textId="77777777" w:rsidR="00BE51B1" w:rsidRPr="000A045C" w:rsidRDefault="00BE51B1" w:rsidP="00877C15">
            <w:pPr>
              <w:spacing w:after="40" w:line="240" w:lineRule="auto"/>
              <w:ind w:left="113"/>
              <w:rPr>
                <w:rFonts w:ascii="Arial" w:hAnsi="Arial" w:cs="Arial"/>
                <w:sz w:val="20"/>
                <w:szCs w:val="20"/>
              </w:rPr>
            </w:pPr>
          </w:p>
        </w:tc>
        <w:tc>
          <w:tcPr>
            <w:tcW w:w="1419" w:type="dxa"/>
            <w:noWrap/>
            <w:vAlign w:val="bottom"/>
            <w:hideMark/>
          </w:tcPr>
          <w:p w14:paraId="488F77A5" w14:textId="77777777" w:rsidR="00BE51B1" w:rsidRPr="000A045C" w:rsidRDefault="00BE51B1" w:rsidP="00877C15">
            <w:pPr>
              <w:spacing w:after="40" w:line="240" w:lineRule="auto"/>
              <w:ind w:left="113"/>
              <w:rPr>
                <w:rFonts w:ascii="Arial" w:hAnsi="Arial" w:cs="Arial"/>
                <w:sz w:val="20"/>
                <w:szCs w:val="20"/>
              </w:rPr>
            </w:pPr>
          </w:p>
        </w:tc>
        <w:tc>
          <w:tcPr>
            <w:tcW w:w="960" w:type="dxa"/>
            <w:noWrap/>
            <w:vAlign w:val="bottom"/>
            <w:hideMark/>
          </w:tcPr>
          <w:p w14:paraId="42EDC81D"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0.11</w:t>
            </w:r>
          </w:p>
        </w:tc>
      </w:tr>
      <w:tr w:rsidR="00BE51B1" w:rsidRPr="000A045C" w14:paraId="1833D5E5" w14:textId="77777777" w:rsidTr="00877C15">
        <w:trPr>
          <w:trHeight w:val="290"/>
        </w:trPr>
        <w:tc>
          <w:tcPr>
            <w:tcW w:w="1396" w:type="dxa"/>
            <w:noWrap/>
            <w:vAlign w:val="bottom"/>
            <w:hideMark/>
          </w:tcPr>
          <w:p w14:paraId="4CF2BFA3"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3</w:t>
            </w:r>
          </w:p>
        </w:tc>
        <w:tc>
          <w:tcPr>
            <w:tcW w:w="1164" w:type="dxa"/>
            <w:noWrap/>
            <w:vAlign w:val="bottom"/>
            <w:hideMark/>
          </w:tcPr>
          <w:p w14:paraId="17AEA377"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1.6</w:t>
            </w:r>
            <w:r w:rsidRPr="00BE628A">
              <w:rPr>
                <w:rFonts w:ascii="Arial" w:hAnsi="Arial" w:cs="Arial"/>
                <w:sz w:val="20"/>
                <w:szCs w:val="20"/>
              </w:rPr>
              <w:t>9</w:t>
            </w:r>
          </w:p>
        </w:tc>
        <w:tc>
          <w:tcPr>
            <w:tcW w:w="1029" w:type="dxa"/>
            <w:noWrap/>
            <w:vAlign w:val="bottom"/>
            <w:hideMark/>
          </w:tcPr>
          <w:p w14:paraId="21C1B824"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5.42</w:t>
            </w:r>
          </w:p>
        </w:tc>
        <w:tc>
          <w:tcPr>
            <w:tcW w:w="1152" w:type="dxa"/>
            <w:noWrap/>
            <w:vAlign w:val="bottom"/>
            <w:hideMark/>
          </w:tcPr>
          <w:p w14:paraId="1FC2017D" w14:textId="77777777" w:rsidR="00BE51B1" w:rsidRPr="000A045C" w:rsidRDefault="00BE51B1" w:rsidP="00877C15">
            <w:pPr>
              <w:spacing w:after="40" w:line="240" w:lineRule="auto"/>
              <w:ind w:left="113"/>
              <w:rPr>
                <w:rFonts w:ascii="Arial" w:hAnsi="Arial" w:cs="Arial"/>
                <w:sz w:val="20"/>
                <w:szCs w:val="20"/>
              </w:rPr>
            </w:pPr>
            <w:r w:rsidRPr="4708CF91">
              <w:rPr>
                <w:rFonts w:ascii="Arial" w:hAnsi="Arial" w:cs="Arial"/>
                <w:sz w:val="20"/>
                <w:szCs w:val="20"/>
              </w:rPr>
              <w:t>2.10</w:t>
            </w:r>
          </w:p>
        </w:tc>
        <w:tc>
          <w:tcPr>
            <w:tcW w:w="1052" w:type="dxa"/>
            <w:noWrap/>
            <w:vAlign w:val="bottom"/>
            <w:hideMark/>
          </w:tcPr>
          <w:p w14:paraId="70BFEC07"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2.95</w:t>
            </w:r>
          </w:p>
        </w:tc>
        <w:tc>
          <w:tcPr>
            <w:tcW w:w="1419" w:type="dxa"/>
            <w:noWrap/>
            <w:vAlign w:val="bottom"/>
            <w:hideMark/>
          </w:tcPr>
          <w:p w14:paraId="0DCEBDA9"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0.0</w:t>
            </w:r>
            <w:r w:rsidRPr="00BE628A">
              <w:rPr>
                <w:rFonts w:ascii="Arial" w:hAnsi="Arial" w:cs="Arial"/>
                <w:sz w:val="20"/>
                <w:szCs w:val="20"/>
              </w:rPr>
              <w:t>1</w:t>
            </w:r>
          </w:p>
        </w:tc>
        <w:tc>
          <w:tcPr>
            <w:tcW w:w="960" w:type="dxa"/>
            <w:noWrap/>
            <w:vAlign w:val="bottom"/>
            <w:hideMark/>
          </w:tcPr>
          <w:p w14:paraId="4F4EAC46"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1.42</w:t>
            </w:r>
          </w:p>
        </w:tc>
      </w:tr>
      <w:tr w:rsidR="00BE51B1" w:rsidRPr="000A045C" w14:paraId="039545BF" w14:textId="77777777" w:rsidTr="00877C15">
        <w:trPr>
          <w:trHeight w:val="290"/>
        </w:trPr>
        <w:tc>
          <w:tcPr>
            <w:tcW w:w="1396" w:type="dxa"/>
            <w:noWrap/>
            <w:vAlign w:val="bottom"/>
            <w:hideMark/>
          </w:tcPr>
          <w:p w14:paraId="17A16B37"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4</w:t>
            </w:r>
          </w:p>
        </w:tc>
        <w:tc>
          <w:tcPr>
            <w:tcW w:w="1164" w:type="dxa"/>
            <w:noWrap/>
            <w:vAlign w:val="bottom"/>
            <w:hideMark/>
          </w:tcPr>
          <w:p w14:paraId="269AD93A"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2.33</w:t>
            </w:r>
          </w:p>
        </w:tc>
        <w:tc>
          <w:tcPr>
            <w:tcW w:w="1029" w:type="dxa"/>
            <w:noWrap/>
            <w:vAlign w:val="bottom"/>
            <w:hideMark/>
          </w:tcPr>
          <w:p w14:paraId="1D8C3B0C"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0.4</w:t>
            </w:r>
            <w:r w:rsidRPr="00BE628A">
              <w:rPr>
                <w:rFonts w:ascii="Arial" w:hAnsi="Arial" w:cs="Arial"/>
                <w:sz w:val="20"/>
                <w:szCs w:val="20"/>
              </w:rPr>
              <w:t>2</w:t>
            </w:r>
          </w:p>
        </w:tc>
        <w:tc>
          <w:tcPr>
            <w:tcW w:w="1152" w:type="dxa"/>
            <w:noWrap/>
            <w:vAlign w:val="bottom"/>
            <w:hideMark/>
          </w:tcPr>
          <w:p w14:paraId="27C1FEF2"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3.29</w:t>
            </w:r>
          </w:p>
        </w:tc>
        <w:tc>
          <w:tcPr>
            <w:tcW w:w="1052" w:type="dxa"/>
            <w:noWrap/>
            <w:vAlign w:val="bottom"/>
            <w:hideMark/>
          </w:tcPr>
          <w:p w14:paraId="585E5D9C"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0.6</w:t>
            </w:r>
            <w:r w:rsidRPr="00BE628A">
              <w:rPr>
                <w:rFonts w:ascii="Arial" w:hAnsi="Arial" w:cs="Arial"/>
                <w:sz w:val="20"/>
                <w:szCs w:val="20"/>
              </w:rPr>
              <w:t>8</w:t>
            </w:r>
          </w:p>
        </w:tc>
        <w:tc>
          <w:tcPr>
            <w:tcW w:w="1419" w:type="dxa"/>
            <w:noWrap/>
            <w:vAlign w:val="bottom"/>
            <w:hideMark/>
          </w:tcPr>
          <w:p w14:paraId="3739FF64"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w:t>
            </w:r>
            <w:r w:rsidRPr="00BE628A">
              <w:rPr>
                <w:rFonts w:ascii="Arial" w:hAnsi="Arial" w:cs="Arial"/>
                <w:sz w:val="20"/>
                <w:szCs w:val="20"/>
              </w:rPr>
              <w:t>10</w:t>
            </w:r>
          </w:p>
        </w:tc>
        <w:tc>
          <w:tcPr>
            <w:tcW w:w="960" w:type="dxa"/>
            <w:noWrap/>
            <w:vAlign w:val="bottom"/>
            <w:hideMark/>
          </w:tcPr>
          <w:p w14:paraId="47077160" w14:textId="77777777" w:rsidR="00BE51B1" w:rsidRPr="000A045C" w:rsidRDefault="00BE51B1" w:rsidP="00877C15">
            <w:pPr>
              <w:spacing w:after="40" w:line="240" w:lineRule="auto"/>
              <w:ind w:left="113"/>
              <w:rPr>
                <w:rFonts w:ascii="Arial" w:hAnsi="Arial" w:cs="Arial"/>
                <w:sz w:val="20"/>
                <w:szCs w:val="20"/>
              </w:rPr>
            </w:pPr>
          </w:p>
        </w:tc>
      </w:tr>
      <w:tr w:rsidR="00BE51B1" w:rsidRPr="000A045C" w14:paraId="51CA5F1E" w14:textId="77777777" w:rsidTr="00877C15">
        <w:trPr>
          <w:trHeight w:val="290"/>
        </w:trPr>
        <w:tc>
          <w:tcPr>
            <w:tcW w:w="1396" w:type="dxa"/>
            <w:noWrap/>
            <w:vAlign w:val="bottom"/>
            <w:hideMark/>
          </w:tcPr>
          <w:p w14:paraId="10A16A03"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5</w:t>
            </w:r>
          </w:p>
        </w:tc>
        <w:tc>
          <w:tcPr>
            <w:tcW w:w="1164" w:type="dxa"/>
            <w:noWrap/>
            <w:vAlign w:val="bottom"/>
            <w:hideMark/>
          </w:tcPr>
          <w:p w14:paraId="1B6C9C5B"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1.15</w:t>
            </w:r>
          </w:p>
        </w:tc>
        <w:tc>
          <w:tcPr>
            <w:tcW w:w="1029" w:type="dxa"/>
            <w:noWrap/>
            <w:vAlign w:val="bottom"/>
            <w:hideMark/>
          </w:tcPr>
          <w:p w14:paraId="30B7096E"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0.33</w:t>
            </w:r>
          </w:p>
        </w:tc>
        <w:tc>
          <w:tcPr>
            <w:tcW w:w="1152" w:type="dxa"/>
            <w:noWrap/>
            <w:vAlign w:val="bottom"/>
            <w:hideMark/>
          </w:tcPr>
          <w:p w14:paraId="78F1878A" w14:textId="77777777" w:rsidR="00BE51B1" w:rsidRPr="000A045C" w:rsidRDefault="00BE51B1" w:rsidP="00877C15">
            <w:pPr>
              <w:spacing w:after="40" w:line="240" w:lineRule="auto"/>
              <w:ind w:left="113"/>
              <w:rPr>
                <w:rFonts w:ascii="Arial" w:hAnsi="Arial" w:cs="Arial"/>
                <w:sz w:val="20"/>
                <w:szCs w:val="20"/>
              </w:rPr>
            </w:pPr>
          </w:p>
        </w:tc>
        <w:tc>
          <w:tcPr>
            <w:tcW w:w="1052" w:type="dxa"/>
            <w:noWrap/>
            <w:vAlign w:val="bottom"/>
            <w:hideMark/>
          </w:tcPr>
          <w:p w14:paraId="64E9BD61" w14:textId="77777777" w:rsidR="00BE51B1" w:rsidRPr="000A045C" w:rsidRDefault="00BE51B1" w:rsidP="00877C15">
            <w:pPr>
              <w:spacing w:after="40" w:line="240" w:lineRule="auto"/>
              <w:ind w:left="113"/>
              <w:rPr>
                <w:rFonts w:ascii="Arial" w:hAnsi="Arial" w:cs="Arial"/>
                <w:sz w:val="20"/>
                <w:szCs w:val="20"/>
              </w:rPr>
            </w:pPr>
          </w:p>
        </w:tc>
        <w:tc>
          <w:tcPr>
            <w:tcW w:w="1419" w:type="dxa"/>
            <w:noWrap/>
            <w:vAlign w:val="bottom"/>
            <w:hideMark/>
          </w:tcPr>
          <w:p w14:paraId="76132301" w14:textId="77777777" w:rsidR="00BE51B1" w:rsidRPr="000A045C" w:rsidRDefault="00BE51B1" w:rsidP="00877C15">
            <w:pPr>
              <w:spacing w:after="40" w:line="240" w:lineRule="auto"/>
              <w:ind w:left="113"/>
              <w:rPr>
                <w:rFonts w:ascii="Arial" w:hAnsi="Arial" w:cs="Arial"/>
                <w:sz w:val="20"/>
                <w:szCs w:val="20"/>
              </w:rPr>
            </w:pPr>
          </w:p>
        </w:tc>
        <w:tc>
          <w:tcPr>
            <w:tcW w:w="960" w:type="dxa"/>
            <w:noWrap/>
            <w:vAlign w:val="bottom"/>
            <w:hideMark/>
          </w:tcPr>
          <w:p w14:paraId="5732C55D" w14:textId="77777777" w:rsidR="00BE51B1" w:rsidRPr="000A045C" w:rsidRDefault="00BE51B1" w:rsidP="00877C15">
            <w:pPr>
              <w:spacing w:after="40" w:line="240" w:lineRule="auto"/>
              <w:ind w:left="113"/>
              <w:rPr>
                <w:rFonts w:ascii="Arial" w:hAnsi="Arial" w:cs="Arial"/>
                <w:sz w:val="20"/>
                <w:szCs w:val="20"/>
              </w:rPr>
            </w:pPr>
            <w:r w:rsidRPr="000A045C">
              <w:rPr>
                <w:rFonts w:ascii="Arial" w:hAnsi="Arial" w:cs="Arial"/>
                <w:sz w:val="20"/>
                <w:szCs w:val="20"/>
              </w:rPr>
              <w:t>0.4</w:t>
            </w:r>
            <w:r w:rsidRPr="00BE628A">
              <w:rPr>
                <w:rFonts w:ascii="Arial" w:hAnsi="Arial" w:cs="Arial"/>
                <w:sz w:val="20"/>
                <w:szCs w:val="20"/>
              </w:rPr>
              <w:t>2</w:t>
            </w:r>
          </w:p>
        </w:tc>
      </w:tr>
    </w:tbl>
    <w:p w14:paraId="5BAFF609" w14:textId="77777777" w:rsidR="00BE51B1" w:rsidRPr="000A045C" w:rsidRDefault="00BE51B1" w:rsidP="00BE51B1"/>
    <w:p w14:paraId="087EA5F1" w14:textId="77777777" w:rsidR="00BE51B1" w:rsidRPr="00171091" w:rsidRDefault="00BE51B1" w:rsidP="00BE51B1">
      <w:pPr>
        <w:rPr>
          <w:rFonts w:ascii="Arial" w:hAnsi="Arial" w:cs="Arial"/>
        </w:rPr>
      </w:pPr>
      <w:r w:rsidRPr="00171091">
        <w:rPr>
          <w:rFonts w:ascii="Arial" w:hAnsi="Arial" w:cs="Arial"/>
        </w:rPr>
        <w:t> </w:t>
      </w:r>
    </w:p>
    <w:p w14:paraId="7DB0CCE3" w14:textId="77777777" w:rsidR="00BE51B1" w:rsidRPr="00171091" w:rsidRDefault="00BE51B1" w:rsidP="00BE51B1">
      <w:pPr>
        <w:rPr>
          <w:rFonts w:ascii="Arial" w:hAnsi="Arial" w:cs="Arial"/>
          <w:b/>
          <w:bCs/>
        </w:rPr>
      </w:pPr>
      <w:r>
        <w:rPr>
          <w:rFonts w:ascii="Arial" w:hAnsi="Arial" w:cs="Arial"/>
          <w:b/>
          <w:bCs/>
        </w:rPr>
        <w:t>5</w:t>
      </w:r>
      <w:r w:rsidRPr="00171091">
        <w:rPr>
          <w:rFonts w:ascii="Arial" w:hAnsi="Arial" w:cs="Arial"/>
          <w:b/>
          <w:bCs/>
        </w:rPr>
        <w:t>.1.2 A methodology for estimating costs of meeting energy demand was developed </w:t>
      </w:r>
    </w:p>
    <w:p w14:paraId="02B12577" w14:textId="77777777" w:rsidR="00BE51B1" w:rsidRPr="00171091" w:rsidRDefault="00BE51B1" w:rsidP="00BE51B1">
      <w:pPr>
        <w:jc w:val="both"/>
        <w:rPr>
          <w:rFonts w:ascii="Arial" w:hAnsi="Arial" w:cs="Arial"/>
        </w:rPr>
      </w:pPr>
      <w:r w:rsidRPr="00171091">
        <w:rPr>
          <w:rFonts w:ascii="Arial" w:hAnsi="Arial" w:cs="Arial"/>
        </w:rPr>
        <w:t xml:space="preserve">While mining and processing activities call for a combination of motive and thermal energy, for the purposes of this study the focus will be on estimating electricity demand. The reason is that, for many processes, electricity accounts for the bulk of energy use. Also, it is assumed that with the increasing trend towards industrial electrification, most of the remaining processes would be capable of being substituted by electricity. While this electrification requires a change in equipment and implementation of new methods, the assumption allowed us to test future </w:t>
      </w:r>
      <w:r w:rsidRPr="00171091">
        <w:rPr>
          <w:rFonts w:ascii="Arial" w:hAnsi="Arial" w:cs="Arial"/>
        </w:rPr>
        <w:lastRenderedPageBreak/>
        <w:t>electrification potential. Thus, where non-electric forms of energy are currently used, the study estimates the equivalent amount of electricity that would be needed to serve the equivalent energy needs.</w:t>
      </w:r>
    </w:p>
    <w:p w14:paraId="60F70997" w14:textId="77777777" w:rsidR="00BE51B1" w:rsidRPr="006B2C90" w:rsidRDefault="00BE51B1" w:rsidP="00BE51B1">
      <w:pPr>
        <w:jc w:val="both"/>
        <w:rPr>
          <w:rFonts w:ascii="Arial" w:hAnsi="Arial" w:cs="Arial"/>
        </w:rPr>
      </w:pPr>
      <w:r w:rsidRPr="00171091">
        <w:rPr>
          <w:rFonts w:ascii="Arial" w:hAnsi="Arial" w:cs="Arial"/>
        </w:rPr>
        <w:t xml:space="preserve">Estimated energy demands could potentially be met either by on-grid or off-grid electricity. Some mining and processing locations are remotely situated, and it is common practice for mining companies to self-supply energy based on off-grid technologies. Other locations, particularly downstream processing locations, are more likely to be situated closer to urban centres and the power grid. In yet other cases, mining and processing sites may be located relatively close to the grid, making it relevant to consider whether a grid connection would be justified by the </w:t>
      </w:r>
      <w:r w:rsidRPr="006B2C90">
        <w:rPr>
          <w:rFonts w:ascii="Arial" w:hAnsi="Arial" w:cs="Arial"/>
        </w:rPr>
        <w:t>energy demand.  </w:t>
      </w:r>
    </w:p>
    <w:p w14:paraId="0037CB04" w14:textId="77777777" w:rsidR="00BE51B1" w:rsidRPr="006B2C90" w:rsidRDefault="00BE51B1" w:rsidP="00BE51B1">
      <w:pPr>
        <w:jc w:val="both"/>
        <w:rPr>
          <w:rFonts w:ascii="Arial" w:hAnsi="Arial" w:cs="Arial"/>
        </w:rPr>
      </w:pPr>
      <w:r w:rsidRPr="006B2C90">
        <w:rPr>
          <w:rFonts w:ascii="Arial" w:hAnsi="Arial" w:cs="Arial"/>
        </w:rPr>
        <w:t>To fully represent these choices, the study began by estimating and projecting the cost of grid electricity in each country for the study time horizon to 20</w:t>
      </w:r>
      <w:r>
        <w:rPr>
          <w:rFonts w:ascii="Arial" w:hAnsi="Arial" w:cs="Arial"/>
        </w:rPr>
        <w:t>5</w:t>
      </w:r>
      <w:r w:rsidRPr="006B2C90">
        <w:rPr>
          <w:rFonts w:ascii="Arial" w:hAnsi="Arial" w:cs="Arial"/>
        </w:rPr>
        <w:t>0, which is done using the open-source energy system planning tool, OSeMOSYS Global (see further below). These costs are then entered into a modified version of the Open-Source Spatial Electrification Tool – OnSSET (see further below) – which can compare the cost of meeting energy demand at any location through grid or off-grid technologies, determining the optimal solution in each case and estimating the associated cost. To ensure that the needs of the local worker communities are also met, an additional energy demand was incorporated into the calculations at any off-grid site where mining and/or processing takes place. Finally, given increasing concerns around carbon emissions embedded in industrial products, the models also report the associated carbon intensity of the energy provided.  </w:t>
      </w:r>
    </w:p>
    <w:p w14:paraId="777404CF" w14:textId="77777777" w:rsidR="00BE51B1" w:rsidRPr="00083DAB" w:rsidRDefault="00BE51B1" w:rsidP="00BE51B1">
      <w:pPr>
        <w:jc w:val="both"/>
        <w:rPr>
          <w:rFonts w:ascii="Arial" w:hAnsi="Arial" w:cs="Arial"/>
          <w:b/>
          <w:bCs/>
          <w:color w:val="E97132" w:themeColor="accent2"/>
        </w:rPr>
      </w:pPr>
      <w:r w:rsidRPr="00083DAB">
        <w:rPr>
          <w:rFonts w:ascii="Arial" w:hAnsi="Arial" w:cs="Arial"/>
          <w:b/>
          <w:bCs/>
          <w:color w:val="E97132" w:themeColor="accent2"/>
        </w:rPr>
        <w:t xml:space="preserve">5.2 Calculation of unit costs and emission intensity for </w:t>
      </w:r>
      <w:r w:rsidRPr="00083DAB">
        <w:rPr>
          <w:rFonts w:ascii="Arial" w:hAnsi="Arial" w:cs="Arial"/>
          <w:b/>
          <w:bCs/>
          <w:i/>
          <w:iCs/>
          <w:color w:val="E97132" w:themeColor="accent2"/>
        </w:rPr>
        <w:t>grid</w:t>
      </w:r>
      <w:r w:rsidRPr="00083DAB">
        <w:rPr>
          <w:rFonts w:ascii="Arial" w:hAnsi="Arial" w:cs="Arial"/>
          <w:b/>
          <w:bCs/>
          <w:color w:val="E97132" w:themeColor="accent2"/>
        </w:rPr>
        <w:t xml:space="preserve"> electricity </w:t>
      </w:r>
    </w:p>
    <w:p w14:paraId="38E9676C" w14:textId="77777777" w:rsidR="00BE51B1" w:rsidRPr="006B2C90" w:rsidRDefault="00BE51B1" w:rsidP="00BE51B1">
      <w:pPr>
        <w:jc w:val="both"/>
        <w:rPr>
          <w:rFonts w:ascii="Arial" w:hAnsi="Arial" w:cs="Arial"/>
          <w:b/>
          <w:bCs/>
          <w:color w:val="000000" w:themeColor="text1"/>
        </w:rPr>
      </w:pPr>
      <w:r w:rsidRPr="5F2C3894">
        <w:rPr>
          <w:rFonts w:ascii="Arial" w:hAnsi="Arial" w:cs="Arial"/>
          <w:b/>
          <w:bCs/>
          <w:color w:val="000000" w:themeColor="text1"/>
        </w:rPr>
        <w:t>5.2.1 The OSeMOSYS Global tool was calibrated for each country </w:t>
      </w:r>
    </w:p>
    <w:p w14:paraId="6D316396" w14:textId="079E62F2" w:rsidR="00BE51B1" w:rsidRPr="006B2C90" w:rsidRDefault="00BE51B1" w:rsidP="00BE51B1">
      <w:pPr>
        <w:jc w:val="both"/>
        <w:rPr>
          <w:rFonts w:ascii="Arial" w:hAnsi="Arial" w:cs="Arial"/>
        </w:rPr>
      </w:pPr>
      <w:r w:rsidRPr="006B2C90">
        <w:rPr>
          <w:rFonts w:ascii="Arial" w:hAnsi="Arial" w:cs="Arial"/>
        </w:rPr>
        <w:t>The Open-Source Energy Modelling System (OSeMOSYS) framework provides the basis for the modelling of national grid-based power systems, whereby linear optimisation was used to identify the power sector technologies capable of meeting exogenously defined energy demands on a least-cost basis, subject to specified constraints. The main objective of the model is to determine the lowest net present value (NPV) cost of an energy system to meet given demand(s) for specific energy services</w:t>
      </w:r>
      <w:r>
        <w:rPr>
          <w:rFonts w:ascii="Arial" w:hAnsi="Arial" w:cs="Arial"/>
        </w:rPr>
        <w:fldChar w:fldCharType="begin"/>
      </w:r>
      <w:r w:rsidR="007E07E0">
        <w:rPr>
          <w:rFonts w:ascii="Arial" w:hAnsi="Arial" w:cs="Arial"/>
        </w:rPr>
        <w:instrText xml:space="preserve"> ADDIN ZOTERO_ITEM CSL_CITATION {"citationID":"QOqUUR37","properties":{"formattedCitation":"\\super 120\\nosupersub{}","plainCitation":"120","noteIndex":0},"citationItems":[{"id":1619,"uris":["http://zotero.org/users/10918866/items/F9T6PSFX"],"itemData":{"id":1619,"type":"article-journal","abstract":"This paper discusses the design and development of the Open Source Energy Modeling System (OSeMOSYS). It describes the model's formulation in terms of a 'plain English' description, algebraic formulation, implementation-in terms of its full source code, as well as a detailed description of the model inputs, parameters, and outputs. A key feature of the OSeMOSYS implementation is that it is contained in less than five pages of documented, easily accessible code. Other existing energy system models that do not have this emphasis on compactness and openness makes the barrier to entry by new users much higher, as well as making the addition of innovative new functionality very difficult. The paper begins by describing the rationale for the development of OSeMOSYS and its structure. The current preliminary implementation of the model is then demonstrated for a discrete example. Next, we explain how new development efforts will build on the existing OSeMOSYS codebase. The paper closes with thoughts regarding the organization of the OSeMOSYS community, associated capacity development efforts, and linkages to other open source efforts including adding functionality to the LEAP model. © 2011 Elsevier Ltd.","container-title":"Energy Policy","DOI":"10.1016/j.enpol.2011.06.033","ISSN":"03014215","issue":"10","page":"5850-5870","title":"OSeMOSYS: The Open Source Energy Modeling System. An introduction to its ethos, structure and development.","volume":"39","author":[{"family":"Howells","given":"Mark"},{"family":"Rogner","given":"Holger"},{"family":"Strachan","given":"Neil"},{"family":"Heaps","given":"Charles"},{"family":"Huntington","given":"Hillard"},{"family":"Kypreos","given":"Socrates"},{"family":"Hughes","given":"Alison"},{"family":"Silveira","given":"Semida"},{"family":"DeCarolis","given":"Joe"},{"family":"Bazillian","given":"Morgan"},{"family":"Roehrl","given":"Alexander"}],"issued":{"date-parts":[["2011",10]]}}}],"schema":"https://github.com/citation-style-language/schema/raw/master/csl-citation.json"} </w:instrText>
      </w:r>
      <w:r>
        <w:rPr>
          <w:rFonts w:ascii="Arial" w:hAnsi="Arial" w:cs="Arial"/>
        </w:rPr>
        <w:fldChar w:fldCharType="separate"/>
      </w:r>
      <w:r w:rsidR="007E07E0" w:rsidRPr="007E07E0">
        <w:rPr>
          <w:rFonts w:ascii="Arial" w:hAnsi="Arial" w:cs="Arial"/>
          <w:kern w:val="0"/>
          <w:vertAlign w:val="superscript"/>
        </w:rPr>
        <w:t>120</w:t>
      </w:r>
      <w:r>
        <w:rPr>
          <w:rFonts w:ascii="Arial" w:hAnsi="Arial" w:cs="Arial"/>
        </w:rPr>
        <w:fldChar w:fldCharType="end"/>
      </w:r>
      <w:r w:rsidRPr="006B2C90">
        <w:rPr>
          <w:rFonts w:ascii="Arial" w:hAnsi="Arial" w:cs="Arial"/>
        </w:rPr>
        <w:t>. The model permits techno-economic assessment of the least-cost pathways to meet any predetermined energy demand scenario, covering both generation and transmission (but not distribution) costs. </w:t>
      </w:r>
    </w:p>
    <w:p w14:paraId="1AC66B07" w14:textId="39E336B9" w:rsidR="00BE51B1" w:rsidRPr="006B2C90" w:rsidRDefault="00BE51B1" w:rsidP="00BE51B1">
      <w:pPr>
        <w:jc w:val="both"/>
        <w:rPr>
          <w:rFonts w:ascii="Arial" w:hAnsi="Arial" w:cs="Arial"/>
        </w:rPr>
      </w:pPr>
      <w:r w:rsidRPr="006B2C90">
        <w:rPr>
          <w:rFonts w:ascii="Arial" w:hAnsi="Arial" w:cs="Arial"/>
        </w:rPr>
        <w:t>OSeMOSYS Global was applied individually to each country selected for this study, based on pre-existing calibrations of the corresponding national power system</w:t>
      </w:r>
      <w:r w:rsidR="0016542D">
        <w:rPr>
          <w:rFonts w:ascii="Arial" w:hAnsi="Arial" w:cs="Arial"/>
        </w:rPr>
        <w:fldChar w:fldCharType="begin"/>
      </w:r>
      <w:r w:rsidR="0016542D">
        <w:rPr>
          <w:rFonts w:ascii="Arial" w:hAnsi="Arial" w:cs="Arial"/>
        </w:rPr>
        <w:instrText xml:space="preserve"> ADDIN ZOTERO_ITEM CSL_CITATION {"citationID":"zCc1oZjx","properties":{"formattedCitation":"\\super 121\\nosupersub{}","plainCitation":"121","noteIndex":0},"citationItems":[{"id":2204,"uris":["http://zotero.org/users/10918866/items/Z6DXERZB"],"itemData":{"id":2204,"type":"article-journal","abstract":"This paper describes OSeMOSYS Global, an open-source, open-data model generator for creating global electricity system models for an active global modelling community. This version of the model generator is freely available and can be used to create interconnected electricity system models for both the entire globe and for any geographically diverse subset of the globe. Compared to other existing global models, OSeMOSYS Global allows for full user flexibility in determining the time slice structure and geographic scope of the model and datasets, and is built using the widely used fully open-source OSeMOSYS energy system model. This paper describes the data sources, structure and use of OSeMOSYS Global, and provides illustrative workflow results.","container-title":"Scientific Data","DOI":"10.1038/s41597-022-01737-0","ISSN":"2052-4463","issue":"1","journalAbbreviation":"Sci Data","language":"en","license":"2022 The Author(s)","page":"623","publisher":"Nature Publishing Group","source":"www.nature.com","title":"OSeMOSYS Global, an open-source, open data global electricity system model generator","volume":"9","author":[{"family":"Barnes","given":"Trevor"},{"family":"Shivakumar","given":"Abhishek"},{"family":"Brinkerink","given":"Maarten"},{"family":"Niet","given":"Taco"}],"issued":{"date-parts":[["2022",10,14]]}}}],"schema":"https://github.com/citation-style-language/schema/raw/master/csl-citation.json"} </w:instrText>
      </w:r>
      <w:r w:rsidR="0016542D">
        <w:rPr>
          <w:rFonts w:ascii="Arial" w:hAnsi="Arial" w:cs="Arial"/>
        </w:rPr>
        <w:fldChar w:fldCharType="separate"/>
      </w:r>
      <w:r w:rsidR="0016542D" w:rsidRPr="0016542D">
        <w:rPr>
          <w:rFonts w:ascii="Arial" w:hAnsi="Arial" w:cs="Arial"/>
          <w:kern w:val="0"/>
          <w:vertAlign w:val="superscript"/>
        </w:rPr>
        <w:t>121</w:t>
      </w:r>
      <w:r w:rsidR="0016542D">
        <w:rPr>
          <w:rFonts w:ascii="Arial" w:hAnsi="Arial" w:cs="Arial"/>
        </w:rPr>
        <w:fldChar w:fldCharType="end"/>
      </w:r>
      <w:r w:rsidRPr="006B2C90">
        <w:rPr>
          <w:rFonts w:ascii="Arial" w:hAnsi="Arial" w:cs="Arial"/>
        </w:rPr>
        <w:t>, with model specification details summarised in</w:t>
      </w:r>
      <w:r w:rsidR="00615C28">
        <w:rPr>
          <w:rFonts w:ascii="Arial" w:hAnsi="Arial" w:cs="Arial"/>
          <w:b/>
          <w:bCs/>
        </w:rPr>
        <w:t xml:space="preserve"> </w:t>
      </w:r>
      <w:r w:rsidR="00615C28">
        <w:rPr>
          <w:rFonts w:ascii="Arial" w:hAnsi="Arial" w:cs="Arial"/>
          <w:b/>
          <w:bCs/>
        </w:rPr>
        <w:fldChar w:fldCharType="begin"/>
      </w:r>
      <w:r w:rsidR="00615C28">
        <w:rPr>
          <w:rFonts w:ascii="Arial" w:hAnsi="Arial" w:cs="Arial"/>
          <w:b/>
          <w:bCs/>
        </w:rPr>
        <w:instrText xml:space="preserve"> REF _Ref214453374 \h </w:instrText>
      </w:r>
      <w:r w:rsidR="00615C28">
        <w:rPr>
          <w:rFonts w:ascii="Arial" w:hAnsi="Arial" w:cs="Arial"/>
          <w:b/>
          <w:bCs/>
        </w:rPr>
      </w:r>
      <w:r w:rsidR="00615C28">
        <w:rPr>
          <w:rFonts w:ascii="Arial" w:hAnsi="Arial" w:cs="Arial"/>
          <w:b/>
          <w:bCs/>
        </w:rPr>
        <w:fldChar w:fldCharType="separate"/>
      </w:r>
      <w:r w:rsidR="00615C28">
        <w:t xml:space="preserve">Table </w:t>
      </w:r>
      <w:r w:rsidR="00615C28">
        <w:rPr>
          <w:noProof/>
        </w:rPr>
        <w:t>20</w:t>
      </w:r>
      <w:r w:rsidR="00615C28">
        <w:rPr>
          <w:rFonts w:ascii="Arial" w:hAnsi="Arial" w:cs="Arial"/>
          <w:b/>
          <w:bCs/>
        </w:rPr>
        <w:fldChar w:fldCharType="end"/>
      </w:r>
      <w:r w:rsidRPr="006B2C90">
        <w:rPr>
          <w:rFonts w:ascii="Arial" w:hAnsi="Arial" w:cs="Arial"/>
        </w:rPr>
        <w:t>. The work entailed the development of 14 distinct models for each of the 14 countries covered: Angola, Botswana, Burundi, Democratic of Congo, Kenya, Madagascar, Malawi, Mozambique, Namibia, South Africa, Tanzania, Uganda, Zambia, and Zimbabwe.  </w:t>
      </w:r>
    </w:p>
    <w:p w14:paraId="4904B6FF" w14:textId="5B5311D4" w:rsidR="00BE51B1" w:rsidRPr="00CE6832" w:rsidRDefault="00615C28" w:rsidP="00615C28">
      <w:pPr>
        <w:pStyle w:val="Caption"/>
      </w:pPr>
      <w:bookmarkStart w:id="126" w:name="_Ref214453374"/>
      <w:bookmarkStart w:id="127" w:name="_Toc211509415"/>
      <w:r>
        <w:lastRenderedPageBreak/>
        <w:t xml:space="preserve">Table </w:t>
      </w:r>
      <w:fldSimple w:instr=" SEQ Table \* ARABIC ">
        <w:r>
          <w:t>20</w:t>
        </w:r>
      </w:fldSimple>
      <w:bookmarkEnd w:id="126"/>
      <w:r w:rsidR="00BE51B1" w:rsidRPr="00CE6832">
        <w:t>: Overview of assumptions underpinning least-cost power system expansion modelling</w:t>
      </w:r>
      <w:bookmarkEnd w:id="127"/>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6600"/>
      </w:tblGrid>
      <w:tr w:rsidR="00BE51B1" w:rsidRPr="006B2C90" w14:paraId="4C037F95" w14:textId="77777777" w:rsidTr="00877C15">
        <w:trPr>
          <w:trHeight w:val="300"/>
        </w:trPr>
        <w:tc>
          <w:tcPr>
            <w:tcW w:w="2400" w:type="dxa"/>
            <w:shd w:val="clear" w:color="auto" w:fill="B7D4EF" w:themeFill="text2" w:themeFillTint="33"/>
            <w:hideMark/>
          </w:tcPr>
          <w:p w14:paraId="54ED2B1A"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Time horizon</w:t>
            </w:r>
            <w:r w:rsidRPr="006B2C90">
              <w:rPr>
                <w:rFonts w:ascii="Arial" w:hAnsi="Arial" w:cs="Arial"/>
                <w:color w:val="156082" w:themeColor="accent1"/>
                <w:sz w:val="20"/>
                <w:szCs w:val="20"/>
              </w:rPr>
              <w:t> </w:t>
            </w:r>
          </w:p>
        </w:tc>
        <w:tc>
          <w:tcPr>
            <w:tcW w:w="6600" w:type="dxa"/>
            <w:hideMark/>
          </w:tcPr>
          <w:p w14:paraId="299B75D0" w14:textId="77777777" w:rsidR="00BE51B1" w:rsidRPr="006B2C90" w:rsidRDefault="00BE51B1" w:rsidP="00877C15">
            <w:pPr>
              <w:spacing w:before="20" w:after="40" w:line="264" w:lineRule="auto"/>
              <w:ind w:left="113" w:right="57"/>
              <w:rPr>
                <w:rFonts w:ascii="Arial" w:hAnsi="Arial" w:cs="Arial"/>
                <w:sz w:val="20"/>
                <w:szCs w:val="20"/>
              </w:rPr>
            </w:pPr>
            <w:r w:rsidRPr="70FBBE59">
              <w:rPr>
                <w:rFonts w:ascii="Arial" w:hAnsi="Arial" w:cs="Arial"/>
                <w:sz w:val="20"/>
                <w:szCs w:val="20"/>
              </w:rPr>
              <w:t>2022–2050 </w:t>
            </w:r>
          </w:p>
        </w:tc>
      </w:tr>
      <w:tr w:rsidR="00BE51B1" w:rsidRPr="006B2C90" w14:paraId="0203D12A" w14:textId="77777777" w:rsidTr="00877C15">
        <w:trPr>
          <w:trHeight w:val="300"/>
        </w:trPr>
        <w:tc>
          <w:tcPr>
            <w:tcW w:w="2400" w:type="dxa"/>
            <w:shd w:val="clear" w:color="auto" w:fill="B7D4EF" w:themeFill="text2" w:themeFillTint="33"/>
            <w:hideMark/>
          </w:tcPr>
          <w:p w14:paraId="3D425ADC"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Time representation</w:t>
            </w:r>
            <w:r w:rsidRPr="006B2C90">
              <w:rPr>
                <w:rFonts w:ascii="Arial" w:hAnsi="Arial" w:cs="Arial"/>
                <w:color w:val="156082" w:themeColor="accent1"/>
                <w:sz w:val="20"/>
                <w:szCs w:val="20"/>
              </w:rPr>
              <w:t> </w:t>
            </w:r>
          </w:p>
        </w:tc>
        <w:tc>
          <w:tcPr>
            <w:tcW w:w="6600" w:type="dxa"/>
            <w:hideMark/>
          </w:tcPr>
          <w:p w14:paraId="35A47AB2" w14:textId="77777777"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48 sub-annual time slices comprising six seasons and eight-day parts.  </w:t>
            </w:r>
          </w:p>
        </w:tc>
      </w:tr>
      <w:tr w:rsidR="00BE51B1" w:rsidRPr="006B2C90" w14:paraId="1C81A141" w14:textId="77777777" w:rsidTr="00877C15">
        <w:trPr>
          <w:trHeight w:val="300"/>
        </w:trPr>
        <w:tc>
          <w:tcPr>
            <w:tcW w:w="2400" w:type="dxa"/>
            <w:shd w:val="clear" w:color="auto" w:fill="B7D4EF" w:themeFill="text2" w:themeFillTint="33"/>
            <w:hideMark/>
          </w:tcPr>
          <w:p w14:paraId="677BEB35"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Techno-economic data</w:t>
            </w:r>
            <w:r w:rsidRPr="006B2C90">
              <w:rPr>
                <w:rFonts w:ascii="Arial" w:hAnsi="Arial" w:cs="Arial"/>
                <w:color w:val="156082" w:themeColor="accent1"/>
                <w:sz w:val="20"/>
                <w:szCs w:val="20"/>
              </w:rPr>
              <w:t> </w:t>
            </w:r>
          </w:p>
        </w:tc>
        <w:tc>
          <w:tcPr>
            <w:tcW w:w="6600" w:type="dxa"/>
            <w:hideMark/>
          </w:tcPr>
          <w:p w14:paraId="17FB3DE1" w14:textId="2DE69AE1"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These were primarily sourced from the OSeMOSYS Global Africa-specific dataset</w:t>
            </w:r>
            <w:r w:rsidR="00AD40F3">
              <w:rPr>
                <w:rFonts w:ascii="Arial" w:hAnsi="Arial" w:cs="Arial"/>
                <w:sz w:val="20"/>
                <w:szCs w:val="20"/>
              </w:rPr>
              <w:fldChar w:fldCharType="begin"/>
            </w:r>
            <w:r w:rsidR="0016542D">
              <w:rPr>
                <w:rFonts w:ascii="Arial" w:hAnsi="Arial" w:cs="Arial"/>
                <w:sz w:val="20"/>
                <w:szCs w:val="20"/>
              </w:rPr>
              <w:instrText xml:space="preserve"> ADDIN ZOTERO_ITEM CSL_CITATION {"citationID":"27fHSuTB","properties":{"formattedCitation":"\\super 121\\nosupersub{}","plainCitation":"121","noteIndex":0},"citationItems":[{"id":2204,"uris":["http://zotero.org/users/10918866/items/Z6DXERZB"],"itemData":{"id":2204,"type":"article-journal","abstract":"This paper describes OSeMOSYS Global, an open-source, open-data model generator for creating global electricity system models for an active global modelling community. This version of the model generator is freely available and can be used to create interconnected electricity system models for both the entire globe and for any geographically diverse subset of the globe. Compared to other existing global models, OSeMOSYS Global allows for full user flexibility in determining the time slice structure and geographic scope of the model and datasets, and is built using the widely used fully open-source OSeMOSYS energy system model. This paper describes the data sources, structure and use of OSeMOSYS Global, and provides illustrative workflow results.","container-title":"Scientific Data","DOI":"10.1038/s41597-022-01737-0","ISSN":"2052-4463","issue":"1","journalAbbreviation":"Sci Data","language":"en","license":"2022 The Author(s)","page":"623","publisher":"Nature Publishing Group","source":"www.nature.com","title":"OSeMOSYS Global, an open-source, open data global electricity system model generator","volume":"9","author":[{"family":"Barnes","given":"Trevor"},{"family":"Shivakumar","given":"Abhishek"},{"family":"Brinkerink","given":"Maarten"},{"family":"Niet","given":"Taco"}],"issued":{"date-parts":[["2022",10,14]]}}}],"schema":"https://github.com/citation-style-language/schema/raw/master/csl-citation.json"} </w:instrText>
            </w:r>
            <w:r w:rsidR="00AD40F3">
              <w:rPr>
                <w:rFonts w:ascii="Arial" w:hAnsi="Arial" w:cs="Arial"/>
                <w:sz w:val="20"/>
                <w:szCs w:val="20"/>
              </w:rPr>
              <w:fldChar w:fldCharType="separate"/>
            </w:r>
            <w:r w:rsidR="00AD40F3" w:rsidRPr="00AD40F3">
              <w:rPr>
                <w:rFonts w:ascii="Arial" w:hAnsi="Arial" w:cs="Arial"/>
                <w:kern w:val="0"/>
                <w:sz w:val="20"/>
                <w:vertAlign w:val="superscript"/>
              </w:rPr>
              <w:t>121</w:t>
            </w:r>
            <w:r w:rsidR="00AD40F3">
              <w:rPr>
                <w:rFonts w:ascii="Arial" w:hAnsi="Arial" w:cs="Arial"/>
                <w:sz w:val="20"/>
                <w:szCs w:val="20"/>
              </w:rPr>
              <w:fldChar w:fldCharType="end"/>
            </w:r>
            <w:r w:rsidRPr="006B2C90">
              <w:rPr>
                <w:rFonts w:ascii="Arial" w:hAnsi="Arial" w:cs="Arial"/>
                <w:sz w:val="20"/>
                <w:szCs w:val="20"/>
              </w:rPr>
              <w:t>, with additional sources utilised to fill existing data gaps and increase accuracy where possible.  </w:t>
            </w:r>
          </w:p>
        </w:tc>
      </w:tr>
      <w:tr w:rsidR="00BE51B1" w:rsidRPr="006B2C90" w14:paraId="1BB39BF5" w14:textId="77777777" w:rsidTr="00877C15">
        <w:trPr>
          <w:trHeight w:val="300"/>
        </w:trPr>
        <w:tc>
          <w:tcPr>
            <w:tcW w:w="2400" w:type="dxa"/>
            <w:shd w:val="clear" w:color="auto" w:fill="B7D4EF" w:themeFill="text2" w:themeFillTint="33"/>
            <w:hideMark/>
          </w:tcPr>
          <w:p w14:paraId="3413FD27"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Residual capacity</w:t>
            </w:r>
            <w:r w:rsidRPr="006B2C90">
              <w:rPr>
                <w:rFonts w:ascii="Arial" w:hAnsi="Arial" w:cs="Arial"/>
                <w:color w:val="156082" w:themeColor="accent1"/>
                <w:sz w:val="20"/>
                <w:szCs w:val="20"/>
              </w:rPr>
              <w:t> </w:t>
            </w:r>
          </w:p>
        </w:tc>
        <w:tc>
          <w:tcPr>
            <w:tcW w:w="6600" w:type="dxa"/>
            <w:hideMark/>
          </w:tcPr>
          <w:p w14:paraId="7DE38008" w14:textId="16ED06D9"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Installed capacity of existing power plants and committed powerplant projects were sourced from</w:t>
            </w:r>
            <w:r>
              <w:rPr>
                <w:rFonts w:ascii="Arial" w:hAnsi="Arial" w:cs="Arial"/>
                <w:sz w:val="20"/>
                <w:szCs w:val="20"/>
              </w:rPr>
              <w:fldChar w:fldCharType="begin"/>
            </w:r>
            <w:r w:rsidR="00AD40F3">
              <w:rPr>
                <w:rFonts w:ascii="Arial" w:hAnsi="Arial" w:cs="Arial"/>
                <w:sz w:val="20"/>
                <w:szCs w:val="20"/>
              </w:rPr>
              <w:instrText xml:space="preserve"> ADDIN ZOTERO_ITEM CSL_CITATION {"citationID":"9tNTAVyC","properties":{"formattedCitation":"\\super 122\\nosupersub{}","plainCitation":"122","noteIndex":0},"citationItems":[{"id":2192,"uris":["http://zotero.org/users/10918866/items/VCKRQE34"],"itemData":{"id":2192,"type":"webpage","abstract":"Global Energy Monitor studies the evolving international energy landscape, creating databases, reports, and interactive tools that enhance understanding. Our work transforms complexity into clarity, enhancing the quality of public discourse on energy and the environment.","container-title":"Global Energy Monitor","language":"en-US","title":"Global Energy Monitor: Home","URL":"https://globalenergymonitor.org/","author":[{"family":"Global Energy Monitor","given":""}],"accessed":{"date-parts":[["2025",3,25]]},"issued":{"date-parts":[["2024"]]}}}],"schema":"https://github.com/citation-style-language/schema/raw/master/csl-citation.json"} </w:instrText>
            </w:r>
            <w:r>
              <w:rPr>
                <w:rFonts w:ascii="Arial" w:hAnsi="Arial" w:cs="Arial"/>
                <w:sz w:val="20"/>
                <w:szCs w:val="20"/>
              </w:rPr>
              <w:fldChar w:fldCharType="separate"/>
            </w:r>
            <w:r w:rsidR="00AD40F3" w:rsidRPr="00AD40F3">
              <w:rPr>
                <w:rFonts w:ascii="Arial" w:hAnsi="Arial" w:cs="Arial"/>
                <w:kern w:val="0"/>
                <w:sz w:val="20"/>
                <w:vertAlign w:val="superscript"/>
              </w:rPr>
              <w:t>122</w:t>
            </w:r>
            <w:r>
              <w:rPr>
                <w:rFonts w:ascii="Arial" w:hAnsi="Arial" w:cs="Arial"/>
                <w:sz w:val="20"/>
                <w:szCs w:val="20"/>
              </w:rPr>
              <w:fldChar w:fldCharType="end"/>
            </w:r>
            <w:r w:rsidRPr="006B2C90">
              <w:rPr>
                <w:rFonts w:ascii="Arial" w:hAnsi="Arial" w:cs="Arial"/>
                <w:sz w:val="20"/>
                <w:szCs w:val="20"/>
              </w:rPr>
              <w:t>.  </w:t>
            </w:r>
          </w:p>
        </w:tc>
      </w:tr>
      <w:tr w:rsidR="00BE51B1" w:rsidRPr="006B2C90" w14:paraId="1621A047" w14:textId="77777777" w:rsidTr="00877C15">
        <w:trPr>
          <w:trHeight w:val="300"/>
        </w:trPr>
        <w:tc>
          <w:tcPr>
            <w:tcW w:w="2400" w:type="dxa"/>
            <w:shd w:val="clear" w:color="auto" w:fill="B7D4EF" w:themeFill="text2" w:themeFillTint="33"/>
            <w:hideMark/>
          </w:tcPr>
          <w:p w14:paraId="5472D2F4"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Demand projections</w:t>
            </w:r>
            <w:r w:rsidRPr="006B2C90">
              <w:rPr>
                <w:rFonts w:ascii="Arial" w:hAnsi="Arial" w:cs="Arial"/>
                <w:color w:val="156082" w:themeColor="accent1"/>
                <w:sz w:val="20"/>
                <w:szCs w:val="20"/>
              </w:rPr>
              <w:t> </w:t>
            </w:r>
          </w:p>
        </w:tc>
        <w:tc>
          <w:tcPr>
            <w:tcW w:w="6600" w:type="dxa"/>
            <w:hideMark/>
          </w:tcPr>
          <w:p w14:paraId="5413C962" w14:textId="34C017DD" w:rsidR="00BE51B1" w:rsidRPr="00335458" w:rsidRDefault="00BE51B1" w:rsidP="00877C15">
            <w:pPr>
              <w:spacing w:before="20" w:after="40" w:line="264" w:lineRule="auto"/>
              <w:ind w:left="113" w:right="57"/>
              <w:rPr>
                <w:rFonts w:ascii="Arial" w:hAnsi="Arial" w:cs="Arial"/>
                <w:sz w:val="20"/>
                <w:szCs w:val="20"/>
              </w:rPr>
            </w:pPr>
            <w:r w:rsidRPr="00335458">
              <w:rPr>
                <w:rFonts w:ascii="Arial" w:hAnsi="Arial" w:cs="Arial"/>
                <w:sz w:val="20"/>
                <w:szCs w:val="20"/>
              </w:rPr>
              <w:t xml:space="preserve">Historic demand projections for all regions provided by the International Energy Agency (IEA) </w:t>
            </w:r>
            <w:r w:rsidRPr="00335458">
              <w:rPr>
                <w:rFonts w:ascii="Arial" w:hAnsi="Arial" w:cs="Arial"/>
                <w:sz w:val="20"/>
                <w:szCs w:val="20"/>
              </w:rPr>
              <w:fldChar w:fldCharType="begin"/>
            </w:r>
            <w:r w:rsidR="0016542D">
              <w:rPr>
                <w:rFonts w:ascii="Arial" w:hAnsi="Arial" w:cs="Arial"/>
                <w:sz w:val="20"/>
                <w:szCs w:val="20"/>
              </w:rPr>
              <w:instrText xml:space="preserve"> ADDIN ZOTERO_ITEM CSL_CITATION {"citationID":"f55zJaGa","properties":{"formattedCitation":"\\super 123\\uc0\\u8211{}135\\nosupersub{}","plainCitation":"123–135","noteIndex":0},"citationItems":[{"id":2203,"uris":["http://zotero.org/users/10918866/items/ZI7Z3GP9"],"itemData":{"id":2203,"type":"report","abstract":"World Energy Outlook 2022 - Analysis and key findings. A report by the International Energy Agency.","language":"en-GB","publisher":"International Energy Agency","publisher-place":"Paris","title":"World Energy Outlook 2022","URL":"https://www.iea.org/reports/world-energy-outlook-2022","author":[{"family":"IEA","given":""}],"accessed":{"date-parts":[["2025",3,24]]},"issued":{"date-parts":[["2022",10,27]]}}},{"id":2191,"uris":["http://zotero.org/users/10918866/items/7I5H78RD"],"itemData":{"id":2191,"type":"webpage","abstract":"Angola is set to become the largest producer of crude oil in Southern Africa, yet has also set  the foundation for the sustainable development of renewables, through investments and supportive measures. Angola has particularly strong hydropower generation","container-title":"IEA","language":"en-GB","title":"Angola - Countries &amp; Regions","URL":"https://www.iea.org/countries/angola/electricity","author":[{"family":"IEA","given":""}],"accessed":{"date-parts":[["2025",3,25]]},"issued":{"date-parts":[["2023"]]}}},{"id":2190,"uris":["http://zotero.org/users/10918866/items/KXFEBUIF"],"itemData":{"id":2190,"type":"webpage","abstract":"Coal production is set to increase in Botswana, but exports remain limited and mainly involve trade with neighbouring countries. Regarding electrification rates, the country has recently made good progress through a large push for mini-grid and off-grid s","container-title":"IEA","language":"en-GB","title":"Botswana - Countries &amp; Regions","URL":"https://www.iea.org/countries/botswana/electricity","author":[{"family":"IEA","given":""}],"accessed":{"date-parts":[["2025",3,25]]},"issued":{"date-parts":[["2023"]]}}},{"id":2189,"uris":["http://zotero.org/users/10918866/items/7GGS5UN2"],"itemData":{"id":2189,"type":"webpage","abstract":"The Democratic Republic of Congo&amp;nbsp;has huge hydropower potential while also dealing with extreme energy poverty. Foreign investors are currently partially lifting constraints on the country’s hydropower capacity, which is bringing down the costs of pow","container-title":"IEA","language":"en-GB","title":"Democratic Republic of the Congo - Countries &amp; Regions","URL":"https://www.iea.org/countries/democratic-republic-of-the-congo/electricity","author":[{"family":"IEA","given":""}],"accessed":{"date-parts":[["2025",3,25]]},"issued":{"date-parts":[["2023"]]}}},{"id":2188,"uris":["http://zotero.org/users/10918866/items/CHUZRV3Z"],"itemData":{"id":2188,"type":"webpage","abstract":"Access to electricity has increased dramatically in Kenya over the past 20 years, reaching almost 3/4 of the population today. The Last Mile Connectivity Project of the Rural Electrification Authority aims to deliver universal access by 2022.","container-title":"IEA","language":"en-GB","title":"Kenya - Countries &amp; Regions","URL":"https://www.iea.org/countries/kenya/electricity","author":[{"family":"IEA","given":""}],"accessed":{"date-parts":[["2025",3,25]]},"issued":{"date-parts":[["2023"]]}}},{"id":2187,"uris":["http://zotero.org/users/10918866/items/ZM2J9565"],"itemData":{"id":2187,"type":"webpage","abstract":"Less than one quarter of the population of&amp;nbsp;Madagascar&amp;nbsp;has access to electricity, and only  1.5% has access to clean cooking facilities.","container-title":"IEA","language":"en-GB","title":"Madagascar - Countries &amp; Regions","URL":"https://www.iea.org/countries/madagascar/electricity","author":[{"family":"IEA","given":""}],"accessed":{"date-parts":[["2025",3,25]]},"issued":{"date-parts":[["2023"]]}}},{"id":2186,"uris":["http://zotero.org/users/10918866/items/E5HWA2TF"],"itemData":{"id":2186,"type":"webpage","abstract":"In Mozambique, around 40% of people have access to electricity, through the grid or mini/off-grid systems. The government has promoted solar PV solutions in rural areas, reporting that 700 schools and 800 other public buildings now have electricity from s","container-title":"IEA","language":"en-GB","title":"Mozambique - Countries &amp; Regions","URL":"https://www.iea.org/countries/mozambique/electricity","author":[{"family":"IEA","given":""}],"accessed":{"date-parts":[["2025",3,25]]},"issued":{"date-parts":[["2023"]]}}},{"id":2185,"uris":["http://zotero.org/users/10918866/items/9GUCWJE4"],"itemData":{"id":2185,"type":"webpage","abstract":"Most of Namibia’s electricity is generated by hydropower. The country is also one of the ten-largest uranium resource-holders in the world and provides 8.2% of global production. The country has stated its interest in introducing nuclear power into its do","container-title":"IEA","language":"en-GB","title":"Namibia - Countries &amp; Regions","URL":"https://www.iea.org/countries/namibia/electricity","author":[{"family":"IEA","given":""}],"accessed":{"date-parts":[["2025",3,25]]},"issued":{"date-parts":[["2023"]]}}},{"id":2184,"uris":["http://zotero.org/users/10918866/items/FLXYGJ4P"],"itemData":{"id":2184,"type":"webpage","abstract":"Coal is the mainstay of the South African energy system, meeting around 70% of primary energy demand. The 2013 Integrated Resource Plan for Electricity however sets out a long-term diversification of the power mix and moves towards lightening the carbon f","container-title":"IEA","language":"en-GB","title":"South Africa - Countries &amp; Regions","URL":"https://www.iea.org/countries/south-africa/electricity","author":[{"family":"IEA","given":""}],"accessed":{"date-parts":[["2025",3,25]]},"issued":{"date-parts":[["2023"]]}}},{"id":2183,"uris":["http://zotero.org/users/10918866/items/FAL9GKSL"],"itemData":{"id":2183,"type":"webpage","abstract":"Electricity access in Tanzania increased from around 13% in 2008 to 32% in 2017. The government is supporting the private sector to develop its electricity market, enhancing the role of renewable energy in the energy mix and increasing rural electricity a","container-title":"IEA","language":"en-GB","title":"Tanzania - Countries &amp; Regions","URL":"https://www.iea.org/countries/tanzania/electricity","author":[{"family":"IEA","given":""}],"accessed":{"date-parts":[["2025",3,25]]},"issued":{"date-parts":[["2023"]]}}},{"id":2182,"uris":["http://zotero.org/users/10918866/items/TDSWZUBI"],"itemData":{"id":2182,"type":"webpage","abstract":"Coal production is set to increase in Zambia, but exports remain limited to trade with neighbouring countries. The country has recently made good progress regarding electrification rates through a large push for mini-grid and off-grid solutions in rural a","container-title":"IEA","language":"en-GB","title":"Zambia - Countries &amp; Regions","URL":"https://www.iea.org/countries/zambia/electricity","author":[{"family":"IEA","given":""}],"accessed":{"date-parts":[["2025",3,25]]},"issued":{"date-parts":[["2023"]]}}},{"id":2181,"uris":["http://zotero.org/users/10918866/items/5X3ZXW9P"],"itemData":{"id":2181,"type":"webpage","abstract":"Zimbabwe holds large coal reserves and production is set to increase. The country has also significantly untapped its hydropower potential, even though the share of hydropower generation is gradually decreasing.","container-title":"IEA","language":"en-GB","title":"Zimbabwe - Countries &amp; Regions","URL":"https://www.iea.org/countries/zimbabwe/electricity","author":[{"family":"IEA","given":""}],"accessed":{"date-parts":[["2025",3,25]]},"issued":{"date-parts":[["2023"]]}}},{"id":2180,"uris":["http://zotero.org/users/10918866/items/XWZTA5YI"],"itemData":{"id":2180,"type":"webpage","abstract":"Uganda is a major oil producer&amp;nbsp; and further production is expected following recent petroleum discoveries. At the same time, Uganda launched a feed-in-tariff system in 2011 to support the development of renewables.","container-title":"IEA","language":"en-GB","title":"Uganda - Countries &amp; Regions","URL":"https://www.iea.org/countries/uganda/electricity","author":[{"family":"IEA","given":""}],"accessed":{"date-parts":[["2025",3,25]]},"issued":{"date-parts":[["2023"]]}}}],"schema":"https://github.com/citation-style-language/schema/raw/master/csl-citation.json"} </w:instrText>
            </w:r>
            <w:r w:rsidRPr="00335458">
              <w:rPr>
                <w:rFonts w:ascii="Arial" w:hAnsi="Arial" w:cs="Arial"/>
                <w:sz w:val="20"/>
                <w:szCs w:val="20"/>
              </w:rPr>
              <w:fldChar w:fldCharType="separate"/>
            </w:r>
            <w:r w:rsidR="00AD40F3" w:rsidRPr="00AD40F3">
              <w:rPr>
                <w:rFonts w:ascii="Arial" w:hAnsi="Arial" w:cs="Arial"/>
                <w:kern w:val="0"/>
                <w:sz w:val="20"/>
                <w:vertAlign w:val="superscript"/>
              </w:rPr>
              <w:t>123–135</w:t>
            </w:r>
            <w:r w:rsidRPr="00335458">
              <w:rPr>
                <w:rFonts w:ascii="Arial" w:hAnsi="Arial" w:cs="Arial"/>
                <w:sz w:val="20"/>
                <w:szCs w:val="20"/>
              </w:rPr>
              <w:fldChar w:fldCharType="end"/>
            </w:r>
            <w:r w:rsidRPr="00335458">
              <w:rPr>
                <w:rFonts w:ascii="Arial" w:hAnsi="Arial" w:cs="Arial"/>
                <w:sz w:val="20"/>
                <w:szCs w:val="20"/>
              </w:rPr>
              <w:t>, with more specific demand growth rates projections sourced from regional integrated resource plans (IRP) (Botswana IRP, 2020; South Africa IRP, 2023; Kenya Least Cost Development Plan, 2024; Malawi IRP, 2024; Mozambique IRP, 2018; Tanzania Power System Master Plan, 2024; Zambia IRP, 2022; Uganda Least Cost Electricity Expansion, 2021 and Namibia IRP, 2022). With the remaining regions utilising OSeMOSYS Global inputs</w:t>
            </w:r>
            <w:r w:rsidR="00763584">
              <w:rPr>
                <w:rFonts w:ascii="Arial" w:hAnsi="Arial" w:cs="Arial"/>
                <w:sz w:val="20"/>
                <w:szCs w:val="20"/>
              </w:rPr>
              <w:fldChar w:fldCharType="begin"/>
            </w:r>
            <w:r w:rsidR="0016542D">
              <w:rPr>
                <w:rFonts w:ascii="Arial" w:hAnsi="Arial" w:cs="Arial"/>
                <w:sz w:val="20"/>
                <w:szCs w:val="20"/>
              </w:rPr>
              <w:instrText xml:space="preserve"> ADDIN ZOTERO_ITEM CSL_CITATION {"citationID":"nfa0NXZb","properties":{"formattedCitation":"\\super 121\\nosupersub{}","plainCitation":"121","noteIndex":0},"citationItems":[{"id":2204,"uris":["http://zotero.org/users/10918866/items/Z6DXERZB"],"itemData":{"id":2204,"type":"article-journal","abstract":"This paper describes OSeMOSYS Global, an open-source, open-data model generator for creating global electricity system models for an active global modelling community. This version of the model generator is freely available and can be used to create interconnected electricity system models for both the entire globe and for any geographically diverse subset of the globe. Compared to other existing global models, OSeMOSYS Global allows for full user flexibility in determining the time slice structure and geographic scope of the model and datasets, and is built using the widely used fully open-source OSeMOSYS energy system model. This paper describes the data sources, structure and use of OSeMOSYS Global, and provides illustrative workflow results.","container-title":"Scientific Data","DOI":"10.1038/s41597-022-01737-0","ISSN":"2052-4463","issue":"1","journalAbbreviation":"Sci Data","language":"en","license":"2022 The Author(s)","page":"623","publisher":"Nature Publishing Group","source":"www.nature.com","title":"OSeMOSYS Global, an open-source, open data global electricity system model generator","volume":"9","author":[{"family":"Barnes","given":"Trevor"},{"family":"Shivakumar","given":"Abhishek"},{"family":"Brinkerink","given":"Maarten"},{"family":"Niet","given":"Taco"}],"issued":{"date-parts":[["2022",10,14]]}}}],"schema":"https://github.com/citation-style-language/schema/raw/master/csl-citation.json"} </w:instrText>
            </w:r>
            <w:r w:rsidR="00763584">
              <w:rPr>
                <w:rFonts w:ascii="Arial" w:hAnsi="Arial" w:cs="Arial"/>
                <w:sz w:val="20"/>
                <w:szCs w:val="20"/>
              </w:rPr>
              <w:fldChar w:fldCharType="separate"/>
            </w:r>
            <w:r w:rsidR="00AD40F3" w:rsidRPr="00AD40F3">
              <w:rPr>
                <w:rFonts w:ascii="Arial" w:hAnsi="Arial" w:cs="Arial"/>
                <w:kern w:val="0"/>
                <w:sz w:val="20"/>
                <w:vertAlign w:val="superscript"/>
              </w:rPr>
              <w:t>121</w:t>
            </w:r>
            <w:r w:rsidR="00763584">
              <w:rPr>
                <w:rFonts w:ascii="Arial" w:hAnsi="Arial" w:cs="Arial"/>
                <w:sz w:val="20"/>
                <w:szCs w:val="20"/>
              </w:rPr>
              <w:fldChar w:fldCharType="end"/>
            </w:r>
            <w:r w:rsidR="00763584">
              <w:rPr>
                <w:rFonts w:ascii="Arial" w:hAnsi="Arial" w:cs="Arial"/>
                <w:sz w:val="20"/>
                <w:szCs w:val="20"/>
              </w:rPr>
              <w:t xml:space="preserve"> </w:t>
            </w:r>
            <w:r w:rsidRPr="00335458">
              <w:rPr>
                <w:rFonts w:ascii="Arial" w:hAnsi="Arial" w:cs="Arial"/>
                <w:sz w:val="20"/>
                <w:szCs w:val="20"/>
              </w:rPr>
              <w:t>with the exception of Burundi which utilised CCG Starter Data Kits demand projections.    </w:t>
            </w:r>
          </w:p>
        </w:tc>
      </w:tr>
      <w:tr w:rsidR="00BE51B1" w:rsidRPr="006B2C90" w14:paraId="4032DC11" w14:textId="77777777" w:rsidTr="00877C15">
        <w:trPr>
          <w:trHeight w:val="300"/>
        </w:trPr>
        <w:tc>
          <w:tcPr>
            <w:tcW w:w="2400" w:type="dxa"/>
            <w:shd w:val="clear" w:color="auto" w:fill="B7D4EF" w:themeFill="text2" w:themeFillTint="33"/>
            <w:hideMark/>
          </w:tcPr>
          <w:p w14:paraId="230E77F2"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Fuel assumptions</w:t>
            </w:r>
            <w:r w:rsidRPr="006B2C90">
              <w:rPr>
                <w:rFonts w:ascii="Arial" w:hAnsi="Arial" w:cs="Arial"/>
                <w:color w:val="156082" w:themeColor="accent1"/>
                <w:sz w:val="20"/>
                <w:szCs w:val="20"/>
              </w:rPr>
              <w:t> </w:t>
            </w:r>
          </w:p>
        </w:tc>
        <w:tc>
          <w:tcPr>
            <w:tcW w:w="6600" w:type="dxa"/>
            <w:hideMark/>
          </w:tcPr>
          <w:p w14:paraId="7D1C4292" w14:textId="77777777"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Fuels included were coal, heavy oil, gas, and biomass. Prices were referenced to US$ in 2020 and projected up to 2050 in five-year intervals.    </w:t>
            </w:r>
          </w:p>
        </w:tc>
      </w:tr>
      <w:tr w:rsidR="00BE51B1" w:rsidRPr="006B2C90" w14:paraId="6F6239F8" w14:textId="77777777" w:rsidTr="00877C15">
        <w:trPr>
          <w:trHeight w:val="300"/>
        </w:trPr>
        <w:tc>
          <w:tcPr>
            <w:tcW w:w="2400" w:type="dxa"/>
            <w:shd w:val="clear" w:color="auto" w:fill="B7D4EF" w:themeFill="text2" w:themeFillTint="33"/>
            <w:hideMark/>
          </w:tcPr>
          <w:p w14:paraId="7A3149EB"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Cost assumptions</w:t>
            </w:r>
            <w:r w:rsidRPr="006B2C90">
              <w:rPr>
                <w:rFonts w:ascii="Arial" w:hAnsi="Arial" w:cs="Arial"/>
                <w:color w:val="156082" w:themeColor="accent1"/>
                <w:sz w:val="20"/>
                <w:szCs w:val="20"/>
              </w:rPr>
              <w:t> </w:t>
            </w:r>
          </w:p>
        </w:tc>
        <w:tc>
          <w:tcPr>
            <w:tcW w:w="6600" w:type="dxa"/>
            <w:hideMark/>
          </w:tcPr>
          <w:p w14:paraId="4FEDC317" w14:textId="61158872"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Future capital costs and fixed operating costs were extracted from the IEA’s 2050 Stated Policies scenarios for Africa (IEA’s 2022 World Energy Outlook</w:t>
            </w:r>
            <w:r w:rsidR="00763584">
              <w:rPr>
                <w:rFonts w:ascii="Arial" w:hAnsi="Arial" w:cs="Arial"/>
                <w:sz w:val="20"/>
                <w:szCs w:val="20"/>
              </w:rPr>
              <w:fldChar w:fldCharType="begin"/>
            </w:r>
            <w:r w:rsidR="0016542D">
              <w:rPr>
                <w:rFonts w:ascii="Arial" w:hAnsi="Arial" w:cs="Arial"/>
                <w:sz w:val="20"/>
                <w:szCs w:val="20"/>
              </w:rPr>
              <w:instrText xml:space="preserve"> ADDIN ZOTERO_ITEM CSL_CITATION {"citationID":"9GhpLKoG","properties":{"formattedCitation":"\\super 123\\nosupersub{}","plainCitation":"123","noteIndex":0},"citationItems":[{"id":2203,"uris":["http://zotero.org/users/10918866/items/ZI7Z3GP9"],"itemData":{"id":2203,"type":"report","abstract":"World Energy Outlook 2022 - Analysis and key findings. A report by the International Energy Agency.","language":"en-GB","publisher":"International Energy Agency","publisher-place":"Paris","title":"World Energy Outlook 2022","URL":"https://www.iea.org/reports/world-energy-outlook-2022","author":[{"family":"IEA","given":""}],"accessed":{"date-parts":[["2025",3,24]]},"issued":{"date-parts":[["2022",10,27]]}}}],"schema":"https://github.com/citation-style-language/schema/raw/master/csl-citation.json"} </w:instrText>
            </w:r>
            <w:r w:rsidR="00763584">
              <w:rPr>
                <w:rFonts w:ascii="Arial" w:hAnsi="Arial" w:cs="Arial"/>
                <w:sz w:val="20"/>
                <w:szCs w:val="20"/>
              </w:rPr>
              <w:fldChar w:fldCharType="separate"/>
            </w:r>
            <w:r w:rsidR="00AD40F3" w:rsidRPr="00AD40F3">
              <w:rPr>
                <w:rFonts w:ascii="Arial" w:hAnsi="Arial" w:cs="Arial"/>
                <w:kern w:val="0"/>
                <w:sz w:val="20"/>
                <w:vertAlign w:val="superscript"/>
              </w:rPr>
              <w:t>123</w:t>
            </w:r>
            <w:r w:rsidR="00763584">
              <w:rPr>
                <w:rFonts w:ascii="Arial" w:hAnsi="Arial" w:cs="Arial"/>
                <w:sz w:val="20"/>
                <w:szCs w:val="20"/>
              </w:rPr>
              <w:fldChar w:fldCharType="end"/>
            </w:r>
            <w:r w:rsidRPr="006B2C90">
              <w:rPr>
                <w:rFonts w:ascii="Arial" w:hAnsi="Arial" w:cs="Arial"/>
                <w:sz w:val="20"/>
                <w:szCs w:val="20"/>
              </w:rPr>
              <w:t>). Future capital costs were considered on a weighted average basis, with costs associated with renewable energy technologies and Carbon Capture and Storage-equipped power plants based on below assumed learning rates sourced from IEA</w:t>
            </w:r>
            <w:r w:rsidR="00763584">
              <w:rPr>
                <w:rFonts w:ascii="Arial" w:hAnsi="Arial" w:cs="Arial"/>
                <w:sz w:val="20"/>
                <w:szCs w:val="20"/>
              </w:rPr>
              <w:fldChar w:fldCharType="begin"/>
            </w:r>
            <w:r w:rsidR="0016542D">
              <w:rPr>
                <w:rFonts w:ascii="Arial" w:hAnsi="Arial" w:cs="Arial"/>
                <w:sz w:val="20"/>
                <w:szCs w:val="20"/>
              </w:rPr>
              <w:instrText xml:space="preserve"> ADDIN ZOTERO_ITEM CSL_CITATION {"citationID":"ffLqhNAe","properties":{"formattedCitation":"\\super 123\\nosupersub{}","plainCitation":"123","noteIndex":0},"citationItems":[{"id":2203,"uris":["http://zotero.org/users/10918866/items/ZI7Z3GP9"],"itemData":{"id":2203,"type":"report","abstract":"World Energy Outlook 2022 - Analysis and key findings. A report by the International Energy Agency.","language":"en-GB","publisher":"International Energy Agency","publisher-place":"Paris","title":"World Energy Outlook 2022","URL":"https://www.iea.org/reports/world-energy-outlook-2022","author":[{"family":"IEA","given":""}],"accessed":{"date-parts":[["2025",3,24]]},"issued":{"date-parts":[["2022",10,27]]}}}],"schema":"https://github.com/citation-style-language/schema/raw/master/csl-citation.json"} </w:instrText>
            </w:r>
            <w:r w:rsidR="00763584">
              <w:rPr>
                <w:rFonts w:ascii="Arial" w:hAnsi="Arial" w:cs="Arial"/>
                <w:sz w:val="20"/>
                <w:szCs w:val="20"/>
              </w:rPr>
              <w:fldChar w:fldCharType="separate"/>
            </w:r>
            <w:r w:rsidR="00AD40F3" w:rsidRPr="00AD40F3">
              <w:rPr>
                <w:rFonts w:ascii="Arial" w:hAnsi="Arial" w:cs="Arial"/>
                <w:kern w:val="0"/>
                <w:sz w:val="20"/>
                <w:vertAlign w:val="superscript"/>
              </w:rPr>
              <w:t>123</w:t>
            </w:r>
            <w:r w:rsidR="00763584">
              <w:rPr>
                <w:rFonts w:ascii="Arial" w:hAnsi="Arial" w:cs="Arial"/>
                <w:sz w:val="20"/>
                <w:szCs w:val="20"/>
              </w:rPr>
              <w:fldChar w:fldCharType="end"/>
            </w:r>
            <w:r w:rsidRPr="006B2C90">
              <w:rPr>
                <w:rFonts w:ascii="Arial" w:hAnsi="Arial" w:cs="Arial"/>
                <w:sz w:val="20"/>
                <w:szCs w:val="20"/>
              </w:rPr>
              <w:t>.   </w:t>
            </w:r>
          </w:p>
        </w:tc>
      </w:tr>
      <w:tr w:rsidR="00BE51B1" w:rsidRPr="006B2C90" w14:paraId="7371F8F5" w14:textId="77777777" w:rsidTr="00877C15">
        <w:trPr>
          <w:trHeight w:val="300"/>
        </w:trPr>
        <w:tc>
          <w:tcPr>
            <w:tcW w:w="2400" w:type="dxa"/>
            <w:shd w:val="clear" w:color="auto" w:fill="B7D4EF" w:themeFill="text2" w:themeFillTint="33"/>
            <w:hideMark/>
          </w:tcPr>
          <w:p w14:paraId="2656DF86"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Discount rate</w:t>
            </w:r>
            <w:r w:rsidRPr="006B2C90">
              <w:rPr>
                <w:rFonts w:ascii="Arial" w:hAnsi="Arial" w:cs="Arial"/>
                <w:color w:val="156082" w:themeColor="accent1"/>
                <w:sz w:val="20"/>
                <w:szCs w:val="20"/>
              </w:rPr>
              <w:t> </w:t>
            </w:r>
          </w:p>
        </w:tc>
        <w:tc>
          <w:tcPr>
            <w:tcW w:w="6600" w:type="dxa"/>
            <w:hideMark/>
          </w:tcPr>
          <w:p w14:paraId="6DC9D80A" w14:textId="77777777"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10% </w:t>
            </w:r>
          </w:p>
        </w:tc>
      </w:tr>
      <w:tr w:rsidR="00BE51B1" w:rsidRPr="006B2C90" w14:paraId="7C70A98B" w14:textId="77777777" w:rsidTr="00877C15">
        <w:trPr>
          <w:trHeight w:val="300"/>
        </w:trPr>
        <w:tc>
          <w:tcPr>
            <w:tcW w:w="2400" w:type="dxa"/>
            <w:shd w:val="clear" w:color="auto" w:fill="B7D4EF" w:themeFill="text2" w:themeFillTint="33"/>
            <w:hideMark/>
          </w:tcPr>
          <w:p w14:paraId="7668BC9F" w14:textId="77777777" w:rsidR="00BE51B1" w:rsidRPr="006B2C90" w:rsidRDefault="00BE51B1" w:rsidP="00877C15">
            <w:pPr>
              <w:spacing w:before="20" w:after="40" w:line="264"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Reserve margin</w:t>
            </w:r>
            <w:r w:rsidRPr="006B2C90">
              <w:rPr>
                <w:rFonts w:ascii="Arial" w:hAnsi="Arial" w:cs="Arial"/>
                <w:color w:val="156082" w:themeColor="accent1"/>
                <w:sz w:val="20"/>
                <w:szCs w:val="20"/>
              </w:rPr>
              <w:t> </w:t>
            </w:r>
          </w:p>
        </w:tc>
        <w:tc>
          <w:tcPr>
            <w:tcW w:w="6600" w:type="dxa"/>
            <w:hideMark/>
          </w:tcPr>
          <w:p w14:paraId="2B191613" w14:textId="77777777" w:rsidR="00BE51B1" w:rsidRPr="006B2C90" w:rsidRDefault="00BE51B1" w:rsidP="00877C15">
            <w:pPr>
              <w:spacing w:before="20" w:after="40" w:line="264" w:lineRule="auto"/>
              <w:ind w:left="113" w:right="57"/>
              <w:rPr>
                <w:rFonts w:ascii="Arial" w:hAnsi="Arial" w:cs="Arial"/>
                <w:sz w:val="20"/>
                <w:szCs w:val="20"/>
              </w:rPr>
            </w:pPr>
            <w:r w:rsidRPr="006B2C90">
              <w:rPr>
                <w:rFonts w:ascii="Arial" w:hAnsi="Arial" w:cs="Arial"/>
                <w:sz w:val="20"/>
                <w:szCs w:val="20"/>
              </w:rPr>
              <w:t>10% </w:t>
            </w:r>
          </w:p>
        </w:tc>
      </w:tr>
    </w:tbl>
    <w:p w14:paraId="0925471D" w14:textId="77777777" w:rsidR="00BE51B1" w:rsidRPr="006B2C90" w:rsidRDefault="00BE51B1" w:rsidP="00BE51B1">
      <w:pPr>
        <w:rPr>
          <w:rFonts w:ascii="Arial" w:hAnsi="Arial" w:cs="Arial"/>
        </w:rPr>
      </w:pPr>
      <w:r w:rsidRPr="006B2C90">
        <w:rPr>
          <w:rFonts w:ascii="Arial" w:hAnsi="Arial" w:cs="Arial"/>
        </w:rPr>
        <w:t> </w:t>
      </w:r>
    </w:p>
    <w:p w14:paraId="7625E2B2" w14:textId="77777777" w:rsidR="00BE51B1" w:rsidRPr="006B2C90" w:rsidRDefault="00BE51B1" w:rsidP="00BE51B1">
      <w:pPr>
        <w:rPr>
          <w:rFonts w:ascii="Arial" w:hAnsi="Arial" w:cs="Arial"/>
          <w:b/>
          <w:bCs/>
        </w:rPr>
      </w:pPr>
      <w:r>
        <w:rPr>
          <w:rFonts w:ascii="Arial" w:hAnsi="Arial" w:cs="Arial"/>
          <w:b/>
          <w:bCs/>
        </w:rPr>
        <w:t>5</w:t>
      </w:r>
      <w:r w:rsidRPr="006B2C90">
        <w:rPr>
          <w:rFonts w:ascii="Arial" w:hAnsi="Arial" w:cs="Arial"/>
          <w:b/>
          <w:bCs/>
        </w:rPr>
        <w:t>.2.2 Scenarios were estimated with and without critical minerals processing demand </w:t>
      </w:r>
    </w:p>
    <w:p w14:paraId="2676CB97" w14:textId="77777777" w:rsidR="00BE51B1" w:rsidRPr="006B2C90" w:rsidRDefault="00BE51B1" w:rsidP="00BE51B1">
      <w:pPr>
        <w:jc w:val="both"/>
        <w:rPr>
          <w:rFonts w:ascii="Arial" w:hAnsi="Arial" w:cs="Arial"/>
        </w:rPr>
      </w:pPr>
      <w:r w:rsidRPr="006B2C90">
        <w:rPr>
          <w:rFonts w:ascii="Arial" w:hAnsi="Arial" w:cs="Arial"/>
        </w:rPr>
        <w:t>Once the models were calibrated, they could be used to determine the impact associated with meeting projected demand for critical minerals processing, in terms of capital cost, levelised costs of energy, and carbon emissions. Each model incorporated a reference demand projection scenario. However, due to the increasing marginal cost of energy, a substantial increase in energy demand attributable to critical minerals processing can be expected to raise systemwide energy costs. For countries where the additional demand associated with critical minerals processing was deemed substantial (defined as in excess of five percent of reference demand by the end years</w:t>
      </w:r>
      <w:r>
        <w:rPr>
          <w:rFonts w:ascii="Arial" w:hAnsi="Arial" w:cs="Arial"/>
        </w:rPr>
        <w:t xml:space="preserve"> of </w:t>
      </w:r>
      <w:r w:rsidRPr="006B2C90">
        <w:rPr>
          <w:rFonts w:ascii="Arial" w:hAnsi="Arial" w:cs="Arial"/>
        </w:rPr>
        <w:t>2040), an alternative demand scenario was run to capture these higher costs. To avoid double counting, existing industrial demand projection attributable to the mining sector was ‘stripped out’ of the reference demand projection, before the two demand scenarios were compared.  </w:t>
      </w:r>
    </w:p>
    <w:p w14:paraId="366D1C53" w14:textId="5FE1C85A" w:rsidR="00BE51B1" w:rsidRPr="00D50E86" w:rsidRDefault="00BE51B1" w:rsidP="00BE51B1">
      <w:pPr>
        <w:jc w:val="both"/>
        <w:rPr>
          <w:rFonts w:ascii="Arial" w:hAnsi="Arial" w:cs="Arial"/>
        </w:rPr>
      </w:pPr>
      <w:r w:rsidRPr="00D50E86">
        <w:rPr>
          <w:rFonts w:ascii="Arial" w:hAnsi="Arial" w:cs="Arial"/>
        </w:rPr>
        <w:lastRenderedPageBreak/>
        <w:t xml:space="preserve">As shown in </w:t>
      </w:r>
      <w:r w:rsidR="009C4FF2">
        <w:rPr>
          <w:rFonts w:ascii="Arial" w:hAnsi="Arial" w:cs="Arial"/>
        </w:rPr>
        <w:t xml:space="preserve">Figure 2E in the paper, </w:t>
      </w:r>
      <w:r w:rsidRPr="00D50E86">
        <w:rPr>
          <w:rFonts w:ascii="Arial" w:hAnsi="Arial" w:cs="Arial"/>
        </w:rPr>
        <w:t xml:space="preserve">in some cases (notably, Kenya, </w:t>
      </w:r>
      <w:r w:rsidR="001F65A6">
        <w:rPr>
          <w:rFonts w:ascii="Arial" w:hAnsi="Arial" w:cs="Arial"/>
        </w:rPr>
        <w:t>Uganda</w:t>
      </w:r>
      <w:r w:rsidRPr="00D50E86">
        <w:rPr>
          <w:rFonts w:ascii="Arial" w:hAnsi="Arial" w:cs="Arial"/>
        </w:rPr>
        <w:t xml:space="preserve">, </w:t>
      </w:r>
      <w:r w:rsidR="001F65A6">
        <w:rPr>
          <w:rFonts w:ascii="Arial" w:hAnsi="Arial" w:cs="Arial"/>
        </w:rPr>
        <w:t>South Africa</w:t>
      </w:r>
      <w:r w:rsidRPr="00D50E86">
        <w:rPr>
          <w:rFonts w:ascii="Arial" w:hAnsi="Arial" w:cs="Arial"/>
        </w:rPr>
        <w:t>, Zimbabwe), the incremental demand associated with critical minerals processing is marginal relative to the reference demand scenario and simulations are based on the reference model. However, in other cases (notably, Botswana, Burundi, DRC, Madagascar, Namibia, Tanzania, and Zambia), the incremental demand is substantial, necessitating an alternative modelling scenario where critical minerals processing demand estimated in the preceding step was incorporated into the industrial demand projection. The difference is deemed substantial if critical minerals processing energy needs surpass five percent of projected demand by 2040. </w:t>
      </w:r>
    </w:p>
    <w:p w14:paraId="5BCD71CF" w14:textId="77777777" w:rsidR="00CE6832" w:rsidRPr="006B2C90" w:rsidRDefault="00CE6832" w:rsidP="00BE51B1">
      <w:pPr>
        <w:rPr>
          <w:rFonts w:ascii="Arial" w:hAnsi="Arial" w:cs="Arial"/>
        </w:rPr>
      </w:pPr>
    </w:p>
    <w:p w14:paraId="1AAD3E60" w14:textId="77777777" w:rsidR="00BE51B1" w:rsidRPr="006B2C90" w:rsidRDefault="00BE51B1" w:rsidP="00BE51B1">
      <w:pPr>
        <w:rPr>
          <w:rFonts w:ascii="Arial" w:hAnsi="Arial" w:cs="Arial"/>
          <w:b/>
          <w:bCs/>
        </w:rPr>
      </w:pPr>
      <w:r>
        <w:rPr>
          <w:rFonts w:ascii="Arial" w:hAnsi="Arial" w:cs="Arial"/>
          <w:b/>
          <w:bCs/>
        </w:rPr>
        <w:t>5</w:t>
      </w:r>
      <w:r w:rsidRPr="006B2C90">
        <w:rPr>
          <w:rFonts w:ascii="Arial" w:hAnsi="Arial" w:cs="Arial"/>
          <w:b/>
          <w:bCs/>
        </w:rPr>
        <w:t>.2.3 Power grid performance parameters were calculated for each country </w:t>
      </w:r>
    </w:p>
    <w:p w14:paraId="033EA379" w14:textId="77777777" w:rsidR="00BE51B1" w:rsidRPr="006B2C90" w:rsidRDefault="00BE51B1" w:rsidP="00BE51B1">
      <w:pPr>
        <w:jc w:val="both"/>
        <w:rPr>
          <w:rFonts w:ascii="Arial" w:hAnsi="Arial" w:cs="Arial"/>
        </w:rPr>
      </w:pPr>
      <w:r w:rsidRPr="006B2C90">
        <w:rPr>
          <w:rFonts w:ascii="Arial" w:hAnsi="Arial" w:cs="Arial"/>
        </w:rPr>
        <w:t>National power sector planning models were run using the relevant demand projections for the different scenarios considered in the study. The results of each scenario could be summarised by means of three output parameters. </w:t>
      </w:r>
    </w:p>
    <w:p w14:paraId="15120E16" w14:textId="77777777" w:rsidR="00BE51B1" w:rsidRPr="006B2C90" w:rsidRDefault="00BE51B1" w:rsidP="00BE51B1">
      <w:pPr>
        <w:numPr>
          <w:ilvl w:val="0"/>
          <w:numId w:val="44"/>
        </w:numPr>
        <w:jc w:val="both"/>
        <w:rPr>
          <w:rFonts w:ascii="Arial" w:hAnsi="Arial" w:cs="Arial"/>
        </w:rPr>
      </w:pPr>
      <w:r w:rsidRPr="006B2C90">
        <w:rPr>
          <w:rFonts w:ascii="Arial" w:hAnsi="Arial" w:cs="Arial"/>
          <w:u w:val="single"/>
        </w:rPr>
        <w:t>Average generation capital expenditure</w:t>
      </w:r>
      <w:r w:rsidRPr="006B2C90">
        <w:rPr>
          <w:rFonts w:ascii="Arial" w:hAnsi="Arial" w:cs="Arial"/>
        </w:rPr>
        <w:t xml:space="preserve"> (US$/kW): To determine the average generation capital expenditure, the capital investment for on-grid generating power sector technologies was divided by new capacity additions.  </w:t>
      </w:r>
    </w:p>
    <w:p w14:paraId="70B30D27" w14:textId="18BDA617" w:rsidR="00BE51B1" w:rsidRPr="006B2C90" w:rsidRDefault="00BE51B1" w:rsidP="00BE51B1">
      <w:pPr>
        <w:numPr>
          <w:ilvl w:val="0"/>
          <w:numId w:val="44"/>
        </w:numPr>
        <w:jc w:val="both"/>
        <w:rPr>
          <w:rFonts w:ascii="Arial" w:hAnsi="Arial" w:cs="Arial"/>
        </w:rPr>
      </w:pPr>
      <w:r w:rsidRPr="006B2C90">
        <w:rPr>
          <w:rFonts w:ascii="Arial" w:hAnsi="Arial" w:cs="Arial"/>
          <w:u w:val="single"/>
        </w:rPr>
        <w:t>Average levelised cost of grid energy</w:t>
      </w:r>
      <w:r w:rsidRPr="006B2C90">
        <w:rPr>
          <w:rFonts w:ascii="Arial" w:hAnsi="Arial" w:cs="Arial"/>
        </w:rPr>
        <w:t xml:space="preserve"> (US$/kWh): To determine the average levelised cost of electricity</w:t>
      </w:r>
      <w:r w:rsidR="0016542D">
        <w:rPr>
          <w:rFonts w:ascii="Arial" w:hAnsi="Arial" w:cs="Arial"/>
        </w:rPr>
        <w:t>,</w:t>
      </w:r>
      <w:r w:rsidRPr="006B2C90">
        <w:rPr>
          <w:rFonts w:ascii="Arial" w:hAnsi="Arial" w:cs="Arial"/>
        </w:rPr>
        <w:t xml:space="preserve"> the total discounted system cost of generation and associated high voltage transmission is divided by the total volume of generation</w:t>
      </w:r>
      <w:r w:rsidR="0016542D">
        <w:rPr>
          <w:rFonts w:ascii="Arial" w:hAnsi="Arial" w:cs="Arial"/>
        </w:rPr>
        <w:t xml:space="preserve"> </w:t>
      </w:r>
      <w:r w:rsidR="0016542D" w:rsidRPr="0016542D">
        <w:rPr>
          <w:rFonts w:ascii="Arial" w:hAnsi="Arial" w:cs="Arial"/>
        </w:rPr>
        <w:t>across the modelling period</w:t>
      </w:r>
      <w:r w:rsidRPr="006B2C90">
        <w:rPr>
          <w:rFonts w:ascii="Arial" w:hAnsi="Arial" w:cs="Arial"/>
        </w:rPr>
        <w:t>.  </w:t>
      </w:r>
    </w:p>
    <w:p w14:paraId="200C73A0" w14:textId="1E190430" w:rsidR="00BE51B1" w:rsidRPr="006B2C90" w:rsidRDefault="00BE51B1" w:rsidP="00BE51B1">
      <w:pPr>
        <w:numPr>
          <w:ilvl w:val="0"/>
          <w:numId w:val="44"/>
        </w:numPr>
        <w:tabs>
          <w:tab w:val="clear" w:pos="360"/>
        </w:tabs>
        <w:jc w:val="both"/>
        <w:rPr>
          <w:rFonts w:ascii="Arial" w:hAnsi="Arial" w:cs="Arial"/>
        </w:rPr>
      </w:pPr>
      <w:r w:rsidRPr="006B2C90">
        <w:rPr>
          <w:rFonts w:ascii="Arial" w:hAnsi="Arial" w:cs="Arial"/>
          <w:u w:val="single"/>
        </w:rPr>
        <w:t>Average grid emission factor</w:t>
      </w:r>
      <w:r w:rsidRPr="006B2C90">
        <w:rPr>
          <w:rFonts w:ascii="Arial" w:hAnsi="Arial" w:cs="Arial"/>
        </w:rPr>
        <w:t xml:space="preserve"> (gCO</w:t>
      </w:r>
      <w:r w:rsidRPr="006B2C90">
        <w:rPr>
          <w:rFonts w:ascii="Arial" w:hAnsi="Arial" w:cs="Arial"/>
          <w:vertAlign w:val="subscript"/>
        </w:rPr>
        <w:t>2</w:t>
      </w:r>
      <w:r w:rsidRPr="006B2C90">
        <w:rPr>
          <w:rFonts w:ascii="Arial" w:hAnsi="Arial" w:cs="Arial"/>
        </w:rPr>
        <w:t>eq/kwh): To determine the grid emission factor for each country without accounting for electricity imports, the total power system emissions are divided by the total amount of electricity produced. Total power system emissions are obtained by multiplying the emission factor for each power generation technology by the total volume of electricity generated using that technology</w:t>
      </w:r>
      <w:r>
        <w:rPr>
          <w:rFonts w:ascii="Arial" w:hAnsi="Arial" w:cs="Arial"/>
        </w:rPr>
        <w:t xml:space="preserve"> </w:t>
      </w:r>
      <w:r>
        <w:rPr>
          <w:rFonts w:ascii="Arial" w:hAnsi="Arial" w:cs="Arial"/>
        </w:rPr>
        <w:fldChar w:fldCharType="begin"/>
      </w:r>
      <w:r w:rsidR="00763584">
        <w:rPr>
          <w:rFonts w:ascii="Arial" w:hAnsi="Arial" w:cs="Arial"/>
        </w:rPr>
        <w:instrText xml:space="preserve"> ADDIN ZOTERO_ITEM CSL_CITATION {"citationID":"l98fapd5","properties":{"formattedCitation":"\\super 136\\nosupersub{}","plainCitation":"136","noteIndex":0},"citationItems":[{"id":2201,"uris":["http://zotero.org/users/10918866/items/46QXQ3A6"],"itemData":{"id":2201,"type":"report","title":"Emission Factors","URL":"https://www.epa.gov/sites/default/files/2021-04/documents/emission-factors_apr2021.pdf","author":[{"family":"United States Environmental Protection Agency","given":""}],"accessed":{"date-parts":[["2025",3,24]]},"issued":{"date-parts":[["2021"]]}}}],"schema":"https://github.com/citation-style-language/schema/raw/master/csl-citation.json"} </w:instrText>
      </w:r>
      <w:r>
        <w:rPr>
          <w:rFonts w:ascii="Arial" w:hAnsi="Arial" w:cs="Arial"/>
        </w:rPr>
        <w:fldChar w:fldCharType="separate"/>
      </w:r>
      <w:r w:rsidR="00763584" w:rsidRPr="00763584">
        <w:rPr>
          <w:rFonts w:ascii="Arial" w:hAnsi="Arial" w:cs="Arial"/>
          <w:kern w:val="0"/>
          <w:vertAlign w:val="superscript"/>
        </w:rPr>
        <w:t>136</w:t>
      </w:r>
      <w:r>
        <w:rPr>
          <w:rFonts w:ascii="Arial" w:hAnsi="Arial" w:cs="Arial"/>
        </w:rPr>
        <w:fldChar w:fldCharType="end"/>
      </w:r>
      <w:r w:rsidRPr="006B2C90">
        <w:rPr>
          <w:rFonts w:ascii="Arial" w:hAnsi="Arial" w:cs="Arial"/>
        </w:rPr>
        <w:t>. </w:t>
      </w:r>
    </w:p>
    <w:p w14:paraId="18BC8EAE" w14:textId="1DE72859" w:rsidR="00BE51B1" w:rsidRDefault="00BE51B1" w:rsidP="00BE51B1">
      <w:pPr>
        <w:jc w:val="both"/>
        <w:rPr>
          <w:rFonts w:ascii="Arial" w:hAnsi="Arial" w:cs="Arial"/>
        </w:rPr>
      </w:pPr>
      <w:r w:rsidRPr="006B2C90">
        <w:rPr>
          <w:rFonts w:ascii="Arial" w:hAnsi="Arial" w:cs="Arial"/>
        </w:rPr>
        <w:t xml:space="preserve">The table below provides the resulting values for these three indicators across countries for the </w:t>
      </w:r>
      <w:r w:rsidR="00360CC8" w:rsidRPr="00360CC8">
        <w:rPr>
          <w:rFonts w:ascii="Arial" w:hAnsi="Arial" w:cs="Arial"/>
        </w:rPr>
        <w:t xml:space="preserve">National </w:t>
      </w:r>
      <w:r w:rsidR="00A662B3">
        <w:rPr>
          <w:rFonts w:ascii="Arial" w:hAnsi="Arial" w:cs="Arial"/>
        </w:rPr>
        <w:t>Precursor-Related Product</w:t>
      </w:r>
      <w:r w:rsidR="00360CC8" w:rsidRPr="00360CC8">
        <w:rPr>
          <w:rFonts w:ascii="Arial" w:hAnsi="Arial" w:cs="Arial"/>
        </w:rPr>
        <w:t xml:space="preserve"> </w:t>
      </w:r>
      <w:r w:rsidR="00360CC8">
        <w:rPr>
          <w:rFonts w:ascii="Arial" w:hAnsi="Arial" w:cs="Arial"/>
        </w:rPr>
        <w:t xml:space="preserve">2040 </w:t>
      </w:r>
      <w:r w:rsidR="00360CC8" w:rsidRPr="00360CC8">
        <w:rPr>
          <w:rFonts w:ascii="Arial" w:hAnsi="Arial" w:cs="Arial"/>
        </w:rPr>
        <w:t>Scenario</w:t>
      </w:r>
      <w:r w:rsidRPr="006B2C90">
        <w:rPr>
          <w:rFonts w:ascii="Arial" w:hAnsi="Arial" w:cs="Arial"/>
        </w:rPr>
        <w:t>, given that there was hardly any variation in these parameters across scenarios (</w:t>
      </w:r>
      <w:r w:rsidR="00615C28">
        <w:rPr>
          <w:rFonts w:ascii="Arial" w:hAnsi="Arial" w:cs="Arial"/>
          <w:b/>
          <w:bCs/>
        </w:rPr>
        <w:fldChar w:fldCharType="begin"/>
      </w:r>
      <w:r w:rsidR="00615C28">
        <w:rPr>
          <w:rFonts w:ascii="Arial" w:hAnsi="Arial" w:cs="Arial"/>
        </w:rPr>
        <w:instrText xml:space="preserve"> REF _Ref214453396 \h </w:instrText>
      </w:r>
      <w:r w:rsidR="00615C28">
        <w:rPr>
          <w:rFonts w:ascii="Arial" w:hAnsi="Arial" w:cs="Arial"/>
          <w:b/>
          <w:bCs/>
        </w:rPr>
      </w:r>
      <w:r w:rsidR="00615C28">
        <w:rPr>
          <w:rFonts w:ascii="Arial" w:hAnsi="Arial" w:cs="Arial"/>
          <w:b/>
          <w:bCs/>
        </w:rPr>
        <w:fldChar w:fldCharType="separate"/>
      </w:r>
      <w:r w:rsidR="00615C28">
        <w:t xml:space="preserve">Table </w:t>
      </w:r>
      <w:r w:rsidR="00615C28">
        <w:rPr>
          <w:noProof/>
        </w:rPr>
        <w:t>21</w:t>
      </w:r>
      <w:r w:rsidR="00615C28">
        <w:rPr>
          <w:rFonts w:ascii="Arial" w:hAnsi="Arial" w:cs="Arial"/>
          <w:b/>
          <w:bCs/>
        </w:rPr>
        <w:fldChar w:fldCharType="end"/>
      </w:r>
      <w:r w:rsidRPr="006B2C90">
        <w:rPr>
          <w:rFonts w:ascii="Arial" w:hAnsi="Arial" w:cs="Arial"/>
        </w:rPr>
        <w:t>). In addition, the projected generation mix for each country is graphically represented below for the baseline scenario. </w:t>
      </w:r>
    </w:p>
    <w:p w14:paraId="14BA5C9D" w14:textId="77777777" w:rsidR="00BE51B1" w:rsidRPr="006B2C90" w:rsidRDefault="00BE51B1" w:rsidP="00BE51B1">
      <w:pPr>
        <w:jc w:val="both"/>
        <w:rPr>
          <w:rFonts w:ascii="Arial" w:hAnsi="Arial" w:cs="Arial"/>
        </w:rPr>
      </w:pPr>
    </w:p>
    <w:p w14:paraId="63EFCCC5" w14:textId="00537398" w:rsidR="00360CC8" w:rsidRPr="00A662B3" w:rsidRDefault="00615C28" w:rsidP="00A662B3">
      <w:pPr>
        <w:pStyle w:val="Caption"/>
      </w:pPr>
      <w:bookmarkStart w:id="128" w:name="_Ref214453396"/>
      <w:bookmarkStart w:id="129" w:name="_Toc211509416"/>
      <w:r>
        <w:t xml:space="preserve">Table </w:t>
      </w:r>
      <w:fldSimple w:instr=" SEQ Table \* ARABIC ">
        <w:r>
          <w:t>21</w:t>
        </w:r>
      </w:fldSimple>
      <w:bookmarkEnd w:id="128"/>
      <w:r w:rsidR="00BE51B1" w:rsidRPr="00CE6832">
        <w:t xml:space="preserve">: Summary of power grid performance parameters by country and scenario (National </w:t>
      </w:r>
      <w:r w:rsidR="00100A15">
        <w:t>Precursor</w:t>
      </w:r>
      <w:r w:rsidR="00A662B3">
        <w:t>-Related Product</w:t>
      </w:r>
      <w:r w:rsidR="00100A15">
        <w:t xml:space="preserve"> </w:t>
      </w:r>
      <w:r w:rsidR="00BE51B1" w:rsidRPr="00CE6832">
        <w:t>Scenario by 2040)</w:t>
      </w:r>
      <w:bookmarkEnd w:id="129"/>
    </w:p>
    <w:tbl>
      <w:tblPr>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2190"/>
        <w:gridCol w:w="2100"/>
        <w:gridCol w:w="3060"/>
      </w:tblGrid>
      <w:tr w:rsidR="00100A15" w14:paraId="6938EFD6" w14:textId="77777777" w:rsidTr="00877C15">
        <w:trPr>
          <w:trHeight w:val="1230"/>
        </w:trPr>
        <w:tc>
          <w:tcPr>
            <w:tcW w:w="1710" w:type="dxa"/>
            <w:tcBorders>
              <w:top w:val="single" w:sz="8" w:space="0" w:color="000000"/>
              <w:left w:val="single" w:sz="8" w:space="0" w:color="000000"/>
              <w:bottom w:val="single" w:sz="8" w:space="0" w:color="000000"/>
              <w:right w:val="single" w:sz="8" w:space="0" w:color="000000"/>
            </w:tcBorders>
            <w:shd w:val="clear" w:color="auto" w:fill="D5DCE4"/>
            <w:tcMar>
              <w:top w:w="0" w:type="dxa"/>
              <w:left w:w="0" w:type="dxa"/>
              <w:bottom w:w="0" w:type="dxa"/>
              <w:right w:w="0" w:type="dxa"/>
            </w:tcMar>
          </w:tcPr>
          <w:p w14:paraId="59F28221" w14:textId="77777777" w:rsidR="00100A15" w:rsidRDefault="00100A15" w:rsidP="00877C15">
            <w:pPr>
              <w:spacing w:line="256" w:lineRule="auto"/>
              <w:jc w:val="both"/>
            </w:pPr>
          </w:p>
        </w:tc>
        <w:tc>
          <w:tcPr>
            <w:tcW w:w="2190" w:type="dxa"/>
            <w:tcBorders>
              <w:top w:val="single" w:sz="8" w:space="0" w:color="000000"/>
              <w:bottom w:val="single" w:sz="8" w:space="0" w:color="000000"/>
              <w:right w:val="single" w:sz="8" w:space="0" w:color="000000"/>
            </w:tcBorders>
            <w:shd w:val="clear" w:color="auto" w:fill="D5DCE4"/>
            <w:tcMar>
              <w:top w:w="0" w:type="dxa"/>
              <w:left w:w="0" w:type="dxa"/>
              <w:bottom w:w="0" w:type="dxa"/>
              <w:right w:w="0" w:type="dxa"/>
            </w:tcMar>
          </w:tcPr>
          <w:p w14:paraId="47770873" w14:textId="77777777" w:rsidR="00100A15" w:rsidRPr="00100A15" w:rsidRDefault="00100A15" w:rsidP="00100A15">
            <w:pPr>
              <w:spacing w:beforeLines="20" w:before="48" w:afterLines="20" w:after="48" w:line="240" w:lineRule="auto"/>
              <w:ind w:left="57" w:right="57"/>
              <w:rPr>
                <w:rFonts w:ascii="Arial" w:hAnsi="Arial" w:cs="Arial"/>
                <w:b/>
                <w:bCs/>
                <w:color w:val="156082" w:themeColor="accent1"/>
                <w:sz w:val="20"/>
                <w:szCs w:val="20"/>
                <w:lang w:val="en-US"/>
              </w:rPr>
            </w:pPr>
            <w:r w:rsidRPr="00100A15">
              <w:rPr>
                <w:rFonts w:ascii="Arial" w:hAnsi="Arial" w:cs="Arial"/>
                <w:b/>
                <w:bCs/>
                <w:color w:val="156082" w:themeColor="accent1"/>
                <w:sz w:val="20"/>
                <w:szCs w:val="20"/>
                <w:lang w:val="en-US"/>
              </w:rPr>
              <w:t xml:space="preserve">Average generating capex ($/KW) </w:t>
            </w:r>
          </w:p>
        </w:tc>
        <w:tc>
          <w:tcPr>
            <w:tcW w:w="2100" w:type="dxa"/>
            <w:tcBorders>
              <w:top w:val="single" w:sz="8" w:space="0" w:color="000000"/>
              <w:bottom w:val="single" w:sz="8" w:space="0" w:color="000000"/>
              <w:right w:val="single" w:sz="8" w:space="0" w:color="000000"/>
            </w:tcBorders>
            <w:shd w:val="clear" w:color="auto" w:fill="D5DCE4"/>
            <w:tcMar>
              <w:top w:w="0" w:type="dxa"/>
              <w:left w:w="0" w:type="dxa"/>
              <w:bottom w:w="0" w:type="dxa"/>
              <w:right w:w="0" w:type="dxa"/>
            </w:tcMar>
          </w:tcPr>
          <w:p w14:paraId="3C8C0329" w14:textId="77777777" w:rsidR="00100A15" w:rsidRPr="00100A15" w:rsidRDefault="00100A15" w:rsidP="00100A15">
            <w:pPr>
              <w:spacing w:beforeLines="20" w:before="48" w:afterLines="20" w:after="48" w:line="240" w:lineRule="auto"/>
              <w:ind w:left="57" w:right="57"/>
              <w:rPr>
                <w:rFonts w:ascii="Arial" w:hAnsi="Arial" w:cs="Arial"/>
                <w:b/>
                <w:bCs/>
                <w:color w:val="156082" w:themeColor="accent1"/>
                <w:sz w:val="20"/>
                <w:szCs w:val="20"/>
                <w:lang w:val="en-US"/>
              </w:rPr>
            </w:pPr>
            <w:r w:rsidRPr="00100A15">
              <w:rPr>
                <w:rFonts w:ascii="Arial" w:hAnsi="Arial" w:cs="Arial"/>
                <w:b/>
                <w:bCs/>
                <w:color w:val="156082" w:themeColor="accent1"/>
                <w:sz w:val="20"/>
                <w:szCs w:val="20"/>
                <w:lang w:val="en-US"/>
              </w:rPr>
              <w:t xml:space="preserve">Levelised Cost of Energy (LCOE) for generation and transmission ($/KWh) </w:t>
            </w:r>
          </w:p>
        </w:tc>
        <w:tc>
          <w:tcPr>
            <w:tcW w:w="3060" w:type="dxa"/>
            <w:tcBorders>
              <w:top w:val="single" w:sz="8" w:space="0" w:color="000000"/>
              <w:bottom w:val="single" w:sz="8" w:space="0" w:color="000000"/>
              <w:right w:val="single" w:sz="8" w:space="0" w:color="000000"/>
            </w:tcBorders>
            <w:shd w:val="clear" w:color="auto" w:fill="D5DCE4"/>
            <w:tcMar>
              <w:top w:w="0" w:type="dxa"/>
              <w:left w:w="0" w:type="dxa"/>
              <w:bottom w:w="0" w:type="dxa"/>
              <w:right w:w="0" w:type="dxa"/>
            </w:tcMar>
          </w:tcPr>
          <w:p w14:paraId="62621E80" w14:textId="77777777" w:rsidR="00100A15" w:rsidRPr="00100A15" w:rsidRDefault="00100A15" w:rsidP="00100A15">
            <w:pPr>
              <w:spacing w:beforeLines="20" w:before="48" w:afterLines="20" w:after="48" w:line="240" w:lineRule="auto"/>
              <w:ind w:left="57" w:right="57"/>
              <w:rPr>
                <w:rFonts w:ascii="Arial" w:hAnsi="Arial" w:cs="Arial"/>
                <w:b/>
                <w:bCs/>
                <w:color w:val="156082" w:themeColor="accent1"/>
                <w:sz w:val="20"/>
                <w:szCs w:val="20"/>
                <w:lang w:val="en-US"/>
              </w:rPr>
            </w:pPr>
            <w:r w:rsidRPr="00100A15">
              <w:rPr>
                <w:rFonts w:ascii="Arial" w:hAnsi="Arial" w:cs="Arial"/>
                <w:b/>
                <w:bCs/>
                <w:color w:val="156082" w:themeColor="accent1"/>
                <w:sz w:val="20"/>
                <w:szCs w:val="20"/>
                <w:lang w:val="en-US"/>
              </w:rPr>
              <w:t>Average power grid carbon emission factor (gCO</w:t>
            </w:r>
            <w:r w:rsidRPr="00512D82">
              <w:rPr>
                <w:rFonts w:ascii="Arial" w:hAnsi="Arial" w:cs="Arial"/>
                <w:b/>
                <w:bCs/>
                <w:color w:val="156082" w:themeColor="accent1"/>
                <w:sz w:val="20"/>
                <w:szCs w:val="20"/>
                <w:vertAlign w:val="subscript"/>
                <w:lang w:val="en-US"/>
              </w:rPr>
              <w:t>2eq</w:t>
            </w:r>
            <w:r w:rsidRPr="00100A15">
              <w:rPr>
                <w:rFonts w:ascii="Arial" w:hAnsi="Arial" w:cs="Arial"/>
                <w:b/>
                <w:bCs/>
                <w:color w:val="156082" w:themeColor="accent1"/>
                <w:sz w:val="20"/>
                <w:szCs w:val="20"/>
                <w:lang w:val="en-US"/>
              </w:rPr>
              <w:t xml:space="preserve">/kWh) </w:t>
            </w:r>
          </w:p>
        </w:tc>
      </w:tr>
      <w:tr w:rsidR="00100A15" w14:paraId="5437B9AD"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4855CEB1"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lastRenderedPageBreak/>
              <w:t>Angola</w:t>
            </w:r>
          </w:p>
        </w:tc>
        <w:tc>
          <w:tcPr>
            <w:tcW w:w="2190" w:type="dxa"/>
            <w:tcBorders>
              <w:bottom w:val="single" w:sz="8" w:space="0" w:color="000000"/>
              <w:right w:val="single" w:sz="8" w:space="0" w:color="000000"/>
            </w:tcBorders>
            <w:tcMar>
              <w:top w:w="0" w:type="dxa"/>
              <w:left w:w="0" w:type="dxa"/>
              <w:bottom w:w="0" w:type="dxa"/>
              <w:right w:w="0" w:type="dxa"/>
            </w:tcMar>
          </w:tcPr>
          <w:p w14:paraId="1EE72FFF"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1641.00</w:t>
            </w:r>
          </w:p>
        </w:tc>
        <w:tc>
          <w:tcPr>
            <w:tcW w:w="2100" w:type="dxa"/>
            <w:tcBorders>
              <w:bottom w:val="single" w:sz="8" w:space="0" w:color="000000"/>
              <w:right w:val="single" w:sz="8" w:space="0" w:color="000000"/>
            </w:tcBorders>
            <w:tcMar>
              <w:top w:w="0" w:type="dxa"/>
              <w:left w:w="0" w:type="dxa"/>
              <w:bottom w:w="0" w:type="dxa"/>
              <w:right w:w="0" w:type="dxa"/>
            </w:tcMar>
          </w:tcPr>
          <w:p w14:paraId="26291F5B"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0.06</w:t>
            </w:r>
          </w:p>
        </w:tc>
        <w:tc>
          <w:tcPr>
            <w:tcW w:w="3060" w:type="dxa"/>
            <w:tcBorders>
              <w:bottom w:val="single" w:sz="8" w:space="0" w:color="000000"/>
              <w:right w:val="single" w:sz="8" w:space="0" w:color="000000"/>
            </w:tcBorders>
            <w:tcMar>
              <w:top w:w="0" w:type="dxa"/>
              <w:left w:w="0" w:type="dxa"/>
              <w:bottom w:w="0" w:type="dxa"/>
              <w:right w:w="0" w:type="dxa"/>
            </w:tcMar>
          </w:tcPr>
          <w:p w14:paraId="12A4B81C"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127.36</w:t>
            </w:r>
          </w:p>
        </w:tc>
      </w:tr>
      <w:tr w:rsidR="00100A15" w14:paraId="53E495CB"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78DB01D4"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 xml:space="preserve">Botswana </w:t>
            </w:r>
          </w:p>
        </w:tc>
        <w:tc>
          <w:tcPr>
            <w:tcW w:w="2190" w:type="dxa"/>
            <w:tcBorders>
              <w:bottom w:val="single" w:sz="8" w:space="0" w:color="000000"/>
              <w:right w:val="single" w:sz="8" w:space="0" w:color="000000"/>
            </w:tcBorders>
            <w:tcMar>
              <w:top w:w="0" w:type="dxa"/>
              <w:left w:w="0" w:type="dxa"/>
              <w:bottom w:w="0" w:type="dxa"/>
              <w:right w:w="0" w:type="dxa"/>
            </w:tcMar>
          </w:tcPr>
          <w:p w14:paraId="04E21602"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694.35</w:t>
            </w:r>
          </w:p>
        </w:tc>
        <w:tc>
          <w:tcPr>
            <w:tcW w:w="2100" w:type="dxa"/>
            <w:tcBorders>
              <w:bottom w:val="single" w:sz="8" w:space="0" w:color="000000"/>
              <w:right w:val="single" w:sz="8" w:space="0" w:color="000000"/>
            </w:tcBorders>
            <w:tcMar>
              <w:top w:w="0" w:type="dxa"/>
              <w:left w:w="0" w:type="dxa"/>
              <w:bottom w:w="0" w:type="dxa"/>
              <w:right w:w="0" w:type="dxa"/>
            </w:tcMar>
          </w:tcPr>
          <w:p w14:paraId="70730518"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0.10</w:t>
            </w:r>
          </w:p>
        </w:tc>
        <w:tc>
          <w:tcPr>
            <w:tcW w:w="3060" w:type="dxa"/>
            <w:tcBorders>
              <w:bottom w:val="single" w:sz="8" w:space="0" w:color="000000"/>
              <w:right w:val="single" w:sz="8" w:space="0" w:color="000000"/>
            </w:tcBorders>
            <w:tcMar>
              <w:top w:w="0" w:type="dxa"/>
              <w:left w:w="0" w:type="dxa"/>
              <w:bottom w:w="0" w:type="dxa"/>
              <w:right w:w="0" w:type="dxa"/>
            </w:tcMar>
          </w:tcPr>
          <w:p w14:paraId="079756AB"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213.99 </w:t>
            </w:r>
          </w:p>
        </w:tc>
      </w:tr>
      <w:tr w:rsidR="00100A15" w14:paraId="0BB236DC"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03536504"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Burundi</w:t>
            </w:r>
          </w:p>
        </w:tc>
        <w:tc>
          <w:tcPr>
            <w:tcW w:w="2190" w:type="dxa"/>
            <w:tcBorders>
              <w:bottom w:val="single" w:sz="8" w:space="0" w:color="000000"/>
              <w:right w:val="single" w:sz="8" w:space="0" w:color="000000"/>
            </w:tcBorders>
            <w:tcMar>
              <w:top w:w="0" w:type="dxa"/>
              <w:left w:w="0" w:type="dxa"/>
              <w:bottom w:w="0" w:type="dxa"/>
              <w:right w:w="0" w:type="dxa"/>
            </w:tcMar>
          </w:tcPr>
          <w:p w14:paraId="3156FCE2"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822.03</w:t>
            </w:r>
          </w:p>
        </w:tc>
        <w:tc>
          <w:tcPr>
            <w:tcW w:w="2100" w:type="dxa"/>
            <w:tcBorders>
              <w:bottom w:val="single" w:sz="8" w:space="0" w:color="000000"/>
              <w:right w:val="single" w:sz="8" w:space="0" w:color="000000"/>
            </w:tcBorders>
            <w:tcMar>
              <w:top w:w="0" w:type="dxa"/>
              <w:left w:w="0" w:type="dxa"/>
              <w:bottom w:w="0" w:type="dxa"/>
              <w:right w:w="0" w:type="dxa"/>
            </w:tcMar>
          </w:tcPr>
          <w:p w14:paraId="713026F1"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0.16  </w:t>
            </w:r>
          </w:p>
        </w:tc>
        <w:tc>
          <w:tcPr>
            <w:tcW w:w="3060" w:type="dxa"/>
            <w:tcBorders>
              <w:bottom w:val="single" w:sz="8" w:space="0" w:color="000000"/>
              <w:right w:val="single" w:sz="8" w:space="0" w:color="000000"/>
            </w:tcBorders>
            <w:tcMar>
              <w:top w:w="0" w:type="dxa"/>
              <w:left w:w="0" w:type="dxa"/>
              <w:bottom w:w="0" w:type="dxa"/>
              <w:right w:w="0" w:type="dxa"/>
            </w:tcMar>
          </w:tcPr>
          <w:p w14:paraId="5F52EF46"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18.13  </w:t>
            </w:r>
          </w:p>
        </w:tc>
      </w:tr>
      <w:tr w:rsidR="00100A15" w14:paraId="4B59AB3D"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4EEF5503"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DRC</w:t>
            </w:r>
          </w:p>
        </w:tc>
        <w:tc>
          <w:tcPr>
            <w:tcW w:w="2190" w:type="dxa"/>
            <w:tcBorders>
              <w:bottom w:val="single" w:sz="8" w:space="0" w:color="000000"/>
              <w:right w:val="single" w:sz="8" w:space="0" w:color="000000"/>
            </w:tcBorders>
            <w:tcMar>
              <w:top w:w="0" w:type="dxa"/>
              <w:left w:w="0" w:type="dxa"/>
              <w:bottom w:w="0" w:type="dxa"/>
              <w:right w:w="0" w:type="dxa"/>
            </w:tcMar>
          </w:tcPr>
          <w:p w14:paraId="4E9D2BAE"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2029.51  </w:t>
            </w:r>
          </w:p>
        </w:tc>
        <w:tc>
          <w:tcPr>
            <w:tcW w:w="2100" w:type="dxa"/>
            <w:tcBorders>
              <w:bottom w:val="single" w:sz="8" w:space="0" w:color="000000"/>
              <w:right w:val="single" w:sz="8" w:space="0" w:color="000000"/>
            </w:tcBorders>
            <w:tcMar>
              <w:top w:w="0" w:type="dxa"/>
              <w:left w:w="0" w:type="dxa"/>
              <w:bottom w:w="0" w:type="dxa"/>
              <w:right w:w="0" w:type="dxa"/>
            </w:tcMar>
          </w:tcPr>
          <w:p w14:paraId="7EA19902"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0.10  </w:t>
            </w:r>
          </w:p>
        </w:tc>
        <w:tc>
          <w:tcPr>
            <w:tcW w:w="3060" w:type="dxa"/>
            <w:tcBorders>
              <w:bottom w:val="single" w:sz="8" w:space="0" w:color="000000"/>
              <w:right w:val="single" w:sz="8" w:space="0" w:color="000000"/>
            </w:tcBorders>
            <w:tcMar>
              <w:top w:w="0" w:type="dxa"/>
              <w:left w:w="0" w:type="dxa"/>
              <w:bottom w:w="0" w:type="dxa"/>
              <w:right w:w="0" w:type="dxa"/>
            </w:tcMar>
          </w:tcPr>
          <w:p w14:paraId="1877EA06"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13.91   </w:t>
            </w:r>
          </w:p>
        </w:tc>
      </w:tr>
      <w:tr w:rsidR="00100A15" w14:paraId="34E6CC14"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4A0B32CE"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 xml:space="preserve">Kenya </w:t>
            </w:r>
          </w:p>
        </w:tc>
        <w:tc>
          <w:tcPr>
            <w:tcW w:w="2190" w:type="dxa"/>
            <w:tcBorders>
              <w:bottom w:val="single" w:sz="8" w:space="0" w:color="000000"/>
              <w:right w:val="single" w:sz="8" w:space="0" w:color="000000"/>
            </w:tcBorders>
            <w:tcMar>
              <w:top w:w="0" w:type="dxa"/>
              <w:left w:w="0" w:type="dxa"/>
              <w:bottom w:w="0" w:type="dxa"/>
              <w:right w:w="0" w:type="dxa"/>
            </w:tcMar>
          </w:tcPr>
          <w:p w14:paraId="2AA8D50A"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2251.64</w:t>
            </w:r>
          </w:p>
        </w:tc>
        <w:tc>
          <w:tcPr>
            <w:tcW w:w="2100" w:type="dxa"/>
            <w:tcBorders>
              <w:bottom w:val="single" w:sz="8" w:space="0" w:color="000000"/>
              <w:right w:val="single" w:sz="8" w:space="0" w:color="000000"/>
            </w:tcBorders>
            <w:tcMar>
              <w:top w:w="0" w:type="dxa"/>
              <w:left w:w="0" w:type="dxa"/>
              <w:bottom w:w="0" w:type="dxa"/>
              <w:right w:w="0" w:type="dxa"/>
            </w:tcMar>
          </w:tcPr>
          <w:p w14:paraId="2A01B00F"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0.04  </w:t>
            </w:r>
          </w:p>
        </w:tc>
        <w:tc>
          <w:tcPr>
            <w:tcW w:w="3060" w:type="dxa"/>
            <w:tcBorders>
              <w:bottom w:val="single" w:sz="8" w:space="0" w:color="000000"/>
              <w:right w:val="single" w:sz="8" w:space="0" w:color="000000"/>
            </w:tcBorders>
            <w:tcMar>
              <w:top w:w="0" w:type="dxa"/>
              <w:left w:w="0" w:type="dxa"/>
              <w:bottom w:w="0" w:type="dxa"/>
              <w:right w:w="0" w:type="dxa"/>
            </w:tcMar>
          </w:tcPr>
          <w:p w14:paraId="1DCBF79C"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14.41  </w:t>
            </w:r>
          </w:p>
        </w:tc>
      </w:tr>
      <w:tr w:rsidR="00100A15" w14:paraId="309CEC06"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152FDBC8"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Madagascar</w:t>
            </w:r>
          </w:p>
        </w:tc>
        <w:tc>
          <w:tcPr>
            <w:tcW w:w="2190" w:type="dxa"/>
            <w:tcBorders>
              <w:bottom w:val="single" w:sz="8" w:space="0" w:color="000000"/>
              <w:right w:val="single" w:sz="8" w:space="0" w:color="000000"/>
            </w:tcBorders>
            <w:tcMar>
              <w:top w:w="0" w:type="dxa"/>
              <w:left w:w="0" w:type="dxa"/>
              <w:bottom w:w="0" w:type="dxa"/>
              <w:right w:w="0" w:type="dxa"/>
            </w:tcMar>
          </w:tcPr>
          <w:p w14:paraId="680F4A31"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1575.54</w:t>
            </w:r>
          </w:p>
        </w:tc>
        <w:tc>
          <w:tcPr>
            <w:tcW w:w="2100" w:type="dxa"/>
            <w:tcBorders>
              <w:bottom w:val="single" w:sz="8" w:space="0" w:color="000000"/>
              <w:right w:val="single" w:sz="8" w:space="0" w:color="000000"/>
            </w:tcBorders>
            <w:tcMar>
              <w:top w:w="0" w:type="dxa"/>
              <w:left w:w="0" w:type="dxa"/>
              <w:bottom w:w="0" w:type="dxa"/>
              <w:right w:w="0" w:type="dxa"/>
            </w:tcMar>
          </w:tcPr>
          <w:p w14:paraId="2D9E1F08"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0.07</w:t>
            </w:r>
          </w:p>
        </w:tc>
        <w:tc>
          <w:tcPr>
            <w:tcW w:w="3060" w:type="dxa"/>
            <w:tcBorders>
              <w:bottom w:val="single" w:sz="8" w:space="0" w:color="000000"/>
              <w:right w:val="single" w:sz="8" w:space="0" w:color="000000"/>
            </w:tcBorders>
            <w:tcMar>
              <w:top w:w="0" w:type="dxa"/>
              <w:left w:w="0" w:type="dxa"/>
              <w:bottom w:w="0" w:type="dxa"/>
              <w:right w:w="0" w:type="dxa"/>
            </w:tcMar>
          </w:tcPr>
          <w:p w14:paraId="26193898"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97.66</w:t>
            </w:r>
          </w:p>
        </w:tc>
      </w:tr>
      <w:tr w:rsidR="00100A15" w14:paraId="0746122D"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0F175CA1"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Malawi</w:t>
            </w:r>
          </w:p>
        </w:tc>
        <w:tc>
          <w:tcPr>
            <w:tcW w:w="2190" w:type="dxa"/>
            <w:tcBorders>
              <w:bottom w:val="single" w:sz="8" w:space="0" w:color="000000"/>
              <w:right w:val="single" w:sz="8" w:space="0" w:color="000000"/>
            </w:tcBorders>
            <w:tcMar>
              <w:top w:w="0" w:type="dxa"/>
              <w:left w:w="0" w:type="dxa"/>
              <w:bottom w:w="0" w:type="dxa"/>
              <w:right w:w="0" w:type="dxa"/>
            </w:tcMar>
          </w:tcPr>
          <w:p w14:paraId="0E4933AE"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1540.11</w:t>
            </w:r>
          </w:p>
        </w:tc>
        <w:tc>
          <w:tcPr>
            <w:tcW w:w="2100" w:type="dxa"/>
            <w:tcBorders>
              <w:bottom w:val="single" w:sz="8" w:space="0" w:color="000000"/>
              <w:right w:val="single" w:sz="8" w:space="0" w:color="000000"/>
            </w:tcBorders>
            <w:tcMar>
              <w:top w:w="0" w:type="dxa"/>
              <w:left w:w="0" w:type="dxa"/>
              <w:bottom w:w="0" w:type="dxa"/>
              <w:right w:w="0" w:type="dxa"/>
            </w:tcMar>
          </w:tcPr>
          <w:p w14:paraId="29504D9D"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0.05   </w:t>
            </w:r>
          </w:p>
        </w:tc>
        <w:tc>
          <w:tcPr>
            <w:tcW w:w="3060" w:type="dxa"/>
            <w:tcBorders>
              <w:bottom w:val="single" w:sz="8" w:space="0" w:color="000000"/>
              <w:right w:val="single" w:sz="8" w:space="0" w:color="000000"/>
            </w:tcBorders>
            <w:tcMar>
              <w:top w:w="0" w:type="dxa"/>
              <w:left w:w="0" w:type="dxa"/>
              <w:bottom w:w="0" w:type="dxa"/>
              <w:right w:w="0" w:type="dxa"/>
            </w:tcMar>
          </w:tcPr>
          <w:p w14:paraId="08BE4ABE"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14.48 </w:t>
            </w:r>
          </w:p>
        </w:tc>
      </w:tr>
      <w:tr w:rsidR="00100A15" w14:paraId="42702FEC"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2633EFD6"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Mozambique</w:t>
            </w:r>
          </w:p>
        </w:tc>
        <w:tc>
          <w:tcPr>
            <w:tcW w:w="2190" w:type="dxa"/>
            <w:tcBorders>
              <w:bottom w:val="single" w:sz="8" w:space="0" w:color="000000"/>
              <w:right w:val="single" w:sz="8" w:space="0" w:color="000000"/>
            </w:tcBorders>
            <w:tcMar>
              <w:top w:w="0" w:type="dxa"/>
              <w:left w:w="0" w:type="dxa"/>
              <w:bottom w:w="0" w:type="dxa"/>
              <w:right w:w="0" w:type="dxa"/>
            </w:tcMar>
          </w:tcPr>
          <w:p w14:paraId="3184B404"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1205.87  </w:t>
            </w:r>
          </w:p>
        </w:tc>
        <w:tc>
          <w:tcPr>
            <w:tcW w:w="2100" w:type="dxa"/>
            <w:tcBorders>
              <w:bottom w:val="single" w:sz="8" w:space="0" w:color="000000"/>
              <w:right w:val="single" w:sz="8" w:space="0" w:color="000000"/>
            </w:tcBorders>
            <w:tcMar>
              <w:top w:w="0" w:type="dxa"/>
              <w:left w:w="0" w:type="dxa"/>
              <w:bottom w:w="0" w:type="dxa"/>
              <w:right w:w="0" w:type="dxa"/>
            </w:tcMar>
          </w:tcPr>
          <w:p w14:paraId="4AFADE09"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0.04</w:t>
            </w:r>
          </w:p>
        </w:tc>
        <w:tc>
          <w:tcPr>
            <w:tcW w:w="3060" w:type="dxa"/>
            <w:tcBorders>
              <w:bottom w:val="single" w:sz="8" w:space="0" w:color="000000"/>
              <w:right w:val="single" w:sz="8" w:space="0" w:color="000000"/>
            </w:tcBorders>
            <w:tcMar>
              <w:top w:w="0" w:type="dxa"/>
              <w:left w:w="0" w:type="dxa"/>
              <w:bottom w:w="0" w:type="dxa"/>
              <w:right w:w="0" w:type="dxa"/>
            </w:tcMar>
          </w:tcPr>
          <w:p w14:paraId="1524DE48"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80.61  </w:t>
            </w:r>
          </w:p>
        </w:tc>
      </w:tr>
      <w:tr w:rsidR="00100A15" w14:paraId="74F6C6A2"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64EB3A50"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Namibia</w:t>
            </w:r>
          </w:p>
        </w:tc>
        <w:tc>
          <w:tcPr>
            <w:tcW w:w="2190" w:type="dxa"/>
            <w:tcBorders>
              <w:bottom w:val="single" w:sz="8" w:space="0" w:color="000000"/>
              <w:right w:val="single" w:sz="8" w:space="0" w:color="000000"/>
            </w:tcBorders>
            <w:tcMar>
              <w:top w:w="0" w:type="dxa"/>
              <w:left w:w="0" w:type="dxa"/>
              <w:bottom w:w="0" w:type="dxa"/>
              <w:right w:w="0" w:type="dxa"/>
            </w:tcMar>
          </w:tcPr>
          <w:p w14:paraId="2F28F724"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1259.17</w:t>
            </w:r>
          </w:p>
        </w:tc>
        <w:tc>
          <w:tcPr>
            <w:tcW w:w="2100" w:type="dxa"/>
            <w:tcBorders>
              <w:bottom w:val="single" w:sz="8" w:space="0" w:color="000000"/>
              <w:right w:val="single" w:sz="8" w:space="0" w:color="000000"/>
            </w:tcBorders>
            <w:tcMar>
              <w:top w:w="0" w:type="dxa"/>
              <w:left w:w="0" w:type="dxa"/>
              <w:bottom w:w="0" w:type="dxa"/>
              <w:right w:w="0" w:type="dxa"/>
            </w:tcMar>
          </w:tcPr>
          <w:p w14:paraId="519DDF04"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0.06</w:t>
            </w:r>
          </w:p>
        </w:tc>
        <w:tc>
          <w:tcPr>
            <w:tcW w:w="3060" w:type="dxa"/>
            <w:tcBorders>
              <w:bottom w:val="single" w:sz="8" w:space="0" w:color="000000"/>
              <w:right w:val="single" w:sz="8" w:space="0" w:color="000000"/>
            </w:tcBorders>
            <w:tcMar>
              <w:top w:w="0" w:type="dxa"/>
              <w:left w:w="0" w:type="dxa"/>
              <w:bottom w:w="0" w:type="dxa"/>
              <w:right w:w="0" w:type="dxa"/>
            </w:tcMar>
          </w:tcPr>
          <w:p w14:paraId="30818C79"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154.33  </w:t>
            </w:r>
          </w:p>
        </w:tc>
      </w:tr>
      <w:tr w:rsidR="00100A15" w14:paraId="24D60392"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3A2F3C66"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South Africa</w:t>
            </w:r>
          </w:p>
        </w:tc>
        <w:tc>
          <w:tcPr>
            <w:tcW w:w="2190" w:type="dxa"/>
            <w:tcBorders>
              <w:bottom w:val="single" w:sz="8" w:space="0" w:color="000000"/>
              <w:right w:val="single" w:sz="8" w:space="0" w:color="000000"/>
            </w:tcBorders>
            <w:tcMar>
              <w:top w:w="0" w:type="dxa"/>
              <w:left w:w="0" w:type="dxa"/>
              <w:bottom w:w="0" w:type="dxa"/>
              <w:right w:w="0" w:type="dxa"/>
            </w:tcMar>
          </w:tcPr>
          <w:p w14:paraId="412CDF29"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624.38</w:t>
            </w:r>
          </w:p>
        </w:tc>
        <w:tc>
          <w:tcPr>
            <w:tcW w:w="2100" w:type="dxa"/>
            <w:tcBorders>
              <w:bottom w:val="single" w:sz="8" w:space="0" w:color="000000"/>
              <w:right w:val="single" w:sz="8" w:space="0" w:color="000000"/>
            </w:tcBorders>
            <w:tcMar>
              <w:top w:w="0" w:type="dxa"/>
              <w:left w:w="0" w:type="dxa"/>
              <w:bottom w:w="0" w:type="dxa"/>
              <w:right w:w="0" w:type="dxa"/>
            </w:tcMar>
          </w:tcPr>
          <w:p w14:paraId="7179F405"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0.06</w:t>
            </w:r>
          </w:p>
        </w:tc>
        <w:tc>
          <w:tcPr>
            <w:tcW w:w="3060" w:type="dxa"/>
            <w:tcBorders>
              <w:bottom w:val="single" w:sz="8" w:space="0" w:color="000000"/>
              <w:right w:val="single" w:sz="8" w:space="0" w:color="000000"/>
            </w:tcBorders>
            <w:tcMar>
              <w:top w:w="0" w:type="dxa"/>
              <w:left w:w="0" w:type="dxa"/>
              <w:bottom w:w="0" w:type="dxa"/>
              <w:right w:w="0" w:type="dxa"/>
            </w:tcMar>
          </w:tcPr>
          <w:p w14:paraId="6E9352A2"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598.35</w:t>
            </w:r>
          </w:p>
        </w:tc>
      </w:tr>
      <w:tr w:rsidR="00100A15" w14:paraId="704DD32C"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4153AF1D"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Tanzania</w:t>
            </w:r>
          </w:p>
        </w:tc>
        <w:tc>
          <w:tcPr>
            <w:tcW w:w="2190" w:type="dxa"/>
            <w:tcBorders>
              <w:bottom w:val="single" w:sz="8" w:space="0" w:color="000000"/>
              <w:right w:val="single" w:sz="8" w:space="0" w:color="000000"/>
            </w:tcBorders>
            <w:tcMar>
              <w:top w:w="0" w:type="dxa"/>
              <w:left w:w="0" w:type="dxa"/>
              <w:bottom w:w="0" w:type="dxa"/>
              <w:right w:w="0" w:type="dxa"/>
            </w:tcMar>
          </w:tcPr>
          <w:p w14:paraId="4271B26B"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1263.18  </w:t>
            </w:r>
          </w:p>
        </w:tc>
        <w:tc>
          <w:tcPr>
            <w:tcW w:w="2100" w:type="dxa"/>
            <w:tcBorders>
              <w:bottom w:val="single" w:sz="8" w:space="0" w:color="000000"/>
              <w:right w:val="single" w:sz="8" w:space="0" w:color="000000"/>
            </w:tcBorders>
            <w:tcMar>
              <w:top w:w="0" w:type="dxa"/>
              <w:left w:w="0" w:type="dxa"/>
              <w:bottom w:w="0" w:type="dxa"/>
              <w:right w:w="0" w:type="dxa"/>
            </w:tcMar>
          </w:tcPr>
          <w:p w14:paraId="1ED68645"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0.06 </w:t>
            </w:r>
          </w:p>
        </w:tc>
        <w:tc>
          <w:tcPr>
            <w:tcW w:w="3060" w:type="dxa"/>
            <w:tcBorders>
              <w:bottom w:val="single" w:sz="8" w:space="0" w:color="000000"/>
              <w:right w:val="single" w:sz="8" w:space="0" w:color="000000"/>
            </w:tcBorders>
            <w:tcMar>
              <w:top w:w="0" w:type="dxa"/>
              <w:left w:w="0" w:type="dxa"/>
              <w:bottom w:w="0" w:type="dxa"/>
              <w:right w:w="0" w:type="dxa"/>
            </w:tcMar>
          </w:tcPr>
          <w:p w14:paraId="26E9BEEA"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68.05</w:t>
            </w:r>
          </w:p>
        </w:tc>
      </w:tr>
      <w:tr w:rsidR="00100A15" w14:paraId="5590D53F"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74AB39B7"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Uganda</w:t>
            </w:r>
          </w:p>
        </w:tc>
        <w:tc>
          <w:tcPr>
            <w:tcW w:w="2190" w:type="dxa"/>
            <w:tcBorders>
              <w:bottom w:val="single" w:sz="8" w:space="0" w:color="000000"/>
              <w:right w:val="single" w:sz="8" w:space="0" w:color="000000"/>
            </w:tcBorders>
            <w:tcMar>
              <w:top w:w="0" w:type="dxa"/>
              <w:left w:w="0" w:type="dxa"/>
              <w:bottom w:w="0" w:type="dxa"/>
              <w:right w:w="0" w:type="dxa"/>
            </w:tcMar>
          </w:tcPr>
          <w:p w14:paraId="67D20FB3"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1408.09  </w:t>
            </w:r>
          </w:p>
        </w:tc>
        <w:tc>
          <w:tcPr>
            <w:tcW w:w="2100" w:type="dxa"/>
            <w:tcBorders>
              <w:bottom w:val="single" w:sz="8" w:space="0" w:color="000000"/>
              <w:right w:val="single" w:sz="8" w:space="0" w:color="000000"/>
            </w:tcBorders>
            <w:tcMar>
              <w:top w:w="0" w:type="dxa"/>
              <w:left w:w="0" w:type="dxa"/>
              <w:bottom w:w="0" w:type="dxa"/>
              <w:right w:w="0" w:type="dxa"/>
            </w:tcMar>
          </w:tcPr>
          <w:p w14:paraId="00B1275D"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0.06  </w:t>
            </w:r>
          </w:p>
        </w:tc>
        <w:tc>
          <w:tcPr>
            <w:tcW w:w="3060" w:type="dxa"/>
            <w:tcBorders>
              <w:bottom w:val="single" w:sz="8" w:space="0" w:color="000000"/>
              <w:right w:val="single" w:sz="8" w:space="0" w:color="000000"/>
            </w:tcBorders>
            <w:tcMar>
              <w:top w:w="0" w:type="dxa"/>
              <w:left w:w="0" w:type="dxa"/>
              <w:bottom w:w="0" w:type="dxa"/>
              <w:right w:w="0" w:type="dxa"/>
            </w:tcMar>
          </w:tcPr>
          <w:p w14:paraId="273FCC64" w14:textId="77777777" w:rsidR="00100A15" w:rsidRPr="00100A15" w:rsidRDefault="00100A15" w:rsidP="00877C15">
            <w:pPr>
              <w:spacing w:before="40" w:after="40"/>
              <w:jc w:val="right"/>
              <w:rPr>
                <w:rFonts w:ascii="Arial" w:hAnsi="Arial" w:cs="Arial"/>
                <w:sz w:val="20"/>
                <w:szCs w:val="20"/>
                <w:lang w:val="en-US"/>
              </w:rPr>
            </w:pPr>
            <w:r w:rsidRPr="00100A15">
              <w:rPr>
                <w:rFonts w:ascii="Arial" w:hAnsi="Arial" w:cs="Arial"/>
                <w:sz w:val="20"/>
                <w:szCs w:val="20"/>
                <w:lang w:val="en-US"/>
              </w:rPr>
              <w:t>36.38</w:t>
            </w:r>
          </w:p>
        </w:tc>
      </w:tr>
      <w:tr w:rsidR="00100A15" w14:paraId="1837D3F9"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3051AAB7"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Zambia</w:t>
            </w:r>
          </w:p>
        </w:tc>
        <w:tc>
          <w:tcPr>
            <w:tcW w:w="2190" w:type="dxa"/>
            <w:tcBorders>
              <w:bottom w:val="single" w:sz="8" w:space="0" w:color="000000"/>
              <w:right w:val="single" w:sz="8" w:space="0" w:color="000000"/>
            </w:tcBorders>
            <w:tcMar>
              <w:top w:w="0" w:type="dxa"/>
              <w:left w:w="0" w:type="dxa"/>
              <w:bottom w:w="0" w:type="dxa"/>
              <w:right w:w="0" w:type="dxa"/>
            </w:tcMar>
          </w:tcPr>
          <w:p w14:paraId="480F01F3"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1634.07</w:t>
            </w:r>
          </w:p>
        </w:tc>
        <w:tc>
          <w:tcPr>
            <w:tcW w:w="2100" w:type="dxa"/>
            <w:tcBorders>
              <w:bottom w:val="single" w:sz="8" w:space="0" w:color="000000"/>
              <w:right w:val="single" w:sz="8" w:space="0" w:color="000000"/>
            </w:tcBorders>
            <w:tcMar>
              <w:top w:w="0" w:type="dxa"/>
              <w:left w:w="0" w:type="dxa"/>
              <w:bottom w:w="0" w:type="dxa"/>
              <w:right w:w="0" w:type="dxa"/>
            </w:tcMar>
          </w:tcPr>
          <w:p w14:paraId="02CAAE75"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0.04  </w:t>
            </w:r>
          </w:p>
        </w:tc>
        <w:tc>
          <w:tcPr>
            <w:tcW w:w="3060" w:type="dxa"/>
            <w:tcBorders>
              <w:bottom w:val="single" w:sz="8" w:space="0" w:color="000000"/>
              <w:right w:val="single" w:sz="8" w:space="0" w:color="000000"/>
            </w:tcBorders>
            <w:tcMar>
              <w:top w:w="0" w:type="dxa"/>
              <w:left w:w="0" w:type="dxa"/>
              <w:bottom w:w="0" w:type="dxa"/>
              <w:right w:w="0" w:type="dxa"/>
            </w:tcMar>
          </w:tcPr>
          <w:p w14:paraId="3493768D"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26.97</w:t>
            </w:r>
          </w:p>
        </w:tc>
      </w:tr>
      <w:tr w:rsidR="00100A15" w14:paraId="1D10299D" w14:textId="77777777" w:rsidTr="00877C15">
        <w:trPr>
          <w:trHeight w:val="330"/>
        </w:trPr>
        <w:tc>
          <w:tcPr>
            <w:tcW w:w="1710" w:type="dxa"/>
            <w:tcBorders>
              <w:left w:val="single" w:sz="8" w:space="0" w:color="000000"/>
              <w:bottom w:val="single" w:sz="8" w:space="0" w:color="000000"/>
              <w:right w:val="single" w:sz="8" w:space="0" w:color="000000"/>
            </w:tcBorders>
            <w:tcMar>
              <w:top w:w="0" w:type="dxa"/>
              <w:left w:w="0" w:type="dxa"/>
              <w:bottom w:w="0" w:type="dxa"/>
              <w:right w:w="0" w:type="dxa"/>
            </w:tcMar>
          </w:tcPr>
          <w:p w14:paraId="30CBAC48" w14:textId="77777777" w:rsidR="00100A15" w:rsidRPr="00100A15" w:rsidRDefault="00100A15" w:rsidP="00100A15">
            <w:pPr>
              <w:spacing w:beforeLines="20" w:before="48" w:afterLines="20" w:after="48" w:line="240" w:lineRule="auto"/>
              <w:ind w:left="57"/>
              <w:rPr>
                <w:rFonts w:ascii="Arial" w:hAnsi="Arial" w:cs="Arial"/>
                <w:b/>
                <w:bCs/>
                <w:color w:val="156082" w:themeColor="accent1"/>
                <w:sz w:val="20"/>
                <w:szCs w:val="20"/>
              </w:rPr>
            </w:pPr>
            <w:r w:rsidRPr="00100A15">
              <w:rPr>
                <w:rFonts w:ascii="Arial" w:hAnsi="Arial" w:cs="Arial"/>
                <w:b/>
                <w:bCs/>
                <w:color w:val="156082" w:themeColor="accent1"/>
                <w:sz w:val="20"/>
                <w:szCs w:val="20"/>
              </w:rPr>
              <w:t>Zimbabwe</w:t>
            </w:r>
          </w:p>
        </w:tc>
        <w:tc>
          <w:tcPr>
            <w:tcW w:w="2190" w:type="dxa"/>
            <w:tcBorders>
              <w:bottom w:val="single" w:sz="8" w:space="0" w:color="000000"/>
              <w:right w:val="single" w:sz="8" w:space="0" w:color="000000"/>
            </w:tcBorders>
            <w:tcMar>
              <w:top w:w="0" w:type="dxa"/>
              <w:left w:w="0" w:type="dxa"/>
              <w:bottom w:w="0" w:type="dxa"/>
              <w:right w:w="0" w:type="dxa"/>
            </w:tcMar>
          </w:tcPr>
          <w:p w14:paraId="109D222C"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1519.65 </w:t>
            </w:r>
          </w:p>
        </w:tc>
        <w:tc>
          <w:tcPr>
            <w:tcW w:w="2100" w:type="dxa"/>
            <w:tcBorders>
              <w:bottom w:val="single" w:sz="8" w:space="0" w:color="000000"/>
              <w:right w:val="single" w:sz="8" w:space="0" w:color="000000"/>
            </w:tcBorders>
            <w:tcMar>
              <w:top w:w="0" w:type="dxa"/>
              <w:left w:w="0" w:type="dxa"/>
              <w:bottom w:w="0" w:type="dxa"/>
              <w:right w:w="0" w:type="dxa"/>
            </w:tcMar>
          </w:tcPr>
          <w:p w14:paraId="7734A78E"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 xml:space="preserve">0.03 </w:t>
            </w:r>
          </w:p>
        </w:tc>
        <w:tc>
          <w:tcPr>
            <w:tcW w:w="3060" w:type="dxa"/>
            <w:tcBorders>
              <w:bottom w:val="single" w:sz="8" w:space="0" w:color="000000"/>
              <w:right w:val="single" w:sz="8" w:space="0" w:color="000000"/>
            </w:tcBorders>
            <w:tcMar>
              <w:top w:w="0" w:type="dxa"/>
              <w:left w:w="0" w:type="dxa"/>
              <w:bottom w:w="0" w:type="dxa"/>
              <w:right w:w="0" w:type="dxa"/>
            </w:tcMar>
          </w:tcPr>
          <w:p w14:paraId="3A0CEDEB" w14:textId="77777777" w:rsidR="00100A15" w:rsidRPr="00100A15" w:rsidRDefault="00100A15" w:rsidP="00877C15">
            <w:pPr>
              <w:spacing w:before="40" w:after="40"/>
              <w:ind w:left="60"/>
              <w:jc w:val="right"/>
              <w:rPr>
                <w:rFonts w:ascii="Arial" w:hAnsi="Arial" w:cs="Arial"/>
                <w:sz w:val="20"/>
                <w:szCs w:val="20"/>
                <w:lang w:val="en-US"/>
              </w:rPr>
            </w:pPr>
            <w:r w:rsidRPr="00100A15">
              <w:rPr>
                <w:rFonts w:ascii="Arial" w:hAnsi="Arial" w:cs="Arial"/>
                <w:sz w:val="20"/>
                <w:szCs w:val="20"/>
                <w:lang w:val="en-US"/>
              </w:rPr>
              <w:t>40.83</w:t>
            </w:r>
          </w:p>
        </w:tc>
      </w:tr>
    </w:tbl>
    <w:p w14:paraId="7E9E7E7B" w14:textId="77777777" w:rsidR="00100A15" w:rsidRDefault="00100A15" w:rsidP="00BE51B1">
      <w:pPr>
        <w:jc w:val="both"/>
        <w:rPr>
          <w:rFonts w:ascii="Arial" w:hAnsi="Arial" w:cs="Arial"/>
        </w:rPr>
      </w:pPr>
    </w:p>
    <w:p w14:paraId="18F93289" w14:textId="77777777" w:rsidR="00DE570E" w:rsidRDefault="00BE51B1" w:rsidP="00BE51B1">
      <w:pPr>
        <w:jc w:val="both"/>
        <w:rPr>
          <w:rFonts w:ascii="Arial" w:hAnsi="Arial" w:cs="Arial"/>
        </w:rPr>
      </w:pPr>
      <w:r w:rsidRPr="00335458">
        <w:rPr>
          <w:rFonts w:ascii="Arial" w:hAnsi="Arial" w:cs="Arial"/>
        </w:rPr>
        <w:t xml:space="preserve">For the countries </w:t>
      </w:r>
      <w:r w:rsidR="00DE570E" w:rsidRPr="00DE570E">
        <w:rPr>
          <w:rFonts w:ascii="Arial" w:hAnsi="Arial" w:cs="Arial"/>
        </w:rPr>
        <w:t>Kenya, South Africa, Uganda and Zimbabwe</w:t>
      </w:r>
      <w:r w:rsidRPr="00335458">
        <w:rPr>
          <w:rFonts w:ascii="Arial" w:hAnsi="Arial" w:cs="Arial"/>
        </w:rPr>
        <w:t>, changes in projected energy demands fell below the 5% threshold for both 2040 across national and regional scenarios. It was therefore assumed that the total installed capacity, average generative capital expenditure, average LCOE, and average grid emission factors would remain unchanged relative to the baseline under both cases for those countries.</w:t>
      </w:r>
    </w:p>
    <w:p w14:paraId="09175442" w14:textId="793443A9" w:rsidR="00BE51B1" w:rsidRPr="006B2C90" w:rsidRDefault="00BE51B1" w:rsidP="00BE51B1">
      <w:pPr>
        <w:jc w:val="both"/>
        <w:rPr>
          <w:rFonts w:ascii="Arial" w:hAnsi="Arial" w:cs="Arial"/>
        </w:rPr>
      </w:pPr>
      <w:r w:rsidRPr="00335458">
        <w:rPr>
          <w:rFonts w:ascii="Arial" w:hAnsi="Arial" w:cs="Arial"/>
        </w:rPr>
        <w:t>The figures below highlight the total installed capacity under the baseline scenario for these seven countries</w:t>
      </w:r>
      <w:r w:rsidR="004132C2">
        <w:rPr>
          <w:rFonts w:ascii="Arial" w:hAnsi="Arial" w:cs="Arial"/>
        </w:rPr>
        <w:t xml:space="preserve"> (</w:t>
      </w:r>
      <w:r w:rsidR="004132C2">
        <w:rPr>
          <w:rFonts w:ascii="Arial" w:hAnsi="Arial" w:cs="Arial"/>
        </w:rPr>
        <w:fldChar w:fldCharType="begin"/>
      </w:r>
      <w:r w:rsidR="004132C2">
        <w:rPr>
          <w:rFonts w:ascii="Arial" w:hAnsi="Arial" w:cs="Arial"/>
        </w:rPr>
        <w:instrText xml:space="preserve"> REF _Ref214453750 \h </w:instrText>
      </w:r>
      <w:r w:rsidR="004132C2">
        <w:rPr>
          <w:rFonts w:ascii="Arial" w:hAnsi="Arial" w:cs="Arial"/>
        </w:rPr>
      </w:r>
      <w:r w:rsidR="004132C2">
        <w:rPr>
          <w:rFonts w:ascii="Arial" w:hAnsi="Arial" w:cs="Arial"/>
        </w:rPr>
        <w:fldChar w:fldCharType="separate"/>
      </w:r>
      <w:r w:rsidR="00AC4291">
        <w:t xml:space="preserve">Figure </w:t>
      </w:r>
      <w:r w:rsidR="00AC4291">
        <w:rPr>
          <w:noProof/>
        </w:rPr>
        <w:t>21</w:t>
      </w:r>
      <w:r w:rsidR="004132C2">
        <w:rPr>
          <w:rFonts w:ascii="Arial" w:hAnsi="Arial" w:cs="Arial"/>
        </w:rPr>
        <w:fldChar w:fldCharType="end"/>
      </w:r>
      <w:r w:rsidRPr="00335458">
        <w:rPr>
          <w:rFonts w:ascii="Arial" w:hAnsi="Arial" w:cs="Arial"/>
        </w:rPr>
        <w:t xml:space="preserve">). They also highlight the variation in generation technologies across countries. </w:t>
      </w:r>
      <w:bookmarkStart w:id="130" w:name="_Hlk210290737"/>
      <w:r w:rsidRPr="00335458">
        <w:rPr>
          <w:rFonts w:ascii="Arial" w:hAnsi="Arial" w:cs="Arial"/>
        </w:rPr>
        <w:t>Hydropower remains the dominant source of electricity in Zambia</w:t>
      </w:r>
      <w:bookmarkEnd w:id="130"/>
      <w:r w:rsidRPr="00335458">
        <w:rPr>
          <w:rFonts w:ascii="Arial" w:hAnsi="Arial" w:cs="Arial"/>
        </w:rPr>
        <w:t xml:space="preserve"> and Uganda. Solar picks up to play a significant system role by 2040 in Zimbabwe, Mozambique, and South Africa. Gas plays a growing role in replacing displaced coal power in South Africa, while Kenya continues to rely heavily on geothermal power.</w:t>
      </w:r>
    </w:p>
    <w:p w14:paraId="770D4D6A" w14:textId="77777777" w:rsidR="00DE570E" w:rsidRDefault="00DE570E" w:rsidP="00DE570E">
      <w:pPr>
        <w:spacing w:after="200" w:line="256" w:lineRule="auto"/>
        <w:rPr>
          <w:color w:val="0F56FD"/>
          <w:sz w:val="20"/>
          <w:szCs w:val="20"/>
        </w:rPr>
      </w:pPr>
      <w:r>
        <w:rPr>
          <w:noProof/>
          <w:color w:val="0F56FD"/>
          <w:sz w:val="20"/>
          <w:szCs w:val="20"/>
        </w:rPr>
        <w:drawing>
          <wp:anchor distT="0" distB="0" distL="114300" distR="114300" simplePos="0" relativeHeight="251674624" behindDoc="0" locked="0" layoutInCell="1" allowOverlap="1" wp14:anchorId="18427353" wp14:editId="4F203DF4">
            <wp:simplePos x="0" y="0"/>
            <wp:positionH relativeFrom="margin">
              <wp:align>left</wp:align>
            </wp:positionH>
            <wp:positionV relativeFrom="paragraph">
              <wp:posOffset>6350</wp:posOffset>
            </wp:positionV>
            <wp:extent cx="2724150" cy="1991995"/>
            <wp:effectExtent l="0" t="0" r="0" b="8255"/>
            <wp:wrapSquare wrapText="bothSides"/>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a:xfrm>
                      <a:off x="0" y="0"/>
                      <a:ext cx="2724150" cy="1991995"/>
                    </a:xfrm>
                    <a:prstGeom prst="rect">
                      <a:avLst/>
                    </a:prstGeom>
                    <a:ln/>
                  </pic:spPr>
                </pic:pic>
              </a:graphicData>
            </a:graphic>
            <wp14:sizeRelH relativeFrom="page">
              <wp14:pctWidth>0</wp14:pctWidth>
            </wp14:sizeRelH>
            <wp14:sizeRelV relativeFrom="page">
              <wp14:pctHeight>0</wp14:pctHeight>
            </wp14:sizeRelV>
          </wp:anchor>
        </w:drawing>
      </w:r>
      <w:r>
        <w:rPr>
          <w:color w:val="0F56FD"/>
          <w:sz w:val="20"/>
          <w:szCs w:val="20"/>
        </w:rPr>
        <w:t xml:space="preserve">    </w:t>
      </w:r>
      <w:r>
        <w:rPr>
          <w:noProof/>
          <w:color w:val="0F56FD"/>
          <w:sz w:val="20"/>
          <w:szCs w:val="20"/>
        </w:rPr>
        <w:drawing>
          <wp:inline distT="114300" distB="114300" distL="114300" distR="114300" wp14:anchorId="166695D8" wp14:editId="2641E7D4">
            <wp:extent cx="2550160" cy="2066925"/>
            <wp:effectExtent l="0" t="0" r="2540" b="9525"/>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2561863" cy="2076410"/>
                    </a:xfrm>
                    <a:prstGeom prst="rect">
                      <a:avLst/>
                    </a:prstGeom>
                    <a:ln/>
                  </pic:spPr>
                </pic:pic>
              </a:graphicData>
            </a:graphic>
          </wp:inline>
        </w:drawing>
      </w:r>
    </w:p>
    <w:p w14:paraId="545FDE2F" w14:textId="77777777" w:rsidR="00DE570E" w:rsidRDefault="00DE570E" w:rsidP="00DE570E">
      <w:pPr>
        <w:spacing w:after="200" w:line="256" w:lineRule="auto"/>
        <w:jc w:val="center"/>
        <w:rPr>
          <w:color w:val="0F56FD"/>
          <w:sz w:val="20"/>
          <w:szCs w:val="20"/>
        </w:rPr>
      </w:pPr>
      <w:r>
        <w:rPr>
          <w:noProof/>
        </w:rPr>
        <w:lastRenderedPageBreak/>
        <w:drawing>
          <wp:anchor distT="0" distB="0" distL="114300" distR="114300" simplePos="0" relativeHeight="251675648" behindDoc="0" locked="0" layoutInCell="1" allowOverlap="1" wp14:anchorId="2AD8861C" wp14:editId="7E138D4A">
            <wp:simplePos x="0" y="0"/>
            <wp:positionH relativeFrom="column">
              <wp:posOffset>2933065</wp:posOffset>
            </wp:positionH>
            <wp:positionV relativeFrom="paragraph">
              <wp:posOffset>284480</wp:posOffset>
            </wp:positionV>
            <wp:extent cx="2580005" cy="2028825"/>
            <wp:effectExtent l="0" t="0" r="0" b="9525"/>
            <wp:wrapSquare wrapText="bothSides"/>
            <wp:docPr id="1827349425"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49425" name="Picture 1" descr="A graph of different colored bar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000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B9999" w14:textId="77777777" w:rsidR="00DE570E" w:rsidRDefault="00DE570E" w:rsidP="00DE570E">
      <w:pPr>
        <w:spacing w:after="200" w:line="256" w:lineRule="auto"/>
        <w:rPr>
          <w:color w:val="0F56FD"/>
          <w:sz w:val="20"/>
          <w:szCs w:val="20"/>
        </w:rPr>
      </w:pPr>
      <w:r>
        <w:rPr>
          <w:noProof/>
          <w:color w:val="0F56FD"/>
          <w:sz w:val="20"/>
          <w:szCs w:val="20"/>
        </w:rPr>
        <w:drawing>
          <wp:inline distT="114300" distB="114300" distL="114300" distR="114300" wp14:anchorId="6FF8E224" wp14:editId="307FDBE6">
            <wp:extent cx="2781300" cy="192405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3"/>
                    <a:srcRect/>
                    <a:stretch>
                      <a:fillRect/>
                    </a:stretch>
                  </pic:blipFill>
                  <pic:spPr>
                    <a:xfrm>
                      <a:off x="0" y="0"/>
                      <a:ext cx="2789349" cy="1929618"/>
                    </a:xfrm>
                    <a:prstGeom prst="rect">
                      <a:avLst/>
                    </a:prstGeom>
                    <a:ln/>
                  </pic:spPr>
                </pic:pic>
              </a:graphicData>
            </a:graphic>
          </wp:inline>
        </w:drawing>
      </w:r>
    </w:p>
    <w:p w14:paraId="36F3DE6A" w14:textId="7892D364" w:rsidR="00BE51B1" w:rsidRPr="00DE570E" w:rsidRDefault="00BE51B1" w:rsidP="00DE570E">
      <w:pPr>
        <w:spacing w:after="200" w:line="256" w:lineRule="auto"/>
        <w:jc w:val="center"/>
        <w:rPr>
          <w:color w:val="0F56FD"/>
          <w:sz w:val="20"/>
          <w:szCs w:val="20"/>
        </w:rPr>
      </w:pPr>
    </w:p>
    <w:p w14:paraId="03218675" w14:textId="34139358" w:rsidR="00CE6832" w:rsidRPr="006B2C90" w:rsidRDefault="00CE6832" w:rsidP="00CE6832">
      <w:pPr>
        <w:pStyle w:val="Caption"/>
      </w:pPr>
      <w:bookmarkStart w:id="131" w:name="_Ref214453750"/>
      <w:bookmarkStart w:id="132" w:name="_Toc211272405"/>
      <w:r>
        <w:t xml:space="preserve">Figure </w:t>
      </w:r>
      <w:fldSimple w:instr=" SEQ Figure \* ARABIC ">
        <w:r w:rsidR="00AC4291">
          <w:rPr>
            <w:noProof/>
          </w:rPr>
          <w:t>21</w:t>
        </w:r>
      </w:fldSimple>
      <w:bookmarkEnd w:id="131"/>
      <w:r w:rsidRPr="00CE6832">
        <w:t>: Projected baseline power system expansion capacity for countries where incremental critical minerals processing demand is negligible (&lt;5 percent of total)</w:t>
      </w:r>
      <w:bookmarkEnd w:id="132"/>
      <w:r w:rsidRPr="00CE6832">
        <w:t xml:space="preserve">  </w:t>
      </w:r>
    </w:p>
    <w:p w14:paraId="00CAE78C" w14:textId="77777777" w:rsidR="00CE6832" w:rsidRDefault="00CE6832" w:rsidP="00BE51B1">
      <w:pPr>
        <w:jc w:val="both"/>
        <w:rPr>
          <w:rFonts w:ascii="Arial" w:hAnsi="Arial" w:cs="Arial"/>
        </w:rPr>
      </w:pPr>
    </w:p>
    <w:p w14:paraId="44A8650B" w14:textId="337DEBC6" w:rsidR="00BE51B1" w:rsidRDefault="00BE51B1" w:rsidP="00BE51B1">
      <w:pPr>
        <w:jc w:val="both"/>
        <w:rPr>
          <w:rFonts w:ascii="Arial" w:hAnsi="Arial" w:cs="Arial"/>
        </w:rPr>
      </w:pPr>
      <w:r w:rsidRPr="006B2C90">
        <w:rPr>
          <w:rFonts w:ascii="Arial" w:hAnsi="Arial" w:cs="Arial"/>
        </w:rPr>
        <w:t>For the remaining countries, some significant differences can be observed across system expansion plans under different critical minerals processing scenarios.</w:t>
      </w:r>
    </w:p>
    <w:p w14:paraId="063CCF51" w14:textId="7C41E216" w:rsidR="00DE570E" w:rsidRPr="00DE570E" w:rsidRDefault="00B23226" w:rsidP="00DE570E">
      <w:pPr>
        <w:numPr>
          <w:ilvl w:val="0"/>
          <w:numId w:val="61"/>
        </w:numPr>
        <w:spacing w:line="276" w:lineRule="auto"/>
        <w:jc w:val="both"/>
        <w:rPr>
          <w:rFonts w:ascii="Arial" w:hAnsi="Arial" w:cs="Arial"/>
        </w:rPr>
      </w:pPr>
      <w:r>
        <w:rPr>
          <w:noProof/>
        </w:rPr>
        <w:drawing>
          <wp:anchor distT="0" distB="0" distL="114300" distR="114300" simplePos="0" relativeHeight="251678720" behindDoc="0" locked="0" layoutInCell="1" allowOverlap="1" wp14:anchorId="4EAD669F" wp14:editId="1E7EB5DC">
            <wp:simplePos x="0" y="0"/>
            <wp:positionH relativeFrom="column">
              <wp:posOffset>285750</wp:posOffset>
            </wp:positionH>
            <wp:positionV relativeFrom="paragraph">
              <wp:posOffset>1319530</wp:posOffset>
            </wp:positionV>
            <wp:extent cx="2719070" cy="2560320"/>
            <wp:effectExtent l="0" t="0" r="5080" b="0"/>
            <wp:wrapSquare wrapText="bothSides"/>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a:xfrm>
                      <a:off x="0" y="0"/>
                      <a:ext cx="2719070" cy="2560320"/>
                    </a:xfrm>
                    <a:prstGeom prst="rect">
                      <a:avLst/>
                    </a:prstGeom>
                    <a:ln/>
                  </pic:spPr>
                </pic:pic>
              </a:graphicData>
            </a:graphic>
            <wp14:sizeRelH relativeFrom="page">
              <wp14:pctWidth>0</wp14:pctWidth>
            </wp14:sizeRelH>
            <wp14:sizeRelV relativeFrom="page">
              <wp14:pctHeight>0</wp14:pctHeight>
            </wp14:sizeRelV>
          </wp:anchor>
        </w:drawing>
      </w:r>
      <w:r w:rsidR="00F60461">
        <w:rPr>
          <w:noProof/>
        </w:rPr>
        <w:drawing>
          <wp:anchor distT="0" distB="0" distL="114300" distR="114300" simplePos="0" relativeHeight="251677696" behindDoc="0" locked="0" layoutInCell="1" allowOverlap="1" wp14:anchorId="61927077" wp14:editId="0832C365">
            <wp:simplePos x="0" y="0"/>
            <wp:positionH relativeFrom="margin">
              <wp:align>right</wp:align>
            </wp:positionH>
            <wp:positionV relativeFrom="paragraph">
              <wp:posOffset>1292860</wp:posOffset>
            </wp:positionV>
            <wp:extent cx="2676525" cy="2025015"/>
            <wp:effectExtent l="0" t="0" r="9525" b="0"/>
            <wp:wrapSquare wrapText="bothSides"/>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a:xfrm>
                      <a:off x="0" y="0"/>
                      <a:ext cx="2676525" cy="2025015"/>
                    </a:xfrm>
                    <a:prstGeom prst="rect">
                      <a:avLst/>
                    </a:prstGeom>
                    <a:ln/>
                  </pic:spPr>
                </pic:pic>
              </a:graphicData>
            </a:graphic>
            <wp14:sizeRelH relativeFrom="page">
              <wp14:pctWidth>0</wp14:pctWidth>
            </wp14:sizeRelH>
            <wp14:sizeRelV relativeFrom="page">
              <wp14:pctHeight>0</wp14:pctHeight>
            </wp14:sizeRelV>
          </wp:anchor>
        </w:drawing>
      </w:r>
      <w:r w:rsidR="00DE570E" w:rsidRPr="00DE570E">
        <w:rPr>
          <w:rFonts w:ascii="Arial" w:hAnsi="Arial" w:cs="Arial"/>
          <w:b/>
          <w:bCs/>
        </w:rPr>
        <w:t>Angola</w:t>
      </w:r>
      <w:r w:rsidR="00DE570E">
        <w:t xml:space="preserve">. </w:t>
      </w:r>
      <w:r w:rsidR="00DE570E" w:rsidRPr="00DE570E">
        <w:rPr>
          <w:rFonts w:ascii="Arial" w:hAnsi="Arial" w:cs="Arial"/>
        </w:rPr>
        <w:t>Hydropower is the baseload resource for Angola given its substantial resource potential. Gas resources are utilised during later years, bringing some diversification. Under both National and Regional scenarios, at least 2.5GW hydropower capacity is added to the electricity grid in 2040 and 5GW in 2050 to satisfy a 45% increase in electricity demand relative to the baseline (</w:t>
      </w:r>
      <w:r w:rsidR="00AC4291">
        <w:rPr>
          <w:rFonts w:ascii="Arial" w:hAnsi="Arial" w:cs="Arial"/>
        </w:rPr>
        <w:fldChar w:fldCharType="begin"/>
      </w:r>
      <w:r w:rsidR="00AC4291">
        <w:rPr>
          <w:rFonts w:ascii="Arial" w:hAnsi="Arial" w:cs="Arial"/>
        </w:rPr>
        <w:instrText xml:space="preserve"> REF _Ref222480416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22</w:t>
      </w:r>
      <w:r w:rsidR="00AC4291">
        <w:rPr>
          <w:rFonts w:ascii="Arial" w:hAnsi="Arial" w:cs="Arial"/>
        </w:rPr>
        <w:fldChar w:fldCharType="end"/>
      </w:r>
      <w:r w:rsidR="00DE570E" w:rsidRPr="00DE570E">
        <w:rPr>
          <w:rFonts w:ascii="Arial" w:hAnsi="Arial" w:cs="Arial"/>
        </w:rPr>
        <w:t xml:space="preserve">). </w:t>
      </w:r>
    </w:p>
    <w:p w14:paraId="46F33374" w14:textId="7292D5D2" w:rsidR="00DE570E" w:rsidRDefault="00DE570E" w:rsidP="00DE570E">
      <w:pPr>
        <w:spacing w:line="276" w:lineRule="auto"/>
        <w:ind w:left="360"/>
        <w:jc w:val="both"/>
      </w:pPr>
    </w:p>
    <w:p w14:paraId="39387D3B" w14:textId="77777777" w:rsidR="00B23226" w:rsidRDefault="00B23226" w:rsidP="00DE570E">
      <w:pPr>
        <w:pStyle w:val="Caption"/>
      </w:pPr>
      <w:bookmarkStart w:id="133" w:name="_Ref222229881"/>
      <w:bookmarkStart w:id="134" w:name="_Ref222229874"/>
    </w:p>
    <w:p w14:paraId="70EF2A55" w14:textId="77777777" w:rsidR="00AC4291" w:rsidRDefault="00AC4291" w:rsidP="00DE570E">
      <w:pPr>
        <w:pStyle w:val="Caption"/>
      </w:pPr>
    </w:p>
    <w:p w14:paraId="3660DF9F" w14:textId="2237FD5C" w:rsidR="00DE570E" w:rsidRPr="00CE6832" w:rsidRDefault="00DE570E" w:rsidP="00DE570E">
      <w:pPr>
        <w:pStyle w:val="Caption"/>
      </w:pPr>
      <w:bookmarkStart w:id="135" w:name="_Ref222480416"/>
      <w:r>
        <w:t xml:space="preserve">Figure </w:t>
      </w:r>
      <w:fldSimple w:instr=" SEQ Figure \* ARABIC ">
        <w:r w:rsidR="00AC4291">
          <w:rPr>
            <w:noProof/>
          </w:rPr>
          <w:t>22</w:t>
        </w:r>
      </w:fldSimple>
      <w:bookmarkEnd w:id="133"/>
      <w:bookmarkEnd w:id="135"/>
      <w:r w:rsidRPr="00CE6832">
        <w:t xml:space="preserve">: Projected power system capacity in </w:t>
      </w:r>
      <w:r>
        <w:t>Angola</w:t>
      </w:r>
      <w:r w:rsidRPr="00CE6832">
        <w:t xml:space="preserve"> under different critical minerals processing scenarios</w:t>
      </w:r>
      <w:bookmarkEnd w:id="134"/>
      <w:r w:rsidRPr="00CE6832">
        <w:t xml:space="preserve">   </w:t>
      </w:r>
    </w:p>
    <w:p w14:paraId="6896B223" w14:textId="764EDEC1" w:rsidR="00666237" w:rsidRPr="006B2C90" w:rsidRDefault="00666237" w:rsidP="00666237">
      <w:pPr>
        <w:pStyle w:val="ListParagraph"/>
        <w:numPr>
          <w:ilvl w:val="0"/>
          <w:numId w:val="45"/>
        </w:numPr>
        <w:jc w:val="both"/>
        <w:rPr>
          <w:rFonts w:ascii="Arial" w:hAnsi="Arial" w:cs="Arial"/>
        </w:rPr>
      </w:pPr>
      <w:r w:rsidRPr="006B2C90">
        <w:rPr>
          <w:rFonts w:ascii="Arial" w:hAnsi="Arial" w:cs="Arial"/>
          <w:b/>
          <w:bCs/>
        </w:rPr>
        <w:t>Botswana.</w:t>
      </w:r>
      <w:r w:rsidRPr="006B2C90">
        <w:rPr>
          <w:rFonts w:ascii="Arial" w:hAnsi="Arial" w:cs="Arial"/>
        </w:rPr>
        <w:t> Botswana’s current power system is primarily fossil fuel based on coal.</w:t>
      </w:r>
      <w:r>
        <w:rPr>
          <w:rFonts w:ascii="Arial" w:hAnsi="Arial" w:cs="Arial"/>
        </w:rPr>
        <w:t xml:space="preserve"> </w:t>
      </w:r>
      <w:r w:rsidRPr="00666237">
        <w:rPr>
          <w:rFonts w:ascii="Arial" w:hAnsi="Arial" w:cs="Arial"/>
        </w:rPr>
        <w:t xml:space="preserve">However, over the modelling period solar capacity is planned to be added to the </w:t>
      </w:r>
      <w:r w:rsidRPr="00666237">
        <w:rPr>
          <w:rFonts w:ascii="Arial" w:hAnsi="Arial" w:cs="Arial"/>
        </w:rPr>
        <w:lastRenderedPageBreak/>
        <w:t>electricity grid to meet growing demand. It appears under the National Precu</w:t>
      </w:r>
      <w:r>
        <w:rPr>
          <w:rFonts w:ascii="Arial" w:hAnsi="Arial" w:cs="Arial"/>
        </w:rPr>
        <w:t>r</w:t>
      </w:r>
      <w:r w:rsidRPr="00666237">
        <w:rPr>
          <w:rFonts w:ascii="Arial" w:hAnsi="Arial" w:cs="Arial"/>
        </w:rPr>
        <w:t>sor 2040 scenario, there is an increase of 2.5GW of solar capacity followed by 750MW of natural gas capacity to accommodate a 16% increase in electricity demand</w:t>
      </w:r>
      <w:r w:rsidR="00C3191E">
        <w:rPr>
          <w:rFonts w:ascii="Arial" w:hAnsi="Arial" w:cs="Arial"/>
        </w:rPr>
        <w:t xml:space="preserve"> (</w:t>
      </w:r>
      <w:r w:rsidR="00C3191E">
        <w:rPr>
          <w:rFonts w:ascii="Arial" w:hAnsi="Arial" w:cs="Arial"/>
        </w:rPr>
        <w:fldChar w:fldCharType="begin"/>
      </w:r>
      <w:r w:rsidR="00C3191E">
        <w:rPr>
          <w:rFonts w:ascii="Arial" w:hAnsi="Arial" w:cs="Arial"/>
        </w:rPr>
        <w:instrText xml:space="preserve"> REF _Ref222391524 \h </w:instrText>
      </w:r>
      <w:r w:rsidR="00C3191E">
        <w:rPr>
          <w:rFonts w:ascii="Arial" w:hAnsi="Arial" w:cs="Arial"/>
        </w:rPr>
      </w:r>
      <w:r w:rsidR="00C3191E">
        <w:rPr>
          <w:rFonts w:ascii="Arial" w:hAnsi="Arial" w:cs="Arial"/>
        </w:rPr>
        <w:fldChar w:fldCharType="separate"/>
      </w:r>
      <w:r w:rsidR="00C3191E">
        <w:t xml:space="preserve">Figure </w:t>
      </w:r>
      <w:r w:rsidR="00C3191E">
        <w:rPr>
          <w:noProof/>
        </w:rPr>
        <w:t>23</w:t>
      </w:r>
      <w:r w:rsidR="00C3191E">
        <w:rPr>
          <w:rFonts w:ascii="Arial" w:hAnsi="Arial" w:cs="Arial"/>
        </w:rPr>
        <w:fldChar w:fldCharType="end"/>
      </w:r>
      <w:r w:rsidR="00C3191E">
        <w:rPr>
          <w:rFonts w:ascii="Arial" w:hAnsi="Arial" w:cs="Arial"/>
        </w:rPr>
        <w:t>).</w:t>
      </w:r>
    </w:p>
    <w:p w14:paraId="783CE7A4" w14:textId="77777777" w:rsidR="00666237" w:rsidRPr="00CE6832" w:rsidRDefault="00666237" w:rsidP="00666237">
      <w:pPr>
        <w:pStyle w:val="Caption"/>
      </w:pPr>
      <w:bookmarkStart w:id="136" w:name="_Ref214453793"/>
      <w:bookmarkStart w:id="137" w:name="_Toc211272407"/>
      <w:r>
        <w:rPr>
          <w:noProof/>
        </w:rPr>
        <w:drawing>
          <wp:anchor distT="0" distB="0" distL="114300" distR="114300" simplePos="0" relativeHeight="251709440" behindDoc="0" locked="0" layoutInCell="1" allowOverlap="1" wp14:anchorId="643D202B" wp14:editId="1808095C">
            <wp:simplePos x="0" y="0"/>
            <wp:positionH relativeFrom="column">
              <wp:posOffset>3004869</wp:posOffset>
            </wp:positionH>
            <wp:positionV relativeFrom="paragraph">
              <wp:posOffset>253101</wp:posOffset>
            </wp:positionV>
            <wp:extent cx="3281045" cy="1953895"/>
            <wp:effectExtent l="0" t="0" r="0" b="1905"/>
            <wp:wrapSquare wrapText="bothSides"/>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a:xfrm>
                      <a:off x="0" y="0"/>
                      <a:ext cx="3281045" cy="195389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75BCBF1" wp14:editId="13B0FEFC">
            <wp:simplePos x="0" y="0"/>
            <wp:positionH relativeFrom="column">
              <wp:posOffset>65314</wp:posOffset>
            </wp:positionH>
            <wp:positionV relativeFrom="paragraph">
              <wp:posOffset>188727</wp:posOffset>
            </wp:positionV>
            <wp:extent cx="2945130" cy="2353310"/>
            <wp:effectExtent l="0" t="0" r="1270" b="0"/>
            <wp:wrapSquare wrapText="bothSides"/>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a:xfrm>
                      <a:off x="0" y="0"/>
                      <a:ext cx="2945130" cy="2353310"/>
                    </a:xfrm>
                    <a:prstGeom prst="rect">
                      <a:avLst/>
                    </a:prstGeom>
                    <a:ln/>
                  </pic:spPr>
                </pic:pic>
              </a:graphicData>
            </a:graphic>
            <wp14:sizeRelH relativeFrom="page">
              <wp14:pctWidth>0</wp14:pctWidth>
            </wp14:sizeRelH>
            <wp14:sizeRelV relativeFrom="page">
              <wp14:pctHeight>0</wp14:pctHeight>
            </wp14:sizeRelV>
          </wp:anchor>
        </w:drawing>
      </w:r>
      <w:bookmarkEnd w:id="136"/>
      <w:bookmarkEnd w:id="137"/>
      <w:r w:rsidRPr="00CE6832">
        <w:t xml:space="preserve"> </w:t>
      </w:r>
    </w:p>
    <w:p w14:paraId="538F733E" w14:textId="77777777" w:rsidR="00666237" w:rsidRPr="006B2C90" w:rsidRDefault="00666237" w:rsidP="00666237">
      <w:pPr>
        <w:jc w:val="both"/>
        <w:rPr>
          <w:rFonts w:ascii="Arial" w:hAnsi="Arial" w:cs="Arial"/>
        </w:rPr>
      </w:pPr>
    </w:p>
    <w:p w14:paraId="4144E452" w14:textId="77777777" w:rsidR="00666237" w:rsidRDefault="00666237" w:rsidP="00666237"/>
    <w:p w14:paraId="0AF7EC9E" w14:textId="6451753D" w:rsidR="00666237" w:rsidRPr="000F528B" w:rsidRDefault="00666237" w:rsidP="00666237">
      <w:pPr>
        <w:pStyle w:val="Caption"/>
      </w:pPr>
      <w:bookmarkStart w:id="138" w:name="_Ref222391524"/>
      <w:r>
        <w:t xml:space="preserve">Figure </w:t>
      </w:r>
      <w:fldSimple w:instr=" SEQ Figure \* ARABIC ">
        <w:r w:rsidR="00AC4291">
          <w:rPr>
            <w:noProof/>
          </w:rPr>
          <w:t>23</w:t>
        </w:r>
      </w:fldSimple>
      <w:bookmarkEnd w:id="138"/>
      <w:r w:rsidRPr="00CE6832">
        <w:t>: Projected power system capacity in Botswana under different critical minerals processing scenarios</w:t>
      </w:r>
      <w:r w:rsidRPr="000F528B">
        <w:t xml:space="preserve">   </w:t>
      </w:r>
    </w:p>
    <w:p w14:paraId="65EA0E18" w14:textId="1A88158A" w:rsidR="00DE570E" w:rsidRDefault="00DE570E" w:rsidP="00DE570E">
      <w:pPr>
        <w:jc w:val="both"/>
      </w:pPr>
    </w:p>
    <w:p w14:paraId="4C3C0E0E" w14:textId="7B3C7737" w:rsidR="00666237" w:rsidRPr="00AC4291" w:rsidRDefault="00666237" w:rsidP="00666237">
      <w:pPr>
        <w:pStyle w:val="ListParagraph"/>
        <w:keepNext/>
        <w:numPr>
          <w:ilvl w:val="0"/>
          <w:numId w:val="45"/>
        </w:numPr>
        <w:spacing w:line="259" w:lineRule="auto"/>
        <w:rPr>
          <w:rFonts w:ascii="Arial" w:hAnsi="Arial" w:cs="Arial"/>
        </w:rPr>
      </w:pPr>
      <w:r w:rsidRPr="00AC4291">
        <w:rPr>
          <w:rFonts w:ascii="Arial" w:hAnsi="Arial" w:cs="Arial"/>
          <w:b/>
          <w:bCs/>
        </w:rPr>
        <w:t xml:space="preserve">Burundi. </w:t>
      </w:r>
      <w:r w:rsidRPr="00AC4291">
        <w:rPr>
          <w:rFonts w:ascii="Arial" w:hAnsi="Arial" w:cs="Arial"/>
        </w:rPr>
        <w:t>In Burundi, solar appears to grow in dominance over the modelling period for the baseline scenario. To accommodate the 21% increase in national electricity demand and 14% increase regional scenarios, 1GW of solar capacity is added to the electricity grid (</w:t>
      </w:r>
      <w:r w:rsidR="00AC4291">
        <w:rPr>
          <w:rFonts w:ascii="Arial" w:hAnsi="Arial" w:cs="Arial"/>
        </w:rPr>
        <w:fldChar w:fldCharType="begin"/>
      </w:r>
      <w:r w:rsidR="00AC4291">
        <w:rPr>
          <w:rFonts w:ascii="Arial" w:hAnsi="Arial" w:cs="Arial"/>
        </w:rPr>
        <w:instrText xml:space="preserve"> REF _Ref222480453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24</w:t>
      </w:r>
      <w:r w:rsidR="00AC4291">
        <w:rPr>
          <w:rFonts w:ascii="Arial" w:hAnsi="Arial" w:cs="Arial"/>
        </w:rPr>
        <w:fldChar w:fldCharType="end"/>
      </w:r>
      <w:r w:rsidRPr="00AC4291">
        <w:rPr>
          <w:rFonts w:ascii="Arial" w:hAnsi="Arial" w:cs="Arial"/>
        </w:rPr>
        <w:t>).</w:t>
      </w:r>
      <w:r w:rsidRPr="00AC4291">
        <w:rPr>
          <w:rFonts w:ascii="Arial" w:hAnsi="Arial" w:cs="Arial"/>
          <w:b/>
          <w:bCs/>
        </w:rPr>
        <w:t xml:space="preserve">  </w:t>
      </w:r>
    </w:p>
    <w:p w14:paraId="36F41849" w14:textId="3566DA38" w:rsidR="00666237" w:rsidRPr="006B6728" w:rsidRDefault="00666237" w:rsidP="00A56CB9">
      <w:pPr>
        <w:spacing w:line="256" w:lineRule="auto"/>
        <w:jc w:val="center"/>
      </w:pPr>
      <w:r>
        <w:rPr>
          <w:noProof/>
        </w:rPr>
        <w:drawing>
          <wp:inline distT="114300" distB="114300" distL="114300" distR="114300" wp14:anchorId="788525DB" wp14:editId="7F764CA0">
            <wp:extent cx="2761013" cy="2232561"/>
            <wp:effectExtent l="0" t="0" r="127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8"/>
                    <a:srcRect/>
                    <a:stretch>
                      <a:fillRect/>
                    </a:stretch>
                  </pic:blipFill>
                  <pic:spPr>
                    <a:xfrm>
                      <a:off x="0" y="0"/>
                      <a:ext cx="2763146" cy="2234285"/>
                    </a:xfrm>
                    <a:prstGeom prst="rect">
                      <a:avLst/>
                    </a:prstGeom>
                    <a:ln/>
                  </pic:spPr>
                </pic:pic>
              </a:graphicData>
            </a:graphic>
          </wp:inline>
        </w:drawing>
      </w:r>
    </w:p>
    <w:p w14:paraId="4D548342" w14:textId="45CE6026" w:rsidR="00666237" w:rsidRDefault="00A56CB9" w:rsidP="00666237">
      <w:pPr>
        <w:rPr>
          <w:rFonts w:ascii="Arial" w:hAnsi="Arial" w:cs="Arial"/>
          <w:b/>
          <w:bCs/>
        </w:rPr>
      </w:pPr>
      <w:r>
        <w:rPr>
          <w:noProof/>
        </w:rPr>
        <w:drawing>
          <wp:anchor distT="0" distB="0" distL="114300" distR="114300" simplePos="0" relativeHeight="251730944" behindDoc="0" locked="0" layoutInCell="1" allowOverlap="1" wp14:anchorId="01254B0B" wp14:editId="35C2BDCA">
            <wp:simplePos x="0" y="0"/>
            <wp:positionH relativeFrom="column">
              <wp:posOffset>2990956</wp:posOffset>
            </wp:positionH>
            <wp:positionV relativeFrom="paragraph">
              <wp:posOffset>135314</wp:posOffset>
            </wp:positionV>
            <wp:extent cx="2938765" cy="1712518"/>
            <wp:effectExtent l="0" t="0" r="0" b="2540"/>
            <wp:wrapNone/>
            <wp:docPr id="18273494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a:xfrm>
                      <a:off x="0" y="0"/>
                      <a:ext cx="2938765" cy="1712518"/>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729920" behindDoc="0" locked="0" layoutInCell="1" hidden="0" allowOverlap="1" wp14:anchorId="78ABADF2" wp14:editId="4D6A7470">
            <wp:simplePos x="0" y="0"/>
            <wp:positionH relativeFrom="margin">
              <wp:align>left</wp:align>
            </wp:positionH>
            <wp:positionV relativeFrom="paragraph">
              <wp:posOffset>114300</wp:posOffset>
            </wp:positionV>
            <wp:extent cx="2991485" cy="1775460"/>
            <wp:effectExtent l="0" t="0" r="0" b="0"/>
            <wp:wrapNone/>
            <wp:docPr id="18273494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0"/>
                    <a:srcRect/>
                    <a:stretch>
                      <a:fillRect/>
                    </a:stretch>
                  </pic:blipFill>
                  <pic:spPr>
                    <a:xfrm>
                      <a:off x="0" y="0"/>
                      <a:ext cx="2991485" cy="1775460"/>
                    </a:xfrm>
                    <a:prstGeom prst="rect">
                      <a:avLst/>
                    </a:prstGeom>
                    <a:ln/>
                  </pic:spPr>
                </pic:pic>
              </a:graphicData>
            </a:graphic>
            <wp14:sizeRelH relativeFrom="margin">
              <wp14:pctWidth>0</wp14:pctWidth>
            </wp14:sizeRelH>
            <wp14:sizeRelV relativeFrom="margin">
              <wp14:pctHeight>0</wp14:pctHeight>
            </wp14:sizeRelV>
          </wp:anchor>
        </w:drawing>
      </w:r>
    </w:p>
    <w:p w14:paraId="3E3C538B" w14:textId="4961CCAF" w:rsidR="00666237" w:rsidRDefault="00666237" w:rsidP="00666237">
      <w:pPr>
        <w:rPr>
          <w:rFonts w:ascii="Arial" w:hAnsi="Arial" w:cs="Arial"/>
          <w:b/>
          <w:bCs/>
        </w:rPr>
      </w:pPr>
    </w:p>
    <w:p w14:paraId="2B5DC9CC" w14:textId="7B240BC0" w:rsidR="00666237" w:rsidRDefault="00666237" w:rsidP="00666237">
      <w:pPr>
        <w:rPr>
          <w:rFonts w:ascii="Arial" w:hAnsi="Arial" w:cs="Arial"/>
          <w:b/>
          <w:bCs/>
        </w:rPr>
      </w:pPr>
      <w:r>
        <w:rPr>
          <w:rFonts w:ascii="Arial" w:hAnsi="Arial" w:cs="Arial"/>
          <w:b/>
          <w:bCs/>
        </w:rPr>
        <w:t xml:space="preserve"> </w:t>
      </w:r>
    </w:p>
    <w:p w14:paraId="5BF08FDE" w14:textId="670F48BA" w:rsidR="00A56CB9" w:rsidRDefault="00A56CB9" w:rsidP="00666237">
      <w:pPr>
        <w:pStyle w:val="Caption"/>
      </w:pPr>
      <w:bookmarkStart w:id="139" w:name="_Ref214453894"/>
      <w:bookmarkStart w:id="140" w:name="_Toc211272413"/>
    </w:p>
    <w:p w14:paraId="514891BB" w14:textId="2160313A" w:rsidR="00A56CB9" w:rsidRDefault="00A56CB9" w:rsidP="00666237">
      <w:pPr>
        <w:pStyle w:val="Caption"/>
      </w:pPr>
    </w:p>
    <w:p w14:paraId="20DBFA4F" w14:textId="7DABEDDD" w:rsidR="00A56CB9" w:rsidRDefault="00A56CB9" w:rsidP="00666237">
      <w:pPr>
        <w:pStyle w:val="Caption"/>
      </w:pPr>
    </w:p>
    <w:p w14:paraId="51B77C89" w14:textId="77777777" w:rsidR="00A56CB9" w:rsidRDefault="00A56CB9" w:rsidP="00666237">
      <w:pPr>
        <w:pStyle w:val="Caption"/>
      </w:pPr>
    </w:p>
    <w:p w14:paraId="10ADEFAC" w14:textId="013355C2" w:rsidR="00A56CB9" w:rsidRDefault="00A56CB9" w:rsidP="00666237">
      <w:pPr>
        <w:pStyle w:val="Caption"/>
      </w:pPr>
    </w:p>
    <w:p w14:paraId="481369D4" w14:textId="33B7095E" w:rsidR="00666237" w:rsidRPr="00CE6832" w:rsidRDefault="00666237" w:rsidP="00666237">
      <w:pPr>
        <w:pStyle w:val="Caption"/>
      </w:pPr>
      <w:bookmarkStart w:id="141" w:name="_Ref222480453"/>
      <w:r>
        <w:t xml:space="preserve">Figure </w:t>
      </w:r>
      <w:fldSimple w:instr=" SEQ Figure \* ARABIC ">
        <w:r w:rsidR="00AC4291">
          <w:rPr>
            <w:noProof/>
          </w:rPr>
          <w:t>24</w:t>
        </w:r>
      </w:fldSimple>
      <w:bookmarkEnd w:id="139"/>
      <w:bookmarkEnd w:id="141"/>
      <w:r w:rsidRPr="00CE6832">
        <w:t>: Projected power system capacity in Burundi under different critical minerals processing scenarios</w:t>
      </w:r>
      <w:bookmarkEnd w:id="140"/>
    </w:p>
    <w:p w14:paraId="2D08F8C3" w14:textId="77777777" w:rsidR="00666237" w:rsidRDefault="00666237" w:rsidP="00DE570E">
      <w:pPr>
        <w:jc w:val="both"/>
      </w:pPr>
    </w:p>
    <w:p w14:paraId="0B393D5A" w14:textId="7EABB0E5" w:rsidR="00BE51B1" w:rsidRPr="006F6E74" w:rsidRDefault="00BE51B1" w:rsidP="00BE51B1">
      <w:pPr>
        <w:pStyle w:val="ListParagraph"/>
        <w:numPr>
          <w:ilvl w:val="0"/>
          <w:numId w:val="45"/>
        </w:numPr>
        <w:jc w:val="both"/>
        <w:rPr>
          <w:rFonts w:ascii="Arial" w:hAnsi="Arial" w:cs="Arial"/>
          <w:b/>
          <w:bCs/>
        </w:rPr>
      </w:pPr>
      <w:r w:rsidRPr="004C079A">
        <w:rPr>
          <w:rFonts w:ascii="Arial" w:hAnsi="Arial" w:cs="Arial"/>
          <w:b/>
          <w:bCs/>
        </w:rPr>
        <w:t>Democratic of Congo (DRC).</w:t>
      </w:r>
      <w:r w:rsidRPr="004C079A">
        <w:rPr>
          <w:rFonts w:ascii="Arial" w:hAnsi="Arial" w:cs="Arial"/>
        </w:rPr>
        <w:t> Hydropower is the baseload resource for the DRC given its substantial resource potential.</w:t>
      </w:r>
      <w:r w:rsidR="00F60461">
        <w:rPr>
          <w:rFonts w:ascii="Arial" w:hAnsi="Arial" w:cs="Arial"/>
        </w:rPr>
        <w:t xml:space="preserve"> </w:t>
      </w:r>
      <w:r w:rsidR="00F60461" w:rsidRPr="00F60461">
        <w:rPr>
          <w:rFonts w:ascii="Arial" w:hAnsi="Arial" w:cs="Arial"/>
        </w:rPr>
        <w:t>Batteries are utilised during later years to accommodate this renewable energy</w:t>
      </w:r>
      <w:r w:rsidR="00F60461" w:rsidRPr="00F60461">
        <w:t xml:space="preserve"> </w:t>
      </w:r>
      <w:r w:rsidR="00F60461" w:rsidRPr="00F60461">
        <w:rPr>
          <w:rFonts w:ascii="Arial" w:hAnsi="Arial" w:cs="Arial"/>
        </w:rPr>
        <w:t xml:space="preserve">Under both National and Regional scenarios, 15 GW hydropower capacity is added to the electricity grid in 2040 and 30GW in 2050 to satisfy at least 50% increase in electricity demand relative to the baseline </w:t>
      </w:r>
      <w:r w:rsidRPr="004C079A">
        <w:rPr>
          <w:rFonts w:ascii="Arial" w:hAnsi="Arial" w:cs="Arial"/>
        </w:rPr>
        <w:t>(</w:t>
      </w:r>
      <w:r w:rsidR="00AC4291">
        <w:rPr>
          <w:rFonts w:ascii="Arial" w:hAnsi="Arial" w:cs="Arial"/>
        </w:rPr>
        <w:fldChar w:fldCharType="begin"/>
      </w:r>
      <w:r w:rsidR="00AC4291">
        <w:rPr>
          <w:rFonts w:ascii="Arial" w:hAnsi="Arial" w:cs="Arial"/>
        </w:rPr>
        <w:instrText xml:space="preserve"> REF _Ref222480483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25</w:t>
      </w:r>
      <w:r w:rsidR="00AC4291">
        <w:rPr>
          <w:rFonts w:ascii="Arial" w:hAnsi="Arial" w:cs="Arial"/>
        </w:rPr>
        <w:fldChar w:fldCharType="end"/>
      </w:r>
      <w:r w:rsidRPr="004C079A">
        <w:rPr>
          <w:rFonts w:ascii="Arial" w:hAnsi="Arial" w:cs="Arial"/>
        </w:rPr>
        <w:t>). </w:t>
      </w:r>
    </w:p>
    <w:p w14:paraId="2DF35DD1" w14:textId="77777777" w:rsidR="00BE51B1" w:rsidRPr="006F6E74" w:rsidRDefault="00BE51B1" w:rsidP="00BE51B1">
      <w:pPr>
        <w:jc w:val="both"/>
        <w:rPr>
          <w:rFonts w:ascii="Arial" w:hAnsi="Arial" w:cs="Arial"/>
          <w:b/>
          <w:bCs/>
        </w:rPr>
      </w:pPr>
    </w:p>
    <w:p w14:paraId="3F833C9E" w14:textId="77777777" w:rsidR="00F60461" w:rsidRDefault="00F60461" w:rsidP="00F60461">
      <w:pPr>
        <w:jc w:val="both"/>
        <w:sectPr w:rsidR="00F60461">
          <w:pgSz w:w="11906" w:h="16838"/>
          <w:pgMar w:top="1440" w:right="1440" w:bottom="1440" w:left="1440" w:header="708" w:footer="708" w:gutter="0"/>
          <w:cols w:space="708"/>
          <w:docGrid w:linePitch="360"/>
        </w:sectPr>
      </w:pPr>
      <w:bookmarkStart w:id="142" w:name="_Ref214453770"/>
      <w:bookmarkStart w:id="143" w:name="_Toc211272406"/>
      <w:bookmarkStart w:id="144" w:name="_Ref193054429"/>
    </w:p>
    <w:p w14:paraId="0E04F529" w14:textId="7BE196E7" w:rsidR="00F60461" w:rsidRDefault="00F60461" w:rsidP="00F60461">
      <w:pPr>
        <w:jc w:val="both"/>
      </w:pPr>
      <w:r>
        <w:rPr>
          <w:noProof/>
        </w:rPr>
        <w:drawing>
          <wp:anchor distT="0" distB="0" distL="114300" distR="114300" simplePos="0" relativeHeight="251682816" behindDoc="0" locked="0" layoutInCell="1" allowOverlap="1" wp14:anchorId="6F3DE941" wp14:editId="1F94348E">
            <wp:simplePos x="0" y="0"/>
            <wp:positionH relativeFrom="column">
              <wp:posOffset>-3307252</wp:posOffset>
            </wp:positionH>
            <wp:positionV relativeFrom="paragraph">
              <wp:posOffset>488</wp:posOffset>
            </wp:positionV>
            <wp:extent cx="3150188" cy="2478923"/>
            <wp:effectExtent l="0" t="0" r="0" b="0"/>
            <wp:wrapTopAndBottom/>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a:xfrm>
                      <a:off x="0" y="0"/>
                      <a:ext cx="3151505" cy="2479959"/>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33428173" wp14:editId="5B18791C">
            <wp:extent cx="2756854" cy="1802372"/>
            <wp:effectExtent l="0" t="0" r="5715" b="762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
                    <a:srcRect/>
                    <a:stretch>
                      <a:fillRect/>
                    </a:stretch>
                  </pic:blipFill>
                  <pic:spPr>
                    <a:xfrm>
                      <a:off x="0" y="0"/>
                      <a:ext cx="2763351" cy="1806620"/>
                    </a:xfrm>
                    <a:prstGeom prst="rect">
                      <a:avLst/>
                    </a:prstGeom>
                    <a:ln/>
                  </pic:spPr>
                </pic:pic>
              </a:graphicData>
            </a:graphic>
          </wp:inline>
        </w:drawing>
      </w:r>
    </w:p>
    <w:p w14:paraId="28B962D3" w14:textId="77777777" w:rsidR="00F60461" w:rsidRDefault="00F60461" w:rsidP="00CE6832">
      <w:pPr>
        <w:pStyle w:val="Caption"/>
        <w:sectPr w:rsidR="00F60461" w:rsidSect="00F60461">
          <w:type w:val="continuous"/>
          <w:pgSz w:w="11906" w:h="16838"/>
          <w:pgMar w:top="1440" w:right="1440" w:bottom="1440" w:left="1440" w:header="708" w:footer="708" w:gutter="0"/>
          <w:cols w:num="2" w:space="708"/>
          <w:docGrid w:linePitch="360"/>
        </w:sectPr>
      </w:pPr>
    </w:p>
    <w:p w14:paraId="5506E1D9" w14:textId="621F46C3" w:rsidR="00CE6832" w:rsidRPr="00CE6832" w:rsidRDefault="00CE6832" w:rsidP="00CE6832">
      <w:pPr>
        <w:pStyle w:val="Caption"/>
      </w:pPr>
      <w:bookmarkStart w:id="145" w:name="_Ref222480483"/>
      <w:r>
        <w:t xml:space="preserve">Figure </w:t>
      </w:r>
      <w:fldSimple w:instr=" SEQ Figure \* ARABIC ">
        <w:r w:rsidR="00AC4291">
          <w:rPr>
            <w:noProof/>
          </w:rPr>
          <w:t>25</w:t>
        </w:r>
      </w:fldSimple>
      <w:bookmarkEnd w:id="142"/>
      <w:bookmarkEnd w:id="145"/>
      <w:r w:rsidRPr="00CE6832">
        <w:t>: Projected power system capacity in DRC under different critical minerals processing scenarios</w:t>
      </w:r>
      <w:bookmarkEnd w:id="143"/>
      <w:r w:rsidRPr="00CE6832">
        <w:t xml:space="preserve">   </w:t>
      </w:r>
    </w:p>
    <w:bookmarkEnd w:id="144"/>
    <w:p w14:paraId="1BBBE78F" w14:textId="77777777" w:rsidR="00666237" w:rsidRPr="00666237" w:rsidRDefault="00666237" w:rsidP="00666237">
      <w:pPr>
        <w:jc w:val="both"/>
        <w:rPr>
          <w:rFonts w:ascii="Arial" w:hAnsi="Arial" w:cs="Arial"/>
        </w:rPr>
      </w:pPr>
    </w:p>
    <w:p w14:paraId="1C50522E" w14:textId="479F0DDE" w:rsidR="00BE51B1" w:rsidRPr="006B2C90" w:rsidRDefault="00BE51B1" w:rsidP="00BE51B1">
      <w:pPr>
        <w:pStyle w:val="ListParagraph"/>
        <w:numPr>
          <w:ilvl w:val="0"/>
          <w:numId w:val="45"/>
        </w:numPr>
        <w:jc w:val="both"/>
        <w:rPr>
          <w:rFonts w:ascii="Arial" w:hAnsi="Arial" w:cs="Arial"/>
        </w:rPr>
      </w:pPr>
      <w:r w:rsidRPr="006B2C90">
        <w:rPr>
          <w:rFonts w:ascii="Arial" w:hAnsi="Arial" w:cs="Arial"/>
          <w:b/>
          <w:bCs/>
        </w:rPr>
        <w:t>Madagascar</w:t>
      </w:r>
      <w:r w:rsidRPr="006B2C90">
        <w:rPr>
          <w:rFonts w:ascii="Arial" w:hAnsi="Arial" w:cs="Arial"/>
        </w:rPr>
        <w:t>. In both the baseline and Regional 20</w:t>
      </w:r>
      <w:r w:rsidR="00D50E86">
        <w:rPr>
          <w:rFonts w:ascii="Arial" w:hAnsi="Arial" w:cs="Arial"/>
        </w:rPr>
        <w:t>4</w:t>
      </w:r>
      <w:r w:rsidRPr="006B2C90">
        <w:rPr>
          <w:rFonts w:ascii="Arial" w:hAnsi="Arial" w:cs="Arial"/>
        </w:rPr>
        <w:t xml:space="preserve">0 Scenarios, hydropower dominates the system from the year 2025 and onwards, accounting for 65% of total installed capacity. To accommodate for the </w:t>
      </w:r>
      <w:r>
        <w:rPr>
          <w:rFonts w:ascii="Arial" w:hAnsi="Arial" w:cs="Arial"/>
        </w:rPr>
        <w:t>7</w:t>
      </w:r>
      <w:r w:rsidRPr="006B2C90">
        <w:rPr>
          <w:rFonts w:ascii="Arial" w:hAnsi="Arial" w:cs="Arial"/>
        </w:rPr>
        <w:t>% increase in mineral processing demand, hydropower capacity increases by</w:t>
      </w:r>
      <w:r>
        <w:rPr>
          <w:rFonts w:ascii="Arial" w:hAnsi="Arial" w:cs="Arial"/>
        </w:rPr>
        <w:t xml:space="preserve"> </w:t>
      </w:r>
      <w:r w:rsidR="000F528B" w:rsidRPr="000F528B">
        <w:rPr>
          <w:rFonts w:ascii="Arial" w:hAnsi="Arial" w:cs="Arial"/>
        </w:rPr>
        <w:t xml:space="preserve">1.2GW </w:t>
      </w:r>
      <w:r w:rsidR="000F528B">
        <w:rPr>
          <w:rFonts w:ascii="Arial" w:hAnsi="Arial" w:cs="Arial"/>
        </w:rPr>
        <w:t>in 2050</w:t>
      </w:r>
      <w:r>
        <w:rPr>
          <w:rFonts w:ascii="Arial" w:hAnsi="Arial" w:cs="Arial"/>
        </w:rPr>
        <w:t xml:space="preserve"> </w:t>
      </w:r>
      <w:r w:rsidRPr="006B2C90">
        <w:rPr>
          <w:rFonts w:ascii="Arial" w:hAnsi="Arial" w:cs="Arial"/>
        </w:rPr>
        <w:t>(</w:t>
      </w:r>
      <w:r w:rsidR="00AC4291">
        <w:rPr>
          <w:rFonts w:ascii="Arial" w:hAnsi="Arial" w:cs="Arial"/>
        </w:rPr>
        <w:fldChar w:fldCharType="begin"/>
      </w:r>
      <w:r w:rsidR="00AC4291">
        <w:rPr>
          <w:rFonts w:ascii="Arial" w:hAnsi="Arial" w:cs="Arial"/>
        </w:rPr>
        <w:instrText xml:space="preserve"> REF _Ref222480508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26</w:t>
      </w:r>
      <w:r w:rsidR="00AC4291">
        <w:rPr>
          <w:rFonts w:ascii="Arial" w:hAnsi="Arial" w:cs="Arial"/>
        </w:rPr>
        <w:fldChar w:fldCharType="end"/>
      </w:r>
      <w:r w:rsidRPr="006B2C90">
        <w:rPr>
          <w:rFonts w:ascii="Arial" w:hAnsi="Arial" w:cs="Arial"/>
        </w:rPr>
        <w:t>).</w:t>
      </w:r>
    </w:p>
    <w:p w14:paraId="008D1223" w14:textId="4514E558" w:rsidR="000F528B" w:rsidRDefault="00DF5B28" w:rsidP="000F528B">
      <w:pPr>
        <w:jc w:val="both"/>
      </w:pPr>
      <w:bookmarkStart w:id="146" w:name="_Ref214453820"/>
      <w:bookmarkStart w:id="147" w:name="_Toc211272409"/>
      <w:r>
        <w:rPr>
          <w:noProof/>
        </w:rPr>
        <w:lastRenderedPageBreak/>
        <w:drawing>
          <wp:anchor distT="0" distB="0" distL="114300" distR="114300" simplePos="0" relativeHeight="251723776" behindDoc="0" locked="0" layoutInCell="1" allowOverlap="1" wp14:anchorId="1246C0AE" wp14:editId="4DAF45BF">
            <wp:simplePos x="0" y="0"/>
            <wp:positionH relativeFrom="page">
              <wp:posOffset>3500992</wp:posOffset>
            </wp:positionH>
            <wp:positionV relativeFrom="paragraph">
              <wp:posOffset>13297</wp:posOffset>
            </wp:positionV>
            <wp:extent cx="2995295" cy="1790065"/>
            <wp:effectExtent l="0" t="0" r="0" b="635"/>
            <wp:wrapNone/>
            <wp:docPr id="18273494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a:xfrm>
                      <a:off x="0" y="0"/>
                      <a:ext cx="2995295" cy="1790065"/>
                    </a:xfrm>
                    <a:prstGeom prst="rect">
                      <a:avLst/>
                    </a:prstGeom>
                    <a:ln/>
                  </pic:spPr>
                </pic:pic>
              </a:graphicData>
            </a:graphic>
          </wp:anchor>
        </w:drawing>
      </w:r>
      <w:r>
        <w:rPr>
          <w:noProof/>
        </w:rPr>
        <w:drawing>
          <wp:inline distT="0" distB="0" distL="0" distR="0" wp14:anchorId="63951814" wp14:editId="6775719B">
            <wp:extent cx="2654489" cy="1831009"/>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a:xfrm>
                      <a:off x="0" y="0"/>
                      <a:ext cx="2654489" cy="1831009"/>
                    </a:xfrm>
                    <a:prstGeom prst="rect">
                      <a:avLst/>
                    </a:prstGeom>
                    <a:ln/>
                  </pic:spPr>
                </pic:pic>
              </a:graphicData>
            </a:graphic>
          </wp:inline>
        </w:drawing>
      </w:r>
    </w:p>
    <w:p w14:paraId="50DC840E" w14:textId="411CC77D" w:rsidR="00CE6832" w:rsidRPr="00CE6832" w:rsidRDefault="00CE6832" w:rsidP="00CE6832">
      <w:pPr>
        <w:pStyle w:val="Caption"/>
      </w:pPr>
      <w:bookmarkStart w:id="148" w:name="_Ref222480508"/>
      <w:r>
        <w:t xml:space="preserve">Figure </w:t>
      </w:r>
      <w:fldSimple w:instr=" SEQ Figure \* ARABIC ">
        <w:r w:rsidR="00AC4291">
          <w:rPr>
            <w:noProof/>
          </w:rPr>
          <w:t>26</w:t>
        </w:r>
      </w:fldSimple>
      <w:bookmarkEnd w:id="146"/>
      <w:bookmarkEnd w:id="148"/>
      <w:r w:rsidRPr="00CE6832">
        <w:t>: Projected power system capacity in Madagascar under different critical minerals processing scenarios</w:t>
      </w:r>
      <w:bookmarkEnd w:id="147"/>
    </w:p>
    <w:p w14:paraId="12AF2C1F" w14:textId="70554735" w:rsidR="00666237" w:rsidRPr="006B6728" w:rsidRDefault="00666237" w:rsidP="00666237">
      <w:pPr>
        <w:pStyle w:val="ListParagraph"/>
        <w:numPr>
          <w:ilvl w:val="0"/>
          <w:numId w:val="45"/>
        </w:numPr>
        <w:jc w:val="both"/>
      </w:pPr>
      <w:r w:rsidRPr="00844BBE">
        <w:rPr>
          <w:rFonts w:ascii="Arial" w:hAnsi="Arial" w:cs="Arial"/>
          <w:b/>
          <w:bCs/>
        </w:rPr>
        <w:t xml:space="preserve">Malawi. </w:t>
      </w:r>
      <w:r w:rsidRPr="006B6728">
        <w:rPr>
          <w:rFonts w:ascii="Arial" w:hAnsi="Arial" w:cs="Arial"/>
        </w:rPr>
        <w:t xml:space="preserve">In Malawi, in the hydropower dominates the system over the modelling period In order to accommodate the 7% and 9% increase in electricity demand in the national scenario, there an increase solar and wind of 2.5GW across the years 2040 and 2050 </w:t>
      </w:r>
      <w:r w:rsidRPr="00944AD7">
        <w:rPr>
          <w:rFonts w:ascii="Arial" w:hAnsi="Arial" w:cs="Arial"/>
        </w:rPr>
        <w:t>(</w:t>
      </w:r>
      <w:r w:rsidR="00AC4291">
        <w:rPr>
          <w:rFonts w:ascii="Arial" w:hAnsi="Arial" w:cs="Arial"/>
        </w:rPr>
        <w:fldChar w:fldCharType="begin"/>
      </w:r>
      <w:r w:rsidR="00AC4291">
        <w:rPr>
          <w:rFonts w:ascii="Arial" w:hAnsi="Arial" w:cs="Arial"/>
        </w:rPr>
        <w:instrText xml:space="preserve"> REF _Ref222480531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27</w:t>
      </w:r>
      <w:r w:rsidR="00AC4291">
        <w:rPr>
          <w:rFonts w:ascii="Arial" w:hAnsi="Arial" w:cs="Arial"/>
        </w:rPr>
        <w:fldChar w:fldCharType="end"/>
      </w:r>
      <w:r w:rsidRPr="00944AD7">
        <w:rPr>
          <w:rFonts w:ascii="Arial" w:hAnsi="Arial" w:cs="Arial"/>
        </w:rPr>
        <w:t>).</w:t>
      </w:r>
    </w:p>
    <w:p w14:paraId="653C6C90" w14:textId="77777777" w:rsidR="00666237" w:rsidRPr="00B66C15" w:rsidRDefault="00666237" w:rsidP="00666237">
      <w:pPr>
        <w:rPr>
          <w:rFonts w:ascii="Arial" w:hAnsi="Arial" w:cs="Arial"/>
          <w:b/>
          <w:bCs/>
        </w:rPr>
      </w:pPr>
      <w:r>
        <w:rPr>
          <w:noProof/>
        </w:rPr>
        <w:drawing>
          <wp:anchor distT="0" distB="0" distL="114300" distR="114300" simplePos="0" relativeHeight="251712512" behindDoc="0" locked="0" layoutInCell="1" allowOverlap="1" wp14:anchorId="19888FD3" wp14:editId="27024175">
            <wp:simplePos x="0" y="0"/>
            <wp:positionH relativeFrom="column">
              <wp:posOffset>2973705</wp:posOffset>
            </wp:positionH>
            <wp:positionV relativeFrom="paragraph">
              <wp:posOffset>442595</wp:posOffset>
            </wp:positionV>
            <wp:extent cx="2606675" cy="1550670"/>
            <wp:effectExtent l="0" t="0" r="0" b="0"/>
            <wp:wrapSquare wrapText="bothSides"/>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a:xfrm>
                      <a:off x="0" y="0"/>
                      <a:ext cx="2606675" cy="155067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1C95FB00" wp14:editId="66ABCA1C">
            <wp:simplePos x="0" y="0"/>
            <wp:positionH relativeFrom="column">
              <wp:posOffset>0</wp:posOffset>
            </wp:positionH>
            <wp:positionV relativeFrom="paragraph">
              <wp:posOffset>307975</wp:posOffset>
            </wp:positionV>
            <wp:extent cx="2936392" cy="2328863"/>
            <wp:effectExtent l="0" t="0" r="0" b="0"/>
            <wp:wrapSquare wrapText="bothSides"/>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2936392" cy="2328863"/>
                    </a:xfrm>
                    <a:prstGeom prst="rect">
                      <a:avLst/>
                    </a:prstGeom>
                    <a:ln/>
                  </pic:spPr>
                </pic:pic>
              </a:graphicData>
            </a:graphic>
            <wp14:sizeRelH relativeFrom="page">
              <wp14:pctWidth>0</wp14:pctWidth>
            </wp14:sizeRelH>
            <wp14:sizeRelV relativeFrom="page">
              <wp14:pctHeight>0</wp14:pctHeight>
            </wp14:sizeRelV>
          </wp:anchor>
        </w:drawing>
      </w:r>
    </w:p>
    <w:p w14:paraId="5A1DBF35" w14:textId="77777777" w:rsidR="00666237" w:rsidRDefault="00666237" w:rsidP="00666237">
      <w:pPr>
        <w:pStyle w:val="Caption"/>
        <w:rPr>
          <w:noProof/>
        </w:rPr>
      </w:pPr>
      <w:r w:rsidRPr="00AF5428">
        <w:rPr>
          <w:noProof/>
        </w:rPr>
        <w:t xml:space="preserve"> </w:t>
      </w:r>
      <w:bookmarkStart w:id="149" w:name="_Ref214453875"/>
      <w:bookmarkStart w:id="150" w:name="_Toc211272412"/>
    </w:p>
    <w:p w14:paraId="423D2780" w14:textId="77777777" w:rsidR="00666237" w:rsidRDefault="00666237" w:rsidP="00666237">
      <w:pPr>
        <w:pStyle w:val="Caption"/>
        <w:rPr>
          <w:noProof/>
        </w:rPr>
      </w:pPr>
    </w:p>
    <w:p w14:paraId="3F212BC6" w14:textId="77777777" w:rsidR="00666237" w:rsidRDefault="00666237" w:rsidP="00666237">
      <w:pPr>
        <w:pStyle w:val="Caption"/>
        <w:rPr>
          <w:noProof/>
        </w:rPr>
      </w:pPr>
    </w:p>
    <w:p w14:paraId="76990F56" w14:textId="5ED326D9" w:rsidR="00666237" w:rsidRPr="00CE6832" w:rsidRDefault="00666237" w:rsidP="00666237">
      <w:pPr>
        <w:pStyle w:val="Caption"/>
      </w:pPr>
      <w:bookmarkStart w:id="151" w:name="_Ref222480531"/>
      <w:r>
        <w:t xml:space="preserve">Figure </w:t>
      </w:r>
      <w:fldSimple w:instr=" SEQ Figure \* ARABIC ">
        <w:r w:rsidR="00AC4291">
          <w:rPr>
            <w:noProof/>
          </w:rPr>
          <w:t>27</w:t>
        </w:r>
      </w:fldSimple>
      <w:bookmarkEnd w:id="149"/>
      <w:bookmarkEnd w:id="151"/>
      <w:r w:rsidRPr="00CE6832">
        <w:t>: Projected power system capacity in Malawi under different critical minerals processing scenarios</w:t>
      </w:r>
      <w:bookmarkEnd w:id="150"/>
    </w:p>
    <w:p w14:paraId="68EE5039" w14:textId="77777777" w:rsidR="00666237" w:rsidRPr="00B66C15" w:rsidRDefault="00666237" w:rsidP="00666237"/>
    <w:p w14:paraId="2B220A64" w14:textId="1C1EB9BA" w:rsidR="00666237" w:rsidRPr="006B6728" w:rsidRDefault="00666237" w:rsidP="00666237">
      <w:pPr>
        <w:pStyle w:val="ListParagraph"/>
        <w:numPr>
          <w:ilvl w:val="0"/>
          <w:numId w:val="62"/>
        </w:numPr>
        <w:rPr>
          <w:rFonts w:ascii="Arial" w:hAnsi="Arial" w:cs="Arial"/>
          <w:b/>
          <w:bCs/>
          <w:color w:val="0F9ED5" w:themeColor="accent4"/>
        </w:rPr>
      </w:pPr>
      <w:r w:rsidRPr="007F5678">
        <w:rPr>
          <w:rFonts w:ascii="Arial" w:hAnsi="Arial" w:cs="Arial"/>
          <w:b/>
          <w:bCs/>
        </w:rPr>
        <w:t xml:space="preserve">Mozambique. </w:t>
      </w:r>
      <w:r w:rsidRPr="007F5678">
        <w:rPr>
          <w:rFonts w:ascii="Arial" w:hAnsi="Arial" w:cs="Arial"/>
        </w:rPr>
        <w:t xml:space="preserve">In Mozambique, hydropower appears to grow in dominance over </w:t>
      </w:r>
      <w:r w:rsidRPr="006B6728">
        <w:rPr>
          <w:rFonts w:ascii="Arial" w:hAnsi="Arial" w:cs="Arial"/>
        </w:rPr>
        <w:t>the modelling period for the baseline scenario. To accommodate the 26% and 47% increase in electricity demand in regional precursor scenarios, 5GW of hydropower capacity alongside 3GW of open cycle gas and 1.5GW of combined cycle natural gas is added to the electricity grid (</w:t>
      </w:r>
      <w:r w:rsidR="00AC4291">
        <w:rPr>
          <w:rFonts w:ascii="Arial" w:hAnsi="Arial" w:cs="Arial"/>
        </w:rPr>
        <w:fldChar w:fldCharType="begin"/>
      </w:r>
      <w:r w:rsidR="00AC4291">
        <w:rPr>
          <w:rFonts w:ascii="Arial" w:hAnsi="Arial" w:cs="Arial"/>
        </w:rPr>
        <w:instrText xml:space="preserve"> REF _Ref222480555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28</w:t>
      </w:r>
      <w:r w:rsidR="00AC4291">
        <w:rPr>
          <w:rFonts w:ascii="Arial" w:hAnsi="Arial" w:cs="Arial"/>
        </w:rPr>
        <w:fldChar w:fldCharType="end"/>
      </w:r>
      <w:r w:rsidRPr="006B6728">
        <w:rPr>
          <w:rFonts w:ascii="Arial" w:hAnsi="Arial" w:cs="Arial"/>
        </w:rPr>
        <w:t>).</w:t>
      </w:r>
      <w:r w:rsidRPr="006B6728">
        <w:rPr>
          <w:rFonts w:ascii="Arial" w:hAnsi="Arial" w:cs="Arial"/>
          <w:b/>
          <w:bCs/>
        </w:rPr>
        <w:t xml:space="preserve">   </w:t>
      </w:r>
    </w:p>
    <w:p w14:paraId="53F56B94" w14:textId="77777777" w:rsidR="00666237" w:rsidRDefault="00666237" w:rsidP="00666237">
      <w:pPr>
        <w:spacing w:line="256" w:lineRule="auto"/>
        <w:jc w:val="both"/>
      </w:pPr>
      <w:r>
        <w:rPr>
          <w:noProof/>
        </w:rPr>
        <w:lastRenderedPageBreak/>
        <w:drawing>
          <wp:anchor distT="0" distB="0" distL="114300" distR="114300" simplePos="0" relativeHeight="251721728" behindDoc="0" locked="0" layoutInCell="1" allowOverlap="1" wp14:anchorId="1C272802" wp14:editId="25368A61">
            <wp:simplePos x="0" y="0"/>
            <wp:positionH relativeFrom="column">
              <wp:posOffset>2918485</wp:posOffset>
            </wp:positionH>
            <wp:positionV relativeFrom="paragraph">
              <wp:posOffset>36347</wp:posOffset>
            </wp:positionV>
            <wp:extent cx="3143581" cy="1726387"/>
            <wp:effectExtent l="0" t="0" r="0" b="762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a:xfrm>
                      <a:off x="0" y="0"/>
                      <a:ext cx="3143581" cy="1726387"/>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114300" distB="114300" distL="114300" distR="114300" wp14:anchorId="386760D0" wp14:editId="70F9E087">
            <wp:extent cx="2933395" cy="2398395"/>
            <wp:effectExtent l="0" t="0" r="635" b="1905"/>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8"/>
                    <a:srcRect/>
                    <a:stretch>
                      <a:fillRect/>
                    </a:stretch>
                  </pic:blipFill>
                  <pic:spPr>
                    <a:xfrm>
                      <a:off x="0" y="0"/>
                      <a:ext cx="2938655" cy="2402695"/>
                    </a:xfrm>
                    <a:prstGeom prst="rect">
                      <a:avLst/>
                    </a:prstGeom>
                    <a:ln/>
                  </pic:spPr>
                </pic:pic>
              </a:graphicData>
            </a:graphic>
          </wp:inline>
        </w:drawing>
      </w:r>
    </w:p>
    <w:p w14:paraId="092CF106" w14:textId="40A34F34" w:rsidR="00666237" w:rsidRPr="00CE6832" w:rsidRDefault="00666237" w:rsidP="00666237">
      <w:pPr>
        <w:pStyle w:val="Caption"/>
      </w:pPr>
      <w:bookmarkStart w:id="152" w:name="_Ref222480555"/>
      <w:r>
        <w:t xml:space="preserve">Figure </w:t>
      </w:r>
      <w:fldSimple w:instr=" SEQ Figure \* ARABIC ">
        <w:r w:rsidR="00AC4291">
          <w:rPr>
            <w:noProof/>
          </w:rPr>
          <w:t>28</w:t>
        </w:r>
      </w:fldSimple>
      <w:bookmarkEnd w:id="152"/>
      <w:r w:rsidRPr="00CE6832">
        <w:t xml:space="preserve">: Projected power system capacity in </w:t>
      </w:r>
      <w:r>
        <w:t>Mozambique</w:t>
      </w:r>
      <w:r w:rsidRPr="00CE6832">
        <w:t xml:space="preserve"> under different critical minerals processing scenarios</w:t>
      </w:r>
    </w:p>
    <w:p w14:paraId="1CB46D94" w14:textId="77777777" w:rsidR="00CE6832" w:rsidRPr="006B2C90" w:rsidRDefault="00CE6832" w:rsidP="00BE51B1">
      <w:pPr>
        <w:rPr>
          <w:rFonts w:ascii="Arial" w:hAnsi="Arial" w:cs="Arial"/>
        </w:rPr>
      </w:pPr>
    </w:p>
    <w:p w14:paraId="13C29350" w14:textId="1F23185C" w:rsidR="00BE51B1" w:rsidRPr="00944AD7" w:rsidRDefault="00BE51B1" w:rsidP="00BE51B1">
      <w:pPr>
        <w:pStyle w:val="ListParagraph"/>
        <w:keepNext/>
        <w:numPr>
          <w:ilvl w:val="0"/>
          <w:numId w:val="45"/>
        </w:numPr>
        <w:jc w:val="both"/>
        <w:rPr>
          <w:rFonts w:ascii="Arial" w:hAnsi="Arial" w:cs="Arial"/>
        </w:rPr>
      </w:pPr>
      <w:r w:rsidRPr="00944AD7">
        <w:rPr>
          <w:rFonts w:ascii="Arial" w:hAnsi="Arial" w:cs="Arial"/>
          <w:b/>
          <w:bCs/>
        </w:rPr>
        <w:t xml:space="preserve">Namibia. </w:t>
      </w:r>
      <w:r w:rsidRPr="00944AD7">
        <w:rPr>
          <w:rFonts w:ascii="Arial" w:hAnsi="Arial" w:cs="Arial"/>
        </w:rPr>
        <w:t xml:space="preserve">In Namibia, the base year across both the baseline shows a varied energy mix, with oil, hydropower, and coal resources being reflected. </w:t>
      </w:r>
      <w:r w:rsidR="000F528B" w:rsidRPr="000F528B">
        <w:rPr>
          <w:rFonts w:ascii="Arial" w:hAnsi="Arial" w:cs="Arial"/>
        </w:rPr>
        <w:t>The national scenario shows a reduced reliance on fossil fuel resources and additional energy demand is predominately met with an increase of solar capacity</w:t>
      </w:r>
      <w:r w:rsidRPr="00944AD7">
        <w:rPr>
          <w:rFonts w:ascii="Arial" w:hAnsi="Arial" w:cs="Arial"/>
        </w:rPr>
        <w:t xml:space="preserve"> (</w:t>
      </w:r>
      <w:r w:rsidR="004132C2">
        <w:rPr>
          <w:rFonts w:ascii="Arial" w:hAnsi="Arial" w:cs="Arial"/>
          <w:b/>
          <w:bCs/>
        </w:rPr>
        <w:fldChar w:fldCharType="begin"/>
      </w:r>
      <w:r w:rsidR="004132C2">
        <w:rPr>
          <w:rFonts w:ascii="Arial" w:hAnsi="Arial" w:cs="Arial"/>
        </w:rPr>
        <w:instrText xml:space="preserve"> REF _Ref214453836 \h </w:instrText>
      </w:r>
      <w:r w:rsidR="004132C2">
        <w:rPr>
          <w:rFonts w:ascii="Arial" w:hAnsi="Arial" w:cs="Arial"/>
          <w:b/>
          <w:bCs/>
        </w:rPr>
      </w:r>
      <w:r w:rsidR="004132C2">
        <w:rPr>
          <w:rFonts w:ascii="Arial" w:hAnsi="Arial" w:cs="Arial"/>
          <w:b/>
          <w:bCs/>
        </w:rPr>
        <w:fldChar w:fldCharType="separate"/>
      </w:r>
      <w:r w:rsidR="00AC4291">
        <w:t xml:space="preserve">Figure </w:t>
      </w:r>
      <w:r w:rsidR="00AC4291">
        <w:rPr>
          <w:noProof/>
        </w:rPr>
        <w:t>29</w:t>
      </w:r>
      <w:r w:rsidR="004132C2">
        <w:rPr>
          <w:rFonts w:ascii="Arial" w:hAnsi="Arial" w:cs="Arial"/>
          <w:b/>
          <w:bCs/>
        </w:rPr>
        <w:fldChar w:fldCharType="end"/>
      </w:r>
      <w:r w:rsidRPr="00944AD7">
        <w:rPr>
          <w:rFonts w:ascii="Arial" w:hAnsi="Arial" w:cs="Arial"/>
        </w:rPr>
        <w:t>).</w:t>
      </w:r>
    </w:p>
    <w:p w14:paraId="3C2C5C3F" w14:textId="427F8008" w:rsidR="00E34460" w:rsidRDefault="00E34460" w:rsidP="00E34460">
      <w:pPr>
        <w:jc w:val="center"/>
      </w:pPr>
      <w:r>
        <w:rPr>
          <w:noProof/>
        </w:rPr>
        <w:drawing>
          <wp:inline distT="0" distB="0" distL="0" distR="0" wp14:anchorId="3ED424BA" wp14:editId="6D443CBB">
            <wp:extent cx="3140710" cy="3004185"/>
            <wp:effectExtent l="0" t="0" r="2540" b="5715"/>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3140710" cy="3004185"/>
                    </a:xfrm>
                    <a:prstGeom prst="rect">
                      <a:avLst/>
                    </a:prstGeom>
                    <a:ln/>
                  </pic:spPr>
                </pic:pic>
              </a:graphicData>
            </a:graphic>
          </wp:inline>
        </w:drawing>
      </w:r>
    </w:p>
    <w:p w14:paraId="21AC876C" w14:textId="305F8A0D" w:rsidR="000F528B" w:rsidRPr="000F528B" w:rsidRDefault="00E34460" w:rsidP="00E34460">
      <w:r>
        <w:rPr>
          <w:noProof/>
        </w:rPr>
        <w:lastRenderedPageBreak/>
        <w:drawing>
          <wp:anchor distT="0" distB="0" distL="114300" distR="114300" simplePos="0" relativeHeight="251731968" behindDoc="0" locked="0" layoutInCell="1" allowOverlap="1" wp14:anchorId="1A61450E" wp14:editId="175D2DC7">
            <wp:simplePos x="0" y="0"/>
            <wp:positionH relativeFrom="column">
              <wp:posOffset>2966646</wp:posOffset>
            </wp:positionH>
            <wp:positionV relativeFrom="paragraph">
              <wp:posOffset>37383</wp:posOffset>
            </wp:positionV>
            <wp:extent cx="3185424" cy="1783788"/>
            <wp:effectExtent l="0" t="0" r="0" b="6985"/>
            <wp:wrapNone/>
            <wp:docPr id="18273494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a:xfrm>
                      <a:off x="0" y="0"/>
                      <a:ext cx="3185424" cy="1783788"/>
                    </a:xfrm>
                    <a:prstGeom prst="rect">
                      <a:avLst/>
                    </a:prstGeom>
                    <a:ln/>
                  </pic:spPr>
                </pic:pic>
              </a:graphicData>
            </a:graphic>
            <wp14:sizeRelH relativeFrom="margin">
              <wp14:pctWidth>0</wp14:pctWidth>
            </wp14:sizeRelH>
            <wp14:sizeRelV relativeFrom="margin">
              <wp14:pctHeight>0</wp14:pctHeight>
            </wp14:sizeRelV>
          </wp:anchor>
        </w:drawing>
      </w:r>
      <w:r w:rsidR="00916D1B">
        <w:rPr>
          <w:noProof/>
        </w:rPr>
        <w:drawing>
          <wp:inline distT="0" distB="0" distL="0" distR="0" wp14:anchorId="4634A03B" wp14:editId="30E54599">
            <wp:extent cx="2968831" cy="1911449"/>
            <wp:effectExtent l="0" t="0" r="3175" b="0"/>
            <wp:docPr id="18273494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a:xfrm>
                      <a:off x="0" y="0"/>
                      <a:ext cx="2987774" cy="1923645"/>
                    </a:xfrm>
                    <a:prstGeom prst="rect">
                      <a:avLst/>
                    </a:prstGeom>
                    <a:ln/>
                  </pic:spPr>
                </pic:pic>
              </a:graphicData>
            </a:graphic>
          </wp:inline>
        </w:drawing>
      </w:r>
    </w:p>
    <w:p w14:paraId="2859BC95" w14:textId="4DCF15B3" w:rsidR="00CE6832" w:rsidRPr="000F528B" w:rsidRDefault="00CE6832" w:rsidP="000F528B">
      <w:pPr>
        <w:pStyle w:val="Caption"/>
        <w:keepNext/>
        <w:rPr>
          <w:rFonts w:ascii="Arial" w:hAnsi="Arial" w:cs="Arial"/>
          <w:b/>
          <w:bCs/>
          <w:color w:val="A02B93" w:themeColor="accent5"/>
          <w:sz w:val="20"/>
          <w:szCs w:val="20"/>
        </w:rPr>
      </w:pPr>
      <w:bookmarkStart w:id="153" w:name="_Ref214453836"/>
      <w:bookmarkStart w:id="154" w:name="_Toc211272410"/>
      <w:bookmarkStart w:id="155" w:name="_Ref193054594"/>
      <w:r>
        <w:t xml:space="preserve">Figure </w:t>
      </w:r>
      <w:fldSimple w:instr=" SEQ Figure \* ARABIC ">
        <w:r w:rsidR="00AC4291">
          <w:rPr>
            <w:noProof/>
          </w:rPr>
          <w:t>29</w:t>
        </w:r>
      </w:fldSimple>
      <w:bookmarkEnd w:id="153"/>
      <w:r w:rsidRPr="00CE6832">
        <w:t>: Projected power system capacity in Namibia under different critical minerals processing scenarios</w:t>
      </w:r>
      <w:bookmarkEnd w:id="154"/>
      <w:r w:rsidRPr="00CE6832">
        <w:t xml:space="preserve"> </w:t>
      </w:r>
    </w:p>
    <w:p w14:paraId="4FEDA018" w14:textId="098806A4" w:rsidR="00BE51B1" w:rsidRPr="00D50E86" w:rsidRDefault="00BE51B1" w:rsidP="00741B63">
      <w:pPr>
        <w:pStyle w:val="Caption"/>
        <w:keepNext/>
        <w:rPr>
          <w:rFonts w:ascii="Arial" w:hAnsi="Arial" w:cs="Arial"/>
          <w:b/>
          <w:bCs/>
          <w:color w:val="A02B93" w:themeColor="accent5"/>
          <w:sz w:val="20"/>
          <w:szCs w:val="20"/>
        </w:rPr>
      </w:pPr>
      <w:r>
        <w:rPr>
          <w:rFonts w:ascii="Arial" w:hAnsi="Arial" w:cs="Arial"/>
          <w:b/>
          <w:bCs/>
          <w:color w:val="A02B93" w:themeColor="accent5"/>
          <w:sz w:val="20"/>
          <w:szCs w:val="20"/>
        </w:rPr>
        <w:t xml:space="preserve">  </w:t>
      </w:r>
      <w:bookmarkEnd w:id="155"/>
    </w:p>
    <w:p w14:paraId="6A2394A7" w14:textId="58D2EC40" w:rsidR="00BE51B1" w:rsidRDefault="00BE51B1" w:rsidP="00BE51B1">
      <w:pPr>
        <w:pStyle w:val="ListParagraph"/>
        <w:numPr>
          <w:ilvl w:val="0"/>
          <w:numId w:val="45"/>
        </w:numPr>
        <w:jc w:val="both"/>
        <w:rPr>
          <w:rFonts w:ascii="Arial" w:hAnsi="Arial" w:cs="Arial"/>
        </w:rPr>
      </w:pPr>
      <w:r w:rsidRPr="006B2C90">
        <w:rPr>
          <w:rFonts w:ascii="Arial" w:hAnsi="Arial" w:cs="Arial"/>
          <w:b/>
          <w:bCs/>
        </w:rPr>
        <w:t>Tanzania.</w:t>
      </w:r>
      <w:r w:rsidRPr="006B2C90">
        <w:rPr>
          <w:rFonts w:ascii="Arial" w:hAnsi="Arial" w:cs="Arial"/>
        </w:rPr>
        <w:t> Baseline projections sho</w:t>
      </w:r>
      <w:r>
        <w:rPr>
          <w:rFonts w:ascii="Arial" w:hAnsi="Arial" w:cs="Arial"/>
        </w:rPr>
        <w:t xml:space="preserve">w solar and </w:t>
      </w:r>
      <w:r w:rsidRPr="006B2C90">
        <w:rPr>
          <w:rFonts w:ascii="Arial" w:hAnsi="Arial" w:cs="Arial"/>
        </w:rPr>
        <w:t>hydropower</w:t>
      </w:r>
      <w:r>
        <w:rPr>
          <w:rFonts w:ascii="Arial" w:hAnsi="Arial" w:cs="Arial"/>
        </w:rPr>
        <w:t xml:space="preserve"> capacity</w:t>
      </w:r>
      <w:r w:rsidRPr="006B2C90">
        <w:rPr>
          <w:rFonts w:ascii="Arial" w:hAnsi="Arial" w:cs="Arial"/>
        </w:rPr>
        <w:t xml:space="preserve"> representing a growing share of the energy mix in the later years. </w:t>
      </w:r>
      <w:r w:rsidR="000F528B" w:rsidRPr="000F528B">
        <w:rPr>
          <w:rFonts w:ascii="Arial" w:hAnsi="Arial" w:cs="Arial"/>
        </w:rPr>
        <w:t xml:space="preserve">Under the </w:t>
      </w:r>
      <w:r w:rsidR="00916D1B">
        <w:rPr>
          <w:rFonts w:ascii="Arial" w:hAnsi="Arial" w:cs="Arial"/>
        </w:rPr>
        <w:t>national and regional precursor scenarios</w:t>
      </w:r>
      <w:r w:rsidR="000F528B" w:rsidRPr="000F528B">
        <w:rPr>
          <w:rFonts w:ascii="Arial" w:hAnsi="Arial" w:cs="Arial"/>
        </w:rPr>
        <w:t xml:space="preserve">, Tanzania requires at least </w:t>
      </w:r>
      <w:r w:rsidR="00916D1B">
        <w:rPr>
          <w:rFonts w:ascii="Arial" w:hAnsi="Arial" w:cs="Arial"/>
        </w:rPr>
        <w:t xml:space="preserve">16 and </w:t>
      </w:r>
      <w:r w:rsidR="000F528B" w:rsidRPr="000F528B">
        <w:rPr>
          <w:rFonts w:ascii="Arial" w:hAnsi="Arial" w:cs="Arial"/>
        </w:rPr>
        <w:t>30 GW of additional capacity between 2040 and 2050, predominantly wind</w:t>
      </w:r>
      <w:r>
        <w:rPr>
          <w:rFonts w:ascii="Arial" w:hAnsi="Arial" w:cs="Arial"/>
        </w:rPr>
        <w:t xml:space="preserve"> </w:t>
      </w:r>
      <w:r w:rsidRPr="006B2C90">
        <w:rPr>
          <w:rFonts w:ascii="Arial" w:hAnsi="Arial" w:cs="Arial"/>
        </w:rPr>
        <w:t>(</w:t>
      </w:r>
      <w:r w:rsidR="00AC4291">
        <w:rPr>
          <w:rFonts w:ascii="Arial" w:hAnsi="Arial" w:cs="Arial"/>
        </w:rPr>
        <w:fldChar w:fldCharType="begin"/>
      </w:r>
      <w:r w:rsidR="00AC4291">
        <w:rPr>
          <w:rFonts w:ascii="Arial" w:hAnsi="Arial" w:cs="Arial"/>
        </w:rPr>
        <w:instrText xml:space="preserve"> REF _Ref222480590 \h </w:instrText>
      </w:r>
      <w:r w:rsidR="00AC4291">
        <w:rPr>
          <w:rFonts w:ascii="Arial" w:hAnsi="Arial" w:cs="Arial"/>
        </w:rPr>
      </w:r>
      <w:r w:rsidR="00AC4291">
        <w:rPr>
          <w:rFonts w:ascii="Arial" w:hAnsi="Arial" w:cs="Arial"/>
        </w:rPr>
        <w:fldChar w:fldCharType="separate"/>
      </w:r>
      <w:r w:rsidR="00AC4291">
        <w:t xml:space="preserve">Figure </w:t>
      </w:r>
      <w:r w:rsidR="00AC4291">
        <w:rPr>
          <w:noProof/>
        </w:rPr>
        <w:t>30</w:t>
      </w:r>
      <w:r w:rsidR="00AC4291">
        <w:rPr>
          <w:rFonts w:ascii="Arial" w:hAnsi="Arial" w:cs="Arial"/>
        </w:rPr>
        <w:fldChar w:fldCharType="end"/>
      </w:r>
      <w:r w:rsidRPr="006B2C90">
        <w:rPr>
          <w:rFonts w:ascii="Arial" w:hAnsi="Arial" w:cs="Arial"/>
        </w:rPr>
        <w:t>). </w:t>
      </w:r>
    </w:p>
    <w:p w14:paraId="1992DE3A" w14:textId="1013C3B9" w:rsidR="00D22FD3" w:rsidRDefault="000F528B" w:rsidP="00D22FD3">
      <w:pPr>
        <w:jc w:val="center"/>
      </w:pPr>
      <w:r>
        <w:rPr>
          <w:noProof/>
        </w:rPr>
        <w:drawing>
          <wp:inline distT="0" distB="0" distL="0" distR="0" wp14:anchorId="116FA6A0" wp14:editId="1AABD716">
            <wp:extent cx="3347499" cy="2536466"/>
            <wp:effectExtent l="0" t="0" r="5715"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a:xfrm>
                      <a:off x="0" y="0"/>
                      <a:ext cx="3362367" cy="2547732"/>
                    </a:xfrm>
                    <a:prstGeom prst="rect">
                      <a:avLst/>
                    </a:prstGeom>
                    <a:ln/>
                  </pic:spPr>
                </pic:pic>
              </a:graphicData>
            </a:graphic>
          </wp:inline>
        </w:drawing>
      </w:r>
      <w:bookmarkStart w:id="156" w:name="_Ref214453856"/>
      <w:bookmarkStart w:id="157" w:name="_Ref222231885"/>
      <w:bookmarkStart w:id="158" w:name="_Toc211272411"/>
    </w:p>
    <w:p w14:paraId="47847A06" w14:textId="2F336946" w:rsidR="00D22FD3" w:rsidRDefault="00D22FD3" w:rsidP="00CE6832">
      <w:pPr>
        <w:pStyle w:val="Caption"/>
      </w:pPr>
      <w:r>
        <w:rPr>
          <w:noProof/>
        </w:rPr>
        <w:drawing>
          <wp:anchor distT="114300" distB="114300" distL="114300" distR="114300" simplePos="0" relativeHeight="251727872" behindDoc="0" locked="0" layoutInCell="1" hidden="0" allowOverlap="1" wp14:anchorId="7F988C5A" wp14:editId="707999CE">
            <wp:simplePos x="0" y="0"/>
            <wp:positionH relativeFrom="margin">
              <wp:align>right</wp:align>
            </wp:positionH>
            <wp:positionV relativeFrom="paragraph">
              <wp:posOffset>4307</wp:posOffset>
            </wp:positionV>
            <wp:extent cx="2687540" cy="1948070"/>
            <wp:effectExtent l="0" t="0" r="0" b="0"/>
            <wp:wrapNone/>
            <wp:docPr id="18273494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3"/>
                    <a:srcRect/>
                    <a:stretch>
                      <a:fillRect/>
                    </a:stretch>
                  </pic:blipFill>
                  <pic:spPr>
                    <a:xfrm>
                      <a:off x="0" y="0"/>
                      <a:ext cx="2687540" cy="19480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66977B" wp14:editId="136FA0DB">
            <wp:extent cx="2957885" cy="1900361"/>
            <wp:effectExtent l="0" t="0" r="0" b="508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a:xfrm>
                      <a:off x="0" y="0"/>
                      <a:ext cx="2962923" cy="1903598"/>
                    </a:xfrm>
                    <a:prstGeom prst="rect">
                      <a:avLst/>
                    </a:prstGeom>
                    <a:ln/>
                  </pic:spPr>
                </pic:pic>
              </a:graphicData>
            </a:graphic>
          </wp:inline>
        </w:drawing>
      </w:r>
    </w:p>
    <w:p w14:paraId="1D75BB6C" w14:textId="3083A0C4" w:rsidR="00D22FD3" w:rsidRDefault="00D22FD3" w:rsidP="00CE6832">
      <w:pPr>
        <w:pStyle w:val="Caption"/>
      </w:pPr>
    </w:p>
    <w:p w14:paraId="79B0E380" w14:textId="459E41F4" w:rsidR="00CE6832" w:rsidRPr="00CE6832" w:rsidRDefault="00CE6832" w:rsidP="00CE6832">
      <w:pPr>
        <w:pStyle w:val="Caption"/>
      </w:pPr>
      <w:bookmarkStart w:id="159" w:name="_Ref222480590"/>
      <w:r>
        <w:t xml:space="preserve">Figure </w:t>
      </w:r>
      <w:fldSimple w:instr=" SEQ Figure \* ARABIC ">
        <w:r w:rsidR="00AC4291">
          <w:rPr>
            <w:noProof/>
          </w:rPr>
          <w:t>30</w:t>
        </w:r>
      </w:fldSimple>
      <w:bookmarkEnd w:id="156"/>
      <w:bookmarkEnd w:id="157"/>
      <w:bookmarkEnd w:id="159"/>
      <w:r w:rsidRPr="00CE6832">
        <w:t>: Projected power system capacity in Tanzania under different critical minerals processing scenarios</w:t>
      </w:r>
      <w:bookmarkEnd w:id="158"/>
    </w:p>
    <w:p w14:paraId="5250ECA5" w14:textId="0F44396A" w:rsidR="00BE51B1" w:rsidRDefault="00BE51B1" w:rsidP="00BE51B1">
      <w:r>
        <w:lastRenderedPageBreak/>
        <w:t xml:space="preserve"> </w:t>
      </w:r>
    </w:p>
    <w:p w14:paraId="10330BD2" w14:textId="660C409D" w:rsidR="00666237" w:rsidRPr="000F528B" w:rsidRDefault="00666237" w:rsidP="00666237">
      <w:pPr>
        <w:pStyle w:val="ListParagraph"/>
        <w:numPr>
          <w:ilvl w:val="0"/>
          <w:numId w:val="61"/>
        </w:numPr>
        <w:rPr>
          <w:rFonts w:ascii="Arial" w:hAnsi="Arial" w:cs="Arial"/>
        </w:rPr>
      </w:pPr>
      <w:r w:rsidRPr="000F528B">
        <w:rPr>
          <w:b/>
          <w:bCs/>
        </w:rPr>
        <w:t>Zambia</w:t>
      </w:r>
      <w:r>
        <w:t>. Zambia’s current power system is primarily renewable based on hydropower. However, to accommodate the increase in electricity across both national and regional scenarios, 3GW hydropower capacity is added to the grid by 2050 (</w:t>
      </w:r>
      <w:r w:rsidR="00AC4291">
        <w:fldChar w:fldCharType="begin"/>
      </w:r>
      <w:r w:rsidR="00AC4291">
        <w:instrText xml:space="preserve"> REF _Ref222480609 \h </w:instrText>
      </w:r>
      <w:r w:rsidR="00AC4291">
        <w:fldChar w:fldCharType="separate"/>
      </w:r>
      <w:r w:rsidR="00AC4291">
        <w:t xml:space="preserve">Figure </w:t>
      </w:r>
      <w:r w:rsidR="00AC4291">
        <w:rPr>
          <w:noProof/>
        </w:rPr>
        <w:t>31</w:t>
      </w:r>
      <w:r w:rsidR="00AC4291">
        <w:fldChar w:fldCharType="end"/>
      </w:r>
      <w:r>
        <w:t xml:space="preserve">).  </w:t>
      </w:r>
    </w:p>
    <w:p w14:paraId="11592094" w14:textId="6623E778" w:rsidR="00666237" w:rsidRDefault="00666237" w:rsidP="00666237">
      <w:pPr>
        <w:pStyle w:val="ListParagraph"/>
        <w:spacing w:after="200" w:line="256" w:lineRule="auto"/>
        <w:ind w:left="360"/>
      </w:pPr>
    </w:p>
    <w:p w14:paraId="23438477" w14:textId="4A09B746" w:rsidR="00666237" w:rsidRDefault="00177337" w:rsidP="00D22FD3">
      <w:pPr>
        <w:pStyle w:val="Caption"/>
        <w:jc w:val="center"/>
      </w:pPr>
      <w:bookmarkStart w:id="160" w:name="_Ref222231463"/>
      <w:bookmarkStart w:id="161" w:name="_Ref222231443"/>
      <w:r>
        <w:rPr>
          <w:noProof/>
        </w:rPr>
        <w:drawing>
          <wp:inline distT="0" distB="0" distL="0" distR="0" wp14:anchorId="243502B0" wp14:editId="15386E1F">
            <wp:extent cx="2995684" cy="2415654"/>
            <wp:effectExtent l="0" t="0" r="0" b="381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a:xfrm>
                      <a:off x="0" y="0"/>
                      <a:ext cx="2996957" cy="2416681"/>
                    </a:xfrm>
                    <a:prstGeom prst="rect">
                      <a:avLst/>
                    </a:prstGeom>
                    <a:ln/>
                  </pic:spPr>
                </pic:pic>
              </a:graphicData>
            </a:graphic>
          </wp:inline>
        </w:drawing>
      </w:r>
      <w:r w:rsidR="00D22FD3">
        <w:rPr>
          <w:noProof/>
        </w:rPr>
        <w:drawing>
          <wp:inline distT="114300" distB="114300" distL="114300" distR="114300" wp14:anchorId="71C8D8A3" wp14:editId="57AFCAED">
            <wp:extent cx="3617843" cy="2289975"/>
            <wp:effectExtent l="0" t="0" r="1905" b="0"/>
            <wp:docPr id="18273494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6"/>
                    <a:srcRect/>
                    <a:stretch>
                      <a:fillRect/>
                    </a:stretch>
                  </pic:blipFill>
                  <pic:spPr>
                    <a:xfrm>
                      <a:off x="0" y="0"/>
                      <a:ext cx="3640151" cy="2304095"/>
                    </a:xfrm>
                    <a:prstGeom prst="rect">
                      <a:avLst/>
                    </a:prstGeom>
                    <a:ln/>
                  </pic:spPr>
                </pic:pic>
              </a:graphicData>
            </a:graphic>
          </wp:inline>
        </w:drawing>
      </w:r>
    </w:p>
    <w:p w14:paraId="703D93A2" w14:textId="54750195" w:rsidR="00666237" w:rsidRPr="000F528B" w:rsidRDefault="00666237" w:rsidP="00666237">
      <w:pPr>
        <w:pStyle w:val="Caption"/>
      </w:pPr>
      <w:bookmarkStart w:id="162" w:name="_Ref222480609"/>
      <w:r>
        <w:t xml:space="preserve">Figure </w:t>
      </w:r>
      <w:fldSimple w:instr=" SEQ Figure \* ARABIC ">
        <w:r w:rsidR="00AC4291">
          <w:rPr>
            <w:noProof/>
          </w:rPr>
          <w:t>31</w:t>
        </w:r>
      </w:fldSimple>
      <w:bookmarkEnd w:id="160"/>
      <w:bookmarkEnd w:id="162"/>
      <w:r w:rsidRPr="00CE6832">
        <w:t xml:space="preserve">: Projected power system capacity in </w:t>
      </w:r>
      <w:r>
        <w:t>Zambia</w:t>
      </w:r>
      <w:r w:rsidRPr="00CE6832">
        <w:t xml:space="preserve"> under different critical minerals processing scenarios</w:t>
      </w:r>
      <w:bookmarkEnd w:id="161"/>
      <w:r w:rsidRPr="000F528B">
        <w:t xml:space="preserve">   </w:t>
      </w:r>
    </w:p>
    <w:p w14:paraId="76AEA82E" w14:textId="77777777" w:rsidR="006B6728" w:rsidRPr="006B6728" w:rsidRDefault="006B6728" w:rsidP="006B6728">
      <w:pPr>
        <w:rPr>
          <w:rFonts w:ascii="Arial" w:hAnsi="Arial" w:cs="Arial"/>
          <w:b/>
          <w:bCs/>
          <w:color w:val="0F9ED5" w:themeColor="accent4"/>
        </w:rPr>
      </w:pPr>
    </w:p>
    <w:p w14:paraId="2CE7B976" w14:textId="7B24D43B" w:rsidR="00BE51B1" w:rsidRPr="008A03F4" w:rsidRDefault="00BE51B1" w:rsidP="00BE51B1">
      <w:pPr>
        <w:rPr>
          <w:rFonts w:ascii="Arial" w:hAnsi="Arial" w:cs="Arial"/>
          <w:b/>
          <w:bCs/>
          <w:color w:val="E97132" w:themeColor="accent2"/>
        </w:rPr>
      </w:pPr>
      <w:r>
        <w:rPr>
          <w:rFonts w:ascii="Arial" w:hAnsi="Arial" w:cs="Arial"/>
          <w:b/>
          <w:bCs/>
          <w:color w:val="0F9ED5" w:themeColor="accent4"/>
        </w:rPr>
        <w:t xml:space="preserve"> </w:t>
      </w:r>
      <w:r w:rsidRPr="008A03F4">
        <w:rPr>
          <w:rFonts w:ascii="Arial" w:hAnsi="Arial" w:cs="Arial"/>
          <w:b/>
          <w:bCs/>
          <w:color w:val="E97132" w:themeColor="accent2"/>
        </w:rPr>
        <w:t>5.3 Determination of least-cost energy solution at each location </w:t>
      </w:r>
    </w:p>
    <w:p w14:paraId="50C2AB46" w14:textId="77777777" w:rsidR="00BE51B1" w:rsidRPr="006B2C90" w:rsidRDefault="00BE51B1" w:rsidP="00BE51B1">
      <w:pPr>
        <w:rPr>
          <w:rFonts w:ascii="Arial" w:hAnsi="Arial" w:cs="Arial"/>
          <w:b/>
          <w:bCs/>
          <w:color w:val="000000" w:themeColor="text1"/>
        </w:rPr>
      </w:pPr>
      <w:r>
        <w:rPr>
          <w:rFonts w:ascii="Arial" w:hAnsi="Arial" w:cs="Arial"/>
          <w:b/>
          <w:bCs/>
          <w:color w:val="000000" w:themeColor="text1"/>
        </w:rPr>
        <w:t>5</w:t>
      </w:r>
      <w:r w:rsidRPr="006B2C90">
        <w:rPr>
          <w:rFonts w:ascii="Arial" w:hAnsi="Arial" w:cs="Arial"/>
          <w:b/>
          <w:bCs/>
          <w:color w:val="000000" w:themeColor="text1"/>
        </w:rPr>
        <w:t>.3.1 OSeMOSYS Global results for grid electricity were soft-linked to OnSSET model </w:t>
      </w:r>
    </w:p>
    <w:p w14:paraId="57317A3D" w14:textId="77777777" w:rsidR="00BE51B1" w:rsidRPr="006B2C90" w:rsidRDefault="00BE51B1" w:rsidP="00BE51B1">
      <w:pPr>
        <w:jc w:val="both"/>
        <w:rPr>
          <w:rFonts w:ascii="Arial" w:hAnsi="Arial" w:cs="Arial"/>
        </w:rPr>
      </w:pPr>
      <w:r w:rsidRPr="006B2C90">
        <w:rPr>
          <w:rFonts w:ascii="Arial" w:hAnsi="Arial" w:cs="Arial"/>
        </w:rPr>
        <w:t xml:space="preserve">The resulting values from the OSeMOSYS Global analysis were extracted and incorporated into a modified version of OnSSET to provide values for the LCOE of grid electricity at each location. More specifically, the LCOE for the national power grid produced by OSeMOSYS Global was marked up with a location-specific marginal cost </w:t>
      </w:r>
      <w:r w:rsidRPr="006B2C90">
        <w:rPr>
          <w:rFonts w:ascii="Arial" w:hAnsi="Arial" w:cs="Arial"/>
        </w:rPr>
        <w:lastRenderedPageBreak/>
        <w:t>of distribution, which was calculated based on the distance between each site and the nearest transmission line.  </w:t>
      </w:r>
    </w:p>
    <w:p w14:paraId="202B5FE3" w14:textId="3222EB17" w:rsidR="00BE51B1" w:rsidRPr="006B2C90" w:rsidRDefault="00BE51B1" w:rsidP="00BE51B1">
      <w:pPr>
        <w:jc w:val="both"/>
        <w:rPr>
          <w:rFonts w:ascii="Arial" w:hAnsi="Arial" w:cs="Arial"/>
        </w:rPr>
      </w:pPr>
      <w:r w:rsidRPr="006B2C90">
        <w:rPr>
          <w:rFonts w:ascii="Arial" w:hAnsi="Arial" w:cs="Arial"/>
        </w:rPr>
        <w:t>Geospatial data for national high voltage transmission grids was collected and compiled to yield the grid displayed in</w:t>
      </w:r>
      <w:r w:rsidR="004132C2">
        <w:rPr>
          <w:rFonts w:ascii="Arial" w:hAnsi="Arial" w:cs="Arial"/>
        </w:rPr>
        <w:t xml:space="preserve"> </w:t>
      </w:r>
      <w:r w:rsidR="004132C2">
        <w:rPr>
          <w:rFonts w:ascii="Arial" w:hAnsi="Arial" w:cs="Arial"/>
        </w:rPr>
        <w:fldChar w:fldCharType="begin"/>
      </w:r>
      <w:r w:rsidR="004132C2">
        <w:rPr>
          <w:rFonts w:ascii="Arial" w:hAnsi="Arial" w:cs="Arial"/>
        </w:rPr>
        <w:instrText xml:space="preserve"> REF _Ref214453911 \h </w:instrText>
      </w:r>
      <w:r w:rsidR="004132C2">
        <w:rPr>
          <w:rFonts w:ascii="Arial" w:hAnsi="Arial" w:cs="Arial"/>
        </w:rPr>
      </w:r>
      <w:r w:rsidR="004132C2">
        <w:rPr>
          <w:rFonts w:ascii="Arial" w:hAnsi="Arial" w:cs="Arial"/>
        </w:rPr>
        <w:fldChar w:fldCharType="separate"/>
      </w:r>
      <w:r w:rsidR="00AC4291">
        <w:t xml:space="preserve">Figure </w:t>
      </w:r>
      <w:r w:rsidR="00AC4291">
        <w:rPr>
          <w:noProof/>
        </w:rPr>
        <w:t>32</w:t>
      </w:r>
      <w:r w:rsidR="004132C2">
        <w:rPr>
          <w:rFonts w:ascii="Arial" w:hAnsi="Arial" w:cs="Arial"/>
        </w:rPr>
        <w:fldChar w:fldCharType="end"/>
      </w:r>
      <w:r w:rsidRPr="006B2C90">
        <w:rPr>
          <w:rFonts w:ascii="Arial" w:hAnsi="Arial" w:cs="Arial"/>
        </w:rPr>
        <w:t>. Attempts were also made to collect data on the location of sub-stations and medium voltage lines, but these were not sufficiently complete or consistent to permit their use in the analysis. For grid electricity, the generation capital expenditure was estimated by multiplying the peak load at each location by the average generation capital expenditure for the country where the site was located, and then incorporating the location-specific cost of distribution which was assumed to be around $20,000/km. Finally, operating costs for both generation and distribution were assumed to be 2 percent of the original investment per year. Using the above parameters, the algorithm calculated the levelised cost of grid electricity, now adjusted to account for location-specific distribution costs, over the modelling period up to 2040. </w:t>
      </w:r>
    </w:p>
    <w:p w14:paraId="7AF84C34" w14:textId="77777777" w:rsidR="00CE6832" w:rsidRDefault="00BE51B1" w:rsidP="00BE51B1">
      <w:pPr>
        <w:rPr>
          <w:rFonts w:ascii="Arial" w:hAnsi="Arial" w:cs="Arial"/>
        </w:rPr>
      </w:pPr>
      <w:r w:rsidRPr="006B2C90">
        <w:rPr>
          <w:rFonts w:ascii="Arial" w:hAnsi="Arial" w:cs="Arial"/>
          <w:noProof/>
        </w:rPr>
        <w:drawing>
          <wp:inline distT="0" distB="0" distL="0" distR="0" wp14:anchorId="33181A7C" wp14:editId="3EBCDEA3">
            <wp:extent cx="5731510" cy="4056380"/>
            <wp:effectExtent l="0" t="0" r="2540" b="1270"/>
            <wp:docPr id="250796260" name="Picture 52" descr="A map of afric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 map of africa with different colored lines&#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4056380"/>
                    </a:xfrm>
                    <a:prstGeom prst="rect">
                      <a:avLst/>
                    </a:prstGeom>
                    <a:noFill/>
                    <a:ln>
                      <a:noFill/>
                    </a:ln>
                  </pic:spPr>
                </pic:pic>
              </a:graphicData>
            </a:graphic>
          </wp:inline>
        </w:drawing>
      </w:r>
    </w:p>
    <w:p w14:paraId="229054F6" w14:textId="4C0305D6" w:rsidR="00CE6832" w:rsidRPr="00CE6832" w:rsidRDefault="00CE6832" w:rsidP="00CE6832">
      <w:pPr>
        <w:pStyle w:val="Caption"/>
      </w:pPr>
      <w:bookmarkStart w:id="163" w:name="_Ref214453911"/>
      <w:bookmarkStart w:id="164" w:name="_Toc211272414"/>
      <w:r>
        <w:t xml:space="preserve">Figure </w:t>
      </w:r>
      <w:fldSimple w:instr=" SEQ Figure \* ARABIC ">
        <w:r w:rsidR="00AC4291">
          <w:rPr>
            <w:noProof/>
          </w:rPr>
          <w:t>32</w:t>
        </w:r>
      </w:fldSimple>
      <w:bookmarkEnd w:id="163"/>
      <w:r w:rsidRPr="00CE6832">
        <w:t>: Map of available geospatial data on location of high voltage transmission lines in Southern Africa</w:t>
      </w:r>
      <w:bookmarkEnd w:id="164"/>
    </w:p>
    <w:p w14:paraId="14360DB3" w14:textId="47E36DCE" w:rsidR="00BE51B1" w:rsidRPr="006B2C90" w:rsidRDefault="00BE51B1" w:rsidP="00BE51B1">
      <w:pPr>
        <w:rPr>
          <w:rFonts w:ascii="Arial" w:hAnsi="Arial" w:cs="Arial"/>
        </w:rPr>
      </w:pPr>
      <w:r w:rsidRPr="006B2C90">
        <w:rPr>
          <w:rFonts w:ascii="Arial" w:hAnsi="Arial" w:cs="Arial"/>
        </w:rPr>
        <w:t> </w:t>
      </w:r>
    </w:p>
    <w:p w14:paraId="78B83695" w14:textId="77777777" w:rsidR="00BE51B1" w:rsidRPr="006B2C90" w:rsidRDefault="00BE51B1" w:rsidP="00BE51B1">
      <w:pPr>
        <w:rPr>
          <w:rFonts w:ascii="Arial" w:hAnsi="Arial" w:cs="Arial"/>
          <w:b/>
          <w:bCs/>
        </w:rPr>
      </w:pPr>
      <w:r>
        <w:rPr>
          <w:rFonts w:ascii="Arial" w:hAnsi="Arial" w:cs="Arial"/>
          <w:b/>
          <w:bCs/>
        </w:rPr>
        <w:t>5</w:t>
      </w:r>
      <w:r w:rsidRPr="006B2C90">
        <w:rPr>
          <w:rFonts w:ascii="Arial" w:hAnsi="Arial" w:cs="Arial"/>
          <w:b/>
          <w:bCs/>
        </w:rPr>
        <w:t>.3.2 OnSSET model was used to estimate the costs of off-grid electricity at each location </w:t>
      </w:r>
    </w:p>
    <w:p w14:paraId="4E12F8ED" w14:textId="77777777" w:rsidR="00BE51B1" w:rsidRPr="006B2C90" w:rsidRDefault="00BE51B1" w:rsidP="00BE51B1">
      <w:pPr>
        <w:jc w:val="both"/>
        <w:rPr>
          <w:rFonts w:ascii="Arial" w:hAnsi="Arial" w:cs="Arial"/>
        </w:rPr>
      </w:pPr>
      <w:r w:rsidRPr="006B2C90">
        <w:rPr>
          <w:rFonts w:ascii="Arial" w:hAnsi="Arial" w:cs="Arial"/>
        </w:rPr>
        <w:t xml:space="preserve">OnSSET (Open-Source Spatial Electrification Tool) is a bottom-up medium- to long-term optimisation model, which uses population settlements, together with different </w:t>
      </w:r>
      <w:r w:rsidRPr="006B2C90">
        <w:rPr>
          <w:rFonts w:ascii="Arial" w:hAnsi="Arial" w:cs="Arial"/>
        </w:rPr>
        <w:lastRenderedPageBreak/>
        <w:t>geospatial characteristics and socio- and tecno-economic data, to identify the least-cost supply option to reach universal electrification in each location. OnSSET considers both grid-based, mini-grid, and other off-grid technologies, and it identifies which of these can be considered optimal in each specific location. </w:t>
      </w:r>
    </w:p>
    <w:p w14:paraId="48E46D3F" w14:textId="1B867670" w:rsidR="00BE51B1" w:rsidRPr="006B2C90" w:rsidRDefault="00BE51B1" w:rsidP="00BE51B1">
      <w:pPr>
        <w:jc w:val="both"/>
        <w:rPr>
          <w:rFonts w:ascii="Arial" w:hAnsi="Arial" w:cs="Arial"/>
        </w:rPr>
      </w:pPr>
      <w:r w:rsidRPr="006B2C90">
        <w:rPr>
          <w:rFonts w:ascii="Arial" w:hAnsi="Arial" w:cs="Arial"/>
        </w:rPr>
        <w:t>OnSSET estimates the optimal configuration of solar PV, battery storage, and diesel generation that meets the electricity demand requirements and yields the expected levelised cost of electricity, as well as the estimated capital and operating expenditure that deployment of an off-grid system would require in that location. The sizing of the off-grid systems was based on a subset of the OnSSET code</w:t>
      </w:r>
      <w:r w:rsidRPr="006B2C90">
        <w:rPr>
          <w:rFonts w:ascii="Arial" w:hAnsi="Arial" w:cs="Arial"/>
        </w:rPr>
        <w:fldChar w:fldCharType="begin"/>
      </w:r>
      <w:r w:rsidR="00763584">
        <w:rPr>
          <w:rFonts w:ascii="Arial" w:hAnsi="Arial" w:cs="Arial"/>
        </w:rPr>
        <w:instrText xml:space="preserve"> ADDIN ZOTERO_ITEM CSL_CITATION {"citationID":"kdZKXiZx","properties":{"formattedCitation":"\\super 137\\nosupersub{}","plainCitation":"137","noteIndex":0},"citationItems":[{"id":2247,"uris":["http://zotero.org/users/10918866/items/FJIFDH8Z"],"itemData":{"id":2247,"type":"software","abstract":"Modified version of the Open Source Spatial Electrification Tool (OnSSET) to serve GEP objectives - GitHub - global-electrification-platform/gep-onsset at gep-climate-2023","title":"Global Electrification Platform: Open Source Spatial Electrification Tool (OnSSET)","URL":"https://github.com/global-electrification-platform/gep-onsset","version":"2.0","author":[{"family":"Stewart","given":"Benjamin"},{"family":"Korkovelos","given":"Alexandros"},{"family":"Sahlberg","given":"Andreas"},{"family":"Khavari","given":"Babak"}],"accessed":{"date-parts":[["2025",3,11]]},"issued":{"date-parts":[["2023"]]}}}],"schema":"https://github.com/citation-style-language/schema/raw/master/csl-citation.json"} </w:instrText>
      </w:r>
      <w:r w:rsidRPr="006B2C90">
        <w:rPr>
          <w:rFonts w:ascii="Arial" w:hAnsi="Arial" w:cs="Arial"/>
        </w:rPr>
        <w:fldChar w:fldCharType="separate"/>
      </w:r>
      <w:r w:rsidR="00763584" w:rsidRPr="00763584">
        <w:rPr>
          <w:rFonts w:ascii="Arial" w:hAnsi="Arial" w:cs="Arial"/>
          <w:kern w:val="0"/>
          <w:vertAlign w:val="superscript"/>
        </w:rPr>
        <w:t>137</w:t>
      </w:r>
      <w:r w:rsidRPr="006B2C90">
        <w:rPr>
          <w:rFonts w:ascii="Arial" w:hAnsi="Arial" w:cs="Arial"/>
        </w:rPr>
        <w:fldChar w:fldCharType="end"/>
      </w:r>
      <w:r w:rsidRPr="006B2C90">
        <w:rPr>
          <w:rFonts w:ascii="Arial" w:hAnsi="Arial" w:cs="Arial"/>
        </w:rPr>
        <w:t>, which has been customised in order to approximate the optimal configuration of mini-grid sites for mineral processing sites at each given location and demand profile. While not a fully-fledged optimisation, the model compares the location-specific requirements with a large set of system configurations within a solution space and evaluates the combination of solar PV, battery, and/or the diesel generator, that best fits the demand profile, energy resource availability, and specific techno-economic requirements defined by the user</w:t>
      </w:r>
      <w:r w:rsidRPr="006B2C90">
        <w:rPr>
          <w:rFonts w:ascii="Arial" w:hAnsi="Arial" w:cs="Arial"/>
        </w:rPr>
        <w:fldChar w:fldCharType="begin"/>
      </w:r>
      <w:r w:rsidR="0016542D">
        <w:rPr>
          <w:rFonts w:ascii="Arial" w:hAnsi="Arial" w:cs="Arial"/>
        </w:rPr>
        <w:instrText xml:space="preserve"> ADDIN ZOTERO_ITEM CSL_CITATION {"citationID":"IXF8dNnX","properties":{"formattedCitation":"\\super 138\\nosupersub{}","plainCitation":"138","noteIndex":0},"citationItems":[{"id":2246,"uris":["http://zotero.org/users/10918866/items/G9FMQ8PF"],"itemData":{"id":2246,"type":"thesis","language":"en","publisher-place":"Stockholm","source":"Zotero","title":"Geo-spatial electricity demand assessment &amp; hybrid off-grid solutions to support electrification efforts using OnSSET: the case study of Tanzania","URL":"https://www.diva-portal.org/smash/get/diva2:1197546/FULLTEXT01.pdf","author":[{"family":"Khavari","given":"Babak"},{"family":"Sahlberg","given":"Andreas"}],"accessed":{"date-parts":[["2025",3,11]]},"issued":{"date-parts":[["2017"]]}}}],"schema":"https://github.com/citation-style-language/schema/raw/master/csl-citation.json"} </w:instrText>
      </w:r>
      <w:r w:rsidRPr="006B2C90">
        <w:rPr>
          <w:rFonts w:ascii="Arial" w:hAnsi="Arial" w:cs="Arial"/>
        </w:rPr>
        <w:fldChar w:fldCharType="separate"/>
      </w:r>
      <w:r w:rsidR="00763584" w:rsidRPr="00763584">
        <w:rPr>
          <w:rFonts w:ascii="Arial" w:hAnsi="Arial" w:cs="Arial"/>
          <w:kern w:val="0"/>
          <w:vertAlign w:val="superscript"/>
        </w:rPr>
        <w:t>138</w:t>
      </w:r>
      <w:r w:rsidRPr="006B2C90">
        <w:rPr>
          <w:rFonts w:ascii="Arial" w:hAnsi="Arial" w:cs="Arial"/>
        </w:rPr>
        <w:fldChar w:fldCharType="end"/>
      </w:r>
      <w:r w:rsidRPr="006B2C90">
        <w:rPr>
          <w:rFonts w:ascii="Arial" w:hAnsi="Arial" w:cs="Arial"/>
        </w:rPr>
        <w:t>.  </w:t>
      </w:r>
    </w:p>
    <w:p w14:paraId="7E3FD8DC" w14:textId="28831DB9" w:rsidR="00BE51B1" w:rsidRPr="006B2C90" w:rsidRDefault="00BE51B1" w:rsidP="00BE51B1">
      <w:pPr>
        <w:jc w:val="both"/>
        <w:rPr>
          <w:rFonts w:ascii="Arial" w:hAnsi="Arial" w:cs="Arial"/>
        </w:rPr>
      </w:pPr>
      <w:r w:rsidRPr="006B2C90">
        <w:rPr>
          <w:rFonts w:ascii="Arial" w:hAnsi="Arial" w:cs="Arial"/>
        </w:rPr>
        <w:t xml:space="preserve">The underlying techno-economic parameters for the off-grid (mini-grid) systems are summarised in </w:t>
      </w:r>
      <w:r w:rsidR="00615C28">
        <w:rPr>
          <w:rFonts w:ascii="Arial" w:hAnsi="Arial" w:cs="Arial"/>
          <w:b/>
          <w:bCs/>
        </w:rPr>
        <w:fldChar w:fldCharType="begin"/>
      </w:r>
      <w:r w:rsidR="00615C28">
        <w:rPr>
          <w:rFonts w:ascii="Arial" w:hAnsi="Arial" w:cs="Arial"/>
        </w:rPr>
        <w:instrText xml:space="preserve"> REF _Ref214453478 \h </w:instrText>
      </w:r>
      <w:r w:rsidR="00615C28">
        <w:rPr>
          <w:rFonts w:ascii="Arial" w:hAnsi="Arial" w:cs="Arial"/>
          <w:b/>
          <w:bCs/>
        </w:rPr>
      </w:r>
      <w:r w:rsidR="00615C28">
        <w:rPr>
          <w:rFonts w:ascii="Arial" w:hAnsi="Arial" w:cs="Arial"/>
          <w:b/>
          <w:bCs/>
        </w:rPr>
        <w:fldChar w:fldCharType="separate"/>
      </w:r>
      <w:r w:rsidR="00615C28">
        <w:t xml:space="preserve">Table </w:t>
      </w:r>
      <w:r w:rsidR="00615C28">
        <w:rPr>
          <w:noProof/>
        </w:rPr>
        <w:t>22</w:t>
      </w:r>
      <w:r w:rsidR="00615C28">
        <w:rPr>
          <w:rFonts w:ascii="Arial" w:hAnsi="Arial" w:cs="Arial"/>
          <w:b/>
          <w:bCs/>
        </w:rPr>
        <w:fldChar w:fldCharType="end"/>
      </w:r>
      <w:r w:rsidRPr="006B2C90">
        <w:rPr>
          <w:rFonts w:ascii="Arial" w:hAnsi="Arial" w:cs="Arial"/>
        </w:rPr>
        <w:t xml:space="preserve">. The algorithm uses geospatial analytics in order to estimate the energy resource availability at each location (solar irradiation) and adjust the cost of diesel based on transportation requirements by estimating travel time to major towns. </w:t>
      </w:r>
      <w:r w:rsidR="004132C2">
        <w:rPr>
          <w:rFonts w:ascii="Arial" w:hAnsi="Arial" w:cs="Arial"/>
        </w:rPr>
        <w:fldChar w:fldCharType="begin"/>
      </w:r>
      <w:r w:rsidR="004132C2">
        <w:rPr>
          <w:rFonts w:ascii="Arial" w:hAnsi="Arial" w:cs="Arial"/>
        </w:rPr>
        <w:instrText xml:space="preserve"> REF _Ref214453928 \h </w:instrText>
      </w:r>
      <w:r w:rsidR="004132C2">
        <w:rPr>
          <w:rFonts w:ascii="Arial" w:hAnsi="Arial" w:cs="Arial"/>
        </w:rPr>
      </w:r>
      <w:r w:rsidR="004132C2">
        <w:rPr>
          <w:rFonts w:ascii="Arial" w:hAnsi="Arial" w:cs="Arial"/>
        </w:rPr>
        <w:fldChar w:fldCharType="separate"/>
      </w:r>
      <w:r w:rsidR="00AC4291">
        <w:t xml:space="preserve">Figure </w:t>
      </w:r>
      <w:r w:rsidR="00AC4291">
        <w:rPr>
          <w:noProof/>
        </w:rPr>
        <w:t>33</w:t>
      </w:r>
      <w:r w:rsidR="004132C2">
        <w:rPr>
          <w:rFonts w:ascii="Arial" w:hAnsi="Arial" w:cs="Arial"/>
        </w:rPr>
        <w:fldChar w:fldCharType="end"/>
      </w:r>
      <w:r w:rsidR="004132C2">
        <w:rPr>
          <w:rFonts w:ascii="Arial" w:hAnsi="Arial" w:cs="Arial"/>
        </w:rPr>
        <w:t xml:space="preserve"> </w:t>
      </w:r>
      <w:r w:rsidRPr="006B2C90">
        <w:rPr>
          <w:rFonts w:ascii="Arial" w:hAnsi="Arial" w:cs="Arial"/>
        </w:rPr>
        <w:t>summarises the relative LCOE of off-grid electricity at all the relevant mining and processing locations. </w:t>
      </w:r>
    </w:p>
    <w:p w14:paraId="726F5AFE" w14:textId="593C90E9" w:rsidR="00BE51B1" w:rsidRPr="00CE6832" w:rsidRDefault="00615C28" w:rsidP="00615C28">
      <w:pPr>
        <w:pStyle w:val="Caption"/>
      </w:pPr>
      <w:bookmarkStart w:id="165" w:name="_Ref214453478"/>
      <w:bookmarkStart w:id="166" w:name="_Toc211509417"/>
      <w:r>
        <w:t xml:space="preserve">Table </w:t>
      </w:r>
      <w:fldSimple w:instr=" SEQ Table \* ARABIC ">
        <w:r>
          <w:t>22</w:t>
        </w:r>
      </w:fldSimple>
      <w:bookmarkEnd w:id="165"/>
      <w:r w:rsidR="00BE51B1" w:rsidRPr="00CE6832">
        <w:t>: Summary of techno-economic parameters used for OnSSET analysis</w:t>
      </w:r>
      <w:bookmarkEnd w:id="166"/>
    </w:p>
    <w:tbl>
      <w:tblPr>
        <w:tblW w:w="89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4485"/>
        <w:gridCol w:w="4485"/>
      </w:tblGrid>
      <w:tr w:rsidR="00BE51B1" w:rsidRPr="006B2C90" w14:paraId="588C5CCE" w14:textId="77777777" w:rsidTr="00877C15">
        <w:trPr>
          <w:trHeight w:val="300"/>
        </w:trPr>
        <w:tc>
          <w:tcPr>
            <w:tcW w:w="4485" w:type="dxa"/>
            <w:hideMark/>
          </w:tcPr>
          <w:p w14:paraId="3502B1D8"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PV panel capital cost</w:t>
            </w:r>
            <w:r w:rsidRPr="006B2C90">
              <w:rPr>
                <w:rFonts w:ascii="Arial" w:hAnsi="Arial" w:cs="Arial"/>
                <w:color w:val="156082" w:themeColor="accent1"/>
                <w:sz w:val="20"/>
                <w:szCs w:val="20"/>
              </w:rPr>
              <w:t>  </w:t>
            </w:r>
          </w:p>
        </w:tc>
        <w:tc>
          <w:tcPr>
            <w:tcW w:w="4485" w:type="dxa"/>
            <w:hideMark/>
          </w:tcPr>
          <w:p w14:paraId="436D70C7"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1,200 $/kWp </w:t>
            </w:r>
          </w:p>
        </w:tc>
      </w:tr>
      <w:tr w:rsidR="00BE51B1" w:rsidRPr="006B2C90" w14:paraId="5E9A6A16" w14:textId="77777777" w:rsidTr="00877C15">
        <w:trPr>
          <w:trHeight w:val="300"/>
        </w:trPr>
        <w:tc>
          <w:tcPr>
            <w:tcW w:w="4485" w:type="dxa"/>
            <w:hideMark/>
          </w:tcPr>
          <w:p w14:paraId="1BD134DD"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PV panel life</w:t>
            </w:r>
            <w:r w:rsidRPr="006B2C90">
              <w:rPr>
                <w:rFonts w:ascii="Arial" w:hAnsi="Arial" w:cs="Arial"/>
                <w:color w:val="156082" w:themeColor="accent1"/>
                <w:sz w:val="20"/>
                <w:szCs w:val="20"/>
              </w:rPr>
              <w:t> </w:t>
            </w:r>
          </w:p>
        </w:tc>
        <w:tc>
          <w:tcPr>
            <w:tcW w:w="4485" w:type="dxa"/>
            <w:hideMark/>
          </w:tcPr>
          <w:p w14:paraId="43E5B696"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25 years </w:t>
            </w:r>
          </w:p>
        </w:tc>
      </w:tr>
      <w:tr w:rsidR="00BE51B1" w:rsidRPr="006B2C90" w14:paraId="25C868F5" w14:textId="77777777" w:rsidTr="00877C15">
        <w:trPr>
          <w:trHeight w:val="300"/>
        </w:trPr>
        <w:tc>
          <w:tcPr>
            <w:tcW w:w="4485" w:type="dxa"/>
            <w:hideMark/>
          </w:tcPr>
          <w:p w14:paraId="64E4C6C6"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Annual O&amp;M cost of PV panels</w:t>
            </w:r>
            <w:r w:rsidRPr="006B2C90">
              <w:rPr>
                <w:rFonts w:ascii="Arial" w:hAnsi="Arial" w:cs="Arial"/>
                <w:color w:val="156082" w:themeColor="accent1"/>
                <w:sz w:val="20"/>
                <w:szCs w:val="20"/>
              </w:rPr>
              <w:t>  </w:t>
            </w:r>
          </w:p>
        </w:tc>
        <w:tc>
          <w:tcPr>
            <w:tcW w:w="4485" w:type="dxa"/>
            <w:hideMark/>
          </w:tcPr>
          <w:p w14:paraId="37AA92A4"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1.5% </w:t>
            </w:r>
          </w:p>
        </w:tc>
      </w:tr>
      <w:tr w:rsidR="00BE51B1" w:rsidRPr="006B2C90" w14:paraId="250BB18F" w14:textId="77777777" w:rsidTr="00877C15">
        <w:trPr>
          <w:trHeight w:val="300"/>
        </w:trPr>
        <w:tc>
          <w:tcPr>
            <w:tcW w:w="4485" w:type="dxa"/>
            <w:hideMark/>
          </w:tcPr>
          <w:p w14:paraId="146F4E81"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Diesel generator capital cost</w:t>
            </w:r>
            <w:r w:rsidRPr="006B2C90">
              <w:rPr>
                <w:rFonts w:ascii="Arial" w:hAnsi="Arial" w:cs="Arial"/>
                <w:color w:val="156082" w:themeColor="accent1"/>
                <w:sz w:val="20"/>
                <w:szCs w:val="20"/>
              </w:rPr>
              <w:t> </w:t>
            </w:r>
          </w:p>
        </w:tc>
        <w:tc>
          <w:tcPr>
            <w:tcW w:w="4485" w:type="dxa"/>
            <w:hideMark/>
          </w:tcPr>
          <w:p w14:paraId="0D2379FE"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325 $/kVA </w:t>
            </w:r>
          </w:p>
        </w:tc>
      </w:tr>
      <w:tr w:rsidR="00BE51B1" w:rsidRPr="006B2C90" w14:paraId="415FC3E3" w14:textId="77777777" w:rsidTr="00877C15">
        <w:trPr>
          <w:trHeight w:val="300"/>
        </w:trPr>
        <w:tc>
          <w:tcPr>
            <w:tcW w:w="4485" w:type="dxa"/>
            <w:hideMark/>
          </w:tcPr>
          <w:p w14:paraId="4CA77BD6"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Annual O&amp;M cost of diesel genset</w:t>
            </w:r>
            <w:r w:rsidRPr="006B2C90">
              <w:rPr>
                <w:rFonts w:ascii="Arial" w:hAnsi="Arial" w:cs="Arial"/>
                <w:color w:val="156082" w:themeColor="accent1"/>
                <w:sz w:val="20"/>
                <w:szCs w:val="20"/>
              </w:rPr>
              <w:t> </w:t>
            </w:r>
          </w:p>
        </w:tc>
        <w:tc>
          <w:tcPr>
            <w:tcW w:w="4485" w:type="dxa"/>
            <w:hideMark/>
          </w:tcPr>
          <w:p w14:paraId="5046A61F"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 xml:space="preserve">10% of CAPEX </w:t>
            </w:r>
          </w:p>
        </w:tc>
      </w:tr>
      <w:tr w:rsidR="00BE51B1" w:rsidRPr="006B2C90" w14:paraId="240C042B" w14:textId="77777777" w:rsidTr="00877C15">
        <w:trPr>
          <w:trHeight w:val="300"/>
        </w:trPr>
        <w:tc>
          <w:tcPr>
            <w:tcW w:w="4485" w:type="dxa"/>
            <w:hideMark/>
          </w:tcPr>
          <w:p w14:paraId="11EAA007"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Diesel generator life</w:t>
            </w:r>
            <w:r w:rsidRPr="006B2C90">
              <w:rPr>
                <w:rFonts w:ascii="Arial" w:hAnsi="Arial" w:cs="Arial"/>
                <w:color w:val="156082" w:themeColor="accent1"/>
                <w:sz w:val="20"/>
                <w:szCs w:val="20"/>
              </w:rPr>
              <w:t> </w:t>
            </w:r>
          </w:p>
        </w:tc>
        <w:tc>
          <w:tcPr>
            <w:tcW w:w="4485" w:type="dxa"/>
            <w:hideMark/>
          </w:tcPr>
          <w:p w14:paraId="7109E7BC"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10 years </w:t>
            </w:r>
          </w:p>
        </w:tc>
      </w:tr>
      <w:tr w:rsidR="00BE51B1" w:rsidRPr="006B2C90" w14:paraId="76A346AD" w14:textId="77777777" w:rsidTr="00877C15">
        <w:trPr>
          <w:trHeight w:val="300"/>
        </w:trPr>
        <w:tc>
          <w:tcPr>
            <w:tcW w:w="4485" w:type="dxa"/>
            <w:hideMark/>
          </w:tcPr>
          <w:p w14:paraId="7C08BC9C"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Diesel pump price</w:t>
            </w:r>
            <w:r w:rsidRPr="006B2C90">
              <w:rPr>
                <w:rFonts w:ascii="Arial" w:hAnsi="Arial" w:cs="Arial"/>
                <w:color w:val="156082" w:themeColor="accent1"/>
                <w:sz w:val="20"/>
                <w:szCs w:val="20"/>
              </w:rPr>
              <w:t>  </w:t>
            </w:r>
          </w:p>
        </w:tc>
        <w:tc>
          <w:tcPr>
            <w:tcW w:w="4485" w:type="dxa"/>
            <w:hideMark/>
          </w:tcPr>
          <w:p w14:paraId="7638A873"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1 $/litre (fuel cost changes per location) </w:t>
            </w:r>
          </w:p>
        </w:tc>
      </w:tr>
      <w:tr w:rsidR="00BE51B1" w:rsidRPr="006B2C90" w14:paraId="655F38A3" w14:textId="77777777" w:rsidTr="00877C15">
        <w:trPr>
          <w:trHeight w:val="300"/>
        </w:trPr>
        <w:tc>
          <w:tcPr>
            <w:tcW w:w="4485" w:type="dxa"/>
            <w:hideMark/>
          </w:tcPr>
          <w:p w14:paraId="70DB4146"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Inverter cost</w:t>
            </w:r>
            <w:r w:rsidRPr="006B2C90">
              <w:rPr>
                <w:rFonts w:ascii="Arial" w:hAnsi="Arial" w:cs="Arial"/>
                <w:color w:val="156082" w:themeColor="accent1"/>
                <w:sz w:val="20"/>
                <w:szCs w:val="20"/>
              </w:rPr>
              <w:t> </w:t>
            </w:r>
          </w:p>
        </w:tc>
        <w:tc>
          <w:tcPr>
            <w:tcW w:w="4485" w:type="dxa"/>
            <w:hideMark/>
          </w:tcPr>
          <w:p w14:paraId="2663FFF6"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230 $/kW </w:t>
            </w:r>
          </w:p>
        </w:tc>
      </w:tr>
      <w:tr w:rsidR="00BE51B1" w:rsidRPr="006B2C90" w14:paraId="5FA60BCB" w14:textId="77777777" w:rsidTr="00877C15">
        <w:trPr>
          <w:trHeight w:val="300"/>
        </w:trPr>
        <w:tc>
          <w:tcPr>
            <w:tcW w:w="4485" w:type="dxa"/>
            <w:hideMark/>
          </w:tcPr>
          <w:p w14:paraId="110CAEDE"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Inverter life</w:t>
            </w:r>
            <w:r w:rsidRPr="006B2C90">
              <w:rPr>
                <w:rFonts w:ascii="Arial" w:hAnsi="Arial" w:cs="Arial"/>
                <w:color w:val="156082" w:themeColor="accent1"/>
                <w:sz w:val="20"/>
                <w:szCs w:val="20"/>
              </w:rPr>
              <w:t> </w:t>
            </w:r>
          </w:p>
        </w:tc>
        <w:tc>
          <w:tcPr>
            <w:tcW w:w="4485" w:type="dxa"/>
            <w:hideMark/>
          </w:tcPr>
          <w:p w14:paraId="2E9D3279"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10 years </w:t>
            </w:r>
          </w:p>
        </w:tc>
      </w:tr>
      <w:tr w:rsidR="00BE51B1" w:rsidRPr="006B2C90" w14:paraId="40A6A23A" w14:textId="77777777" w:rsidTr="00877C15">
        <w:trPr>
          <w:trHeight w:val="300"/>
        </w:trPr>
        <w:tc>
          <w:tcPr>
            <w:tcW w:w="4485" w:type="dxa"/>
            <w:hideMark/>
          </w:tcPr>
          <w:p w14:paraId="001F61A9"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Inverter efficiency</w:t>
            </w:r>
            <w:r w:rsidRPr="006B2C90">
              <w:rPr>
                <w:rFonts w:ascii="Arial" w:hAnsi="Arial" w:cs="Arial"/>
                <w:color w:val="156082" w:themeColor="accent1"/>
                <w:sz w:val="20"/>
                <w:szCs w:val="20"/>
              </w:rPr>
              <w:t> </w:t>
            </w:r>
          </w:p>
        </w:tc>
        <w:tc>
          <w:tcPr>
            <w:tcW w:w="4485" w:type="dxa"/>
            <w:hideMark/>
          </w:tcPr>
          <w:p w14:paraId="4EF24DFC"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0.92 </w:t>
            </w:r>
          </w:p>
        </w:tc>
      </w:tr>
      <w:tr w:rsidR="00BE51B1" w:rsidRPr="006B2C90" w14:paraId="146D6E95" w14:textId="77777777" w:rsidTr="00877C15">
        <w:trPr>
          <w:trHeight w:val="300"/>
        </w:trPr>
        <w:tc>
          <w:tcPr>
            <w:tcW w:w="4485" w:type="dxa"/>
            <w:hideMark/>
          </w:tcPr>
          <w:p w14:paraId="53AA5F97"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Battery cost</w:t>
            </w:r>
            <w:r w:rsidRPr="006B2C90">
              <w:rPr>
                <w:rFonts w:ascii="Arial" w:hAnsi="Arial" w:cs="Arial"/>
                <w:color w:val="156082" w:themeColor="accent1"/>
                <w:sz w:val="20"/>
                <w:szCs w:val="20"/>
              </w:rPr>
              <w:t>  </w:t>
            </w:r>
          </w:p>
        </w:tc>
        <w:tc>
          <w:tcPr>
            <w:tcW w:w="4485" w:type="dxa"/>
            <w:hideMark/>
          </w:tcPr>
          <w:p w14:paraId="4A21F980"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593 $/kWh </w:t>
            </w:r>
          </w:p>
        </w:tc>
      </w:tr>
      <w:tr w:rsidR="00BE51B1" w:rsidRPr="006B2C90" w14:paraId="1F37EE5B" w14:textId="77777777" w:rsidTr="00877C15">
        <w:trPr>
          <w:trHeight w:val="300"/>
        </w:trPr>
        <w:tc>
          <w:tcPr>
            <w:tcW w:w="4485" w:type="dxa"/>
            <w:hideMark/>
          </w:tcPr>
          <w:p w14:paraId="4537FDC1"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Charge/Discharge</w:t>
            </w:r>
            <w:r w:rsidRPr="006B2C90">
              <w:rPr>
                <w:rFonts w:ascii="Arial" w:hAnsi="Arial" w:cs="Arial"/>
                <w:color w:val="156082" w:themeColor="accent1"/>
                <w:sz w:val="20"/>
                <w:szCs w:val="20"/>
              </w:rPr>
              <w:t xml:space="preserve"> </w:t>
            </w:r>
            <w:r w:rsidRPr="006B2C90">
              <w:rPr>
                <w:rFonts w:ascii="Arial" w:hAnsi="Arial" w:cs="Arial"/>
                <w:b/>
                <w:bCs/>
                <w:color w:val="156082" w:themeColor="accent1"/>
                <w:sz w:val="20"/>
                <w:szCs w:val="20"/>
              </w:rPr>
              <w:t>efficiency of battery</w:t>
            </w:r>
            <w:r w:rsidRPr="006B2C90">
              <w:rPr>
                <w:rFonts w:ascii="Arial" w:hAnsi="Arial" w:cs="Arial"/>
                <w:color w:val="156082" w:themeColor="accent1"/>
                <w:sz w:val="20"/>
                <w:szCs w:val="20"/>
              </w:rPr>
              <w:t>  </w:t>
            </w:r>
          </w:p>
        </w:tc>
        <w:tc>
          <w:tcPr>
            <w:tcW w:w="4485" w:type="dxa"/>
            <w:hideMark/>
          </w:tcPr>
          <w:p w14:paraId="100EB4BA"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0.92 </w:t>
            </w:r>
          </w:p>
        </w:tc>
      </w:tr>
      <w:tr w:rsidR="00BE51B1" w:rsidRPr="006B2C90" w14:paraId="5B961750" w14:textId="77777777" w:rsidTr="00877C15">
        <w:trPr>
          <w:trHeight w:val="300"/>
        </w:trPr>
        <w:tc>
          <w:tcPr>
            <w:tcW w:w="4485" w:type="dxa"/>
            <w:hideMark/>
          </w:tcPr>
          <w:p w14:paraId="3FBFE809"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Maximum depth of discharge of battery</w:t>
            </w:r>
            <w:r w:rsidRPr="006B2C90">
              <w:rPr>
                <w:rFonts w:ascii="Arial" w:hAnsi="Arial" w:cs="Arial"/>
                <w:color w:val="156082" w:themeColor="accent1"/>
                <w:sz w:val="20"/>
                <w:szCs w:val="20"/>
              </w:rPr>
              <w:t> </w:t>
            </w:r>
          </w:p>
        </w:tc>
        <w:tc>
          <w:tcPr>
            <w:tcW w:w="4485" w:type="dxa"/>
            <w:hideMark/>
          </w:tcPr>
          <w:p w14:paraId="403565FB"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0.80 </w:t>
            </w:r>
          </w:p>
        </w:tc>
      </w:tr>
      <w:tr w:rsidR="00BE51B1" w:rsidRPr="006B2C90" w14:paraId="54D8D680" w14:textId="77777777" w:rsidTr="00877C15">
        <w:trPr>
          <w:trHeight w:val="300"/>
        </w:trPr>
        <w:tc>
          <w:tcPr>
            <w:tcW w:w="4485" w:type="dxa"/>
            <w:hideMark/>
          </w:tcPr>
          <w:p w14:paraId="28093CB1"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Maximum loss of load allowed (% of kWh)</w:t>
            </w:r>
            <w:r w:rsidRPr="006B2C90">
              <w:rPr>
                <w:rFonts w:ascii="Arial" w:hAnsi="Arial" w:cs="Arial"/>
                <w:color w:val="156082" w:themeColor="accent1"/>
                <w:sz w:val="20"/>
                <w:szCs w:val="20"/>
              </w:rPr>
              <w:t> </w:t>
            </w:r>
          </w:p>
        </w:tc>
        <w:tc>
          <w:tcPr>
            <w:tcW w:w="4485" w:type="dxa"/>
            <w:hideMark/>
          </w:tcPr>
          <w:p w14:paraId="056A29F9"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0.01% </w:t>
            </w:r>
          </w:p>
        </w:tc>
      </w:tr>
      <w:tr w:rsidR="00BE51B1" w:rsidRPr="006B2C90" w14:paraId="7A0C6E62" w14:textId="77777777" w:rsidTr="00877C15">
        <w:trPr>
          <w:trHeight w:val="300"/>
        </w:trPr>
        <w:tc>
          <w:tcPr>
            <w:tcW w:w="4485" w:type="dxa"/>
            <w:hideMark/>
          </w:tcPr>
          <w:p w14:paraId="1DA9CA50"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Max diesel capacity share</w:t>
            </w:r>
            <w:r w:rsidRPr="006B2C90">
              <w:rPr>
                <w:rFonts w:ascii="Arial" w:hAnsi="Arial" w:cs="Arial"/>
                <w:color w:val="156082" w:themeColor="accent1"/>
                <w:sz w:val="20"/>
                <w:szCs w:val="20"/>
              </w:rPr>
              <w:t> </w:t>
            </w:r>
          </w:p>
        </w:tc>
        <w:tc>
          <w:tcPr>
            <w:tcW w:w="4485" w:type="dxa"/>
            <w:hideMark/>
          </w:tcPr>
          <w:p w14:paraId="15C3226D"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50% </w:t>
            </w:r>
          </w:p>
        </w:tc>
      </w:tr>
      <w:tr w:rsidR="00BE51B1" w:rsidRPr="006B2C90" w14:paraId="64813175" w14:textId="77777777" w:rsidTr="00877C15">
        <w:trPr>
          <w:trHeight w:val="300"/>
        </w:trPr>
        <w:tc>
          <w:tcPr>
            <w:tcW w:w="4485" w:type="dxa"/>
            <w:hideMark/>
          </w:tcPr>
          <w:p w14:paraId="49F3AE0C"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Discount rate</w:t>
            </w:r>
            <w:r w:rsidRPr="006B2C90">
              <w:rPr>
                <w:rFonts w:ascii="Arial" w:hAnsi="Arial" w:cs="Arial"/>
                <w:color w:val="156082" w:themeColor="accent1"/>
                <w:sz w:val="20"/>
                <w:szCs w:val="20"/>
              </w:rPr>
              <w:t> </w:t>
            </w:r>
          </w:p>
        </w:tc>
        <w:tc>
          <w:tcPr>
            <w:tcW w:w="4485" w:type="dxa"/>
            <w:hideMark/>
          </w:tcPr>
          <w:p w14:paraId="2468D35C"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13.8% </w:t>
            </w:r>
          </w:p>
        </w:tc>
      </w:tr>
      <w:tr w:rsidR="00BE51B1" w:rsidRPr="006B2C90" w14:paraId="644553CB" w14:textId="77777777" w:rsidTr="00877C15">
        <w:trPr>
          <w:trHeight w:val="300"/>
        </w:trPr>
        <w:tc>
          <w:tcPr>
            <w:tcW w:w="4485" w:type="dxa"/>
            <w:hideMark/>
          </w:tcPr>
          <w:p w14:paraId="4B5348D1" w14:textId="77777777" w:rsidR="00BE51B1" w:rsidRPr="006B2C90" w:rsidRDefault="00BE51B1" w:rsidP="00877C15">
            <w:pPr>
              <w:spacing w:before="20" w:after="40" w:line="240" w:lineRule="auto"/>
              <w:ind w:left="113" w:right="57"/>
              <w:rPr>
                <w:rFonts w:ascii="Arial" w:hAnsi="Arial" w:cs="Arial"/>
                <w:color w:val="156082" w:themeColor="accent1"/>
                <w:sz w:val="20"/>
                <w:szCs w:val="20"/>
              </w:rPr>
            </w:pPr>
            <w:r w:rsidRPr="006B2C90">
              <w:rPr>
                <w:rFonts w:ascii="Arial" w:hAnsi="Arial" w:cs="Arial"/>
                <w:b/>
                <w:bCs/>
                <w:color w:val="156082" w:themeColor="accent1"/>
                <w:sz w:val="20"/>
                <w:szCs w:val="20"/>
              </w:rPr>
              <w:t>Modelling period</w:t>
            </w:r>
            <w:r w:rsidRPr="006B2C90">
              <w:rPr>
                <w:rFonts w:ascii="Arial" w:hAnsi="Arial" w:cs="Arial"/>
                <w:color w:val="156082" w:themeColor="accent1"/>
                <w:sz w:val="20"/>
                <w:szCs w:val="20"/>
              </w:rPr>
              <w:t>  </w:t>
            </w:r>
          </w:p>
        </w:tc>
        <w:tc>
          <w:tcPr>
            <w:tcW w:w="4485" w:type="dxa"/>
            <w:hideMark/>
          </w:tcPr>
          <w:p w14:paraId="551D68AB" w14:textId="77777777" w:rsidR="00BE51B1" w:rsidRPr="006B2C90" w:rsidRDefault="00BE51B1" w:rsidP="00877C15">
            <w:pPr>
              <w:spacing w:before="20" w:after="40" w:line="240" w:lineRule="auto"/>
              <w:ind w:left="113" w:right="57"/>
              <w:rPr>
                <w:rFonts w:ascii="Arial" w:hAnsi="Arial" w:cs="Arial"/>
                <w:sz w:val="20"/>
                <w:szCs w:val="20"/>
              </w:rPr>
            </w:pPr>
            <w:r w:rsidRPr="006B2C90">
              <w:rPr>
                <w:rFonts w:ascii="Arial" w:hAnsi="Arial" w:cs="Arial"/>
                <w:sz w:val="20"/>
                <w:szCs w:val="20"/>
              </w:rPr>
              <w:t>2023–2040 (17 years) </w:t>
            </w:r>
          </w:p>
        </w:tc>
      </w:tr>
    </w:tbl>
    <w:p w14:paraId="52AC6D42" w14:textId="77777777" w:rsidR="00BE51B1" w:rsidRDefault="00BE51B1" w:rsidP="00BE51B1">
      <w:pPr>
        <w:rPr>
          <w:rFonts w:ascii="Arial" w:hAnsi="Arial" w:cs="Arial"/>
          <w:b/>
          <w:bCs/>
        </w:rPr>
      </w:pPr>
    </w:p>
    <w:p w14:paraId="0B3ED7C2" w14:textId="77777777" w:rsidR="00B4252C" w:rsidRPr="006B2C90" w:rsidRDefault="00B4252C" w:rsidP="00BE51B1">
      <w:pPr>
        <w:rPr>
          <w:rFonts w:ascii="Arial" w:hAnsi="Arial" w:cs="Arial"/>
          <w:b/>
          <w:bCs/>
        </w:rPr>
      </w:pPr>
    </w:p>
    <w:p w14:paraId="5DC445A9" w14:textId="77777777" w:rsidR="00BE51B1" w:rsidRDefault="00BE51B1" w:rsidP="00BE51B1">
      <w:pPr>
        <w:rPr>
          <w:rFonts w:ascii="Arial" w:hAnsi="Arial" w:cs="Arial"/>
        </w:rPr>
      </w:pPr>
      <w:r w:rsidRPr="006B2C90">
        <w:rPr>
          <w:rFonts w:ascii="Arial" w:hAnsi="Arial" w:cs="Arial"/>
          <w:noProof/>
        </w:rPr>
        <w:lastRenderedPageBreak/>
        <w:drawing>
          <wp:inline distT="0" distB="0" distL="0" distR="0" wp14:anchorId="6EB5FA04" wp14:editId="56454D62">
            <wp:extent cx="4083050" cy="2889250"/>
            <wp:effectExtent l="0" t="0" r="0" b="6350"/>
            <wp:docPr id="1007077217" name="Picture 5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 map of the world&#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3050" cy="2889250"/>
                    </a:xfrm>
                    <a:prstGeom prst="rect">
                      <a:avLst/>
                    </a:prstGeom>
                    <a:noFill/>
                    <a:ln>
                      <a:noFill/>
                    </a:ln>
                  </pic:spPr>
                </pic:pic>
              </a:graphicData>
            </a:graphic>
          </wp:inline>
        </w:drawing>
      </w:r>
      <w:r w:rsidRPr="006B2C90">
        <w:rPr>
          <w:rFonts w:ascii="Arial" w:hAnsi="Arial" w:cs="Arial"/>
        </w:rPr>
        <w:t> </w:t>
      </w:r>
    </w:p>
    <w:p w14:paraId="69D920EC" w14:textId="623004D4" w:rsidR="00CE6832" w:rsidRPr="00CE6832" w:rsidRDefault="00CE6832" w:rsidP="00CE6832">
      <w:pPr>
        <w:pStyle w:val="Caption"/>
      </w:pPr>
      <w:bookmarkStart w:id="167" w:name="_Ref214453928"/>
      <w:bookmarkStart w:id="168" w:name="_Toc211272415"/>
      <w:r>
        <w:t xml:space="preserve">Figure </w:t>
      </w:r>
      <w:fldSimple w:instr=" SEQ Figure \* ARABIC ">
        <w:r w:rsidR="00AC4291">
          <w:rPr>
            <w:noProof/>
          </w:rPr>
          <w:t>33</w:t>
        </w:r>
      </w:fldSimple>
      <w:bookmarkEnd w:id="167"/>
      <w:r w:rsidRPr="00CE6832">
        <w:t>: Map of locations where off-grid electricity was selected by OnSSET</w:t>
      </w:r>
      <w:bookmarkEnd w:id="168"/>
    </w:p>
    <w:p w14:paraId="2830E17B" w14:textId="77777777" w:rsidR="00BE51B1" w:rsidRDefault="00BE51B1" w:rsidP="00BE51B1">
      <w:pPr>
        <w:rPr>
          <w:rFonts w:ascii="Arial" w:hAnsi="Arial" w:cs="Arial"/>
        </w:rPr>
      </w:pPr>
    </w:p>
    <w:p w14:paraId="7646FE07" w14:textId="77777777" w:rsidR="00BE51B1" w:rsidRPr="006B2C90" w:rsidRDefault="00BE51B1" w:rsidP="00BE51B1">
      <w:pPr>
        <w:rPr>
          <w:rFonts w:ascii="Arial" w:hAnsi="Arial" w:cs="Arial"/>
          <w:b/>
          <w:bCs/>
        </w:rPr>
      </w:pPr>
      <w:r>
        <w:rPr>
          <w:rFonts w:ascii="Arial" w:hAnsi="Arial" w:cs="Arial"/>
          <w:b/>
          <w:bCs/>
        </w:rPr>
        <w:t>5</w:t>
      </w:r>
      <w:r w:rsidRPr="006B2C90">
        <w:rPr>
          <w:rFonts w:ascii="Arial" w:hAnsi="Arial" w:cs="Arial"/>
          <w:b/>
          <w:bCs/>
        </w:rPr>
        <w:t>.3.3 OnSSET model was used to determine the optimal energy solution at each location </w:t>
      </w:r>
    </w:p>
    <w:p w14:paraId="1C8C4449" w14:textId="77777777" w:rsidR="00BE51B1" w:rsidRDefault="00BE51B1" w:rsidP="00BE51B1">
      <w:pPr>
        <w:jc w:val="both"/>
        <w:rPr>
          <w:rFonts w:ascii="Arial" w:hAnsi="Arial" w:cs="Arial"/>
        </w:rPr>
      </w:pPr>
      <w:r w:rsidRPr="006B2C90">
        <w:rPr>
          <w:rFonts w:ascii="Arial" w:hAnsi="Arial" w:cs="Arial"/>
        </w:rPr>
        <w:t>With cost information for both on-grid and off-grid energy solutions at each location available to OnSSET, it was possible to select the preferred technology for each specific location. All sites located within five kilometres from existing grid infrastructure (in this case a transmission network) were automatically assigned grid as the optimal electrification option, on the basis that grid connection is typically economic for such a short distance. For sites beyond the five-kilometre buffer, the decision between grid and off-grid electrification was based on which option presented the lower estimated investment cost.</w:t>
      </w:r>
      <w:r w:rsidRPr="00766470">
        <w:rPr>
          <w:rFonts w:ascii="Arial" w:hAnsi="Arial" w:cs="Arial"/>
        </w:rPr>
        <w:t xml:space="preserve"> </w:t>
      </w:r>
    </w:p>
    <w:p w14:paraId="2386484E" w14:textId="14943EC2" w:rsidR="003A1DD3" w:rsidRDefault="003A1DD3" w:rsidP="00BE51B1">
      <w:pPr>
        <w:jc w:val="both"/>
        <w:rPr>
          <w:rFonts w:ascii="Arial" w:hAnsi="Arial" w:cs="Arial"/>
        </w:rPr>
      </w:pPr>
      <w:r>
        <w:rPr>
          <w:rFonts w:ascii="Arial" w:hAnsi="Arial" w:cs="Arial"/>
        </w:rPr>
        <w:t>Results showed that grid electricity is optimal for most electricity demand (</w:t>
      </w:r>
      <w:r>
        <w:rPr>
          <w:rFonts w:ascii="Arial" w:hAnsi="Arial" w:cs="Arial"/>
        </w:rPr>
        <w:fldChar w:fldCharType="begin"/>
      </w:r>
      <w:r>
        <w:rPr>
          <w:rFonts w:ascii="Arial" w:hAnsi="Arial" w:cs="Arial"/>
        </w:rPr>
        <w:instrText xml:space="preserve"> REF _Ref222480178 \h </w:instrText>
      </w:r>
      <w:r>
        <w:rPr>
          <w:rFonts w:ascii="Arial" w:hAnsi="Arial" w:cs="Arial"/>
        </w:rPr>
      </w:r>
      <w:r>
        <w:rPr>
          <w:rFonts w:ascii="Arial" w:hAnsi="Arial" w:cs="Arial"/>
        </w:rPr>
        <w:fldChar w:fldCharType="separate"/>
      </w:r>
      <w:r w:rsidR="00AC4291">
        <w:t xml:space="preserve">Figure </w:t>
      </w:r>
      <w:r w:rsidR="00AC4291">
        <w:rPr>
          <w:noProof/>
        </w:rPr>
        <w:t>34</w:t>
      </w:r>
      <w:r>
        <w:rPr>
          <w:rFonts w:ascii="Arial" w:hAnsi="Arial" w:cs="Arial"/>
        </w:rPr>
        <w:fldChar w:fldCharType="end"/>
      </w:r>
      <w:r>
        <w:rPr>
          <w:rFonts w:ascii="Arial" w:hAnsi="Arial" w:cs="Arial"/>
        </w:rPr>
        <w:t>), particularly for 2040 scenarios.</w:t>
      </w:r>
    </w:p>
    <w:p w14:paraId="1739D155" w14:textId="77777777" w:rsidR="003A1DD3" w:rsidRPr="007D7CBB" w:rsidRDefault="003A1DD3" w:rsidP="003A1DD3">
      <w:pPr>
        <w:spacing w:line="257" w:lineRule="auto"/>
        <w:jc w:val="center"/>
        <w:rPr>
          <w:rFonts w:ascii="Arial" w:hAnsi="Arial" w:cs="Arial"/>
        </w:rPr>
      </w:pPr>
      <w:r>
        <w:rPr>
          <w:rFonts w:ascii="Arial" w:hAnsi="Arial" w:cs="Arial"/>
          <w:noProof/>
        </w:rPr>
        <w:lastRenderedPageBreak/>
        <w:drawing>
          <wp:inline distT="0" distB="0" distL="0" distR="0" wp14:anchorId="1847D417" wp14:editId="16A0391F">
            <wp:extent cx="5725795" cy="3305810"/>
            <wp:effectExtent l="0" t="0" r="8255" b="8890"/>
            <wp:docPr id="1551414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25795" cy="3305810"/>
                    </a:xfrm>
                    <a:prstGeom prst="rect">
                      <a:avLst/>
                    </a:prstGeom>
                    <a:noFill/>
                    <a:ln>
                      <a:noFill/>
                    </a:ln>
                  </pic:spPr>
                </pic:pic>
              </a:graphicData>
            </a:graphic>
          </wp:inline>
        </w:drawing>
      </w:r>
    </w:p>
    <w:p w14:paraId="2020757C" w14:textId="6FD25AD6" w:rsidR="003A1DD3" w:rsidRPr="00CE6832" w:rsidRDefault="003A1DD3" w:rsidP="003A1DD3">
      <w:pPr>
        <w:pStyle w:val="Caption"/>
      </w:pPr>
      <w:bookmarkStart w:id="169" w:name="_Ref222480178"/>
      <w:bookmarkStart w:id="170" w:name="_Toc211509449"/>
      <w:r>
        <w:t xml:space="preserve">Figure </w:t>
      </w:r>
      <w:fldSimple w:instr=" SEQ Figure \* ARABIC ">
        <w:r w:rsidR="00AC4291">
          <w:rPr>
            <w:noProof/>
          </w:rPr>
          <w:t>34</w:t>
        </w:r>
      </w:fldSimple>
      <w:bookmarkEnd w:id="169"/>
      <w:r w:rsidRPr="00CE6832">
        <w:t>: Regional annual energy demand for critical minerals processing met by grid (left axis) versus off-grid (right axis) electricity for the medium production scenarios. Note the axis have different units for ease of comparison.</w:t>
      </w:r>
      <w:bookmarkEnd w:id="170"/>
      <w:r>
        <w:t xml:space="preserve"> </w:t>
      </w:r>
      <w:r w:rsidRPr="00CE6832">
        <w:t>Note: Grid electricity depicted by blue bars reads from the left-hand axis in units of gigawatt-hours per year, while off-grid electricity depicted by orange bars reads from right-hand axis in units of kilowatt-hours per year.</w:t>
      </w:r>
      <w:r w:rsidRPr="005508CA">
        <w:rPr>
          <w:rFonts w:ascii="Arial" w:hAnsi="Arial" w:cs="Arial"/>
          <w:color w:val="7F7F7F" w:themeColor="text1" w:themeTint="80"/>
          <w:sz w:val="20"/>
          <w:szCs w:val="20"/>
        </w:rPr>
        <w:t xml:space="preserve"> </w:t>
      </w:r>
    </w:p>
    <w:p w14:paraId="682965F8" w14:textId="77777777" w:rsidR="003A1DD3" w:rsidRPr="00766470" w:rsidRDefault="003A1DD3" w:rsidP="00BE51B1">
      <w:pPr>
        <w:jc w:val="both"/>
        <w:rPr>
          <w:rFonts w:ascii="Arial" w:hAnsi="Arial" w:cs="Arial"/>
        </w:rPr>
      </w:pPr>
    </w:p>
    <w:p w14:paraId="4C24742B" w14:textId="77777777" w:rsidR="00BE51B1" w:rsidRPr="00766470" w:rsidRDefault="00BE51B1" w:rsidP="00BE51B1">
      <w:pPr>
        <w:spacing w:line="276" w:lineRule="auto"/>
        <w:jc w:val="both"/>
        <w:rPr>
          <w:rFonts w:ascii="Arial" w:hAnsi="Arial" w:cs="Arial"/>
        </w:rPr>
      </w:pPr>
    </w:p>
    <w:p w14:paraId="2D8972AF" w14:textId="77777777" w:rsidR="00BE51B1" w:rsidRPr="00766470" w:rsidRDefault="00BE51B1" w:rsidP="00BE51B1">
      <w:pPr>
        <w:spacing w:line="276" w:lineRule="auto"/>
        <w:jc w:val="both"/>
        <w:rPr>
          <w:rFonts w:ascii="Arial" w:hAnsi="Arial" w:cs="Arial"/>
        </w:rPr>
      </w:pPr>
    </w:p>
    <w:p w14:paraId="0D016DFB" w14:textId="77777777" w:rsidR="00BE51B1" w:rsidRPr="00766470" w:rsidRDefault="00BE51B1" w:rsidP="00BE51B1">
      <w:pPr>
        <w:spacing w:after="0" w:line="240" w:lineRule="auto"/>
        <w:jc w:val="both"/>
        <w:rPr>
          <w:rStyle w:val="normaltextrun"/>
          <w:rFonts w:ascii="Arial" w:eastAsia="Times New Roman" w:hAnsi="Arial" w:cs="Arial"/>
          <w:kern w:val="0"/>
          <w:lang w:eastAsia="en-GB"/>
          <w14:ligatures w14:val="none"/>
        </w:rPr>
      </w:pPr>
    </w:p>
    <w:p w14:paraId="0AE4F7D3" w14:textId="77777777" w:rsidR="00BE51B1" w:rsidRPr="00766470" w:rsidRDefault="00BE51B1" w:rsidP="00BE51B1">
      <w:pPr>
        <w:rPr>
          <w:rFonts w:ascii="Arial" w:hAnsi="Arial" w:cs="Arial"/>
        </w:rPr>
      </w:pPr>
      <w:r w:rsidRPr="00766470">
        <w:rPr>
          <w:rFonts w:ascii="Arial" w:hAnsi="Arial" w:cs="Arial"/>
        </w:rPr>
        <w:br w:type="page"/>
      </w:r>
    </w:p>
    <w:p w14:paraId="0D0411A1" w14:textId="592CEE5F" w:rsidR="00BE51B1" w:rsidRPr="00766470" w:rsidRDefault="00BE51B1" w:rsidP="00512EE5">
      <w:pPr>
        <w:pStyle w:val="Heading1"/>
        <w:numPr>
          <w:ilvl w:val="0"/>
          <w:numId w:val="10"/>
        </w:numPr>
        <w:rPr>
          <w:rFonts w:ascii="Arial" w:hAnsi="Arial" w:cs="Arial"/>
        </w:rPr>
      </w:pPr>
      <w:bookmarkStart w:id="171" w:name="_Toc211272306"/>
      <w:r w:rsidRPr="00766470">
        <w:rPr>
          <w:rFonts w:ascii="Arial" w:hAnsi="Arial" w:cs="Arial"/>
        </w:rPr>
        <w:lastRenderedPageBreak/>
        <w:t>Methodology for Screening out Environmentally Sensitive Areas</w:t>
      </w:r>
      <w:bookmarkEnd w:id="171"/>
    </w:p>
    <w:p w14:paraId="7024F4E6" w14:textId="77777777" w:rsidR="00BE51B1" w:rsidRPr="00766470" w:rsidRDefault="00BE51B1" w:rsidP="00BE51B1">
      <w:pPr>
        <w:spacing w:line="276" w:lineRule="auto"/>
        <w:jc w:val="both"/>
        <w:rPr>
          <w:rFonts w:ascii="Arial" w:eastAsia="Calibri" w:hAnsi="Arial" w:cs="Arial"/>
        </w:rPr>
      </w:pPr>
      <w:r w:rsidRPr="00766470">
        <w:rPr>
          <w:rFonts w:ascii="Arial" w:hAnsi="Arial" w:cs="Arial"/>
        </w:rPr>
        <w:t>This Annex documents the detailed methodological steps used to screen out environmentally sensitive areas from the analysis of mineral processing.</w:t>
      </w:r>
    </w:p>
    <w:p w14:paraId="54D40A39" w14:textId="77777777" w:rsidR="00BE51B1" w:rsidRPr="0027061C" w:rsidRDefault="00BE51B1" w:rsidP="00BE51B1">
      <w:pPr>
        <w:pStyle w:val="Heading2"/>
        <w:rPr>
          <w:rFonts w:ascii="Arial" w:hAnsi="Arial" w:cs="Arial"/>
          <w:b/>
          <w:bCs/>
          <w:color w:val="E97132" w:themeColor="accent2"/>
          <w:sz w:val="24"/>
          <w:szCs w:val="24"/>
          <w:lang w:val="en-US"/>
        </w:rPr>
      </w:pPr>
      <w:bookmarkStart w:id="172" w:name="_Toc211272307"/>
      <w:r w:rsidRPr="0027061C">
        <w:rPr>
          <w:rFonts w:ascii="Arial" w:hAnsi="Arial" w:cs="Arial"/>
          <w:b/>
          <w:bCs/>
          <w:color w:val="E97132" w:themeColor="accent2"/>
          <w:sz w:val="24"/>
          <w:szCs w:val="24"/>
          <w:lang w:val="en-US"/>
        </w:rPr>
        <w:t>6.1 Relevant indicators for environmentally sensitive areas were identified</w:t>
      </w:r>
      <w:bookmarkEnd w:id="172"/>
      <w:r w:rsidRPr="0027061C">
        <w:rPr>
          <w:rFonts w:ascii="Arial" w:hAnsi="Arial" w:cs="Arial"/>
          <w:b/>
          <w:bCs/>
          <w:color w:val="E97132" w:themeColor="accent2"/>
          <w:sz w:val="24"/>
          <w:szCs w:val="24"/>
          <w:lang w:val="en-US"/>
        </w:rPr>
        <w:br/>
      </w:r>
    </w:p>
    <w:p w14:paraId="6599117C" w14:textId="77777777" w:rsidR="00BE51B1" w:rsidRPr="00766470" w:rsidRDefault="00BE51B1" w:rsidP="00BE51B1">
      <w:pPr>
        <w:jc w:val="both"/>
        <w:rPr>
          <w:rFonts w:ascii="Arial" w:hAnsi="Arial" w:cs="Arial"/>
          <w:lang w:val="en-US"/>
        </w:rPr>
      </w:pPr>
      <w:r w:rsidRPr="00766470">
        <w:rPr>
          <w:rFonts w:ascii="Arial" w:hAnsi="Arial" w:cs="Arial"/>
          <w:lang w:val="en-US"/>
        </w:rPr>
        <w:t>Mining and mineral processing activities can cause major environmental damage. Moreover, potential future mining and mineral processing sites identified in this study may overlap with environmentally sensitive areas. It is therefore important for the geospatial simulation exercise to be informed by the presence of such environmental constraints. Since a detailed analysis of site-specific environmental concerns on a sub-continental scale lies beyond the scope of this study, a high-level approach is developed to screen out from consideration potential mining and mineral processing sites that overlap with areas of particular environmental sensitivity.</w:t>
      </w:r>
    </w:p>
    <w:p w14:paraId="3C40A7A6" w14:textId="321506AE" w:rsidR="00BE51B1" w:rsidRPr="00766470" w:rsidRDefault="00BE51B1" w:rsidP="00BE51B1">
      <w:pPr>
        <w:jc w:val="both"/>
        <w:rPr>
          <w:rFonts w:ascii="Arial" w:hAnsi="Arial" w:cs="Arial"/>
          <w:lang w:val="en-US"/>
        </w:rPr>
      </w:pPr>
      <w:r w:rsidRPr="00766470">
        <w:rPr>
          <w:rFonts w:ascii="Arial" w:hAnsi="Arial" w:cs="Arial"/>
          <w:lang w:val="en-US"/>
        </w:rPr>
        <w:t>A review of the relevant environmental indicators and associated literature informed the development of the methodology. Following</w:t>
      </w:r>
      <w:r w:rsidR="00542B41">
        <w:rPr>
          <w:rFonts w:ascii="Arial" w:hAnsi="Arial" w:cs="Arial"/>
          <w:lang w:val="en-US"/>
        </w:rPr>
        <w:fldChar w:fldCharType="begin"/>
      </w:r>
      <w:r w:rsidR="0016542D">
        <w:rPr>
          <w:rFonts w:ascii="Arial" w:hAnsi="Arial" w:cs="Arial"/>
          <w:lang w:val="en-US"/>
        </w:rPr>
        <w:instrText xml:space="preserve"> ADDIN ZOTERO_ITEM CSL_CITATION {"citationID":"Il8ax88V","properties":{"formattedCitation":"\\super 139\\nosupersub{}","plainCitation":"139","noteIndex":0},"citationItems":[{"id":25,"uris":["http://zotero.org/users/10918866/items/6R8ISXF6"],"itemData":{"id":25,"type":"article-journal","abstract":"Environmental, social and governance pressures should feature in future scenario planning about the transition to a low carbon future. As low-carbon energy technologies advance, markets are driving demand for energy transition metals. Increased extraction rates will augment the stress placed on people and the environment in extractive locations. To quantify this stress, we develop a set of global composite environmental, social and governance indicators, and examine mining projects across 20 metal commodities to identify the co-occurrence of environmental, social and governance risk factors. Our findings show that 84% of platinum resources and 70% of cobalt resources are located in high-risk contexts. Reflecting heightened demand, major metals like iron and copper are set to disturb more land. Jurisdictions extracting energy transition metals in low-risk contexts are positioned to develop and maintain safeguards against mining-related social and environmental risk factors.","container-title":"Nature Communications","DOI":"10.1038/s41467-020-18661-9","ISSN":"2041-1723","issue":"1","journalAbbreviation":"Nat Commun","language":"en","license":"2020 The Author(s)","page":"4823","publisher":"Nature Publishing Group","source":"www.nature.com","title":"The social and environmental complexities of extracting energy transition metals","volume":"11","author":[{"family":"Lèbre","given":"Éléonore"},{"family":"Stringer","given":"Martin"},{"family":"Svobodova","given":"Kamila"},{"family":"Owen","given":"John R."},{"family":"Kemp","given":"Deanna"},{"family":"Côte","given":"Claire"},{"family":"Arratia-Solar","given":"Andrea"},{"family":"Valenta","given":"Rick K."}],"issued":{"date-parts":[["2020",9,24]]}}}],"schema":"https://github.com/citation-style-language/schema/raw/master/csl-citation.json"} </w:instrText>
      </w:r>
      <w:r w:rsidR="00542B41">
        <w:rPr>
          <w:rFonts w:ascii="Arial" w:hAnsi="Arial" w:cs="Arial"/>
          <w:lang w:val="en-US"/>
        </w:rPr>
        <w:fldChar w:fldCharType="separate"/>
      </w:r>
      <w:r w:rsidR="00542B41" w:rsidRPr="00542B41">
        <w:rPr>
          <w:rFonts w:ascii="Arial" w:hAnsi="Arial" w:cs="Arial"/>
          <w:kern w:val="0"/>
          <w:vertAlign w:val="superscript"/>
        </w:rPr>
        <w:t>139</w:t>
      </w:r>
      <w:r w:rsidR="00542B41">
        <w:rPr>
          <w:rFonts w:ascii="Arial" w:hAnsi="Arial" w:cs="Arial"/>
          <w:lang w:val="en-US"/>
        </w:rPr>
        <w:fldChar w:fldCharType="end"/>
      </w:r>
      <w:r w:rsidR="00542B41">
        <w:rPr>
          <w:rFonts w:ascii="Arial" w:hAnsi="Arial" w:cs="Arial"/>
          <w:lang w:val="en-US"/>
        </w:rPr>
        <w:t xml:space="preserve">, </w:t>
      </w:r>
      <w:r w:rsidRPr="00766470">
        <w:rPr>
          <w:rFonts w:ascii="Arial" w:hAnsi="Arial" w:cs="Arial"/>
          <w:lang w:val="en-US"/>
        </w:rPr>
        <w:t>the following geospatial data layers are considered to be particularly relevant for this purpose.</w:t>
      </w:r>
    </w:p>
    <w:p w14:paraId="176C70D6" w14:textId="7DA7A2CA" w:rsidR="00BE51B1" w:rsidRPr="00766470" w:rsidRDefault="00BE51B1" w:rsidP="00BE51B1">
      <w:pPr>
        <w:pStyle w:val="ListParagraph"/>
        <w:numPr>
          <w:ilvl w:val="0"/>
          <w:numId w:val="14"/>
        </w:numPr>
        <w:spacing w:line="259" w:lineRule="auto"/>
        <w:jc w:val="both"/>
        <w:rPr>
          <w:rFonts w:ascii="Arial" w:hAnsi="Arial" w:cs="Arial"/>
        </w:rPr>
      </w:pPr>
      <w:r w:rsidRPr="00766470">
        <w:rPr>
          <w:rFonts w:ascii="Arial" w:hAnsi="Arial" w:cs="Arial"/>
          <w:u w:val="single"/>
          <w:lang w:val="en-US"/>
        </w:rPr>
        <w:t>Protected areas</w:t>
      </w:r>
      <w:r w:rsidR="00542B41">
        <w:rPr>
          <w:rFonts w:ascii="Arial" w:hAnsi="Arial" w:cs="Arial"/>
          <w:u w:val="single"/>
          <w:lang w:val="en-US"/>
        </w:rPr>
        <w:fldChar w:fldCharType="begin"/>
      </w:r>
      <w:r w:rsidR="00542B41">
        <w:rPr>
          <w:rFonts w:ascii="Arial" w:hAnsi="Arial" w:cs="Arial"/>
          <w:u w:val="single"/>
          <w:lang w:val="en-US"/>
        </w:rPr>
        <w:instrText xml:space="preserve"> ADDIN ZOTERO_ITEM CSL_CITATION {"citationID":"tBVhnHqQ","properties":{"formattedCitation":"\\super 140\\nosupersub{}","plainCitation":"140","noteIndex":0},"citationItems":[{"id":1949,"uris":["http://zotero.org/users/10918866/items/W4QLE8NC"],"itemData":{"id":1949,"type":"dataset","DOI":"10.34892/6fwd-af11","title":"Protected Planet: The World Database on Protected Areas (WDPA)[On-line]","URL":"https://data-gis.unep-wcmc.org/portal/home/item.html?id=1919c32890074ce5a589a1a99b48994b","version":"2.0.1","author":[{"family":"UNEP-WCMC","given":""},{"family":"IUCN","given":""}],"accessed":{"date-parts":[["2024",7,22]]},"issued":{"date-parts":[["2024",7]]}}}],"schema":"https://github.com/citation-style-language/schema/raw/master/csl-citation.json"} </w:instrText>
      </w:r>
      <w:r w:rsidR="00542B41">
        <w:rPr>
          <w:rFonts w:ascii="Arial" w:hAnsi="Arial" w:cs="Arial"/>
          <w:u w:val="single"/>
          <w:lang w:val="en-US"/>
        </w:rPr>
        <w:fldChar w:fldCharType="separate"/>
      </w:r>
      <w:r w:rsidR="00542B41" w:rsidRPr="00542B41">
        <w:rPr>
          <w:rFonts w:ascii="Arial" w:hAnsi="Arial" w:cs="Arial"/>
          <w:kern w:val="0"/>
          <w:vertAlign w:val="superscript"/>
        </w:rPr>
        <w:t>140</w:t>
      </w:r>
      <w:r w:rsidR="00542B41">
        <w:rPr>
          <w:rFonts w:ascii="Arial" w:hAnsi="Arial" w:cs="Arial"/>
          <w:u w:val="single"/>
          <w:lang w:val="en-US"/>
        </w:rPr>
        <w:fldChar w:fldCharType="end"/>
      </w:r>
      <w:r w:rsidRPr="00766470">
        <w:rPr>
          <w:rFonts w:ascii="Arial" w:hAnsi="Arial" w:cs="Arial"/>
          <w:lang w:val="en-US"/>
        </w:rPr>
        <w:t xml:space="preserve">: Protected areas are updated on a monthly basis. They are useful for </w:t>
      </w:r>
      <w:r w:rsidRPr="00766470">
        <w:rPr>
          <w:rFonts w:ascii="Arial" w:hAnsi="Arial" w:cs="Arial"/>
        </w:rPr>
        <w:t>identifying biodiversity risks and opportunities within a project boundary. The data used was updated up to July 2024.</w:t>
      </w:r>
    </w:p>
    <w:p w14:paraId="363179F0" w14:textId="77777777" w:rsidR="00BE51B1" w:rsidRPr="00766470" w:rsidRDefault="00BE51B1" w:rsidP="00BE51B1">
      <w:pPr>
        <w:pStyle w:val="ListParagraph"/>
        <w:ind w:left="360"/>
        <w:jc w:val="both"/>
        <w:rPr>
          <w:rFonts w:ascii="Arial" w:hAnsi="Arial" w:cs="Arial"/>
        </w:rPr>
      </w:pPr>
    </w:p>
    <w:p w14:paraId="231FCEDF" w14:textId="3410BB5E" w:rsidR="00BE51B1" w:rsidRPr="00766470" w:rsidRDefault="00BE51B1" w:rsidP="00BE51B1">
      <w:pPr>
        <w:pStyle w:val="ListParagraph"/>
        <w:numPr>
          <w:ilvl w:val="0"/>
          <w:numId w:val="14"/>
        </w:numPr>
        <w:spacing w:line="259" w:lineRule="auto"/>
        <w:jc w:val="both"/>
        <w:rPr>
          <w:rFonts w:ascii="Arial" w:hAnsi="Arial" w:cs="Arial"/>
        </w:rPr>
      </w:pPr>
      <w:r w:rsidRPr="00766470">
        <w:rPr>
          <w:rFonts w:ascii="Arial" w:hAnsi="Arial" w:cs="Arial"/>
          <w:u w:val="single"/>
          <w:lang w:val="en-US"/>
        </w:rPr>
        <w:t>Last of the wild</w:t>
      </w:r>
      <w:r w:rsidRPr="00766470">
        <w:rPr>
          <w:rFonts w:ascii="Arial" w:hAnsi="Arial" w:cs="Arial"/>
          <w:lang w:val="en-US"/>
        </w:rPr>
        <w:fldChar w:fldCharType="begin"/>
      </w:r>
      <w:r w:rsidR="00763584">
        <w:rPr>
          <w:rFonts w:ascii="Arial" w:hAnsi="Arial" w:cs="Arial"/>
          <w:lang w:val="en-US"/>
        </w:rPr>
        <w:instrText xml:space="preserve"> ADDIN ZOTERO_ITEM CSL_CITATION {"citationID":"BJfYAP3f","properties":{"formattedCitation":"\\super 141\\nosupersub{}","plainCitation":"141","noteIndex":0},"citationItems":[{"id":1948,"uris":["http://zotero.org/users/10918866/items/X8JZTT2C"],"itemData":{"id":1948,"type":"dataset","abstract":"The 2009 Human Footprint, 2018 Release provides a global map of the cumulative human pressure on the environment in 2009, at a spatial resolution of ~1 km. The human pressure is measured using eight variables including built-up environments, population density, electric power infrastructure, crop lands, pasture lands, roads, railways, and navigable waterways. The data set is produced by Venter et.al., and is available in the Mollweide projection.","DOI":"10.7927/H46T0JQ4","language":"en-US","publisher":"SEDAC","source":"Data.gov","title":"Last of the Wild Project, Version 3 (LWP-3): 2009 Human Footprint, 2018 Release","title-short":"Last of the Wild Project, Version 3 (LWP-3)","URL":"https://catalog.data.gov/dataset/last-of-the-wild-project-version-3-lwp-3-2009-human-footprint-2018-release","author":[{"family":"NASA- SEDAC","given":""}],"accessed":{"date-parts":[["2024",7,22]]},"issued":{"date-parts":[["2018",8,10]]}}}],"schema":"https://github.com/citation-style-language/schema/raw/master/csl-citation.json"} </w:instrText>
      </w:r>
      <w:r w:rsidRPr="00766470">
        <w:rPr>
          <w:rFonts w:ascii="Arial" w:hAnsi="Arial" w:cs="Arial"/>
          <w:lang w:val="en-US"/>
        </w:rPr>
        <w:fldChar w:fldCharType="separate"/>
      </w:r>
      <w:r w:rsidR="00763584" w:rsidRPr="00763584">
        <w:rPr>
          <w:rFonts w:ascii="Arial" w:hAnsi="Arial" w:cs="Arial"/>
          <w:kern w:val="0"/>
          <w:vertAlign w:val="superscript"/>
        </w:rPr>
        <w:t>141</w:t>
      </w:r>
      <w:r w:rsidRPr="00766470">
        <w:rPr>
          <w:rFonts w:ascii="Arial" w:hAnsi="Arial" w:cs="Arial"/>
          <w:lang w:val="en-US"/>
        </w:rPr>
        <w:fldChar w:fldCharType="end"/>
      </w:r>
      <w:r w:rsidRPr="00766470">
        <w:rPr>
          <w:rFonts w:ascii="Arial" w:hAnsi="Arial" w:cs="Arial"/>
          <w:lang w:val="en-US"/>
        </w:rPr>
        <w:t>: The last remaining 'wild' areas on the Earth's land surface are identified based on cumulative human pressure on the environment in 2009. The human pressure is measured using eight variables: built-up environments, population density, electric power infrastructure, crop lands, pasture lands, roads, railways, and navigable waterways.</w:t>
      </w:r>
    </w:p>
    <w:p w14:paraId="164FFCF5" w14:textId="77777777" w:rsidR="00BE51B1" w:rsidRPr="00766470" w:rsidRDefault="00BE51B1" w:rsidP="00BE51B1">
      <w:pPr>
        <w:pStyle w:val="ListParagraph"/>
        <w:ind w:left="360"/>
        <w:jc w:val="both"/>
        <w:rPr>
          <w:rFonts w:ascii="Arial" w:hAnsi="Arial" w:cs="Arial"/>
        </w:rPr>
      </w:pPr>
    </w:p>
    <w:p w14:paraId="15A80279" w14:textId="29C635F5" w:rsidR="00BE51B1" w:rsidRPr="00766470" w:rsidRDefault="00BE51B1" w:rsidP="00BE51B1">
      <w:pPr>
        <w:pStyle w:val="ListParagraph"/>
        <w:numPr>
          <w:ilvl w:val="0"/>
          <w:numId w:val="14"/>
        </w:numPr>
        <w:spacing w:line="259" w:lineRule="auto"/>
        <w:jc w:val="both"/>
        <w:rPr>
          <w:rFonts w:ascii="Arial" w:hAnsi="Arial" w:cs="Arial"/>
        </w:rPr>
      </w:pPr>
      <w:r w:rsidRPr="00766470">
        <w:rPr>
          <w:rFonts w:ascii="Arial" w:hAnsi="Arial" w:cs="Arial"/>
          <w:u w:val="single"/>
          <w:lang w:val="en-US"/>
        </w:rPr>
        <w:t>Key biodiversity areas</w:t>
      </w:r>
      <w:r w:rsidRPr="00766470">
        <w:rPr>
          <w:rFonts w:ascii="Arial" w:hAnsi="Arial" w:cs="Arial"/>
          <w:lang w:val="en-US"/>
        </w:rPr>
        <w:fldChar w:fldCharType="begin"/>
      </w:r>
      <w:r w:rsidR="00763584">
        <w:rPr>
          <w:rFonts w:ascii="Arial" w:hAnsi="Arial" w:cs="Arial"/>
          <w:lang w:val="en-US"/>
        </w:rPr>
        <w:instrText xml:space="preserve"> ADDIN ZOTERO_ITEM CSL_CITATION {"citationID":"u6wEWH9d","properties":{"formattedCitation":"\\super 142\\nosupersub{}","plainCitation":"142","noteIndex":0},"citationItems":[{"id":2224,"uris":["http://zotero.org/users/10918866/items/I4K69SYT"],"itemData":{"id":2224,"type":"webpage","language":"en-US","title":"Key Biodiversity Areas Data","URL":"https://app.powerbi.com/view?r=eyJrIjoiYTY5Mzk5ZjctYmU1Mi00OTA4LTlkNjktNWZiYTljYmY0NDUwIiwidCI6IjMxNTUyMGY1LTJhYmUtNGRhZi1hMjY4LTk5NTU5ODgzYTY4NSIsImMiOjh9","author":[{"family":"KBA","given":""}],"accessed":{"date-parts":[["2025",3,19]]},"issued":{"date-parts":[["2024",9]]}}}],"schema":"https://github.com/citation-style-language/schema/raw/master/csl-citation.json"} </w:instrText>
      </w:r>
      <w:r w:rsidRPr="00766470">
        <w:rPr>
          <w:rFonts w:ascii="Arial" w:hAnsi="Arial" w:cs="Arial"/>
          <w:lang w:val="en-US"/>
        </w:rPr>
        <w:fldChar w:fldCharType="separate"/>
      </w:r>
      <w:r w:rsidR="00763584" w:rsidRPr="00763584">
        <w:rPr>
          <w:rFonts w:ascii="Arial" w:hAnsi="Arial" w:cs="Arial"/>
          <w:kern w:val="0"/>
          <w:vertAlign w:val="superscript"/>
        </w:rPr>
        <w:t>142</w:t>
      </w:r>
      <w:r w:rsidRPr="00766470">
        <w:rPr>
          <w:rFonts w:ascii="Arial" w:hAnsi="Arial" w:cs="Arial"/>
          <w:lang w:val="en-US"/>
        </w:rPr>
        <w:fldChar w:fldCharType="end"/>
      </w:r>
      <w:r w:rsidRPr="00766470">
        <w:rPr>
          <w:rFonts w:ascii="Arial" w:hAnsi="Arial" w:cs="Arial"/>
          <w:lang w:val="en-US"/>
        </w:rPr>
        <w:t xml:space="preserve">: Defined as </w:t>
      </w:r>
      <w:r w:rsidRPr="00766470">
        <w:rPr>
          <w:rFonts w:ascii="Arial" w:hAnsi="Arial" w:cs="Arial"/>
        </w:rPr>
        <w:t>places that are critical for the survival of unique plants and animals, and the ecological communities they comprise.</w:t>
      </w:r>
      <w:r w:rsidRPr="00766470">
        <w:rPr>
          <w:rFonts w:ascii="Arial" w:hAnsi="Arial" w:cs="Arial"/>
          <w:lang w:val="en-US"/>
        </w:rPr>
        <w:t xml:space="preserve"> The dataset is the result of a partnership between 13 global conservation organisations. </w:t>
      </w:r>
      <w:r w:rsidRPr="00766470">
        <w:rPr>
          <w:rFonts w:ascii="Arial" w:hAnsi="Arial" w:cs="Arial"/>
        </w:rPr>
        <w:t>The data used were updated up to June 2024.</w:t>
      </w:r>
    </w:p>
    <w:p w14:paraId="697389A9" w14:textId="77777777" w:rsidR="00BE51B1" w:rsidRPr="00766470" w:rsidRDefault="00BE51B1" w:rsidP="00BE51B1">
      <w:pPr>
        <w:pStyle w:val="ListParagraph"/>
        <w:ind w:left="360"/>
        <w:jc w:val="both"/>
        <w:rPr>
          <w:rFonts w:ascii="Arial" w:hAnsi="Arial" w:cs="Arial"/>
        </w:rPr>
      </w:pPr>
    </w:p>
    <w:p w14:paraId="107510F5" w14:textId="00F0C3F1" w:rsidR="00BE51B1" w:rsidRPr="00766470" w:rsidRDefault="00BE51B1" w:rsidP="00BE51B1">
      <w:pPr>
        <w:pStyle w:val="ListParagraph"/>
        <w:numPr>
          <w:ilvl w:val="0"/>
          <w:numId w:val="14"/>
        </w:numPr>
        <w:spacing w:line="259" w:lineRule="auto"/>
        <w:jc w:val="both"/>
        <w:rPr>
          <w:rFonts w:ascii="Arial" w:hAnsi="Arial" w:cs="Arial"/>
        </w:rPr>
      </w:pPr>
      <w:r w:rsidRPr="00766470">
        <w:rPr>
          <w:rFonts w:ascii="Arial" w:hAnsi="Arial" w:cs="Arial"/>
          <w:u w:val="single"/>
          <w:lang w:val="en-US"/>
        </w:rPr>
        <w:t>Water stress areas</w:t>
      </w:r>
      <w:r w:rsidRPr="00766470">
        <w:rPr>
          <w:rFonts w:ascii="Arial" w:hAnsi="Arial" w:cs="Arial"/>
          <w:u w:val="single"/>
          <w:lang w:val="en-US"/>
        </w:rPr>
        <w:fldChar w:fldCharType="begin"/>
      </w:r>
      <w:r w:rsidR="00763584">
        <w:rPr>
          <w:rFonts w:ascii="Arial" w:hAnsi="Arial" w:cs="Arial"/>
          <w:u w:val="single"/>
          <w:lang w:val="en-US"/>
        </w:rPr>
        <w:instrText xml:space="preserve"> ADDIN ZOTERO_ITEM CSL_CITATION {"citationID":"tW91w7VD","properties":{"formattedCitation":"\\super 143\\nosupersub{}","plainCitation":"143","noteIndex":0},"citationItems":[{"id":17,"uris":["http://zotero.org/users/10918866/items/QSU8T4IU"],"itemData":{"id":17,"type":"article-journal","abstract":"New data on WRI's Aqueduct platform ranks the world's most water-stressed countries. One-quarter of the global population regularly use up their entire water supply.","language":"en","source":"www.wri.org","title":"25 Countries, Housing One-Quarter of the Population, Face Extremely High Water Stress","URL":"https://www.wri.org/insights/highest-water-stressed-countries","author":[{"family":"Kuzma","given":"Samantha"},{"family":"Saccoccia","given":"Liz"},{"family":"Chertock","given":"Marlena"}],"accessed":{"date-parts":[["2025",2,3]]},"issued":{"date-parts":[["2023",8,16]]}}}],"schema":"https://github.com/citation-style-language/schema/raw/master/csl-citation.json"} </w:instrText>
      </w:r>
      <w:r w:rsidRPr="00766470">
        <w:rPr>
          <w:rFonts w:ascii="Arial" w:hAnsi="Arial" w:cs="Arial"/>
          <w:u w:val="single"/>
          <w:lang w:val="en-US"/>
        </w:rPr>
        <w:fldChar w:fldCharType="separate"/>
      </w:r>
      <w:r w:rsidR="00763584" w:rsidRPr="00763584">
        <w:rPr>
          <w:rFonts w:ascii="Arial" w:hAnsi="Arial" w:cs="Arial"/>
          <w:kern w:val="0"/>
          <w:vertAlign w:val="superscript"/>
        </w:rPr>
        <w:t>143</w:t>
      </w:r>
      <w:r w:rsidRPr="00766470">
        <w:rPr>
          <w:rFonts w:ascii="Arial" w:hAnsi="Arial" w:cs="Arial"/>
          <w:u w:val="single"/>
          <w:lang w:val="en-US"/>
        </w:rPr>
        <w:fldChar w:fldCharType="end"/>
      </w:r>
      <w:r w:rsidRPr="00766470">
        <w:rPr>
          <w:rFonts w:ascii="Arial" w:eastAsia="Calibri" w:hAnsi="Arial" w:cs="Arial"/>
        </w:rPr>
        <w:t>: Defined as locations affected by significant water supply risk. In these data, average water stress at hydrological sub-basins were estimated for the period 2015–2045 based on a SSP3/RCP 7.0 scenario of climate and socioeconomic conditions that derive from CMIP6 climate models. The chosen sub-basins, used for constraining the 2030 and 2040 mining and refining sites, were selected based on the following classifications:</w:t>
      </w:r>
    </w:p>
    <w:p w14:paraId="76184471" w14:textId="77777777" w:rsidR="00BE51B1" w:rsidRPr="00766470" w:rsidRDefault="00BE51B1" w:rsidP="00BE51B1">
      <w:pPr>
        <w:pStyle w:val="ListParagraph"/>
        <w:numPr>
          <w:ilvl w:val="0"/>
          <w:numId w:val="30"/>
        </w:numPr>
        <w:spacing w:after="0" w:line="257" w:lineRule="auto"/>
        <w:jc w:val="both"/>
        <w:rPr>
          <w:rFonts w:ascii="Arial" w:eastAsia="Calibri" w:hAnsi="Arial" w:cs="Arial"/>
        </w:rPr>
      </w:pPr>
      <w:r w:rsidRPr="00766470">
        <w:rPr>
          <w:rFonts w:ascii="Arial" w:eastAsia="Calibri" w:hAnsi="Arial" w:cs="Arial"/>
          <w:u w:val="single"/>
        </w:rPr>
        <w:t>Arid and low water use</w:t>
      </w:r>
      <w:r w:rsidRPr="00766470">
        <w:rPr>
          <w:rFonts w:ascii="Arial" w:eastAsia="Calibri" w:hAnsi="Arial" w:cs="Arial"/>
        </w:rPr>
        <w:t xml:space="preserve">: A sub-basin was considered arid if the annual availability of water within it was below 0.03 m/year, and a sub-basin with </w:t>
      </w:r>
      <w:r w:rsidRPr="00766470">
        <w:rPr>
          <w:rFonts w:ascii="Arial" w:eastAsia="Calibri" w:hAnsi="Arial" w:cs="Arial"/>
        </w:rPr>
        <w:lastRenderedPageBreak/>
        <w:t xml:space="preserve">annual gross total withdraw less than 0.012 m/year was considered as low water use. </w:t>
      </w:r>
    </w:p>
    <w:p w14:paraId="1C06A128" w14:textId="77777777" w:rsidR="00BE51B1" w:rsidRPr="00766470" w:rsidRDefault="00BE51B1" w:rsidP="00BE51B1">
      <w:pPr>
        <w:pStyle w:val="ListParagraph"/>
        <w:numPr>
          <w:ilvl w:val="0"/>
          <w:numId w:val="30"/>
        </w:numPr>
        <w:spacing w:after="0" w:line="257" w:lineRule="auto"/>
        <w:jc w:val="both"/>
        <w:rPr>
          <w:rFonts w:ascii="Arial" w:eastAsia="Calibri" w:hAnsi="Arial" w:cs="Arial"/>
        </w:rPr>
      </w:pPr>
      <w:r w:rsidRPr="00766470">
        <w:rPr>
          <w:rFonts w:ascii="Arial" w:eastAsia="Calibri" w:hAnsi="Arial" w:cs="Arial"/>
          <w:u w:val="single"/>
        </w:rPr>
        <w:t>High water stress</w:t>
      </w:r>
      <w:r w:rsidRPr="00766470">
        <w:rPr>
          <w:rFonts w:ascii="Arial" w:eastAsia="Calibri" w:hAnsi="Arial" w:cs="Arial"/>
        </w:rPr>
        <w:t>: A sub-basin where the ratio of total water demand (domestic, industrial, irrigation, and livestock consumptive and non-consumptive uses) to available renewable surface water and ground water supplies was between 40–80%.</w:t>
      </w:r>
    </w:p>
    <w:p w14:paraId="456149FB" w14:textId="77777777" w:rsidR="00BE51B1" w:rsidRPr="00766470" w:rsidRDefault="00BE51B1" w:rsidP="00BE51B1">
      <w:pPr>
        <w:pStyle w:val="ListParagraph"/>
        <w:numPr>
          <w:ilvl w:val="0"/>
          <w:numId w:val="30"/>
        </w:numPr>
        <w:spacing w:after="0" w:line="257" w:lineRule="auto"/>
        <w:jc w:val="both"/>
        <w:rPr>
          <w:rFonts w:ascii="Arial" w:eastAsia="Calibri" w:hAnsi="Arial" w:cs="Arial"/>
        </w:rPr>
      </w:pPr>
      <w:r w:rsidRPr="00766470">
        <w:rPr>
          <w:rFonts w:ascii="Arial" w:eastAsia="Calibri" w:hAnsi="Arial" w:cs="Arial"/>
          <w:u w:val="single"/>
        </w:rPr>
        <w:t>Extremely high water stress</w:t>
      </w:r>
      <w:r w:rsidRPr="00766470">
        <w:rPr>
          <w:rFonts w:ascii="Arial" w:eastAsia="Calibri" w:hAnsi="Arial" w:cs="Arial"/>
        </w:rPr>
        <w:t>: A sub-basin where the ratio of total water demand (domestic, industrial, irrigation, and livestock consumptive and non-consumptive uses) to available renewable surface water and ground water supplies exceeded 80%.</w:t>
      </w:r>
    </w:p>
    <w:p w14:paraId="406002D7" w14:textId="77777777" w:rsidR="00BE51B1" w:rsidRPr="00766470" w:rsidRDefault="00BE51B1" w:rsidP="00BE51B1">
      <w:pPr>
        <w:spacing w:after="0"/>
        <w:jc w:val="both"/>
        <w:rPr>
          <w:rFonts w:ascii="Arial" w:hAnsi="Arial" w:cs="Arial"/>
          <w:b/>
          <w:bCs/>
          <w:color w:val="0F9ED5" w:themeColor="accent4"/>
        </w:rPr>
      </w:pPr>
    </w:p>
    <w:p w14:paraId="3E59D815" w14:textId="77777777" w:rsidR="00BE51B1" w:rsidRPr="006230E4" w:rsidRDefault="00BE51B1" w:rsidP="00BE51B1">
      <w:pPr>
        <w:pStyle w:val="Heading2"/>
        <w:rPr>
          <w:rFonts w:ascii="Arial" w:hAnsi="Arial" w:cs="Arial"/>
          <w:b/>
          <w:bCs/>
          <w:color w:val="0F9ED5" w:themeColor="accent4"/>
          <w:sz w:val="24"/>
          <w:szCs w:val="24"/>
          <w:lang w:val="en-US"/>
        </w:rPr>
      </w:pPr>
      <w:bookmarkStart w:id="173" w:name="_Toc211272308"/>
      <w:r w:rsidRPr="006230E4">
        <w:rPr>
          <w:rFonts w:ascii="Arial" w:hAnsi="Arial" w:cs="Arial"/>
          <w:b/>
          <w:bCs/>
          <w:color w:val="E97132" w:themeColor="accent2"/>
          <w:sz w:val="24"/>
          <w:szCs w:val="24"/>
          <w:lang w:val="en-US"/>
        </w:rPr>
        <w:t>6.2 Indicators of environmental sensitivity were used to filter out potential production locations</w:t>
      </w:r>
      <w:bookmarkEnd w:id="173"/>
      <w:r w:rsidRPr="006230E4">
        <w:rPr>
          <w:rFonts w:ascii="Arial" w:hAnsi="Arial" w:cs="Arial"/>
          <w:b/>
          <w:bCs/>
          <w:color w:val="0F9ED5" w:themeColor="accent4"/>
          <w:sz w:val="24"/>
          <w:szCs w:val="24"/>
          <w:lang w:val="en-US"/>
        </w:rPr>
        <w:br/>
      </w:r>
    </w:p>
    <w:p w14:paraId="17C37FA3" w14:textId="77777777" w:rsidR="00BE51B1" w:rsidRDefault="00BE51B1" w:rsidP="00BE51B1">
      <w:pPr>
        <w:spacing w:after="0"/>
        <w:jc w:val="both"/>
        <w:rPr>
          <w:rFonts w:ascii="Arial" w:hAnsi="Arial" w:cs="Arial"/>
        </w:rPr>
      </w:pPr>
      <w:r w:rsidRPr="00680EF4">
        <w:rPr>
          <w:rFonts w:ascii="Arial" w:hAnsi="Arial" w:cs="Arial"/>
        </w:rPr>
        <w:t>On this basis a single screening layer was created that combined all these different environmental constraints, and this was applied to filter out any</w:t>
      </w:r>
      <w:r>
        <w:rPr>
          <w:rFonts w:ascii="Arial" w:hAnsi="Arial" w:cs="Arial"/>
        </w:rPr>
        <w:t xml:space="preserve"> mining </w:t>
      </w:r>
      <w:r w:rsidRPr="00680EF4">
        <w:rPr>
          <w:rFonts w:ascii="Arial" w:hAnsi="Arial" w:cs="Arial"/>
        </w:rPr>
        <w:t>sites that fell within these affected areas</w:t>
      </w:r>
      <w:r>
        <w:rPr>
          <w:rFonts w:ascii="Arial" w:hAnsi="Arial" w:cs="Arial"/>
        </w:rPr>
        <w:t xml:space="preserve"> and limit the optimisation for processing sites to find locations outside of these areas</w:t>
      </w:r>
      <w:r w:rsidRPr="00680EF4">
        <w:rPr>
          <w:rFonts w:ascii="Arial" w:hAnsi="Arial" w:cs="Arial"/>
        </w:rPr>
        <w:t>.</w:t>
      </w:r>
    </w:p>
    <w:p w14:paraId="00B5DAD2" w14:textId="77777777" w:rsidR="00512EE5" w:rsidRDefault="00512EE5" w:rsidP="00BE51B1">
      <w:pPr>
        <w:spacing w:after="0"/>
        <w:jc w:val="both"/>
        <w:rPr>
          <w:rFonts w:ascii="Arial" w:hAnsi="Arial" w:cs="Arial"/>
        </w:rPr>
      </w:pPr>
    </w:p>
    <w:p w14:paraId="7D804ED3" w14:textId="27B28DCF" w:rsidR="00512EE5" w:rsidRDefault="00A14680" w:rsidP="00A14680">
      <w:pPr>
        <w:pStyle w:val="Heading1"/>
      </w:pPr>
      <w:r>
        <w:t xml:space="preserve">7. </w:t>
      </w:r>
      <w:r w:rsidR="00512EE5">
        <w:t>Additional results</w:t>
      </w:r>
    </w:p>
    <w:p w14:paraId="7B82B0C0" w14:textId="77F429F5" w:rsidR="00DC75B2" w:rsidRDefault="00DC75B2" w:rsidP="00A14680">
      <w:pPr>
        <w:pStyle w:val="Heading2"/>
      </w:pPr>
      <w:r>
        <w:t>7.1 Additional production implications</w:t>
      </w:r>
    </w:p>
    <w:p w14:paraId="661385E4" w14:textId="2CF76FBD" w:rsidR="00DC75B2" w:rsidRDefault="00741069" w:rsidP="00741069">
      <w:pPr>
        <w:jc w:val="both"/>
      </w:pPr>
      <w:r>
        <w:t>Processing locations for the relevant scenarios (</w:t>
      </w:r>
      <w:r>
        <w:fldChar w:fldCharType="begin"/>
      </w:r>
      <w:r>
        <w:instrText xml:space="preserve"> REF _Ref222417017 \h  \* MERGEFORMAT </w:instrText>
      </w:r>
      <w:r>
        <w:fldChar w:fldCharType="separate"/>
      </w:r>
      <w:r w:rsidR="00AC4291" w:rsidRPr="00CE6832">
        <w:t xml:space="preserve">Figure </w:t>
      </w:r>
      <w:r w:rsidR="00AC4291">
        <w:rPr>
          <w:noProof/>
        </w:rPr>
        <w:t>35</w:t>
      </w:r>
      <w:r>
        <w:fldChar w:fldCharType="end"/>
      </w:r>
      <w:r>
        <w:t>) show  the expansion of processing sites going form South Africa, the Copperbelt and Madagascar being the main countries with processing activity in BAU to an expansion in processing in the Precursor scenario dependant on mining activity and the aggregated flows that allow for processing sites to be simulated. In particular, the regional scenario shows the processing hubs near coastal countries.</w:t>
      </w:r>
    </w:p>
    <w:p w14:paraId="7B42C709" w14:textId="1E304BA8" w:rsidR="00DC75B2" w:rsidRDefault="00D00E20" w:rsidP="00DC75B2">
      <w:pPr>
        <w:jc w:val="center"/>
        <w:rPr>
          <w:rFonts w:ascii="Arial" w:hAnsi="Arial" w:cs="Arial"/>
          <w:b/>
          <w:bCs/>
          <w:i/>
          <w:iCs/>
          <w:color w:val="000000"/>
          <w:shd w:val="clear" w:color="auto" w:fill="FFFFFF"/>
        </w:rPr>
      </w:pPr>
      <w:r>
        <w:rPr>
          <w:rFonts w:ascii="Arial" w:hAnsi="Arial" w:cs="Arial"/>
          <w:i/>
          <w:iCs/>
          <w:noProof/>
          <w:color w:val="000000"/>
          <w:sz w:val="18"/>
          <w:szCs w:val="18"/>
          <w:shd w:val="clear" w:color="auto" w:fill="FFFFFF"/>
        </w:rPr>
        <w:lastRenderedPageBreak/>
        <w:drawing>
          <wp:inline distT="0" distB="0" distL="0" distR="0" wp14:anchorId="362ACA54" wp14:editId="0BF8CA8E">
            <wp:extent cx="5135526" cy="3582634"/>
            <wp:effectExtent l="0" t="0" r="8255" b="0"/>
            <wp:docPr id="2082588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38623" cy="3584794"/>
                    </a:xfrm>
                    <a:prstGeom prst="rect">
                      <a:avLst/>
                    </a:prstGeom>
                    <a:noFill/>
                    <a:ln>
                      <a:noFill/>
                    </a:ln>
                  </pic:spPr>
                </pic:pic>
              </a:graphicData>
            </a:graphic>
          </wp:inline>
        </w:drawing>
      </w:r>
    </w:p>
    <w:p w14:paraId="4BDAAB5D" w14:textId="30A97C2C" w:rsidR="00DC75B2" w:rsidRPr="0085156B" w:rsidRDefault="00DC75B2" w:rsidP="00DC75B2">
      <w:pPr>
        <w:jc w:val="center"/>
        <w:rPr>
          <w:rFonts w:ascii="Arial" w:hAnsi="Arial" w:cs="Arial"/>
          <w:b/>
          <w:bCs/>
          <w:i/>
          <w:iCs/>
          <w:color w:val="000000"/>
          <w:sz w:val="32"/>
          <w:szCs w:val="32"/>
          <w:shd w:val="clear" w:color="auto" w:fill="FFFFFF"/>
        </w:rPr>
      </w:pPr>
      <w:r>
        <w:rPr>
          <w:rFonts w:ascii="Arial" w:hAnsi="Arial" w:cs="Arial"/>
          <w:b/>
          <w:bCs/>
          <w:i/>
          <w:iCs/>
          <w:color w:val="000000"/>
          <w:sz w:val="32"/>
          <w:szCs w:val="32"/>
          <w:shd w:val="clear" w:color="auto" w:fill="FFFFFF"/>
        </w:rPr>
        <w:t xml:space="preserve">  </w:t>
      </w:r>
      <w:r w:rsidRPr="0085156B">
        <w:rPr>
          <w:rFonts w:ascii="Arial" w:hAnsi="Arial" w:cs="Arial"/>
          <w:b/>
          <w:bCs/>
          <w:i/>
          <w:iCs/>
          <w:color w:val="000000"/>
          <w:sz w:val="32"/>
          <w:szCs w:val="32"/>
          <w:shd w:val="clear" w:color="auto" w:fill="FFFFFF"/>
        </w:rPr>
        <w:t>National                                    Regional</w:t>
      </w:r>
    </w:p>
    <w:p w14:paraId="0484F2B2" w14:textId="6ECA7D7F" w:rsidR="00DC75B2" w:rsidRDefault="00D00E20" w:rsidP="00DC75B2">
      <w:pPr>
        <w:jc w:val="center"/>
        <w:rPr>
          <w:rFonts w:ascii="Arial" w:hAnsi="Arial" w:cs="Arial"/>
          <w:i/>
          <w:iCs/>
          <w:color w:val="000000"/>
          <w:sz w:val="18"/>
          <w:szCs w:val="18"/>
          <w:shd w:val="clear" w:color="auto" w:fill="FFFFFF"/>
        </w:rPr>
      </w:pPr>
      <w:r>
        <w:rPr>
          <w:rFonts w:ascii="Arial" w:hAnsi="Arial" w:cs="Arial"/>
          <w:i/>
          <w:iCs/>
          <w:noProof/>
          <w:color w:val="000000"/>
          <w:sz w:val="18"/>
          <w:szCs w:val="18"/>
          <w:shd w:val="clear" w:color="auto" w:fill="FFFFFF"/>
        </w:rPr>
        <w:drawing>
          <wp:anchor distT="0" distB="0" distL="114300" distR="114300" simplePos="0" relativeHeight="251732992" behindDoc="0" locked="0" layoutInCell="1" allowOverlap="1" wp14:anchorId="5B18DD99" wp14:editId="76FE11AB">
            <wp:simplePos x="0" y="0"/>
            <wp:positionH relativeFrom="margin">
              <wp:posOffset>5221827</wp:posOffset>
            </wp:positionH>
            <wp:positionV relativeFrom="paragraph">
              <wp:posOffset>1937385</wp:posOffset>
            </wp:positionV>
            <wp:extent cx="1243330" cy="1254125"/>
            <wp:effectExtent l="0" t="0" r="0" b="3175"/>
            <wp:wrapNone/>
            <wp:docPr id="1974985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520" t="50827" r="64057" b="10956"/>
                    <a:stretch>
                      <a:fillRect/>
                    </a:stretch>
                  </pic:blipFill>
                  <pic:spPr bwMode="auto">
                    <a:xfrm>
                      <a:off x="0" y="0"/>
                      <a:ext cx="1243330" cy="12541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noProof/>
          <w:color w:val="000000"/>
          <w:sz w:val="18"/>
          <w:szCs w:val="18"/>
          <w:shd w:val="clear" w:color="auto" w:fill="FFFFFF"/>
        </w:rPr>
        <w:drawing>
          <wp:inline distT="0" distB="0" distL="0" distR="0" wp14:anchorId="6F90E2A5" wp14:editId="400E1310">
            <wp:extent cx="2700670" cy="3177233"/>
            <wp:effectExtent l="0" t="0" r="4445" b="4445"/>
            <wp:docPr id="259880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7664" r="4441" b="2365"/>
                    <a:stretch>
                      <a:fillRect/>
                    </a:stretch>
                  </pic:blipFill>
                  <pic:spPr bwMode="auto">
                    <a:xfrm>
                      <a:off x="0" y="0"/>
                      <a:ext cx="2712548" cy="31912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iCs/>
          <w:noProof/>
          <w:color w:val="000000"/>
          <w:sz w:val="18"/>
          <w:szCs w:val="18"/>
          <w:shd w:val="clear" w:color="auto" w:fill="FFFFFF"/>
        </w:rPr>
        <w:drawing>
          <wp:inline distT="0" distB="0" distL="0" distR="0" wp14:anchorId="3C3BF1AD" wp14:editId="41A708EC">
            <wp:extent cx="2700670" cy="3177233"/>
            <wp:effectExtent l="0" t="0" r="4445" b="4445"/>
            <wp:docPr id="184614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7664" r="4441" b="2365"/>
                    <a:stretch>
                      <a:fillRect/>
                    </a:stretch>
                  </pic:blipFill>
                  <pic:spPr bwMode="auto">
                    <a:xfrm>
                      <a:off x="0" y="0"/>
                      <a:ext cx="2712548" cy="3191206"/>
                    </a:xfrm>
                    <a:prstGeom prst="rect">
                      <a:avLst/>
                    </a:prstGeom>
                    <a:noFill/>
                    <a:ln>
                      <a:noFill/>
                    </a:ln>
                    <a:extLst>
                      <a:ext uri="{53640926-AAD7-44D8-BBD7-CCE9431645EC}">
                        <a14:shadowObscured xmlns:a14="http://schemas.microsoft.com/office/drawing/2010/main"/>
                      </a:ext>
                    </a:extLst>
                  </pic:spPr>
                </pic:pic>
              </a:graphicData>
            </a:graphic>
          </wp:inline>
        </w:drawing>
      </w:r>
    </w:p>
    <w:p w14:paraId="09B76E84" w14:textId="5BD72049" w:rsidR="004132C2" w:rsidRPr="00CE6832" w:rsidRDefault="004132C2" w:rsidP="00CE6832">
      <w:pPr>
        <w:pStyle w:val="Caption"/>
      </w:pPr>
      <w:bookmarkStart w:id="174" w:name="_Ref222417017"/>
      <w:bookmarkStart w:id="175" w:name="_Toc211509444"/>
      <w:r w:rsidRPr="00CE6832">
        <w:t xml:space="preserve">Figure </w:t>
      </w:r>
      <w:fldSimple w:instr=" SEQ Figure \* ARABIC ">
        <w:r w:rsidR="00AC4291">
          <w:rPr>
            <w:noProof/>
          </w:rPr>
          <w:t>35</w:t>
        </w:r>
      </w:fldSimple>
      <w:bookmarkEnd w:id="174"/>
      <w:r w:rsidRPr="00CE6832">
        <w:t>: Map illustrating shift in processing locations under</w:t>
      </w:r>
      <w:r w:rsidR="0089166D">
        <w:t xml:space="preserve"> BAU (top) and </w:t>
      </w:r>
      <w:r w:rsidRPr="00CE6832">
        <w:t xml:space="preserve"> National and Regional Unconstrained medium </w:t>
      </w:r>
      <w:r w:rsidR="0089166D">
        <w:t xml:space="preserve">Precursor </w:t>
      </w:r>
      <w:r w:rsidRPr="00CE6832">
        <w:t>Scenarios for 2040</w:t>
      </w:r>
      <w:bookmarkEnd w:id="175"/>
      <w:r w:rsidR="0089166D">
        <w:t xml:space="preserve"> (bottom.)</w:t>
      </w:r>
    </w:p>
    <w:p w14:paraId="0A5F1371" w14:textId="77777777" w:rsidR="00A929F8" w:rsidRPr="00DC75B2" w:rsidRDefault="00A929F8" w:rsidP="00DC75B2"/>
    <w:p w14:paraId="47F673E5" w14:textId="12060B5F" w:rsidR="00512EE5" w:rsidRPr="00512EE5" w:rsidRDefault="00512EE5" w:rsidP="00A14680">
      <w:pPr>
        <w:pStyle w:val="Heading2"/>
      </w:pPr>
      <w:r>
        <w:t>7.</w:t>
      </w:r>
      <w:r w:rsidR="00DC75B2">
        <w:t xml:space="preserve">2 </w:t>
      </w:r>
      <w:r>
        <w:t>Additional economic implications</w:t>
      </w:r>
    </w:p>
    <w:p w14:paraId="132C0DAA" w14:textId="77777777" w:rsidR="00512EE5" w:rsidRDefault="00512EE5" w:rsidP="00BE51B1">
      <w:pPr>
        <w:spacing w:after="0"/>
        <w:jc w:val="both"/>
        <w:rPr>
          <w:rFonts w:ascii="Arial" w:hAnsi="Arial" w:cs="Arial"/>
        </w:rPr>
      </w:pPr>
    </w:p>
    <w:p w14:paraId="02F40ECF" w14:textId="6C801EBD" w:rsidR="0025126B" w:rsidRDefault="0025126B" w:rsidP="0025126B">
      <w:pPr>
        <w:jc w:val="both"/>
        <w:rPr>
          <w:lang w:val="en-US"/>
        </w:rPr>
      </w:pPr>
      <w:r w:rsidRPr="0025126B">
        <w:rPr>
          <w:lang w:val="en-US"/>
        </w:rPr>
        <w:lastRenderedPageBreak/>
        <w:t>Net export revenues expressed as a share of GDP for all countries under both national and regional processing policies are calculated to show the relative contribution of the minerals sector to</w:t>
      </w:r>
      <w:r>
        <w:rPr>
          <w:lang w:val="en-US"/>
        </w:rPr>
        <w:t xml:space="preserve"> </w:t>
      </w:r>
      <w:r w:rsidRPr="0025126B">
        <w:rPr>
          <w:lang w:val="en-US"/>
        </w:rPr>
        <w:t xml:space="preserve">economies </w:t>
      </w:r>
      <w:r>
        <w:rPr>
          <w:lang w:val="en-US"/>
        </w:rPr>
        <w:t>(</w:t>
      </w:r>
      <w:r>
        <w:rPr>
          <w:lang w:val="en-US"/>
        </w:rPr>
        <w:fldChar w:fldCharType="begin"/>
      </w:r>
      <w:r>
        <w:rPr>
          <w:lang w:val="en-US"/>
        </w:rPr>
        <w:instrText xml:space="preserve"> REF _Ref222412818 \h </w:instrText>
      </w:r>
      <w:r>
        <w:rPr>
          <w:lang w:val="en-US"/>
        </w:rPr>
      </w:r>
      <w:r>
        <w:rPr>
          <w:lang w:val="en-US"/>
        </w:rPr>
        <w:fldChar w:fldCharType="separate"/>
      </w:r>
      <w:r>
        <w:t xml:space="preserve">Figure </w:t>
      </w:r>
      <w:r>
        <w:rPr>
          <w:noProof/>
        </w:rPr>
        <w:t>36</w:t>
      </w:r>
      <w:r>
        <w:rPr>
          <w:lang w:val="en-US"/>
        </w:rPr>
        <w:fldChar w:fldCharType="end"/>
      </w:r>
      <w:r>
        <w:rPr>
          <w:lang w:val="en-US"/>
        </w:rPr>
        <w:t>)</w:t>
      </w:r>
      <w:r w:rsidRPr="0025126B">
        <w:rPr>
          <w:lang w:val="en-US"/>
        </w:rPr>
        <w:t>. Under national and regional policies, two countries (Burundi and DRC under regional policies, Namibia under</w:t>
      </w:r>
      <w:r>
        <w:rPr>
          <w:lang w:val="en-US"/>
        </w:rPr>
        <w:t xml:space="preserve"> </w:t>
      </w:r>
      <w:r w:rsidRPr="0025126B">
        <w:rPr>
          <w:lang w:val="en-US"/>
        </w:rPr>
        <w:t>national unconstrained) achieve mineral export revenues of up to 32% (Burundi), 27% (DRC), and 21% (Namibia) of GDP in Precursor-related Product scenarios, compared to up to 19% (Burundi) and 17% (DRC and Namibia) under national policies. The uncertainty heatmaps reveal that demand variability introduces ranges of up to 10 pp across</w:t>
      </w:r>
      <w:r>
        <w:rPr>
          <w:lang w:val="en-US"/>
        </w:rPr>
        <w:t xml:space="preserve"> </w:t>
      </w:r>
      <w:r w:rsidRPr="0025126B">
        <w:rPr>
          <w:lang w:val="en-US"/>
        </w:rPr>
        <w:t>countries: DRC and Angola show relatively stable projections (&lt;0.5 pp), while Burundi and Namibia exhibit the highest demand sensitivity (</w:t>
      </w:r>
      <w:r w:rsidRPr="000469CE">
        <w:rPr>
          <w:lang w:val="en-US"/>
        </w:rPr>
        <w:t>9–10 pp</w:t>
      </w:r>
      <w:r w:rsidRPr="0025126B">
        <w:rPr>
          <w:lang w:val="en-US"/>
        </w:rPr>
        <w:t>). These</w:t>
      </w:r>
      <w:r>
        <w:rPr>
          <w:lang w:val="en-US"/>
        </w:rPr>
        <w:t xml:space="preserve"> </w:t>
      </w:r>
      <w:r w:rsidRPr="0025126B">
        <w:rPr>
          <w:lang w:val="en-US"/>
        </w:rPr>
        <w:t>figures allow for the identification of countries with the highest economic stakes.</w:t>
      </w:r>
    </w:p>
    <w:p w14:paraId="789FACAB" w14:textId="4960332E" w:rsidR="008065BB" w:rsidRDefault="008065BB" w:rsidP="00512EE5">
      <w:pPr>
        <w:jc w:val="both"/>
        <w:rPr>
          <w:lang w:val="en-US"/>
        </w:rPr>
      </w:pPr>
      <w:r>
        <w:rPr>
          <w:noProof/>
          <w:lang w:val="en-US"/>
        </w:rPr>
        <w:drawing>
          <wp:inline distT="0" distB="0" distL="0" distR="0" wp14:anchorId="2889202B" wp14:editId="0F9F992A">
            <wp:extent cx="5724525" cy="4438650"/>
            <wp:effectExtent l="0" t="0" r="9525" b="0"/>
            <wp:docPr id="39730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24525" cy="4438650"/>
                    </a:xfrm>
                    <a:prstGeom prst="rect">
                      <a:avLst/>
                    </a:prstGeom>
                    <a:noFill/>
                    <a:ln>
                      <a:noFill/>
                    </a:ln>
                  </pic:spPr>
                </pic:pic>
              </a:graphicData>
            </a:graphic>
          </wp:inline>
        </w:drawing>
      </w:r>
    </w:p>
    <w:p w14:paraId="5C9781D6" w14:textId="29B7CB49" w:rsidR="00512EE5" w:rsidRDefault="00512EE5" w:rsidP="00512EE5">
      <w:pPr>
        <w:pStyle w:val="Caption"/>
      </w:pPr>
      <w:bookmarkStart w:id="176" w:name="_Ref222412818"/>
      <w:r>
        <w:t xml:space="preserve">Figure </w:t>
      </w:r>
      <w:fldSimple w:instr=" SEQ Figure \* ARABIC ">
        <w:r w:rsidR="00AC4291">
          <w:rPr>
            <w:noProof/>
          </w:rPr>
          <w:t>36</w:t>
        </w:r>
      </w:fldSimple>
      <w:bookmarkEnd w:id="176"/>
      <w:r>
        <w:t xml:space="preserve"> </w:t>
      </w:r>
      <w:r w:rsidR="00951483">
        <w:t>Net export r</w:t>
      </w:r>
      <w:r>
        <w:t xml:space="preserve">evenue as share of GDP by country. Percentages in top panel and difference between percentages in bottom panel as uncertainty range. </w:t>
      </w:r>
      <w:r w:rsidRPr="007F2CA3">
        <w:t>Each panel includes two heatmaps: absolute GDP share values (mid-demand scenario) and uncertainty ranges (high-low demand difference).</w:t>
      </w:r>
    </w:p>
    <w:p w14:paraId="28E3B60E" w14:textId="44361023" w:rsidR="0008623C" w:rsidRPr="0008623C" w:rsidRDefault="0008623C" w:rsidP="0008623C">
      <w:pPr>
        <w:jc w:val="both"/>
        <w:rPr>
          <w:lang w:val="en-US"/>
        </w:rPr>
      </w:pPr>
      <w:r w:rsidRPr="0008623C">
        <w:rPr>
          <w:lang w:val="en-US"/>
        </w:rPr>
        <w:t>The competitiveness of each scenario and country</w:t>
      </w:r>
      <w:r w:rsidR="00B04033">
        <w:rPr>
          <w:lang w:val="en-US"/>
        </w:rPr>
        <w:t xml:space="preserve"> considering </w:t>
      </w:r>
      <w:r w:rsidR="00B04033" w:rsidRPr="0008623C">
        <w:rPr>
          <w:lang w:val="en-US"/>
        </w:rPr>
        <w:t>cumulative unit processing costs (production</w:t>
      </w:r>
      <w:r w:rsidR="00692E0C">
        <w:rPr>
          <w:lang w:val="en-US"/>
        </w:rPr>
        <w:t>,</w:t>
      </w:r>
      <w:r w:rsidR="00B04033" w:rsidRPr="0008623C">
        <w:rPr>
          <w:lang w:val="en-US"/>
        </w:rPr>
        <w:t xml:space="preserve"> transport </w:t>
      </w:r>
      <w:r w:rsidR="00692E0C">
        <w:rPr>
          <w:lang w:val="en-US"/>
        </w:rPr>
        <w:t xml:space="preserve">and </w:t>
      </w:r>
      <w:r w:rsidR="00B04033" w:rsidRPr="0008623C">
        <w:rPr>
          <w:lang w:val="en-US"/>
        </w:rPr>
        <w:t>energy</w:t>
      </w:r>
      <w:r w:rsidR="00B04033">
        <w:rPr>
          <w:lang w:val="en-US"/>
        </w:rPr>
        <w:t>)</w:t>
      </w:r>
      <w:r w:rsidRPr="0008623C">
        <w:rPr>
          <w:lang w:val="en-US"/>
        </w:rPr>
        <w:t xml:space="preserve"> (</w:t>
      </w:r>
      <w:r w:rsidRPr="0008623C">
        <w:rPr>
          <w:lang w:val="en-US"/>
        </w:rPr>
        <w:fldChar w:fldCharType="begin"/>
      </w:r>
      <w:r w:rsidRPr="0008623C">
        <w:rPr>
          <w:lang w:val="en-US"/>
        </w:rPr>
        <w:instrText xml:space="preserve"> REF _Ref222414189 \h </w:instrText>
      </w:r>
      <w:r>
        <w:rPr>
          <w:lang w:val="en-US"/>
        </w:rPr>
        <w:instrText xml:space="preserve"> \* MERGEFORMAT </w:instrText>
      </w:r>
      <w:r w:rsidRPr="0008623C">
        <w:rPr>
          <w:lang w:val="en-US"/>
        </w:rPr>
      </w:r>
      <w:r w:rsidRPr="0008623C">
        <w:rPr>
          <w:lang w:val="en-US"/>
        </w:rPr>
        <w:fldChar w:fldCharType="separate"/>
      </w:r>
      <w:r w:rsidR="00AC4291" w:rsidRPr="00AC4291">
        <w:rPr>
          <w:lang w:val="en-US"/>
        </w:rPr>
        <w:t>Figure 37</w:t>
      </w:r>
      <w:r w:rsidRPr="0008623C">
        <w:rPr>
          <w:lang w:val="en-US"/>
        </w:rPr>
        <w:fldChar w:fldCharType="end"/>
      </w:r>
      <w:r w:rsidRPr="0008623C">
        <w:rPr>
          <w:lang w:val="en-US"/>
        </w:rPr>
        <w:t>) show costs ris</w:t>
      </w:r>
      <w:r w:rsidR="00B04033">
        <w:rPr>
          <w:lang w:val="en-US"/>
        </w:rPr>
        <w:t>ing</w:t>
      </w:r>
      <w:r w:rsidRPr="0008623C">
        <w:rPr>
          <w:lang w:val="en-US"/>
        </w:rPr>
        <w:t xml:space="preserve"> with </w:t>
      </w:r>
      <w:r w:rsidR="00B04033">
        <w:rPr>
          <w:lang w:val="en-US"/>
        </w:rPr>
        <w:t>p</w:t>
      </w:r>
      <w:r w:rsidR="00B04033" w:rsidRPr="0008623C">
        <w:rPr>
          <w:lang w:val="en-US"/>
        </w:rPr>
        <w:t xml:space="preserve">rocessing </w:t>
      </w:r>
      <w:r w:rsidR="00B04033">
        <w:rPr>
          <w:lang w:val="en-US"/>
        </w:rPr>
        <w:t xml:space="preserve"> </w:t>
      </w:r>
      <w:r w:rsidRPr="0008623C">
        <w:rPr>
          <w:lang w:val="en-US"/>
        </w:rPr>
        <w:t xml:space="preserve">ambition. </w:t>
      </w:r>
      <w:r w:rsidR="00692E0C">
        <w:rPr>
          <w:lang w:val="en-US"/>
        </w:rPr>
        <w:t>Unit</w:t>
      </w:r>
      <w:r w:rsidRPr="0008623C">
        <w:rPr>
          <w:lang w:val="en-US"/>
        </w:rPr>
        <w:t xml:space="preserve"> costs increase three to four</w:t>
      </w:r>
      <w:r w:rsidR="00692E0C">
        <w:rPr>
          <w:lang w:val="en-US"/>
        </w:rPr>
        <w:t xml:space="preserve"> times</w:t>
      </w:r>
      <w:r w:rsidRPr="0008623C">
        <w:rPr>
          <w:lang w:val="en-US"/>
        </w:rPr>
        <w:t xml:space="preserve"> from BAU to Precursor scenarios reflecting the energy and capital intensity of advanced refining stages.</w:t>
      </w:r>
    </w:p>
    <w:p w14:paraId="5B7723F8" w14:textId="2972E8F7" w:rsidR="0008623C" w:rsidRPr="0008623C" w:rsidRDefault="0008623C" w:rsidP="0008623C">
      <w:pPr>
        <w:jc w:val="both"/>
        <w:rPr>
          <w:lang w:val="en-US"/>
        </w:rPr>
      </w:pPr>
      <w:r w:rsidRPr="0008623C">
        <w:rPr>
          <w:lang w:val="en-US"/>
        </w:rPr>
        <w:lastRenderedPageBreak/>
        <w:t xml:space="preserve">A core group of countries is consistently cost-competitive. Zambia ranks as the lowest-cost copper processor across all scenarios ($5.9k/t in BAU, $18.2k/t in </w:t>
      </w:r>
      <w:r w:rsidR="00AC4291">
        <w:rPr>
          <w:lang w:val="en-US"/>
        </w:rPr>
        <w:t xml:space="preserve">the </w:t>
      </w:r>
      <w:r w:rsidRPr="0008623C">
        <w:rPr>
          <w:lang w:val="en-US"/>
        </w:rPr>
        <w:t>Precursor Regional</w:t>
      </w:r>
      <w:r w:rsidR="00AC4291">
        <w:rPr>
          <w:lang w:val="en-US"/>
        </w:rPr>
        <w:t xml:space="preserve"> scenario</w:t>
      </w:r>
      <w:r w:rsidRPr="0008623C">
        <w:rPr>
          <w:lang w:val="en-US"/>
        </w:rPr>
        <w:t>), reflecting proximity to ore bodies and established smelting infrastructure. Namibia leads in cobalt competitiveness in both Precursor scenarios ($48.7–48.9k/t, rank 1), and South Africa is the clear leader in manganese ($1.2–4.0k/t, rank 1) and emerges as lowest-cost lithium processor under regional cooperation. Tanzania and Mozambique are consistently competitive in nickel and graphite.</w:t>
      </w:r>
    </w:p>
    <w:p w14:paraId="3B5CCA01" w14:textId="07E5677A" w:rsidR="00512EE5" w:rsidRPr="0008623C" w:rsidRDefault="0008623C" w:rsidP="0008623C">
      <w:pPr>
        <w:jc w:val="both"/>
        <w:rPr>
          <w:lang w:val="en-US"/>
        </w:rPr>
      </w:pPr>
      <w:r w:rsidRPr="0008623C">
        <w:rPr>
          <w:lang w:val="en-US"/>
        </w:rPr>
        <w:t xml:space="preserve">Regional cooperation reshapes processing geography. Under national policies, 10–11 countries appear as active processors across at least one mineral. Mozambique emerges as a multi-mineral hub under regional </w:t>
      </w:r>
      <w:r w:rsidR="00692E0C">
        <w:rPr>
          <w:lang w:val="en-US"/>
        </w:rPr>
        <w:t xml:space="preserve">unconstrained </w:t>
      </w:r>
      <w:r w:rsidRPr="0008623C">
        <w:rPr>
          <w:lang w:val="en-US"/>
        </w:rPr>
        <w:t>cooperation, ranking first in both nickel and graphite, and second in cobalt</w:t>
      </w:r>
      <w:r w:rsidR="00401ECF">
        <w:rPr>
          <w:lang w:val="en-US"/>
        </w:rPr>
        <w:t xml:space="preserve"> which contrasts against </w:t>
      </w:r>
      <w:r w:rsidRPr="0008623C">
        <w:rPr>
          <w:lang w:val="en-US"/>
        </w:rPr>
        <w:t>its limited role under national scenarios. Environmental constraints have limited effect on relative rankings but reduce the number of active processing countries, reinforcing the advantage of already-established processing locations.</w:t>
      </w:r>
    </w:p>
    <w:p w14:paraId="27EEF13D" w14:textId="75B8F452" w:rsidR="002B7B7C" w:rsidRDefault="002B7B7C" w:rsidP="00512EE5">
      <w:r>
        <w:rPr>
          <w:noProof/>
        </w:rPr>
        <w:drawing>
          <wp:inline distT="0" distB="0" distL="0" distR="0" wp14:anchorId="06447B2B" wp14:editId="3BD02CCC">
            <wp:extent cx="5732145" cy="4690745"/>
            <wp:effectExtent l="0" t="0" r="1905" b="0"/>
            <wp:docPr id="104800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32145" cy="4690745"/>
                    </a:xfrm>
                    <a:prstGeom prst="rect">
                      <a:avLst/>
                    </a:prstGeom>
                    <a:noFill/>
                    <a:ln>
                      <a:noFill/>
                    </a:ln>
                  </pic:spPr>
                </pic:pic>
              </a:graphicData>
            </a:graphic>
          </wp:inline>
        </w:drawing>
      </w:r>
    </w:p>
    <w:p w14:paraId="70C01271" w14:textId="01D400EC" w:rsidR="00623CDD" w:rsidRDefault="00E1763F" w:rsidP="0089166D">
      <w:pPr>
        <w:pStyle w:val="Caption"/>
      </w:pPr>
      <w:bookmarkStart w:id="177" w:name="_Ref222414189"/>
      <w:r>
        <w:t xml:space="preserve">Figure </w:t>
      </w:r>
      <w:fldSimple w:instr=" SEQ Figure \* ARABIC ">
        <w:r w:rsidR="00AC4291">
          <w:rPr>
            <w:noProof/>
          </w:rPr>
          <w:t>37</w:t>
        </w:r>
      </w:fldSimple>
      <w:bookmarkEnd w:id="177"/>
      <w:r>
        <w:t xml:space="preserve"> Competitiveness matrices</w:t>
      </w:r>
      <w:r w:rsidR="00B4252C">
        <w:t xml:space="preserve"> of 2040 scenarios</w:t>
      </w:r>
      <w:r w:rsidR="005D12F3">
        <w:t>. Colours show quintile rankings from 1-5. Darker green means more competitive, i.e., lower cost. The costs in each cell are in USD/tonne. The ranking refers to cost, where #1 is lowest cost. The unit costs are cumulative including energy, production and transport.</w:t>
      </w:r>
    </w:p>
    <w:p w14:paraId="240AB818" w14:textId="77777777" w:rsidR="00623CDD" w:rsidRDefault="00623CDD">
      <w:r>
        <w:br w:type="page"/>
      </w:r>
    </w:p>
    <w:p w14:paraId="0BC70B41" w14:textId="13905B49" w:rsidR="00623CDD" w:rsidRPr="00E64DAE" w:rsidRDefault="00623CDD" w:rsidP="00623CDD">
      <w:pPr>
        <w:pStyle w:val="Heading1"/>
      </w:pPr>
      <w:r>
        <w:lastRenderedPageBreak/>
        <w:t>References</w:t>
      </w:r>
    </w:p>
    <w:p w14:paraId="688980B3" w14:textId="77777777" w:rsidR="00512EE5" w:rsidRPr="00680EF4" w:rsidRDefault="00512EE5" w:rsidP="00BE51B1">
      <w:pPr>
        <w:spacing w:after="0"/>
        <w:jc w:val="both"/>
        <w:rPr>
          <w:rFonts w:ascii="Arial" w:hAnsi="Arial" w:cs="Arial"/>
        </w:rPr>
      </w:pPr>
    </w:p>
    <w:p w14:paraId="70AC2FE0" w14:textId="77777777" w:rsidR="0016542D" w:rsidRDefault="00623CDD" w:rsidP="0016542D">
      <w:pPr>
        <w:pStyle w:val="Bibliography"/>
      </w:pPr>
      <w:r>
        <w:rPr>
          <w:rFonts w:ascii="Arial" w:hAnsi="Arial" w:cs="Arial"/>
        </w:rPr>
        <w:fldChar w:fldCharType="begin"/>
      </w:r>
      <w:r w:rsidR="00D1626F">
        <w:rPr>
          <w:rFonts w:ascii="Arial" w:hAnsi="Arial" w:cs="Arial"/>
        </w:rPr>
        <w:instrText xml:space="preserve"> ADDIN ZOTERO_BIBL {"uncited":[],"omitted":[],"custom":[]} CSL_BIBLIOGRAPHY </w:instrText>
      </w:r>
      <w:r>
        <w:rPr>
          <w:rFonts w:ascii="Arial" w:hAnsi="Arial" w:cs="Arial"/>
        </w:rPr>
        <w:fldChar w:fldCharType="separate"/>
      </w:r>
      <w:r w:rsidR="0016542D">
        <w:t>1.</w:t>
      </w:r>
      <w:r w:rsidR="0016542D">
        <w:tab/>
        <w:t xml:space="preserve">S&amp;P Global. S&amp;P Capital IQ Pro. </w:t>
      </w:r>
      <w:r w:rsidR="0016542D">
        <w:rPr>
          <w:i/>
          <w:iCs/>
        </w:rPr>
        <w:t>S&amp;P Global</w:t>
      </w:r>
      <w:r w:rsidR="0016542D">
        <w:t xml:space="preserve"> https://www.spglobal.com/marketintelligence/en/solutions/sp-capital-iq-pro (2024).</w:t>
      </w:r>
    </w:p>
    <w:p w14:paraId="18B59046" w14:textId="77777777" w:rsidR="0016542D" w:rsidRDefault="0016542D" w:rsidP="0016542D">
      <w:pPr>
        <w:pStyle w:val="Bibliography"/>
      </w:pPr>
      <w:r>
        <w:t>2.</w:t>
      </w:r>
      <w:r>
        <w:tab/>
        <w:t xml:space="preserve">Berman, N., Couttenier, M., Rohner, D. &amp; Thoenig, M. This Mine is Mine! How Minerals Fuel Conflicts in Africa. </w:t>
      </w:r>
      <w:r>
        <w:rPr>
          <w:i/>
          <w:iCs/>
        </w:rPr>
        <w:t>Am. Econ. Rev.</w:t>
      </w:r>
      <w:r>
        <w:t xml:space="preserve"> </w:t>
      </w:r>
      <w:r>
        <w:rPr>
          <w:b/>
          <w:bCs/>
        </w:rPr>
        <w:t>107</w:t>
      </w:r>
      <w:r>
        <w:t>, 1564–1610 (2017).</w:t>
      </w:r>
    </w:p>
    <w:p w14:paraId="086C967D" w14:textId="77777777" w:rsidR="0016542D" w:rsidRDefault="0016542D" w:rsidP="0016542D">
      <w:pPr>
        <w:pStyle w:val="Bibliography"/>
      </w:pPr>
      <w:r>
        <w:t>3.</w:t>
      </w:r>
      <w:r>
        <w:tab/>
        <w:t>British Geological Survey. World mineral statistics. https://www.bgs.ac.uk/mineralsuk/statistics/world-mineral-statistics/ (2025).</w:t>
      </w:r>
    </w:p>
    <w:p w14:paraId="48D5F0B5" w14:textId="77777777" w:rsidR="0016542D" w:rsidRDefault="0016542D" w:rsidP="0016542D">
      <w:pPr>
        <w:pStyle w:val="Bibliography"/>
      </w:pPr>
      <w:r>
        <w:t>4.</w:t>
      </w:r>
      <w:r>
        <w:tab/>
        <w:t xml:space="preserve">Jasansky, S., Lieber, M., Giljum, S. &amp; Maus, V. An open database on global coal and metal mine production. </w:t>
      </w:r>
      <w:r>
        <w:rPr>
          <w:i/>
          <w:iCs/>
        </w:rPr>
        <w:t>Sci. Data</w:t>
      </w:r>
      <w:r>
        <w:t xml:space="preserve"> </w:t>
      </w:r>
      <w:r>
        <w:rPr>
          <w:b/>
          <w:bCs/>
        </w:rPr>
        <w:t>10</w:t>
      </w:r>
      <w:r>
        <w:t>, 52 (2023).</w:t>
      </w:r>
    </w:p>
    <w:p w14:paraId="52802B8A" w14:textId="77777777" w:rsidR="0016542D" w:rsidRDefault="0016542D" w:rsidP="0016542D">
      <w:pPr>
        <w:pStyle w:val="Bibliography"/>
      </w:pPr>
      <w:r>
        <w:t>5.</w:t>
      </w:r>
      <w:r>
        <w:tab/>
        <w:t xml:space="preserve">Maus, V. </w:t>
      </w:r>
      <w:r>
        <w:rPr>
          <w:i/>
          <w:iCs/>
        </w:rPr>
        <w:t>et al.</w:t>
      </w:r>
      <w:r>
        <w:t xml:space="preserve"> A global-scale data set of mining areas. </w:t>
      </w:r>
      <w:r>
        <w:rPr>
          <w:i/>
          <w:iCs/>
        </w:rPr>
        <w:t>Sci. Data</w:t>
      </w:r>
      <w:r>
        <w:t xml:space="preserve"> </w:t>
      </w:r>
      <w:r>
        <w:rPr>
          <w:b/>
          <w:bCs/>
        </w:rPr>
        <w:t>7</w:t>
      </w:r>
      <w:r>
        <w:t>, 289 (2020).</w:t>
      </w:r>
    </w:p>
    <w:p w14:paraId="1A133A88" w14:textId="77777777" w:rsidR="0016542D" w:rsidRDefault="0016542D" w:rsidP="0016542D">
      <w:pPr>
        <w:pStyle w:val="Bibliography"/>
      </w:pPr>
      <w:r>
        <w:t>6.</w:t>
      </w:r>
      <w:r>
        <w:tab/>
        <w:t xml:space="preserve">Tang, L. &amp; Werner, T. T. Global mining footprint mapped from high-resolution satellite imagery. </w:t>
      </w:r>
      <w:r>
        <w:rPr>
          <w:i/>
          <w:iCs/>
        </w:rPr>
        <w:t>Commun. Earth Environ.</w:t>
      </w:r>
      <w:r>
        <w:t xml:space="preserve"> </w:t>
      </w:r>
      <w:r>
        <w:rPr>
          <w:b/>
          <w:bCs/>
        </w:rPr>
        <w:t>4</w:t>
      </w:r>
      <w:r>
        <w:t>, 1–12 (2023).</w:t>
      </w:r>
    </w:p>
    <w:p w14:paraId="6EB92E5F" w14:textId="77777777" w:rsidR="0016542D" w:rsidRDefault="0016542D" w:rsidP="0016542D">
      <w:pPr>
        <w:pStyle w:val="Bibliography"/>
      </w:pPr>
      <w:r>
        <w:t>7.</w:t>
      </w:r>
      <w:r>
        <w:tab/>
        <w:t xml:space="preserve">Maus, V. &amp; Werner, T. T. Impacts for half of the world’s mining areas are undocumented. </w:t>
      </w:r>
      <w:r>
        <w:rPr>
          <w:i/>
          <w:iCs/>
        </w:rPr>
        <w:t>Nature</w:t>
      </w:r>
      <w:r>
        <w:t xml:space="preserve"> </w:t>
      </w:r>
      <w:r>
        <w:rPr>
          <w:b/>
          <w:bCs/>
        </w:rPr>
        <w:t>625</w:t>
      </w:r>
      <w:r>
        <w:t>, 26–29 (2024).</w:t>
      </w:r>
    </w:p>
    <w:p w14:paraId="5134F0D7" w14:textId="77777777" w:rsidR="0016542D" w:rsidRDefault="0016542D" w:rsidP="0016542D">
      <w:pPr>
        <w:pStyle w:val="Bibliography"/>
      </w:pPr>
      <w:r>
        <w:t>8.</w:t>
      </w:r>
      <w:r>
        <w:tab/>
        <w:t xml:space="preserve">Taylor, H. K. Rates of working of mines-a simple rule of thumb. </w:t>
      </w:r>
      <w:r>
        <w:rPr>
          <w:i/>
          <w:iCs/>
        </w:rPr>
        <w:t>Trans. - Inst. Min. Metall. Sect. A</w:t>
      </w:r>
      <w:r>
        <w:t xml:space="preserve"> </w:t>
      </w:r>
      <w:r>
        <w:rPr>
          <w:b/>
          <w:bCs/>
        </w:rPr>
        <w:t>95</w:t>
      </w:r>
      <w:r>
        <w:t>, A203–A204 (1986).</w:t>
      </w:r>
    </w:p>
    <w:p w14:paraId="77084B88" w14:textId="77777777" w:rsidR="0016542D" w:rsidRDefault="0016542D" w:rsidP="0016542D">
      <w:pPr>
        <w:pStyle w:val="Bibliography"/>
      </w:pPr>
      <w:r>
        <w:t>9.</w:t>
      </w:r>
      <w:r>
        <w:tab/>
        <w:t xml:space="preserve">Long, K. R. A Test and Re-Estimation of Taylor’s Empirical Capacity–Reserve Relationship. </w:t>
      </w:r>
      <w:r>
        <w:rPr>
          <w:i/>
          <w:iCs/>
        </w:rPr>
        <w:t>Nat. Resour. Res.</w:t>
      </w:r>
      <w:r>
        <w:t xml:space="preserve"> </w:t>
      </w:r>
      <w:r>
        <w:rPr>
          <w:b/>
          <w:bCs/>
        </w:rPr>
        <w:t>18</w:t>
      </w:r>
      <w:r>
        <w:t>, 57–63 (2009).</w:t>
      </w:r>
    </w:p>
    <w:p w14:paraId="1446A209" w14:textId="77777777" w:rsidR="0016542D" w:rsidRDefault="0016542D" w:rsidP="0016542D">
      <w:pPr>
        <w:pStyle w:val="Bibliography"/>
      </w:pPr>
      <w:r>
        <w:t>10.</w:t>
      </w:r>
      <w:r>
        <w:tab/>
        <w:t xml:space="preserve">Long, K. R. &amp; Singer, D. A. </w:t>
      </w:r>
      <w:r>
        <w:rPr>
          <w:i/>
          <w:iCs/>
        </w:rPr>
        <w:t>A Simplified Economic Filter for Open-Pit Mining and Heap-Leach Recovery of Copper in the United States</w:t>
      </w:r>
      <w:r>
        <w:t>. https://pubs.usgs.gov/of/2001/0218/pdf/of01-218.pdf (2001).</w:t>
      </w:r>
    </w:p>
    <w:p w14:paraId="74C2F009" w14:textId="77777777" w:rsidR="0016542D" w:rsidRDefault="0016542D" w:rsidP="0016542D">
      <w:pPr>
        <w:pStyle w:val="Bibliography"/>
      </w:pPr>
      <w:r>
        <w:t>11.</w:t>
      </w:r>
      <w:r>
        <w:tab/>
        <w:t xml:space="preserve">Singer, D., Menzie, W. D. &amp; Long, K. R. </w:t>
      </w:r>
      <w:r>
        <w:rPr>
          <w:i/>
          <w:iCs/>
        </w:rPr>
        <w:t>A Simplified Economic Filter for Open-Pit Gold-Silver Mining in the United States</w:t>
      </w:r>
      <w:r>
        <w:t>. https://pubs.usgs.gov/of/1998/0207/ (1998).</w:t>
      </w:r>
    </w:p>
    <w:p w14:paraId="757F6F05" w14:textId="77777777" w:rsidR="0016542D" w:rsidRDefault="0016542D" w:rsidP="0016542D">
      <w:pPr>
        <w:pStyle w:val="Bibliography"/>
      </w:pPr>
      <w:r>
        <w:lastRenderedPageBreak/>
        <w:t>12.</w:t>
      </w:r>
      <w:r>
        <w:tab/>
        <w:t xml:space="preserve">Singer, D. A., Menzie, W. D. &amp; Long, K. R. </w:t>
      </w:r>
      <w:r>
        <w:rPr>
          <w:i/>
          <w:iCs/>
        </w:rPr>
        <w:t>A Simplified Economic Filter for Underground Mining of Massive Sulfide Deposits</w:t>
      </w:r>
      <w:r>
        <w:t xml:space="preserve">. </w:t>
      </w:r>
      <w:r>
        <w:rPr>
          <w:i/>
          <w:iCs/>
        </w:rPr>
        <w:t>Open-File Report</w:t>
      </w:r>
      <w:r>
        <w:t xml:space="preserve"> https://pubs.usgs.gov/publication/ofr00349 (2000) doi:10.3133/ofr00349.</w:t>
      </w:r>
    </w:p>
    <w:p w14:paraId="34D3066F" w14:textId="77777777" w:rsidR="0016542D" w:rsidRDefault="0016542D" w:rsidP="0016542D">
      <w:pPr>
        <w:pStyle w:val="Bibliography"/>
      </w:pPr>
      <w:r>
        <w:t>13.</w:t>
      </w:r>
      <w:r>
        <w:tab/>
        <w:t xml:space="preserve">IEA. </w:t>
      </w:r>
      <w:r>
        <w:rPr>
          <w:i/>
          <w:iCs/>
        </w:rPr>
        <w:t>Global Critical Minerals Outlook 2025</w:t>
      </w:r>
      <w:r>
        <w:t>. https://www.iea.org/reports/global-critical-minerals-outlook-2025 (2025).</w:t>
      </w:r>
    </w:p>
    <w:p w14:paraId="1EAA8E4B" w14:textId="77777777" w:rsidR="0016542D" w:rsidRDefault="0016542D" w:rsidP="0016542D">
      <w:pPr>
        <w:pStyle w:val="Bibliography"/>
      </w:pPr>
      <w:r>
        <w:t>14.</w:t>
      </w:r>
      <w:r>
        <w:tab/>
        <w:t xml:space="preserve">Wernet, G. </w:t>
      </w:r>
      <w:r>
        <w:rPr>
          <w:i/>
          <w:iCs/>
        </w:rPr>
        <w:t>et al.</w:t>
      </w:r>
      <w:r>
        <w:t xml:space="preserve"> The ecoinvent database version 3 (part I): overview and methodology. </w:t>
      </w:r>
      <w:r>
        <w:rPr>
          <w:i/>
          <w:iCs/>
        </w:rPr>
        <w:t>Int. J. Life Cycle Assess.</w:t>
      </w:r>
      <w:r>
        <w:t xml:space="preserve"> </w:t>
      </w:r>
      <w:r>
        <w:rPr>
          <w:b/>
          <w:bCs/>
        </w:rPr>
        <w:t>21</w:t>
      </w:r>
      <w:r>
        <w:t>, 1218–1230 (2016).</w:t>
      </w:r>
    </w:p>
    <w:p w14:paraId="10218F0B" w14:textId="77777777" w:rsidR="0016542D" w:rsidRDefault="0016542D" w:rsidP="0016542D">
      <w:pPr>
        <w:pStyle w:val="Bibliography"/>
      </w:pPr>
      <w:r>
        <w:t>15.</w:t>
      </w:r>
      <w:r>
        <w:tab/>
        <w:t xml:space="preserve">Nuss, P. &amp; Eckelman, M. J. Life cycle assessment of metals: A scientific synthesis. </w:t>
      </w:r>
      <w:r>
        <w:rPr>
          <w:i/>
          <w:iCs/>
        </w:rPr>
        <w:t>PLoS ONE</w:t>
      </w:r>
      <w:r>
        <w:t xml:space="preserve"> </w:t>
      </w:r>
      <w:r>
        <w:rPr>
          <w:b/>
          <w:bCs/>
        </w:rPr>
        <w:t>9</w:t>
      </w:r>
      <w:r>
        <w:t>, (2014).</w:t>
      </w:r>
    </w:p>
    <w:p w14:paraId="72794A85" w14:textId="77777777" w:rsidR="0016542D" w:rsidRDefault="0016542D" w:rsidP="0016542D">
      <w:pPr>
        <w:pStyle w:val="Bibliography"/>
      </w:pPr>
      <w:r>
        <w:t>16.</w:t>
      </w:r>
      <w:r>
        <w:tab/>
        <w:t xml:space="preserve">Dai, Q., Kelly, J. C. &amp; Elgowainy, A. </w:t>
      </w:r>
      <w:r>
        <w:rPr>
          <w:i/>
          <w:iCs/>
        </w:rPr>
        <w:t>Cobalt Life Cycle Analysis Update for the GREET Model</w:t>
      </w:r>
      <w:r>
        <w:t>. https://greet.anl.gov/files/update_cobalt (2018).</w:t>
      </w:r>
    </w:p>
    <w:p w14:paraId="322CD2FE" w14:textId="77777777" w:rsidR="0016542D" w:rsidRDefault="0016542D" w:rsidP="0016542D">
      <w:pPr>
        <w:pStyle w:val="Bibliography"/>
      </w:pPr>
      <w:r>
        <w:t>17.</w:t>
      </w:r>
      <w:r>
        <w:tab/>
        <w:t>Cobalt Institute. Process data set overview page - Cobalt Institute LCA Data Data set: Cobalt, refined (metal). https://lca-data.cobaltinstitute.org/showProcess.xhtml?uuid=071d5149-b91b-4f4d-b245-ad620f51e795&amp;version=00.00.000&amp;stock=default (2012).</w:t>
      </w:r>
    </w:p>
    <w:p w14:paraId="7CA72BB8" w14:textId="77777777" w:rsidR="0016542D" w:rsidRDefault="0016542D" w:rsidP="0016542D">
      <w:pPr>
        <w:pStyle w:val="Bibliography"/>
      </w:pPr>
      <w:r>
        <w:t>18.</w:t>
      </w:r>
      <w:r>
        <w:tab/>
        <w:t>Cobalt Institute. Process Data set: Crude cobalt hydroxide (Co(OH)2); mining, beneficiation, primary extraction, refining, transport; production mix, at plant; 30- 40% cobalt (en) - Cobalt Institute LCA Data. https://lca-data.cobaltinstitute.org/datasetdetail/process.xhtml?uuid=121e9553-953f-4e7d-9bb8-46b34a1531a3&amp;version=00.00.001&amp;stock=default (2019).</w:t>
      </w:r>
    </w:p>
    <w:p w14:paraId="34451CB1" w14:textId="77777777" w:rsidR="0016542D" w:rsidRDefault="0016542D" w:rsidP="0016542D">
      <w:pPr>
        <w:pStyle w:val="Bibliography"/>
      </w:pPr>
      <w:r>
        <w:t>19.</w:t>
      </w:r>
      <w:r>
        <w:tab/>
        <w:t>Cobalt Institute. Process data set overview page - Cobalt Institute LCA Data Cobalt, refined (metal); mining, beneficiation, primary extraction, refining, transport; production mix, at plant; 99.8% cobalt. https://lca-data.cobaltinstitute.org/showProcess.xhtml?uuid=935f46f9-1bd3-4412-84b8-09416221a0e3&amp;version=00.00.001&amp;stock=default (2019).</w:t>
      </w:r>
    </w:p>
    <w:p w14:paraId="5A6A8D0A" w14:textId="77777777" w:rsidR="0016542D" w:rsidRDefault="0016542D" w:rsidP="0016542D">
      <w:pPr>
        <w:pStyle w:val="Bibliography"/>
      </w:pPr>
      <w:r>
        <w:lastRenderedPageBreak/>
        <w:t>20.</w:t>
      </w:r>
      <w:r>
        <w:tab/>
        <w:t xml:space="preserve">Engels, P. </w:t>
      </w:r>
      <w:r>
        <w:rPr>
          <w:i/>
          <w:iCs/>
        </w:rPr>
        <w:t>et al.</w:t>
      </w:r>
      <w:r>
        <w:t xml:space="preserve"> Life cycle assessment of natural graphite production for lithium-ion battery anodes based on industrial primary data. </w:t>
      </w:r>
      <w:r>
        <w:rPr>
          <w:i/>
          <w:iCs/>
        </w:rPr>
        <w:t>J. Clean. Prod.</w:t>
      </w:r>
      <w:r>
        <w:t xml:space="preserve"> </w:t>
      </w:r>
      <w:r>
        <w:rPr>
          <w:b/>
          <w:bCs/>
        </w:rPr>
        <w:t>336</w:t>
      </w:r>
      <w:r>
        <w:t>, 130474 (2022).</w:t>
      </w:r>
    </w:p>
    <w:p w14:paraId="44B19133" w14:textId="77777777" w:rsidR="0016542D" w:rsidRDefault="0016542D" w:rsidP="0016542D">
      <w:pPr>
        <w:pStyle w:val="Bibliography"/>
      </w:pPr>
      <w:r>
        <w:t>21.</w:t>
      </w:r>
      <w:r>
        <w:tab/>
        <w:t xml:space="preserve">Farjana, S. H., Huda, N., Mahmud, M. A. P. &amp; Lang, C. A global life cycle assessment of manganese mining processes based on EcoInvent database. </w:t>
      </w:r>
      <w:r>
        <w:rPr>
          <w:i/>
          <w:iCs/>
        </w:rPr>
        <w:t>Sci. Total Environ.</w:t>
      </w:r>
      <w:r>
        <w:t xml:space="preserve"> </w:t>
      </w:r>
      <w:r>
        <w:rPr>
          <w:b/>
          <w:bCs/>
        </w:rPr>
        <w:t>688</w:t>
      </w:r>
      <w:r>
        <w:t>, 1102–1111 (2019).</w:t>
      </w:r>
    </w:p>
    <w:p w14:paraId="6B1C1FD3" w14:textId="77777777" w:rsidR="0016542D" w:rsidRDefault="0016542D" w:rsidP="0016542D">
      <w:pPr>
        <w:pStyle w:val="Bibliography"/>
      </w:pPr>
      <w:r>
        <w:t>22.</w:t>
      </w:r>
      <w:r>
        <w:tab/>
        <w:t xml:space="preserve">Lepidico Ltd. </w:t>
      </w:r>
      <w:r>
        <w:rPr>
          <w:i/>
          <w:iCs/>
        </w:rPr>
        <w:t>Karibib Mineral Resource Expanded</w:t>
      </w:r>
      <w:r>
        <w:t>. https://cdn.lepidico.com/production/LPD_210312_Karibib_Mineral_Resource_Expanded_5f229723d6.pdf#:~:text=concentrate%20containing%201.25,lithium%20muscovite (2021).</w:t>
      </w:r>
    </w:p>
    <w:p w14:paraId="30FDDABD" w14:textId="77777777" w:rsidR="0016542D" w:rsidRDefault="0016542D" w:rsidP="0016542D">
      <w:pPr>
        <w:pStyle w:val="Bibliography"/>
      </w:pPr>
      <w:r>
        <w:t>23.</w:t>
      </w:r>
      <w:r>
        <w:tab/>
        <w:t xml:space="preserve">O’Keefe, M. </w:t>
      </w:r>
      <w:r>
        <w:rPr>
          <w:i/>
          <w:iCs/>
        </w:rPr>
        <w:t>AVZ MINERALS LIMITED Developing a World Class Lithium Deposit with Near-Term Production</w:t>
      </w:r>
      <w:r>
        <w:t>. https://static1.squarespace.com/static/5934d2ae6b8f5beeb5ba23f3/t/622a9e7547c61c69c318265f/1646960251512/20220217+-+Cantor+Initial+Coverage.pdf#:~:text=using%20conventional%20blasting%2C%20truck%20and,Flowsheet%20Source%3A%20AVZ%20Minerals%20Ltd (2022).</w:t>
      </w:r>
    </w:p>
    <w:p w14:paraId="15BD4C85" w14:textId="77777777" w:rsidR="0016542D" w:rsidRDefault="0016542D" w:rsidP="0016542D">
      <w:pPr>
        <w:pStyle w:val="Bibliography"/>
      </w:pPr>
      <w:r>
        <w:t>24.</w:t>
      </w:r>
      <w:r>
        <w:tab/>
        <w:t xml:space="preserve">Prospect Resources. </w:t>
      </w:r>
      <w:r>
        <w:rPr>
          <w:i/>
          <w:iCs/>
        </w:rPr>
        <w:t>Lycopodium Completes Direct OFS for Arcadia Project</w:t>
      </w:r>
      <w:r>
        <w:t>. https://prospectresources.com.au/wp-content/uploads/2022/07/61068491.pdf#:~:text=Recovery%20Spodumene%20,27.0 (2021).</w:t>
      </w:r>
    </w:p>
    <w:p w14:paraId="1A2D4536" w14:textId="77777777" w:rsidR="0016542D" w:rsidRDefault="0016542D" w:rsidP="0016542D">
      <w:pPr>
        <w:pStyle w:val="Bibliography"/>
      </w:pPr>
      <w:r>
        <w:t>25.</w:t>
      </w:r>
      <w:r>
        <w:tab/>
        <w:t xml:space="preserve">Yin, R., Hu, S. &amp; Yang, Y. Life cycle inventories of the commonly used materials for lithium-ion batteries in China. </w:t>
      </w:r>
      <w:r>
        <w:rPr>
          <w:i/>
          <w:iCs/>
        </w:rPr>
        <w:t>J. Clean. Prod.</w:t>
      </w:r>
      <w:r>
        <w:t xml:space="preserve"> </w:t>
      </w:r>
      <w:r>
        <w:rPr>
          <w:b/>
          <w:bCs/>
        </w:rPr>
        <w:t>227</w:t>
      </w:r>
      <w:r>
        <w:t>, 960–971 (2019).</w:t>
      </w:r>
    </w:p>
    <w:p w14:paraId="55C4F99D" w14:textId="77777777" w:rsidR="0016542D" w:rsidRDefault="0016542D" w:rsidP="0016542D">
      <w:pPr>
        <w:pStyle w:val="Bibliography"/>
      </w:pPr>
      <w:r>
        <w:t>26.</w:t>
      </w:r>
      <w:r>
        <w:tab/>
        <w:t xml:space="preserve">Gao, T., Fan, N., Chen, W. &amp; Dai, T. Lithium extraction from hard rock lithium ores (spodumene, lepidolite, zinnwaldite, petalite): Technology, resources, environment and cost. </w:t>
      </w:r>
      <w:r>
        <w:rPr>
          <w:i/>
          <w:iCs/>
        </w:rPr>
        <w:t>China Geol.</w:t>
      </w:r>
      <w:r>
        <w:t xml:space="preserve"> </w:t>
      </w:r>
      <w:r>
        <w:rPr>
          <w:b/>
          <w:bCs/>
        </w:rPr>
        <w:t>6</w:t>
      </w:r>
      <w:r>
        <w:t>, 137–153 (2023).</w:t>
      </w:r>
    </w:p>
    <w:p w14:paraId="00A8E371" w14:textId="77777777" w:rsidR="0016542D" w:rsidRDefault="0016542D" w:rsidP="0016542D">
      <w:pPr>
        <w:pStyle w:val="Bibliography"/>
      </w:pPr>
      <w:r>
        <w:lastRenderedPageBreak/>
        <w:t>27.</w:t>
      </w:r>
      <w:r>
        <w:tab/>
        <w:t>Wang, H., Zhou, C., Liu, X., Yu, M. &amp; Peng, P. Life Cycle Environmental Impact and Carbon Footprint Analysis of Lithium Extraction from Lepidolite. Preprint at https://doi.org/10.2139/ssrn.5134159 (2025).</w:t>
      </w:r>
    </w:p>
    <w:p w14:paraId="6A2A0CA3" w14:textId="77777777" w:rsidR="0016542D" w:rsidRDefault="0016542D" w:rsidP="0016542D">
      <w:pPr>
        <w:pStyle w:val="Bibliography"/>
      </w:pPr>
      <w:r>
        <w:t>28.</w:t>
      </w:r>
      <w:r>
        <w:tab/>
        <w:t xml:space="preserve">Vieceli, N. </w:t>
      </w:r>
      <w:r>
        <w:rPr>
          <w:i/>
          <w:iCs/>
        </w:rPr>
        <w:t>et al.</w:t>
      </w:r>
      <w:r>
        <w:t xml:space="preserve"> Effects of mechanical activation on lithium extraction from a lepidolite ore concentrate. </w:t>
      </w:r>
      <w:r>
        <w:rPr>
          <w:i/>
          <w:iCs/>
        </w:rPr>
        <w:t>Miner. Eng.</w:t>
      </w:r>
      <w:r>
        <w:t xml:space="preserve"> </w:t>
      </w:r>
      <w:r>
        <w:rPr>
          <w:b/>
          <w:bCs/>
        </w:rPr>
        <w:t>102</w:t>
      </w:r>
      <w:r>
        <w:t>, 1–14 (2017).</w:t>
      </w:r>
    </w:p>
    <w:p w14:paraId="6A33B7F5" w14:textId="77777777" w:rsidR="0016542D" w:rsidRDefault="0016542D" w:rsidP="0016542D">
      <w:pPr>
        <w:pStyle w:val="Bibliography"/>
      </w:pPr>
      <w:r>
        <w:t>29.</w:t>
      </w:r>
      <w:r>
        <w:tab/>
        <w:t xml:space="preserve">Das, J., Kleiman, A., Rehman, A. U., Verma, R. &amp; Young, M. H. The Cobalt Supply Chain and Environmental Life Cycle Impacts of Lithium-Ion Battery Energy Storage Systems. </w:t>
      </w:r>
      <w:r>
        <w:rPr>
          <w:i/>
          <w:iCs/>
        </w:rPr>
        <w:t>Sustainability</w:t>
      </w:r>
      <w:r>
        <w:t xml:space="preserve"> </w:t>
      </w:r>
      <w:r>
        <w:rPr>
          <w:b/>
          <w:bCs/>
        </w:rPr>
        <w:t>16</w:t>
      </w:r>
      <w:r>
        <w:t>, 1910 (2024).</w:t>
      </w:r>
    </w:p>
    <w:p w14:paraId="5D252923" w14:textId="77777777" w:rsidR="0016542D" w:rsidRDefault="0016542D" w:rsidP="0016542D">
      <w:pPr>
        <w:pStyle w:val="Bibliography"/>
      </w:pPr>
      <w:r>
        <w:t>30.</w:t>
      </w:r>
      <w:r>
        <w:tab/>
        <w:t xml:space="preserve">Matchaya, G., Nhamo, L., Nhlengethwa, S. &amp; Nhemachena, C. An Overview of Water Markets in Southern Africa: An Option for Water Management in Times of Scarcity. </w:t>
      </w:r>
      <w:r>
        <w:rPr>
          <w:i/>
          <w:iCs/>
        </w:rPr>
        <w:t>Water</w:t>
      </w:r>
      <w:r>
        <w:t xml:space="preserve"> </w:t>
      </w:r>
      <w:r>
        <w:rPr>
          <w:b/>
          <w:bCs/>
        </w:rPr>
        <w:t>11</w:t>
      </w:r>
      <w:r>
        <w:t>, 1006 (2019).</w:t>
      </w:r>
    </w:p>
    <w:p w14:paraId="75A81C92" w14:textId="77777777" w:rsidR="0016542D" w:rsidRDefault="0016542D" w:rsidP="0016542D">
      <w:pPr>
        <w:pStyle w:val="Bibliography"/>
      </w:pPr>
      <w:r>
        <w:t>31.</w:t>
      </w:r>
      <w:r>
        <w:tab/>
        <w:t xml:space="preserve">Botha, Z. The Mining Industry and the Energy Crisis - What is the role we are playing? </w:t>
      </w:r>
      <w:r>
        <w:rPr>
          <w:i/>
          <w:iCs/>
        </w:rPr>
        <w:t>J. South. Afr. Inst. Min. Metall.</w:t>
      </w:r>
      <w:r>
        <w:t xml:space="preserve"> </w:t>
      </w:r>
      <w:r>
        <w:rPr>
          <w:b/>
          <w:bCs/>
        </w:rPr>
        <w:t>122</w:t>
      </w:r>
      <w:r>
        <w:t>, v–vi (2022).</w:t>
      </w:r>
    </w:p>
    <w:p w14:paraId="4D5D0CB7" w14:textId="77777777" w:rsidR="0016542D" w:rsidRDefault="0016542D" w:rsidP="0016542D">
      <w:pPr>
        <w:pStyle w:val="Bibliography"/>
      </w:pPr>
      <w:r>
        <w:t>32.</w:t>
      </w:r>
      <w:r>
        <w:tab/>
        <w:t>Benchmark Minerals Intelligence. Lithium Total Cost Model Q3 2024. (2024).</w:t>
      </w:r>
    </w:p>
    <w:p w14:paraId="05BDB61B" w14:textId="77777777" w:rsidR="0016542D" w:rsidRDefault="0016542D" w:rsidP="0016542D">
      <w:pPr>
        <w:pStyle w:val="Bibliography"/>
      </w:pPr>
      <w:r>
        <w:t>33.</w:t>
      </w:r>
      <w:r>
        <w:tab/>
        <w:t xml:space="preserve">de Bruin, J. K. </w:t>
      </w:r>
      <w:r>
        <w:rPr>
          <w:i/>
          <w:iCs/>
        </w:rPr>
        <w:t>MOLO FEASIBILITY STUDY</w:t>
      </w:r>
      <w:r>
        <w:t>. https://www.nextsourcematerials.com/wp-content/uploads/2022/07/NEX3001_Other-Reports_Molo-Feasibility-Study-Technical-Report.pdf (2017).</w:t>
      </w:r>
    </w:p>
    <w:p w14:paraId="59FFD351" w14:textId="77777777" w:rsidR="0016542D" w:rsidRDefault="0016542D" w:rsidP="0016542D">
      <w:pPr>
        <w:pStyle w:val="Bibliography"/>
      </w:pPr>
      <w:r>
        <w:t>34.</w:t>
      </w:r>
      <w:r>
        <w:tab/>
        <w:t xml:space="preserve">Giyani Metals Corp. </w:t>
      </w:r>
      <w:r>
        <w:rPr>
          <w:i/>
          <w:iCs/>
        </w:rPr>
        <w:t>K.Hill Battery-Grade Manganese Project Feasibility Study Effective Date: 14 Th November 2022 National Instrument 43-101 Technical Report</w:t>
      </w:r>
      <w:r>
        <w:t>. https://giyanimetals.com/downloads/Technical-Reports/Giyani%20Metals%20NI43-101%20FS%20-%202022-12-08.pdf (2022).</w:t>
      </w:r>
    </w:p>
    <w:p w14:paraId="465ABC64" w14:textId="77777777" w:rsidR="0016542D" w:rsidRDefault="0016542D" w:rsidP="0016542D">
      <w:pPr>
        <w:pStyle w:val="Bibliography"/>
      </w:pPr>
      <w:r>
        <w:t>35.</w:t>
      </w:r>
      <w:r>
        <w:tab/>
        <w:t xml:space="preserve">Christophers, B. Fossilised Capital: Price and Profit in the Energy Transition. </w:t>
      </w:r>
      <w:r>
        <w:rPr>
          <w:i/>
          <w:iCs/>
        </w:rPr>
        <w:t>New Polit. Econ.</w:t>
      </w:r>
      <w:r>
        <w:t xml:space="preserve"> </w:t>
      </w:r>
      <w:r>
        <w:rPr>
          <w:b/>
          <w:bCs/>
        </w:rPr>
        <w:t>27</w:t>
      </w:r>
      <w:r>
        <w:t>, 146–159 (2022).</w:t>
      </w:r>
    </w:p>
    <w:p w14:paraId="21FA2CBC" w14:textId="77777777" w:rsidR="0016542D" w:rsidRDefault="0016542D" w:rsidP="0016542D">
      <w:pPr>
        <w:pStyle w:val="Bibliography"/>
      </w:pPr>
      <w:r>
        <w:t>36.</w:t>
      </w:r>
      <w:r>
        <w:tab/>
        <w:t xml:space="preserve">IMF. </w:t>
      </w:r>
      <w:r>
        <w:rPr>
          <w:i/>
          <w:iCs/>
        </w:rPr>
        <w:t>World Economic Outlook, October 2024: Policy Pivot, Rising Threats</w:t>
      </w:r>
      <w:r>
        <w:t>. https://elibrary.imf.org/openurl?genre=book&amp;isbn=9798400281150&amp;cid=551244-com-dsp-crossref (2024) doi:10.5089/9798400281150.081.</w:t>
      </w:r>
    </w:p>
    <w:p w14:paraId="1592EB10" w14:textId="77777777" w:rsidR="0016542D" w:rsidRDefault="0016542D" w:rsidP="0016542D">
      <w:pPr>
        <w:pStyle w:val="Bibliography"/>
      </w:pPr>
      <w:r>
        <w:lastRenderedPageBreak/>
        <w:t>37.</w:t>
      </w:r>
      <w:r>
        <w:tab/>
        <w:t xml:space="preserve">Daly, A., Humphreys, D., Raffo, J. D. &amp; Valacchi, G. Global Challenges for Innovation in the Mining Industries. in </w:t>
      </w:r>
      <w:r>
        <w:rPr>
          <w:i/>
          <w:iCs/>
        </w:rPr>
        <w:t>Global Challenges for Innovation in Mining Industries</w:t>
      </w:r>
      <w:r>
        <w:t xml:space="preserve"> (eds Daly, A., Humphreys, D., Raffo, J. &amp; Valacchi, G.) 1–24 (Cambridge University Press, 2022). doi:10.1017/9781108904209.002.</w:t>
      </w:r>
    </w:p>
    <w:p w14:paraId="40507238" w14:textId="77777777" w:rsidR="0016542D" w:rsidRDefault="0016542D" w:rsidP="0016542D">
      <w:pPr>
        <w:pStyle w:val="Bibliography"/>
      </w:pPr>
      <w:r>
        <w:t>38.</w:t>
      </w:r>
      <w:r>
        <w:tab/>
        <w:t xml:space="preserve">Andersen, M. &amp; Noailly, J. Environmental Regulations in the Mining Sector and Their Effect on Technological Innovation. in </w:t>
      </w:r>
      <w:r>
        <w:rPr>
          <w:i/>
          <w:iCs/>
        </w:rPr>
        <w:t>Global Challenges for Innovation in Mining Industries</w:t>
      </w:r>
      <w:r>
        <w:t xml:space="preserve"> (eds Daly, A., Humphreys, D., Valacchi, G. &amp; Raffo, J.) 142–171 (Cambridge University Press, Cambridge, 2022). doi:10.1017/9781108904209.007.</w:t>
      </w:r>
    </w:p>
    <w:p w14:paraId="693AAB07" w14:textId="77777777" w:rsidR="0016542D" w:rsidRDefault="0016542D" w:rsidP="0016542D">
      <w:pPr>
        <w:pStyle w:val="Bibliography"/>
      </w:pPr>
      <w:r>
        <w:t>39.</w:t>
      </w:r>
      <w:r>
        <w:tab/>
        <w:t xml:space="preserve">Dechezleprêtre, A. &amp; Sato, M. The Impacts of Environmental Regulations on Competitiveness | Review of Environmental Economics and Policy: Vol 11, No 2. </w:t>
      </w:r>
      <w:r>
        <w:rPr>
          <w:b/>
          <w:bCs/>
        </w:rPr>
        <w:t>11</w:t>
      </w:r>
      <w:r>
        <w:t>, (2017).</w:t>
      </w:r>
    </w:p>
    <w:p w14:paraId="0AC01FD6" w14:textId="77777777" w:rsidR="0016542D" w:rsidRPr="0016542D" w:rsidRDefault="0016542D" w:rsidP="0016542D">
      <w:pPr>
        <w:pStyle w:val="Bibliography"/>
        <w:rPr>
          <w:lang w:val="es-419"/>
        </w:rPr>
      </w:pPr>
      <w:r>
        <w:t>40.</w:t>
      </w:r>
      <w:r>
        <w:tab/>
        <w:t xml:space="preserve">The London Metal Exchange. Reports and data | London Metal Exchange. </w:t>
      </w:r>
      <w:r w:rsidRPr="0016542D">
        <w:rPr>
          <w:i/>
          <w:iCs/>
          <w:lang w:val="es-419"/>
        </w:rPr>
        <w:t>Lme</w:t>
      </w:r>
      <w:r w:rsidRPr="0016542D">
        <w:rPr>
          <w:lang w:val="es-419"/>
        </w:rPr>
        <w:t xml:space="preserve"> https://www.lme.com/Market-data/Reports-and-data (2025).</w:t>
      </w:r>
    </w:p>
    <w:p w14:paraId="079204A0" w14:textId="77777777" w:rsidR="0016542D" w:rsidRDefault="0016542D" w:rsidP="0016542D">
      <w:pPr>
        <w:pStyle w:val="Bibliography"/>
      </w:pPr>
      <w:r>
        <w:t>41.</w:t>
      </w:r>
      <w:r>
        <w:tab/>
        <w:t>Trade Metal. Copper Ore Concentrate South Africa. https://trade-metal.com/copper-ore-concentrate-p69475.html (2025).</w:t>
      </w:r>
    </w:p>
    <w:p w14:paraId="07C8243A" w14:textId="77777777" w:rsidR="0016542D" w:rsidRDefault="0016542D" w:rsidP="0016542D">
      <w:pPr>
        <w:pStyle w:val="Bibliography"/>
      </w:pPr>
      <w:r>
        <w:t>42.</w:t>
      </w:r>
      <w:r>
        <w:tab/>
        <w:t>Index Mundi. Copper, grade A cathode - Monthly Price - Commodity Prices - Price Charts, Data, and News - IndexMundi. https://www.indexmundi.com/commodities/?commodity=copper&amp;months=60 (2025).</w:t>
      </w:r>
    </w:p>
    <w:p w14:paraId="24227E18" w14:textId="77777777" w:rsidR="0016542D" w:rsidRDefault="0016542D" w:rsidP="0016542D">
      <w:pPr>
        <w:pStyle w:val="Bibliography"/>
      </w:pPr>
      <w:r>
        <w:t>43.</w:t>
      </w:r>
      <w:r>
        <w:tab/>
        <w:t>Chemanalyst. Global Chemical and Petrochemicals, Specialty Chemicals, Elastomer and Rubber, Fertilizer and Feedstock - Latest Chemical Prices, News and Market Analysis | ChemAnalyst. https://www.chemanalyst.com/ (2025).</w:t>
      </w:r>
    </w:p>
    <w:p w14:paraId="5A4C1AF6" w14:textId="77777777" w:rsidR="0016542D" w:rsidRDefault="0016542D" w:rsidP="0016542D">
      <w:pPr>
        <w:pStyle w:val="Bibliography"/>
      </w:pPr>
      <w:r>
        <w:t>44.</w:t>
      </w:r>
      <w:r>
        <w:tab/>
        <w:t>Index box. Price for Cobalt Ores and Concentrates in India - 2025 - Charts and Tables. https://www.indexbox.io/search/price-for-cobalt-ores-and-concentrates-india/ (2025).</w:t>
      </w:r>
    </w:p>
    <w:p w14:paraId="34B32AB5" w14:textId="77777777" w:rsidR="0016542D" w:rsidRDefault="0016542D" w:rsidP="0016542D">
      <w:pPr>
        <w:pStyle w:val="Bibliography"/>
      </w:pPr>
      <w:r>
        <w:t>45.</w:t>
      </w:r>
      <w:r>
        <w:tab/>
        <w:t>Trade metal. Selling cobalt concentrate, purity 30 % Turkey 7000 USD id:85867. https://trade-metal.com/selling-cobalt-concentrate-purity-30-p85867.html (2025).</w:t>
      </w:r>
    </w:p>
    <w:p w14:paraId="587A2557" w14:textId="77777777" w:rsidR="0016542D" w:rsidRDefault="0016542D" w:rsidP="0016542D">
      <w:pPr>
        <w:pStyle w:val="Bibliography"/>
      </w:pPr>
      <w:r>
        <w:lastRenderedPageBreak/>
        <w:t>46.</w:t>
      </w:r>
      <w:r>
        <w:tab/>
        <w:t>Index box. Price for Cobalt Oxides and Hydroxides in Angola - 2025. https://www.indexbox.io/search/price-for-cobalt-oxides-and-hydroxides-angola/ (2025).</w:t>
      </w:r>
    </w:p>
    <w:p w14:paraId="60F74E4C" w14:textId="77777777" w:rsidR="0016542D" w:rsidRDefault="0016542D" w:rsidP="0016542D">
      <w:pPr>
        <w:pStyle w:val="Bibliography"/>
      </w:pPr>
      <w:r>
        <w:t>47.</w:t>
      </w:r>
      <w:r>
        <w:tab/>
        <w:t>SMM. Cobalt Sulphate price today | Historical Cobalt Sulphate Price Charts | SMM Metal Market. https://www.metal.com/Chemical-Compound/201102250381 (2025).</w:t>
      </w:r>
    </w:p>
    <w:p w14:paraId="0A83B5B2" w14:textId="77777777" w:rsidR="0016542D" w:rsidRPr="0016542D" w:rsidRDefault="0016542D" w:rsidP="0016542D">
      <w:pPr>
        <w:pStyle w:val="Bibliography"/>
        <w:rPr>
          <w:lang w:val="de-DE"/>
        </w:rPr>
      </w:pPr>
      <w:r>
        <w:t>48.</w:t>
      </w:r>
      <w:r>
        <w:tab/>
        <w:t xml:space="preserve">SMM. [SMM Notice] SMM Battery Grade Cobalt Sulphate Price Index Officially Online! </w:t>
      </w:r>
      <w:r w:rsidRPr="0016542D">
        <w:rPr>
          <w:lang w:val="de-DE"/>
        </w:rPr>
        <w:t>| SMM. https://news.metal.com/newscontent/102045694/%5bSMM-Notice%5d-SMM-Battery-Grade-Cobalt-Sulphate-Price-Index-Officially-Online (2025).</w:t>
      </w:r>
    </w:p>
    <w:p w14:paraId="79DE1958" w14:textId="77777777" w:rsidR="0016542D" w:rsidRDefault="0016542D" w:rsidP="0016542D">
      <w:pPr>
        <w:pStyle w:val="Bibliography"/>
      </w:pPr>
      <w:r>
        <w:t>49.</w:t>
      </w:r>
      <w:r>
        <w:tab/>
        <w:t xml:space="preserve">Cobalt Institute. </w:t>
      </w:r>
      <w:r>
        <w:rPr>
          <w:i/>
          <w:iCs/>
        </w:rPr>
        <w:t>Cobalt Market Report 2022</w:t>
      </w:r>
      <w:r>
        <w:t>. https://www.cobaltinstitute.org/wp-content/uploads/2023/05/Cobalt-Market-Report-2022_final-1.pdf (2022).</w:t>
      </w:r>
    </w:p>
    <w:p w14:paraId="587F4133" w14:textId="77777777" w:rsidR="0016542D" w:rsidRDefault="0016542D" w:rsidP="0016542D">
      <w:pPr>
        <w:pStyle w:val="Bibliography"/>
      </w:pPr>
      <w:r>
        <w:t>50.</w:t>
      </w:r>
      <w:r>
        <w:tab/>
        <w:t>Index box. Price for Manganese Ore and Concentrate in Angola - 2025 - Charts and Tables - IndexBox. https://www.indexbox.io/search/price-for-manganese-ore-and-concentrate-angola/ (2022).</w:t>
      </w:r>
    </w:p>
    <w:p w14:paraId="24F521AA" w14:textId="77777777" w:rsidR="0016542D" w:rsidRDefault="0016542D" w:rsidP="0016542D">
      <w:pPr>
        <w:pStyle w:val="Bibliography"/>
      </w:pPr>
      <w:r>
        <w:t>51.</w:t>
      </w:r>
      <w:r>
        <w:tab/>
        <w:t>Index box. Kenya’s Manganese Ores and Concentrates Market Report 2025 - Prices, Size, Forecast, and Companies. https://www.indexbox.io/store/kenya-manganese-ores-and-concentrates-market-analysis-forecast-size-trends-and-insights/ (2021).</w:t>
      </w:r>
    </w:p>
    <w:p w14:paraId="6B192BF4" w14:textId="77777777" w:rsidR="0016542D" w:rsidRDefault="0016542D" w:rsidP="0016542D">
      <w:pPr>
        <w:pStyle w:val="Bibliography"/>
      </w:pPr>
      <w:r>
        <w:t>52.</w:t>
      </w:r>
      <w:r>
        <w:tab/>
        <w:t>Index box. Price for Manganese Ore and Concentrate in South Africa - 2025 - Charts and Tables - IndexBox. https://www.indexbox.io/search/price-for-manganese-ore-and-concentrate-south-africa/ (2023).</w:t>
      </w:r>
    </w:p>
    <w:p w14:paraId="3FB82E7F" w14:textId="77777777" w:rsidR="0016542D" w:rsidRDefault="0016542D" w:rsidP="0016542D">
      <w:pPr>
        <w:pStyle w:val="Bibliography"/>
      </w:pPr>
      <w:r>
        <w:t>53.</w:t>
      </w:r>
      <w:r>
        <w:tab/>
        <w:t>Index box. Price for Manganese Ore and Concentrate in Germany - 2025 - Charts and Tables - IndexBox. https://www.indexbox.io/search/price-for-manganese-ore-and-concentrate-germany/ (2023).</w:t>
      </w:r>
    </w:p>
    <w:p w14:paraId="17DC858C" w14:textId="77777777" w:rsidR="0016542D" w:rsidRDefault="0016542D" w:rsidP="0016542D">
      <w:pPr>
        <w:pStyle w:val="Bibliography"/>
      </w:pPr>
      <w:r>
        <w:t>54.</w:t>
      </w:r>
      <w:r>
        <w:tab/>
        <w:t>Index box. Price for Manganese Ore and Concentrate in Brazil - 2025 - Charts and Tables - IndexBox. https://www.indexbox.io/search/price-for-manganese-ore-and-concentrate-brazil/ (2023).</w:t>
      </w:r>
    </w:p>
    <w:p w14:paraId="01FC034F" w14:textId="77777777" w:rsidR="0016542D" w:rsidRDefault="0016542D" w:rsidP="0016542D">
      <w:pPr>
        <w:pStyle w:val="Bibliography"/>
      </w:pPr>
      <w:r>
        <w:lastRenderedPageBreak/>
        <w:t>55.</w:t>
      </w:r>
      <w:r>
        <w:tab/>
        <w:t>Index box. Price for Manganese Ore and Concentrate in Belgium - 2025 - Charts and Tables - IndexBox. https://www.indexbox.io/search/price-for-manganese-ore-and-concentrate-belgium/ (2023).</w:t>
      </w:r>
    </w:p>
    <w:p w14:paraId="3C17B10F" w14:textId="77777777" w:rsidR="0016542D" w:rsidRDefault="0016542D" w:rsidP="0016542D">
      <w:pPr>
        <w:pStyle w:val="Bibliography"/>
      </w:pPr>
      <w:r>
        <w:t>56.</w:t>
      </w:r>
      <w:r>
        <w:tab/>
        <w:t>Index box. Manganese Oxides Price in the UK - 2025 - Charts and Tables - IndexBox. https://www.indexbox.io/search/manganese-oxides-price-the-uk/ (2023).</w:t>
      </w:r>
    </w:p>
    <w:p w14:paraId="73F0719A" w14:textId="77777777" w:rsidR="0016542D" w:rsidRDefault="0016542D" w:rsidP="0016542D">
      <w:pPr>
        <w:pStyle w:val="Bibliography"/>
      </w:pPr>
      <w:r>
        <w:t>57.</w:t>
      </w:r>
      <w:r>
        <w:tab/>
        <w:t>Index box. Oxides and Hydroxides Price in Angola - 2025 - Charts and Tables - IndexBox. https://www.indexbox.io/search/oxides-and-hydroxides-price-angola/ (2022).</w:t>
      </w:r>
    </w:p>
    <w:p w14:paraId="6A431A07" w14:textId="77777777" w:rsidR="0016542D" w:rsidRDefault="0016542D" w:rsidP="0016542D">
      <w:pPr>
        <w:pStyle w:val="Bibliography"/>
      </w:pPr>
      <w:r>
        <w:t>58.</w:t>
      </w:r>
      <w:r>
        <w:tab/>
        <w:t>Index box. Manganese Oxides Price in Kenya - 2025 - Charts and Tables - IndexBox. https://www.indexbox.io/search/manganese-oxides-price-kenya/ (2021).</w:t>
      </w:r>
    </w:p>
    <w:p w14:paraId="2B4A6CC4" w14:textId="77777777" w:rsidR="0016542D" w:rsidRDefault="0016542D" w:rsidP="0016542D">
      <w:pPr>
        <w:pStyle w:val="Bibliography"/>
      </w:pPr>
      <w:r>
        <w:t>59.</w:t>
      </w:r>
      <w:r>
        <w:tab/>
        <w:t>Index box. Manganese Dioxide Price in South Africa - 2025 - Charts and Tables - IndexBox. https://www.indexbox.io/search/manganese-dioxide-price-south-africa/ (2023).</w:t>
      </w:r>
    </w:p>
    <w:p w14:paraId="613B5618" w14:textId="77777777" w:rsidR="0016542D" w:rsidRDefault="0016542D" w:rsidP="0016542D">
      <w:pPr>
        <w:pStyle w:val="Bibliography"/>
      </w:pPr>
      <w:r>
        <w:t>60.</w:t>
      </w:r>
      <w:r>
        <w:tab/>
        <w:t>Index box. Manganese Oxides Price in Uganda - 2025 - Charts and Tables - IndexBox. https://www.indexbox.io/search/manganese-oxides-price-uganda/ (2022).</w:t>
      </w:r>
    </w:p>
    <w:p w14:paraId="3C62CE14" w14:textId="77777777" w:rsidR="0016542D" w:rsidRDefault="0016542D" w:rsidP="0016542D">
      <w:pPr>
        <w:pStyle w:val="Bibliography"/>
      </w:pPr>
      <w:r>
        <w:t>61.</w:t>
      </w:r>
      <w:r>
        <w:tab/>
        <w:t>Index box. Manganese Oxides Price in Tanzania - 2025 - Charts and Tables - IndexBox. https://www.indexbox.io/search/manganese-oxides-price-tanzania/ (2022).</w:t>
      </w:r>
    </w:p>
    <w:p w14:paraId="3588BCAB" w14:textId="77777777" w:rsidR="0016542D" w:rsidRDefault="0016542D" w:rsidP="0016542D">
      <w:pPr>
        <w:pStyle w:val="Bibliography"/>
      </w:pPr>
      <w:r>
        <w:t>62.</w:t>
      </w:r>
      <w:r>
        <w:tab/>
        <w:t>SMM. SMM Battery-Grade Manganese Sulphate Index price today | Historical price charts of SMM Battery-Grade Manganese Sulphate Index - Shanghai Metal Market. https://www.metal.com/en/prices/202208300001 (2025).</w:t>
      </w:r>
    </w:p>
    <w:p w14:paraId="59BAB912" w14:textId="77777777" w:rsidR="0016542D" w:rsidRDefault="0016542D" w:rsidP="0016542D">
      <w:pPr>
        <w:pStyle w:val="Bibliography"/>
      </w:pPr>
      <w:r>
        <w:t>63.</w:t>
      </w:r>
      <w:r>
        <w:tab/>
        <w:t>SMM. Battery-Grade Manganese Sulphate (Ex-Factory Price) price today | Historical price charts of Battery-Grade Manganese Sulphate (Ex-Factory Price) - Shanghai Metal Market. https://www.metal.com/en/prices/201805300001 (2025).</w:t>
      </w:r>
    </w:p>
    <w:p w14:paraId="6B5AD648" w14:textId="77777777" w:rsidR="0016542D" w:rsidRDefault="0016542D" w:rsidP="0016542D">
      <w:pPr>
        <w:pStyle w:val="Bibliography"/>
      </w:pPr>
      <w:r>
        <w:t>64.</w:t>
      </w:r>
      <w:r>
        <w:tab/>
        <w:t>Asian Metal. Manganese Historical Prices, Graph – Asian Metal. https://www.asianmetal.com/Manganese-Price-Index/ (2025).</w:t>
      </w:r>
    </w:p>
    <w:p w14:paraId="16DB73D5" w14:textId="77777777" w:rsidR="0016542D" w:rsidRDefault="0016542D" w:rsidP="0016542D">
      <w:pPr>
        <w:pStyle w:val="Bibliography"/>
      </w:pPr>
      <w:r>
        <w:t>65.</w:t>
      </w:r>
      <w:r>
        <w:tab/>
        <w:t>Trading economics. Manganese Ore - Price - Chart - Historical Data - News. https://tradingeconomics.com/commodity/manganese (2025).</w:t>
      </w:r>
    </w:p>
    <w:p w14:paraId="7BF7669A" w14:textId="77777777" w:rsidR="0016542D" w:rsidRDefault="0016542D" w:rsidP="0016542D">
      <w:pPr>
        <w:pStyle w:val="Bibliography"/>
      </w:pPr>
      <w:r>
        <w:lastRenderedPageBreak/>
        <w:t>66.</w:t>
      </w:r>
      <w:r>
        <w:tab/>
        <w:t>Index box. Graphite Price in Angola - 2025 - Charts and Tables - IndexBox. https://www.indexbox.io/search/graphite-price-angola/ (2022).</w:t>
      </w:r>
    </w:p>
    <w:p w14:paraId="5D2812F0" w14:textId="77777777" w:rsidR="0016542D" w:rsidRDefault="0016542D" w:rsidP="0016542D">
      <w:pPr>
        <w:pStyle w:val="Bibliography"/>
      </w:pPr>
      <w:r>
        <w:t>67.</w:t>
      </w:r>
      <w:r>
        <w:tab/>
        <w:t>Index box. Graphite Price in Tanzania - 2025 - Charts and Tables - IndexBox. https://www.indexbox.io/search/graphite-price-tanzania/ (2022).</w:t>
      </w:r>
    </w:p>
    <w:p w14:paraId="656B57BA" w14:textId="77777777" w:rsidR="0016542D" w:rsidRDefault="0016542D" w:rsidP="0016542D">
      <w:pPr>
        <w:pStyle w:val="Bibliography"/>
      </w:pPr>
      <w:r>
        <w:t>68.</w:t>
      </w:r>
      <w:r>
        <w:tab/>
        <w:t>Index box. Graphite Price in Kenya - 2025 - Charts and Tables - IndexBox. https://www.indexbox.io/search/graphite-price-kenya/ (2022).</w:t>
      </w:r>
    </w:p>
    <w:p w14:paraId="621172E7" w14:textId="77777777" w:rsidR="0016542D" w:rsidRDefault="0016542D" w:rsidP="0016542D">
      <w:pPr>
        <w:pStyle w:val="Bibliography"/>
      </w:pPr>
      <w:r>
        <w:t>69.</w:t>
      </w:r>
      <w:r>
        <w:tab/>
        <w:t xml:space="preserve">Mike. Natural graphite price index. </w:t>
      </w:r>
      <w:r>
        <w:rPr>
          <w:i/>
          <w:iCs/>
        </w:rPr>
        <w:t>businessanalytiq</w:t>
      </w:r>
      <w:r>
        <w:t xml:space="preserve"> https://businessanalytiq.com/procurementanalytics/index/graphite-price-index/ (2021).</w:t>
      </w:r>
    </w:p>
    <w:p w14:paraId="5271FD2E" w14:textId="77777777" w:rsidR="0016542D" w:rsidRDefault="0016542D" w:rsidP="0016542D">
      <w:pPr>
        <w:pStyle w:val="Bibliography"/>
      </w:pPr>
      <w:r>
        <w:t>70.</w:t>
      </w:r>
      <w:r>
        <w:tab/>
        <w:t>Index box. Graphite Price in South Africa - 2025 - Charts and Tables - IndexBox. https://www.indexbox.io/search/graphite-price-south-africa/ (2023).</w:t>
      </w:r>
    </w:p>
    <w:p w14:paraId="7A0AB1D0" w14:textId="77777777" w:rsidR="0016542D" w:rsidRDefault="0016542D" w:rsidP="0016542D">
      <w:pPr>
        <w:pStyle w:val="Bibliography"/>
      </w:pPr>
      <w:r>
        <w:t>71.</w:t>
      </w:r>
      <w:r>
        <w:tab/>
        <w:t>Spherical Graphite Historical Prices, Graph – Asian Metal. https://www.asianmetal.com/Spherical-Graphite-Price/ (2025).</w:t>
      </w:r>
    </w:p>
    <w:p w14:paraId="07546C2E" w14:textId="77777777" w:rsidR="0016542D" w:rsidRDefault="0016542D" w:rsidP="0016542D">
      <w:pPr>
        <w:pStyle w:val="Bibliography"/>
      </w:pPr>
      <w:r>
        <w:t>72.</w:t>
      </w:r>
      <w:r>
        <w:tab/>
        <w:t>Hayes, T. Graphite for batteries. (2016).</w:t>
      </w:r>
    </w:p>
    <w:p w14:paraId="4CC6DEAD" w14:textId="77777777" w:rsidR="0016542D" w:rsidRDefault="0016542D" w:rsidP="0016542D">
      <w:pPr>
        <w:pStyle w:val="Bibliography"/>
      </w:pPr>
      <w:r>
        <w:t>73.</w:t>
      </w:r>
      <w:r>
        <w:tab/>
        <w:t xml:space="preserve">Westwater resources. Graphite Market. </w:t>
      </w:r>
      <w:r>
        <w:rPr>
          <w:i/>
          <w:iCs/>
        </w:rPr>
        <w:t>Westwater Resources</w:t>
      </w:r>
      <w:r>
        <w:t xml:space="preserve"> https://westwaterresources.net/minerals-portfolio/graphite-market/ (2024).</w:t>
      </w:r>
    </w:p>
    <w:p w14:paraId="04597502" w14:textId="77777777" w:rsidR="0016542D" w:rsidRDefault="0016542D" w:rsidP="0016542D">
      <w:pPr>
        <w:pStyle w:val="Bibliography"/>
      </w:pPr>
      <w:r>
        <w:t>74.</w:t>
      </w:r>
      <w:r>
        <w:tab/>
        <w:t>SMM. Battery-Grade Lithium Metal (Weekly) price today | Historical Battery-Grade Lithium Metal (Weekly) Price Charts | SMM Metal Market. https://www.metal.com/Lithium/202304250002 (2024).</w:t>
      </w:r>
    </w:p>
    <w:p w14:paraId="76EA7F40" w14:textId="77777777" w:rsidR="0016542D" w:rsidRDefault="0016542D" w:rsidP="0016542D">
      <w:pPr>
        <w:pStyle w:val="Bibliography"/>
      </w:pPr>
      <w:r>
        <w:t>75.</w:t>
      </w:r>
      <w:r>
        <w:tab/>
        <w:t>SMM. Industrial-Grade Lithium Metal (Weekly) price today | Historical Industrial-Grade Lithium Metal (Weekly) Price Charts | SMM Metal Market. https://www.metal.com/Lithium/202304250001 (2025).</w:t>
      </w:r>
    </w:p>
    <w:p w14:paraId="1D20BCED" w14:textId="77777777" w:rsidR="0016542D" w:rsidRDefault="0016542D" w:rsidP="0016542D">
      <w:pPr>
        <w:pStyle w:val="Bibliography"/>
      </w:pPr>
      <w:r>
        <w:t>76.</w:t>
      </w:r>
      <w:r>
        <w:tab/>
        <w:t xml:space="preserve">Orangi, S. </w:t>
      </w:r>
      <w:r>
        <w:rPr>
          <w:i/>
          <w:iCs/>
        </w:rPr>
        <w:t>et al.</w:t>
      </w:r>
      <w:r>
        <w:t xml:space="preserve"> Trajectories for Lithium-Ion Battery Cost Production: Can Metal Prices Hamper the Deployment of Lithium-Ion Batteries? </w:t>
      </w:r>
      <w:r>
        <w:rPr>
          <w:i/>
          <w:iCs/>
        </w:rPr>
        <w:t>Batter. Supercaps</w:t>
      </w:r>
      <w:r>
        <w:t xml:space="preserve"> </w:t>
      </w:r>
      <w:r>
        <w:rPr>
          <w:b/>
          <w:bCs/>
        </w:rPr>
        <w:t>6</w:t>
      </w:r>
      <w:r>
        <w:t>, e202300346 (2023).</w:t>
      </w:r>
    </w:p>
    <w:p w14:paraId="0BFCA18C" w14:textId="77777777" w:rsidR="0016542D" w:rsidRDefault="0016542D" w:rsidP="0016542D">
      <w:pPr>
        <w:pStyle w:val="Bibliography"/>
      </w:pPr>
      <w:r>
        <w:lastRenderedPageBreak/>
        <w:t>77.</w:t>
      </w:r>
      <w:r>
        <w:tab/>
        <w:t>SMM. Industrial-Grade Lithium Carbonate price today | Historical Industrial-Grade Lithium Carbonate Price Charts | SMM Metal Market. https://www.metal.com/Lithium/201905160001 (2025).</w:t>
      </w:r>
    </w:p>
    <w:p w14:paraId="75CE3C57" w14:textId="77777777" w:rsidR="0016542D" w:rsidRDefault="0016542D" w:rsidP="0016542D">
      <w:pPr>
        <w:pStyle w:val="Bibliography"/>
      </w:pPr>
      <w:r>
        <w:t>78.</w:t>
      </w:r>
      <w:r>
        <w:tab/>
        <w:t>Index box. Lithium Carbonate Price in Uganda - 2025 - Charts and Tables - IndexBox. https://www.indexbox.io/search/lithium-carbonate-price-uganda/ (2022).</w:t>
      </w:r>
    </w:p>
    <w:p w14:paraId="03EDD690" w14:textId="77777777" w:rsidR="0016542D" w:rsidRDefault="0016542D" w:rsidP="0016542D">
      <w:pPr>
        <w:pStyle w:val="Bibliography"/>
      </w:pPr>
      <w:r>
        <w:t>79.</w:t>
      </w:r>
      <w:r>
        <w:tab/>
        <w:t>Index box. Lithium Carbonate Price in Tanzania - 2025 - Charts and Tables - IndexBox. https://www.indexbox.io/search/lithium-carbonate-price-tanzania/ (2022).</w:t>
      </w:r>
    </w:p>
    <w:p w14:paraId="564CF6A7" w14:textId="77777777" w:rsidR="0016542D" w:rsidRDefault="0016542D" w:rsidP="0016542D">
      <w:pPr>
        <w:pStyle w:val="Bibliography"/>
      </w:pPr>
      <w:r>
        <w:t>80.</w:t>
      </w:r>
      <w:r>
        <w:tab/>
        <w:t>Index box. Lithium Carbonate Price in South Africa - 2025 - Charts and Tables - IndexBox. https://www.indexbox.io/search/lithium-carbonate-price-south-africa/ (2023).</w:t>
      </w:r>
    </w:p>
    <w:p w14:paraId="619F422D" w14:textId="77777777" w:rsidR="0016542D" w:rsidRDefault="0016542D" w:rsidP="0016542D">
      <w:pPr>
        <w:pStyle w:val="Bibliography"/>
      </w:pPr>
      <w:r>
        <w:t>81.</w:t>
      </w:r>
      <w:r>
        <w:tab/>
        <w:t>SMM. SMM Battery-Grade Lithium Hydroxide Index price today | Historical SMM Battery-Grade Lithium Hydroxide Index Price Charts | SMM Metal Market. https://www.metal.com/Lithium/202212140004 (2025).</w:t>
      </w:r>
    </w:p>
    <w:p w14:paraId="35BAAC90" w14:textId="77777777" w:rsidR="0016542D" w:rsidRDefault="0016542D" w:rsidP="0016542D">
      <w:pPr>
        <w:pStyle w:val="Bibliography"/>
      </w:pPr>
      <w:r>
        <w:t>82.</w:t>
      </w:r>
      <w:r>
        <w:tab/>
        <w:t>SMM. Battery-Grade Lithium Hydroxide (Micro Powder) price today | Historical price charts of Battery-Grade Lithium Hydroxide (Micro Powder) - Shanghai Metal Market. https://www.metal.com/en/prices/202106020003 (2025).</w:t>
      </w:r>
    </w:p>
    <w:p w14:paraId="557ADF96" w14:textId="77777777" w:rsidR="0016542D" w:rsidRDefault="0016542D" w:rsidP="0016542D">
      <w:pPr>
        <w:pStyle w:val="Bibliography"/>
      </w:pPr>
      <w:r>
        <w:t>83.</w:t>
      </w:r>
      <w:r>
        <w:tab/>
        <w:t xml:space="preserve">Ramadhani, S., Eltivia, N. &amp; Riwajanti, N. I. Stock Price Forecasting with the Weight Moving Average Method in Technology Sector Companies on the Indonesia Stock Exchange (IDX). </w:t>
      </w:r>
      <w:r>
        <w:rPr>
          <w:i/>
          <w:iCs/>
        </w:rPr>
        <w:t>J. Appl. Bus. Tax. Econ. Res.</w:t>
      </w:r>
      <w:r>
        <w:t xml:space="preserve"> </w:t>
      </w:r>
      <w:r>
        <w:rPr>
          <w:b/>
          <w:bCs/>
        </w:rPr>
        <w:t>3</w:t>
      </w:r>
      <w:r>
        <w:t>, 1–13 (2023).</w:t>
      </w:r>
    </w:p>
    <w:p w14:paraId="65E05E13" w14:textId="77777777" w:rsidR="0016542D" w:rsidRDefault="0016542D" w:rsidP="0016542D">
      <w:pPr>
        <w:pStyle w:val="Bibliography"/>
      </w:pPr>
      <w:r>
        <w:t>84.</w:t>
      </w:r>
      <w:r>
        <w:tab/>
        <w:t xml:space="preserve">Sadorsky, P. Wind energy for sustainable development: Driving factors and future outlook. </w:t>
      </w:r>
      <w:r>
        <w:rPr>
          <w:i/>
          <w:iCs/>
        </w:rPr>
        <w:t>J. Clean. Prod.</w:t>
      </w:r>
      <w:r>
        <w:t xml:space="preserve"> </w:t>
      </w:r>
      <w:r>
        <w:rPr>
          <w:b/>
          <w:bCs/>
        </w:rPr>
        <w:t>289</w:t>
      </w:r>
      <w:r>
        <w:t>, 125779 (2021).</w:t>
      </w:r>
    </w:p>
    <w:p w14:paraId="6B85DDE9" w14:textId="77777777" w:rsidR="0016542D" w:rsidRDefault="0016542D" w:rsidP="0016542D">
      <w:pPr>
        <w:pStyle w:val="Bibliography"/>
      </w:pPr>
      <w:r>
        <w:t>85.</w:t>
      </w:r>
      <w:r>
        <w:tab/>
        <w:t xml:space="preserve">Nguyen, R. T., Eggert, R. G., Severson, M. H. &amp; Anderson, C. G. Global Electrification of Vehicles and Intertwined Material Supply Chains of Cobalt, Copper and Nickel. </w:t>
      </w:r>
      <w:r>
        <w:rPr>
          <w:i/>
          <w:iCs/>
        </w:rPr>
        <w:t>Resour. Conserv. Recycl.</w:t>
      </w:r>
      <w:r>
        <w:t xml:space="preserve"> </w:t>
      </w:r>
      <w:r>
        <w:rPr>
          <w:b/>
          <w:bCs/>
        </w:rPr>
        <w:t>167</w:t>
      </w:r>
      <w:r>
        <w:t>, 105198 (2021).</w:t>
      </w:r>
    </w:p>
    <w:p w14:paraId="099F19C7" w14:textId="77777777" w:rsidR="0016542D" w:rsidRDefault="0016542D" w:rsidP="0016542D">
      <w:pPr>
        <w:pStyle w:val="Bibliography"/>
      </w:pPr>
      <w:r>
        <w:t>86.</w:t>
      </w:r>
      <w:r>
        <w:tab/>
        <w:t xml:space="preserve">Fu, X. </w:t>
      </w:r>
      <w:r>
        <w:rPr>
          <w:i/>
          <w:iCs/>
        </w:rPr>
        <w:t>et al.</w:t>
      </w:r>
      <w:r>
        <w:t xml:space="preserve"> Perspectives on Cobalt Supply through 2030 in the Face of Changing Demand. </w:t>
      </w:r>
      <w:r>
        <w:rPr>
          <w:i/>
          <w:iCs/>
        </w:rPr>
        <w:t>Environ. Sci. Technol.</w:t>
      </w:r>
      <w:r>
        <w:t xml:space="preserve"> </w:t>
      </w:r>
      <w:r>
        <w:rPr>
          <w:b/>
          <w:bCs/>
        </w:rPr>
        <w:t>54</w:t>
      </w:r>
      <w:r>
        <w:t>, 2985–2993 (2020).</w:t>
      </w:r>
    </w:p>
    <w:p w14:paraId="37AC8A96" w14:textId="77777777" w:rsidR="0016542D" w:rsidRDefault="0016542D" w:rsidP="0016542D">
      <w:pPr>
        <w:pStyle w:val="Bibliography"/>
      </w:pPr>
      <w:r>
        <w:lastRenderedPageBreak/>
        <w:t>87.</w:t>
      </w:r>
      <w:r>
        <w:tab/>
        <w:t xml:space="preserve">Ciacci, L. </w:t>
      </w:r>
      <w:r>
        <w:rPr>
          <w:i/>
          <w:iCs/>
        </w:rPr>
        <w:t>et al.</w:t>
      </w:r>
      <w:r>
        <w:t xml:space="preserve"> Material system analysis: Characterization of flows, stocks, and performance indicators of manganese, nickel, and natural graphite in the EU, 2012–2016. </w:t>
      </w:r>
      <w:r>
        <w:rPr>
          <w:i/>
          <w:iCs/>
        </w:rPr>
        <w:t>J. Ind. Ecol.</w:t>
      </w:r>
      <w:r>
        <w:t xml:space="preserve"> </w:t>
      </w:r>
      <w:r>
        <w:rPr>
          <w:b/>
          <w:bCs/>
        </w:rPr>
        <w:t>26</w:t>
      </w:r>
      <w:r>
        <w:t>, 1247–1260 (2022).</w:t>
      </w:r>
    </w:p>
    <w:p w14:paraId="714D652C" w14:textId="77777777" w:rsidR="0016542D" w:rsidRDefault="0016542D" w:rsidP="0016542D">
      <w:pPr>
        <w:pStyle w:val="Bibliography"/>
      </w:pPr>
      <w:r>
        <w:t>88.</w:t>
      </w:r>
      <w:r>
        <w:tab/>
        <w:t xml:space="preserve">Miatto, A., Reck, B. K., West, J. &amp; Graedel, T. E. The rise and fall of American lithium. </w:t>
      </w:r>
      <w:r>
        <w:rPr>
          <w:i/>
          <w:iCs/>
        </w:rPr>
        <w:t>Resour. Conserv. Recycl.</w:t>
      </w:r>
      <w:r>
        <w:t xml:space="preserve"> </w:t>
      </w:r>
      <w:r>
        <w:rPr>
          <w:b/>
          <w:bCs/>
        </w:rPr>
        <w:t>162</w:t>
      </w:r>
      <w:r>
        <w:t>, 105034 (2020).</w:t>
      </w:r>
    </w:p>
    <w:p w14:paraId="412F2A2B" w14:textId="77777777" w:rsidR="0016542D" w:rsidRDefault="0016542D" w:rsidP="0016542D">
      <w:pPr>
        <w:pStyle w:val="Bibliography"/>
      </w:pPr>
      <w:r>
        <w:t>89.</w:t>
      </w:r>
      <w:r>
        <w:tab/>
        <w:t>Ramji, A. Releasing the Pressure: Graphite Value Chains and Implications for Supply Diversification. https://doi.org/10.7922/G2GQ6W38 (2024) doi:10.7922/G2GQ6W38.</w:t>
      </w:r>
    </w:p>
    <w:p w14:paraId="49717DBA" w14:textId="77777777" w:rsidR="0016542D" w:rsidRDefault="0016542D" w:rsidP="0016542D">
      <w:pPr>
        <w:pStyle w:val="Bibliography"/>
      </w:pPr>
      <w:r>
        <w:t>90.</w:t>
      </w:r>
      <w:r>
        <w:tab/>
        <w:t xml:space="preserve">Boafo, J., Obodai, J., Stemn, E. &amp; Nkrumah, P. N. The race for critical minerals in Africa: A blessing or another resource curse? </w:t>
      </w:r>
      <w:r>
        <w:rPr>
          <w:i/>
          <w:iCs/>
        </w:rPr>
        <w:t>Resour. Policy</w:t>
      </w:r>
      <w:r>
        <w:t xml:space="preserve"> </w:t>
      </w:r>
      <w:r>
        <w:rPr>
          <w:b/>
          <w:bCs/>
        </w:rPr>
        <w:t>93</w:t>
      </w:r>
      <w:r>
        <w:t>, 105046 (2024).</w:t>
      </w:r>
    </w:p>
    <w:p w14:paraId="21F114B3" w14:textId="77777777" w:rsidR="0016542D" w:rsidRDefault="0016542D" w:rsidP="0016542D">
      <w:pPr>
        <w:pStyle w:val="Bibliography"/>
      </w:pPr>
      <w:r>
        <w:t>91.</w:t>
      </w:r>
      <w:r>
        <w:tab/>
        <w:t xml:space="preserve">Gaulier, G. &amp; Zignago, S. BACI: International Trade Database at the Product-Level (the 1994-2007 Version). </w:t>
      </w:r>
      <w:r>
        <w:rPr>
          <w:i/>
          <w:iCs/>
        </w:rPr>
        <w:t>SSRN Electron. J.</w:t>
      </w:r>
      <w:r>
        <w:t xml:space="preserve"> https://doi.org/10.2139/ssrn.1994500 (2010) doi:10.2139/ssrn.1994500.</w:t>
      </w:r>
    </w:p>
    <w:p w14:paraId="38B3DF7C" w14:textId="77777777" w:rsidR="0016542D" w:rsidRPr="0016542D" w:rsidRDefault="0016542D" w:rsidP="0016542D">
      <w:pPr>
        <w:pStyle w:val="Bibliography"/>
        <w:rPr>
          <w:lang w:val="it-IT"/>
        </w:rPr>
      </w:pPr>
      <w:r>
        <w:t>92.</w:t>
      </w:r>
      <w:r>
        <w:tab/>
        <w:t xml:space="preserve">United Nations. </w:t>
      </w:r>
      <w:r w:rsidRPr="0016542D">
        <w:rPr>
          <w:lang w:val="it-IT"/>
        </w:rPr>
        <w:t>UN Comtrade. https://comtradeplus.un.org/ (2024).</w:t>
      </w:r>
    </w:p>
    <w:p w14:paraId="67916452" w14:textId="77777777" w:rsidR="0016542D" w:rsidRDefault="0016542D" w:rsidP="0016542D">
      <w:pPr>
        <w:pStyle w:val="Bibliography"/>
      </w:pPr>
      <w:r w:rsidRPr="0016542D">
        <w:rPr>
          <w:lang w:val="it-IT"/>
        </w:rPr>
        <w:t>93.</w:t>
      </w:r>
      <w:r w:rsidRPr="0016542D">
        <w:rPr>
          <w:lang w:val="it-IT"/>
        </w:rPr>
        <w:tab/>
        <w:t xml:space="preserve">WCO. </w:t>
      </w:r>
      <w:r>
        <w:t>World Customs Organization - Harmonized System. https://www.wcoomd.org/en/topics/nomenclature/overview/what-is-the-harmonized-system.aspx (2024).</w:t>
      </w:r>
    </w:p>
    <w:p w14:paraId="4FC29A8B" w14:textId="77777777" w:rsidR="0016542D" w:rsidRDefault="0016542D" w:rsidP="0016542D">
      <w:pPr>
        <w:pStyle w:val="Bibliography"/>
      </w:pPr>
      <w:r>
        <w:t>94.</w:t>
      </w:r>
      <w:r>
        <w:tab/>
        <w:t>Matthews, D. Global Value Chains: Cobalt in Lithium-ion Batteries for Electric Vehicles. https://www.usitc.gov/publications/332/working_papers/id_wp_cobalt_final_052120-compliant.pdf (2020).</w:t>
      </w:r>
    </w:p>
    <w:p w14:paraId="77AFB0E4" w14:textId="77777777" w:rsidR="0016542D" w:rsidRDefault="0016542D" w:rsidP="0016542D">
      <w:pPr>
        <w:pStyle w:val="Bibliography"/>
      </w:pPr>
      <w:r>
        <w:t>95.</w:t>
      </w:r>
      <w:r>
        <w:tab/>
        <w:t>UNCTAD. Technical note on critical minerals: Supply chains, trade flows and value addition. https://unctad.org/system/files/official-document/ditcmisc2023d1_en_0.pdf (2023).</w:t>
      </w:r>
    </w:p>
    <w:p w14:paraId="2A221856" w14:textId="77777777" w:rsidR="0016542D" w:rsidRDefault="0016542D" w:rsidP="0016542D">
      <w:pPr>
        <w:pStyle w:val="Bibliography"/>
      </w:pPr>
      <w:r>
        <w:t>96.</w:t>
      </w:r>
      <w:r>
        <w:tab/>
        <w:t xml:space="preserve">Northey, S., Mohr, S., Mudd, G. M., Weng, Z. &amp; Giurco, D. Modelling future copper ore grade decline based on a detailed assessment of copper resources and mining. </w:t>
      </w:r>
      <w:r>
        <w:rPr>
          <w:i/>
          <w:iCs/>
        </w:rPr>
        <w:t>Resour. Conserv. Recycl.</w:t>
      </w:r>
      <w:r>
        <w:t xml:space="preserve"> </w:t>
      </w:r>
      <w:r>
        <w:rPr>
          <w:b/>
          <w:bCs/>
        </w:rPr>
        <w:t>83</w:t>
      </w:r>
      <w:r>
        <w:t>, 190–201 (2014).</w:t>
      </w:r>
    </w:p>
    <w:p w14:paraId="790C584E" w14:textId="77777777" w:rsidR="0016542D" w:rsidRDefault="0016542D" w:rsidP="0016542D">
      <w:pPr>
        <w:pStyle w:val="Bibliography"/>
      </w:pPr>
      <w:r>
        <w:lastRenderedPageBreak/>
        <w:t>97.</w:t>
      </w:r>
      <w:r>
        <w:tab/>
        <w:t xml:space="preserve">Schlesinger, M. E., King, M. J., Sole, K. C. &amp; Davenport, W. G. Chapter 22 - Costs of Copper Production. in </w:t>
      </w:r>
      <w:r>
        <w:rPr>
          <w:i/>
          <w:iCs/>
        </w:rPr>
        <w:t>Extractive Metallurgy of Copper (Fifth Edition)</w:t>
      </w:r>
      <w:r>
        <w:t xml:space="preserve"> (eds Schlesinger, M. E., King, M. J., Sole, K. C. &amp; Davenport, W. G.) 427–439 (Elsevier, Oxford, 2011). doi:10.1016/B978-0-08-096789-9.10022-8.</w:t>
      </w:r>
    </w:p>
    <w:p w14:paraId="69A4A9F6" w14:textId="77777777" w:rsidR="0016542D" w:rsidRDefault="0016542D" w:rsidP="0016542D">
      <w:pPr>
        <w:pStyle w:val="Bibliography"/>
      </w:pPr>
      <w:r>
        <w:t>98.</w:t>
      </w:r>
      <w:r>
        <w:tab/>
        <w:t xml:space="preserve">Bekkers, E., Corong, E., Métivier, J. &amp; Orlov, D. How will global trade patterns evolve in the long run? </w:t>
      </w:r>
      <w:r>
        <w:rPr>
          <w:i/>
          <w:iCs/>
        </w:rPr>
        <w:t>World Econ.</w:t>
      </w:r>
      <w:r>
        <w:t xml:space="preserve"> </w:t>
      </w:r>
      <w:r>
        <w:rPr>
          <w:b/>
          <w:bCs/>
        </w:rPr>
        <w:t>47</w:t>
      </w:r>
      <w:r>
        <w:t>, 3578–3617 (2024).</w:t>
      </w:r>
    </w:p>
    <w:p w14:paraId="6D19257F" w14:textId="77777777" w:rsidR="0016542D" w:rsidRDefault="0016542D" w:rsidP="0016542D">
      <w:pPr>
        <w:pStyle w:val="Bibliography"/>
      </w:pPr>
      <w:r>
        <w:t>99.</w:t>
      </w:r>
      <w:r>
        <w:tab/>
        <w:t xml:space="preserve">Zhang, Y., Dong, Z., Liu, S., Yang, Q. &amp; Jia, Y. Prediction of the Potential Trade Relationship of Lithium-Ion Battery’s Main Element Raw Material Minerals Combined with the Local Characteristics of the Trade Network. </w:t>
      </w:r>
      <w:r>
        <w:rPr>
          <w:i/>
          <w:iCs/>
        </w:rPr>
        <w:t>Int. J. Energy Res.</w:t>
      </w:r>
      <w:r>
        <w:t xml:space="preserve"> </w:t>
      </w:r>
      <w:r>
        <w:rPr>
          <w:b/>
          <w:bCs/>
        </w:rPr>
        <w:t>2023</w:t>
      </w:r>
      <w:r>
        <w:t>, 2280027 (2023).</w:t>
      </w:r>
    </w:p>
    <w:p w14:paraId="78C05EE3" w14:textId="77777777" w:rsidR="0016542D" w:rsidRDefault="0016542D" w:rsidP="0016542D">
      <w:pPr>
        <w:pStyle w:val="Bibliography"/>
      </w:pPr>
      <w:r>
        <w:t>100.</w:t>
      </w:r>
      <w:r>
        <w:tab/>
        <w:t xml:space="preserve">Schipper, B. W. </w:t>
      </w:r>
      <w:r>
        <w:rPr>
          <w:i/>
          <w:iCs/>
        </w:rPr>
        <w:t>et al.</w:t>
      </w:r>
      <w:r>
        <w:t xml:space="preserve"> Estimating global copper demand until 2100 with regression and stock dynamics. </w:t>
      </w:r>
      <w:r>
        <w:rPr>
          <w:i/>
          <w:iCs/>
        </w:rPr>
        <w:t>Resour. Conserv. Recycl.</w:t>
      </w:r>
      <w:r>
        <w:t xml:space="preserve"> </w:t>
      </w:r>
      <w:r>
        <w:rPr>
          <w:b/>
          <w:bCs/>
        </w:rPr>
        <w:t>132</w:t>
      </w:r>
      <w:r>
        <w:t>, 28–36 (2018).</w:t>
      </w:r>
    </w:p>
    <w:p w14:paraId="07051E15" w14:textId="77777777" w:rsidR="0016542D" w:rsidRDefault="0016542D" w:rsidP="0016542D">
      <w:pPr>
        <w:pStyle w:val="Bibliography"/>
      </w:pPr>
      <w:r>
        <w:t>101.</w:t>
      </w:r>
      <w:r>
        <w:tab/>
        <w:t xml:space="preserve">USGS. </w:t>
      </w:r>
      <w:r>
        <w:rPr>
          <w:i/>
          <w:iCs/>
        </w:rPr>
        <w:t>Mineral Commodity Summaries: Copper</w:t>
      </w:r>
      <w:r>
        <w:t>. https://pubs.usgs.gov/periodicals/mcs2023/mcs2023-copper.pdf (2023).</w:t>
      </w:r>
    </w:p>
    <w:p w14:paraId="6A5FC998" w14:textId="77777777" w:rsidR="0016542D" w:rsidRDefault="0016542D" w:rsidP="0016542D">
      <w:pPr>
        <w:pStyle w:val="Bibliography"/>
      </w:pPr>
      <w:r>
        <w:t>102.</w:t>
      </w:r>
      <w:r>
        <w:tab/>
        <w:t xml:space="preserve">IRENA. </w:t>
      </w:r>
      <w:r>
        <w:rPr>
          <w:i/>
          <w:iCs/>
        </w:rPr>
        <w:t>Critical Materials: Batteries for Electric Vehicles</w:t>
      </w:r>
      <w:r>
        <w:t>. https://www.irena.org/-/media/Files/IRENA/Agency/Publication/2024/Sep/IRENA_Critical_materials_Batteries_for_EVs_2024.pdf (2024).</w:t>
      </w:r>
    </w:p>
    <w:p w14:paraId="77C5AE5F" w14:textId="77777777" w:rsidR="0016542D" w:rsidRDefault="0016542D" w:rsidP="0016542D">
      <w:pPr>
        <w:pStyle w:val="Bibliography"/>
      </w:pPr>
      <w:r>
        <w:t>103.</w:t>
      </w:r>
      <w:r>
        <w:tab/>
        <w:t xml:space="preserve">WITS. Sulphates of copper exports by country 2018. </w:t>
      </w:r>
      <w:r>
        <w:rPr>
          <w:i/>
          <w:iCs/>
        </w:rPr>
        <w:t>World Integrated Trade Solutions</w:t>
      </w:r>
      <w:r>
        <w:t xml:space="preserve"> https://wits.worldbank.org/trade/comtrade/en/country/ALL/year/2018/tradeflow/Exports/partner/WLD/product/283325 (2024).</w:t>
      </w:r>
    </w:p>
    <w:p w14:paraId="75BF70C3" w14:textId="77777777" w:rsidR="0016542D" w:rsidRDefault="0016542D" w:rsidP="0016542D">
      <w:pPr>
        <w:pStyle w:val="Bibliography"/>
      </w:pPr>
      <w:r>
        <w:t>104.</w:t>
      </w:r>
      <w:r>
        <w:tab/>
        <w:t>UNDESA. World Urbanization Prospects The 2018 Revision. https://population.un.org/wup/publications/Files/WUP2018-Report.pdf (2019).</w:t>
      </w:r>
    </w:p>
    <w:p w14:paraId="4C55EB97" w14:textId="77777777" w:rsidR="0016542D" w:rsidRDefault="0016542D" w:rsidP="0016542D">
      <w:pPr>
        <w:pStyle w:val="Bibliography"/>
      </w:pPr>
      <w:r>
        <w:t>105.</w:t>
      </w:r>
      <w:r>
        <w:tab/>
        <w:t xml:space="preserve">Verschuur, J., Koks, E. E. &amp; Hall, J. W. Ports’ criticality in international trade and global supply-chains. </w:t>
      </w:r>
      <w:r>
        <w:rPr>
          <w:i/>
          <w:iCs/>
        </w:rPr>
        <w:t>Nat. Commun.</w:t>
      </w:r>
      <w:r>
        <w:t xml:space="preserve"> </w:t>
      </w:r>
      <w:r>
        <w:rPr>
          <w:b/>
          <w:bCs/>
        </w:rPr>
        <w:t>13</w:t>
      </w:r>
      <w:r>
        <w:t>, 4351 (2022).</w:t>
      </w:r>
    </w:p>
    <w:p w14:paraId="173BD859" w14:textId="77777777" w:rsidR="0016542D" w:rsidRDefault="0016542D" w:rsidP="0016542D">
      <w:pPr>
        <w:pStyle w:val="Bibliography"/>
      </w:pPr>
      <w:r>
        <w:t>106.</w:t>
      </w:r>
      <w:r>
        <w:tab/>
        <w:t xml:space="preserve">Haldar, S. K. Chapter 12 - Mineral Processing. in </w:t>
      </w:r>
      <w:r>
        <w:rPr>
          <w:i/>
          <w:iCs/>
        </w:rPr>
        <w:t>Mineral Exploration</w:t>
      </w:r>
      <w:r>
        <w:t xml:space="preserve"> (ed. Haldar, S. K.) 223–250 (Elsevier, Boston, 2013). doi:10.1016/B978-0-12-416005-7.00012-X.</w:t>
      </w:r>
    </w:p>
    <w:p w14:paraId="6DE795A9" w14:textId="77777777" w:rsidR="0016542D" w:rsidRDefault="0016542D" w:rsidP="0016542D">
      <w:pPr>
        <w:pStyle w:val="Bibliography"/>
      </w:pPr>
      <w:r>
        <w:lastRenderedPageBreak/>
        <w:t>107.</w:t>
      </w:r>
      <w:r>
        <w:tab/>
        <w:t>Glencore. Cobalt. https://www.glencore.com/what-we-do/metals-and-minerals/cobalt (2025).</w:t>
      </w:r>
    </w:p>
    <w:p w14:paraId="68657199" w14:textId="77777777" w:rsidR="0016542D" w:rsidRDefault="0016542D" w:rsidP="0016542D">
      <w:pPr>
        <w:pStyle w:val="Bibliography"/>
      </w:pPr>
      <w:r>
        <w:t>108.</w:t>
      </w:r>
      <w:r>
        <w:tab/>
        <w:t xml:space="preserve">Neustaedter, E. R., Kemna, R. F., Padilla, A. J. &amp; Otarod, D. </w:t>
      </w:r>
      <w:r>
        <w:rPr>
          <w:i/>
          <w:iCs/>
        </w:rPr>
        <w:t>Geospatial PDF Map of the Compilation of GIS Data for the Mineral Industries and Related Infrastructure of Africa</w:t>
      </w:r>
      <w:r>
        <w:t xml:space="preserve">. </w:t>
      </w:r>
      <w:r>
        <w:rPr>
          <w:i/>
          <w:iCs/>
        </w:rPr>
        <w:t>Open-File Report</w:t>
      </w:r>
      <w:r>
        <w:t xml:space="preserve"> https://pubs.usgs.gov/publication/ofr20241041 (2024) doi:10.3133/ofr20241041.</w:t>
      </w:r>
    </w:p>
    <w:p w14:paraId="16C3E881" w14:textId="77777777" w:rsidR="0016542D" w:rsidRDefault="0016542D" w:rsidP="0016542D">
      <w:pPr>
        <w:pStyle w:val="Bibliography"/>
      </w:pPr>
      <w:r>
        <w:t>109.</w:t>
      </w:r>
      <w:r>
        <w:tab/>
        <w:t xml:space="preserve">Open Street Map. Open Street Map. </w:t>
      </w:r>
      <w:r>
        <w:rPr>
          <w:i/>
          <w:iCs/>
        </w:rPr>
        <w:t>OpenStreetMap</w:t>
      </w:r>
      <w:r>
        <w:t xml:space="preserve"> https://www.openstreetmap.org/ (2024).</w:t>
      </w:r>
    </w:p>
    <w:p w14:paraId="74BB623E" w14:textId="77777777" w:rsidR="0016542D" w:rsidRPr="0016542D" w:rsidRDefault="0016542D" w:rsidP="0016542D">
      <w:pPr>
        <w:pStyle w:val="Bibliography"/>
        <w:rPr>
          <w:lang w:val="it-IT"/>
        </w:rPr>
      </w:pPr>
      <w:r>
        <w:t>110.</w:t>
      </w:r>
      <w:r>
        <w:tab/>
        <w:t xml:space="preserve">Thorn, J. P. R., Bignoli, D. J., Mwangi, B. &amp; Marchant, R. A. The African Development Corridors Database: a new tool to assess the impacts of infrastructure investments. </w:t>
      </w:r>
      <w:r w:rsidRPr="0016542D">
        <w:rPr>
          <w:i/>
          <w:iCs/>
          <w:lang w:val="it-IT"/>
        </w:rPr>
        <w:t>Sci. Data</w:t>
      </w:r>
      <w:r w:rsidRPr="0016542D">
        <w:rPr>
          <w:lang w:val="it-IT"/>
        </w:rPr>
        <w:t xml:space="preserve"> </w:t>
      </w:r>
      <w:r w:rsidRPr="0016542D">
        <w:rPr>
          <w:b/>
          <w:bCs/>
          <w:lang w:val="it-IT"/>
        </w:rPr>
        <w:t>9</w:t>
      </w:r>
      <w:r w:rsidRPr="0016542D">
        <w:rPr>
          <w:lang w:val="it-IT"/>
        </w:rPr>
        <w:t>, 679 (2022).</w:t>
      </w:r>
    </w:p>
    <w:p w14:paraId="53B4EC5E" w14:textId="77777777" w:rsidR="0016542D" w:rsidRPr="0016542D" w:rsidRDefault="0016542D" w:rsidP="0016542D">
      <w:pPr>
        <w:pStyle w:val="Bibliography"/>
        <w:rPr>
          <w:lang w:val="it-IT"/>
        </w:rPr>
      </w:pPr>
      <w:r w:rsidRPr="0016542D">
        <w:rPr>
          <w:lang w:val="it-IT"/>
        </w:rPr>
        <w:t>111.</w:t>
      </w:r>
      <w:r w:rsidRPr="0016542D">
        <w:rPr>
          <w:lang w:val="it-IT"/>
        </w:rPr>
        <w:tab/>
        <w:t>Barabási, A.-L. Network Science. https://eravilaipnada.wordpress.com/wp-content/uploads/2016/01/barabasi-2012.pdf (2012).</w:t>
      </w:r>
    </w:p>
    <w:p w14:paraId="5EDCB820" w14:textId="77777777" w:rsidR="0016542D" w:rsidRDefault="0016542D" w:rsidP="0016542D">
      <w:pPr>
        <w:pStyle w:val="Bibliography"/>
      </w:pPr>
      <w:r>
        <w:t>112.</w:t>
      </w:r>
      <w:r>
        <w:tab/>
        <w:t xml:space="preserve">Barnes, J. A. &amp; Harary, F. Graph theory in network analysis. </w:t>
      </w:r>
      <w:r>
        <w:rPr>
          <w:i/>
          <w:iCs/>
        </w:rPr>
        <w:t>Soc. Netw.</w:t>
      </w:r>
      <w:r>
        <w:t xml:space="preserve"> </w:t>
      </w:r>
      <w:r>
        <w:rPr>
          <w:b/>
          <w:bCs/>
        </w:rPr>
        <w:t>5</w:t>
      </w:r>
      <w:r>
        <w:t>, 235–244 (1983).</w:t>
      </w:r>
    </w:p>
    <w:p w14:paraId="549085A1" w14:textId="77777777" w:rsidR="0016542D" w:rsidRDefault="0016542D" w:rsidP="0016542D">
      <w:pPr>
        <w:pStyle w:val="Bibliography"/>
      </w:pPr>
      <w:r>
        <w:t>113.</w:t>
      </w:r>
      <w:r>
        <w:tab/>
        <w:t xml:space="preserve">Martinetz, T. &amp; Schulten, K. Topology representing networks. </w:t>
      </w:r>
      <w:r>
        <w:rPr>
          <w:i/>
          <w:iCs/>
        </w:rPr>
        <w:t>Neural Netw.</w:t>
      </w:r>
      <w:r>
        <w:t xml:space="preserve"> </w:t>
      </w:r>
      <w:r>
        <w:rPr>
          <w:b/>
          <w:bCs/>
        </w:rPr>
        <w:t>7</w:t>
      </w:r>
      <w:r>
        <w:t>, 507–522 (1994).</w:t>
      </w:r>
    </w:p>
    <w:p w14:paraId="476361CE" w14:textId="77777777" w:rsidR="0016542D" w:rsidRDefault="0016542D" w:rsidP="0016542D">
      <w:pPr>
        <w:pStyle w:val="Bibliography"/>
      </w:pPr>
      <w:r>
        <w:t>114.</w:t>
      </w:r>
      <w:r>
        <w:tab/>
        <w:t>Russell, T., Majid, A., Thomas, F., Koks, E. &amp; Montant, J. tomalrussell/snkit: v1.9.0. Zenodo https://doi.org/10.5281/zenodo.3379650 (2023).</w:t>
      </w:r>
    </w:p>
    <w:p w14:paraId="4AAC0064" w14:textId="77777777" w:rsidR="0016542D" w:rsidRDefault="0016542D" w:rsidP="0016542D">
      <w:pPr>
        <w:pStyle w:val="Bibliography"/>
      </w:pPr>
      <w:r>
        <w:t>115.</w:t>
      </w:r>
      <w:r>
        <w:tab/>
        <w:t>Thomas, F., Russell, T., Lestang, T. &amp; maxrob27. nismod/open-gira: v0.3.0. Zenodo https://doi.org/10.5281/zenodo.13760165 (2024).</w:t>
      </w:r>
    </w:p>
    <w:p w14:paraId="4397CD07" w14:textId="77777777" w:rsidR="0016542D" w:rsidRDefault="0016542D" w:rsidP="0016542D">
      <w:pPr>
        <w:pStyle w:val="Bibliography"/>
      </w:pPr>
      <w:r>
        <w:t>116.</w:t>
      </w:r>
      <w:r>
        <w:tab/>
        <w:t>Verschuur, J., Vittis, Y., Obersteiner, M. &amp; Hall, J. Cost drivers of international grains and oilseeds trade. Preprint at https://doi.org/10.21203/rs.3.rs-3289367/v1 (2023).</w:t>
      </w:r>
    </w:p>
    <w:p w14:paraId="31A15112" w14:textId="77777777" w:rsidR="0016542D" w:rsidRDefault="0016542D" w:rsidP="0016542D">
      <w:pPr>
        <w:pStyle w:val="Bibliography"/>
      </w:pPr>
      <w:r>
        <w:t>117.</w:t>
      </w:r>
      <w:r>
        <w:tab/>
        <w:t xml:space="preserve">Brand, C., Tran, M. &amp; Anable, J. The UK transport carbon model: An integrated life cycle approach to explore low carbon futures. </w:t>
      </w:r>
      <w:r>
        <w:rPr>
          <w:i/>
          <w:iCs/>
        </w:rPr>
        <w:t>Energy Policy</w:t>
      </w:r>
      <w:r>
        <w:t xml:space="preserve"> </w:t>
      </w:r>
      <w:r>
        <w:rPr>
          <w:b/>
          <w:bCs/>
        </w:rPr>
        <w:t>41</w:t>
      </w:r>
      <w:r>
        <w:t>, 107–124 (2012).</w:t>
      </w:r>
    </w:p>
    <w:p w14:paraId="14AFFCFA" w14:textId="77777777" w:rsidR="0016542D" w:rsidRDefault="0016542D" w:rsidP="0016542D">
      <w:pPr>
        <w:pStyle w:val="Bibliography"/>
      </w:pPr>
      <w:r>
        <w:t>118.</w:t>
      </w:r>
      <w:r>
        <w:tab/>
        <w:t xml:space="preserve">Anable, J., Brand, C., Tran, M. &amp; Eyre, N. Modelling transport energy demand: A socio-technical approach. </w:t>
      </w:r>
      <w:r>
        <w:rPr>
          <w:b/>
          <w:bCs/>
        </w:rPr>
        <w:t>41</w:t>
      </w:r>
      <w:r>
        <w:t>, 125–138 (2019).</w:t>
      </w:r>
    </w:p>
    <w:p w14:paraId="3E88C9B4" w14:textId="77777777" w:rsidR="0016542D" w:rsidRDefault="0016542D" w:rsidP="0016542D">
      <w:pPr>
        <w:pStyle w:val="Bibliography"/>
      </w:pPr>
      <w:r>
        <w:lastRenderedPageBreak/>
        <w:t>119.</w:t>
      </w:r>
      <w:r>
        <w:tab/>
        <w:t xml:space="preserve">Brand, C., Anable, J., Philips, I. &amp; Morton, C. </w:t>
      </w:r>
      <w:r>
        <w:rPr>
          <w:i/>
          <w:iCs/>
        </w:rPr>
        <w:t>Transport Energy Air Pollution Model (TEAM): Methodology Guide</w:t>
      </w:r>
      <w:r>
        <w:t>. https://ukerc.rl.ac.uk/UCAT/PUBLICATIONS/UKERC_WP_TEAM_Guide.pdf (2019).</w:t>
      </w:r>
    </w:p>
    <w:p w14:paraId="20AED1CA" w14:textId="77777777" w:rsidR="0016542D" w:rsidRDefault="0016542D" w:rsidP="0016542D">
      <w:pPr>
        <w:pStyle w:val="Bibliography"/>
      </w:pPr>
      <w:r>
        <w:t>120.</w:t>
      </w:r>
      <w:r>
        <w:tab/>
        <w:t xml:space="preserve">Howells, M. </w:t>
      </w:r>
      <w:r>
        <w:rPr>
          <w:i/>
          <w:iCs/>
        </w:rPr>
        <w:t>et al.</w:t>
      </w:r>
      <w:r>
        <w:t xml:space="preserve"> OSeMOSYS: The Open Source Energy Modeling System. An introduction to its ethos, structure and development. </w:t>
      </w:r>
      <w:r>
        <w:rPr>
          <w:i/>
          <w:iCs/>
        </w:rPr>
        <w:t>Energy Policy</w:t>
      </w:r>
      <w:r>
        <w:t xml:space="preserve"> </w:t>
      </w:r>
      <w:r>
        <w:rPr>
          <w:b/>
          <w:bCs/>
        </w:rPr>
        <w:t>39</w:t>
      </w:r>
      <w:r>
        <w:t>, 5850–5870 (2011).</w:t>
      </w:r>
    </w:p>
    <w:p w14:paraId="6DB2EC3A" w14:textId="77777777" w:rsidR="0016542D" w:rsidRDefault="0016542D" w:rsidP="0016542D">
      <w:pPr>
        <w:pStyle w:val="Bibliography"/>
      </w:pPr>
      <w:r>
        <w:t>121.</w:t>
      </w:r>
      <w:r>
        <w:tab/>
        <w:t xml:space="preserve">Barnes, T., Shivakumar, A., Brinkerink, M. &amp; Niet, T. OSeMOSYS Global, an open-source, open data global electricity system model generator. </w:t>
      </w:r>
      <w:r>
        <w:rPr>
          <w:i/>
          <w:iCs/>
        </w:rPr>
        <w:t>Sci. Data</w:t>
      </w:r>
      <w:r>
        <w:t xml:space="preserve"> </w:t>
      </w:r>
      <w:r>
        <w:rPr>
          <w:b/>
          <w:bCs/>
        </w:rPr>
        <w:t>9</w:t>
      </w:r>
      <w:r>
        <w:t>, 623 (2022).</w:t>
      </w:r>
    </w:p>
    <w:p w14:paraId="041D4F9B" w14:textId="77777777" w:rsidR="0016542D" w:rsidRDefault="0016542D" w:rsidP="0016542D">
      <w:pPr>
        <w:pStyle w:val="Bibliography"/>
      </w:pPr>
      <w:r>
        <w:t>122.</w:t>
      </w:r>
      <w:r>
        <w:tab/>
        <w:t xml:space="preserve">Global Energy Monitor. Global Energy Monitor: Home. </w:t>
      </w:r>
      <w:r>
        <w:rPr>
          <w:i/>
          <w:iCs/>
        </w:rPr>
        <w:t>Global Energy Monitor</w:t>
      </w:r>
      <w:r>
        <w:t xml:space="preserve"> https://globalenergymonitor.org/ (2024).</w:t>
      </w:r>
    </w:p>
    <w:p w14:paraId="73839B63" w14:textId="77777777" w:rsidR="0016542D" w:rsidRDefault="0016542D" w:rsidP="0016542D">
      <w:pPr>
        <w:pStyle w:val="Bibliography"/>
      </w:pPr>
      <w:r>
        <w:t>123.</w:t>
      </w:r>
      <w:r>
        <w:tab/>
        <w:t xml:space="preserve">IEA. </w:t>
      </w:r>
      <w:r>
        <w:rPr>
          <w:i/>
          <w:iCs/>
        </w:rPr>
        <w:t>World Energy Outlook 2022</w:t>
      </w:r>
      <w:r>
        <w:t>. https://www.iea.org/reports/world-energy-outlook-2022 (2022).</w:t>
      </w:r>
    </w:p>
    <w:p w14:paraId="1AED1A01" w14:textId="77777777" w:rsidR="0016542D" w:rsidRDefault="0016542D" w:rsidP="0016542D">
      <w:pPr>
        <w:pStyle w:val="Bibliography"/>
      </w:pPr>
      <w:r>
        <w:t>124.</w:t>
      </w:r>
      <w:r>
        <w:tab/>
        <w:t xml:space="preserve">IEA. Angola - Countries &amp; Regions. </w:t>
      </w:r>
      <w:r>
        <w:rPr>
          <w:i/>
          <w:iCs/>
        </w:rPr>
        <w:t>IEA</w:t>
      </w:r>
      <w:r>
        <w:t xml:space="preserve"> https://www.iea.org/countries/angola/electricity (2023).</w:t>
      </w:r>
    </w:p>
    <w:p w14:paraId="150B67B7" w14:textId="77777777" w:rsidR="0016542D" w:rsidRPr="0016542D" w:rsidRDefault="0016542D" w:rsidP="0016542D">
      <w:pPr>
        <w:pStyle w:val="Bibliography"/>
        <w:rPr>
          <w:lang w:val="it-IT"/>
        </w:rPr>
      </w:pPr>
      <w:r>
        <w:t>125.</w:t>
      </w:r>
      <w:r>
        <w:tab/>
        <w:t xml:space="preserve">IEA. Botswana - Countries &amp; Regions. </w:t>
      </w:r>
      <w:r w:rsidRPr="0016542D">
        <w:rPr>
          <w:i/>
          <w:iCs/>
          <w:lang w:val="it-IT"/>
        </w:rPr>
        <w:t>IEA</w:t>
      </w:r>
      <w:r w:rsidRPr="0016542D">
        <w:rPr>
          <w:lang w:val="it-IT"/>
        </w:rPr>
        <w:t xml:space="preserve"> https://www.iea.org/countries/botswana/electricity (2023).</w:t>
      </w:r>
    </w:p>
    <w:p w14:paraId="719698AA" w14:textId="77777777" w:rsidR="0016542D" w:rsidRPr="0016542D" w:rsidRDefault="0016542D" w:rsidP="0016542D">
      <w:pPr>
        <w:pStyle w:val="Bibliography"/>
        <w:rPr>
          <w:lang w:val="it-IT"/>
        </w:rPr>
      </w:pPr>
      <w:r>
        <w:t>126.</w:t>
      </w:r>
      <w:r>
        <w:tab/>
        <w:t xml:space="preserve">IEA. Democratic Republic of the Congo - Countries &amp; Regions. </w:t>
      </w:r>
      <w:r w:rsidRPr="0016542D">
        <w:rPr>
          <w:i/>
          <w:iCs/>
          <w:lang w:val="it-IT"/>
        </w:rPr>
        <w:t>IEA</w:t>
      </w:r>
      <w:r w:rsidRPr="0016542D">
        <w:rPr>
          <w:lang w:val="it-IT"/>
        </w:rPr>
        <w:t xml:space="preserve"> https://www.iea.org/countries/democratic-republic-of-the-congo/electricity (2023).</w:t>
      </w:r>
    </w:p>
    <w:p w14:paraId="396BB303" w14:textId="77777777" w:rsidR="0016542D" w:rsidRDefault="0016542D" w:rsidP="0016542D">
      <w:pPr>
        <w:pStyle w:val="Bibliography"/>
      </w:pPr>
      <w:r>
        <w:t>127.</w:t>
      </w:r>
      <w:r>
        <w:tab/>
        <w:t xml:space="preserve">IEA. Kenya - Countries &amp; Regions. </w:t>
      </w:r>
      <w:r>
        <w:rPr>
          <w:i/>
          <w:iCs/>
        </w:rPr>
        <w:t>IEA</w:t>
      </w:r>
      <w:r>
        <w:t xml:space="preserve"> https://www.iea.org/countries/kenya/electricity (2023).</w:t>
      </w:r>
    </w:p>
    <w:p w14:paraId="73BF3A4D" w14:textId="77777777" w:rsidR="0016542D" w:rsidRDefault="0016542D" w:rsidP="0016542D">
      <w:pPr>
        <w:pStyle w:val="Bibliography"/>
      </w:pPr>
      <w:r>
        <w:t>128.</w:t>
      </w:r>
      <w:r>
        <w:tab/>
        <w:t xml:space="preserve">IEA. Madagascar - Countries &amp; Regions. </w:t>
      </w:r>
      <w:r>
        <w:rPr>
          <w:i/>
          <w:iCs/>
        </w:rPr>
        <w:t>IEA</w:t>
      </w:r>
      <w:r>
        <w:t xml:space="preserve"> https://www.iea.org/countries/madagascar/electricity (2023).</w:t>
      </w:r>
    </w:p>
    <w:p w14:paraId="0A2C8F5E" w14:textId="77777777" w:rsidR="0016542D" w:rsidRDefault="0016542D" w:rsidP="0016542D">
      <w:pPr>
        <w:pStyle w:val="Bibliography"/>
      </w:pPr>
      <w:r>
        <w:t>129.</w:t>
      </w:r>
      <w:r>
        <w:tab/>
        <w:t xml:space="preserve">IEA. Mozambique - Countries &amp; Regions. </w:t>
      </w:r>
      <w:r>
        <w:rPr>
          <w:i/>
          <w:iCs/>
        </w:rPr>
        <w:t>IEA</w:t>
      </w:r>
      <w:r>
        <w:t xml:space="preserve"> https://www.iea.org/countries/mozambique/electricity (2023).</w:t>
      </w:r>
    </w:p>
    <w:p w14:paraId="6A84B222" w14:textId="77777777" w:rsidR="0016542D" w:rsidRDefault="0016542D" w:rsidP="0016542D">
      <w:pPr>
        <w:pStyle w:val="Bibliography"/>
      </w:pPr>
      <w:r>
        <w:t>130.</w:t>
      </w:r>
      <w:r>
        <w:tab/>
        <w:t xml:space="preserve">IEA. Namibia - Countries &amp; Regions. </w:t>
      </w:r>
      <w:r>
        <w:rPr>
          <w:i/>
          <w:iCs/>
        </w:rPr>
        <w:t>IEA</w:t>
      </w:r>
      <w:r>
        <w:t xml:space="preserve"> https://www.iea.org/countries/namibia/electricity (2023).</w:t>
      </w:r>
    </w:p>
    <w:p w14:paraId="7FB2A9E6" w14:textId="77777777" w:rsidR="0016542D" w:rsidRPr="0016542D" w:rsidRDefault="0016542D" w:rsidP="0016542D">
      <w:pPr>
        <w:pStyle w:val="Bibliography"/>
        <w:rPr>
          <w:lang w:val="it-IT"/>
        </w:rPr>
      </w:pPr>
      <w:r>
        <w:lastRenderedPageBreak/>
        <w:t>131.</w:t>
      </w:r>
      <w:r>
        <w:tab/>
        <w:t xml:space="preserve">IEA. South Africa - Countries &amp; Regions. </w:t>
      </w:r>
      <w:r w:rsidRPr="0016542D">
        <w:rPr>
          <w:i/>
          <w:iCs/>
          <w:lang w:val="it-IT"/>
        </w:rPr>
        <w:t>IEA</w:t>
      </w:r>
      <w:r w:rsidRPr="0016542D">
        <w:rPr>
          <w:lang w:val="it-IT"/>
        </w:rPr>
        <w:t xml:space="preserve"> https://www.iea.org/countries/south-africa/electricity (2023).</w:t>
      </w:r>
    </w:p>
    <w:p w14:paraId="042CDDCF" w14:textId="77777777" w:rsidR="0016542D" w:rsidRPr="0016542D" w:rsidRDefault="0016542D" w:rsidP="0016542D">
      <w:pPr>
        <w:pStyle w:val="Bibliography"/>
        <w:rPr>
          <w:lang w:val="it-IT"/>
        </w:rPr>
      </w:pPr>
      <w:r w:rsidRPr="0016542D">
        <w:rPr>
          <w:lang w:val="it-IT"/>
        </w:rPr>
        <w:t>132.</w:t>
      </w:r>
      <w:r w:rsidRPr="0016542D">
        <w:rPr>
          <w:lang w:val="it-IT"/>
        </w:rPr>
        <w:tab/>
        <w:t xml:space="preserve">IEA. Tanzania - Countries &amp; Regions. </w:t>
      </w:r>
      <w:r w:rsidRPr="0016542D">
        <w:rPr>
          <w:i/>
          <w:iCs/>
          <w:lang w:val="it-IT"/>
        </w:rPr>
        <w:t>IEA</w:t>
      </w:r>
      <w:r w:rsidRPr="0016542D">
        <w:rPr>
          <w:lang w:val="it-IT"/>
        </w:rPr>
        <w:t xml:space="preserve"> https://www.iea.org/countries/tanzania/electricity (2023).</w:t>
      </w:r>
    </w:p>
    <w:p w14:paraId="48460E6A" w14:textId="77777777" w:rsidR="0016542D" w:rsidRPr="0016542D" w:rsidRDefault="0016542D" w:rsidP="0016542D">
      <w:pPr>
        <w:pStyle w:val="Bibliography"/>
        <w:rPr>
          <w:lang w:val="it-IT"/>
        </w:rPr>
      </w:pPr>
      <w:r w:rsidRPr="0016542D">
        <w:rPr>
          <w:lang w:val="it-IT"/>
        </w:rPr>
        <w:t>133.</w:t>
      </w:r>
      <w:r w:rsidRPr="0016542D">
        <w:rPr>
          <w:lang w:val="it-IT"/>
        </w:rPr>
        <w:tab/>
        <w:t xml:space="preserve">IEA. Zambia - Countries &amp; Regions. </w:t>
      </w:r>
      <w:r w:rsidRPr="0016542D">
        <w:rPr>
          <w:i/>
          <w:iCs/>
          <w:lang w:val="it-IT"/>
        </w:rPr>
        <w:t>IEA</w:t>
      </w:r>
      <w:r w:rsidRPr="0016542D">
        <w:rPr>
          <w:lang w:val="it-IT"/>
        </w:rPr>
        <w:t xml:space="preserve"> https://www.iea.org/countries/zambia/electricity (2023).</w:t>
      </w:r>
    </w:p>
    <w:p w14:paraId="42A3C589" w14:textId="77777777" w:rsidR="0016542D" w:rsidRDefault="0016542D" w:rsidP="0016542D">
      <w:pPr>
        <w:pStyle w:val="Bibliography"/>
      </w:pPr>
      <w:r>
        <w:t>134.</w:t>
      </w:r>
      <w:r>
        <w:tab/>
        <w:t xml:space="preserve">IEA. Zimbabwe - Countries &amp; Regions. </w:t>
      </w:r>
      <w:r>
        <w:rPr>
          <w:i/>
          <w:iCs/>
        </w:rPr>
        <w:t>IEA</w:t>
      </w:r>
      <w:r>
        <w:t xml:space="preserve"> https://www.iea.org/countries/zimbabwe/electricity (2023).</w:t>
      </w:r>
    </w:p>
    <w:p w14:paraId="1FDDE81F" w14:textId="77777777" w:rsidR="0016542D" w:rsidRDefault="0016542D" w:rsidP="0016542D">
      <w:pPr>
        <w:pStyle w:val="Bibliography"/>
      </w:pPr>
      <w:r>
        <w:t>135.</w:t>
      </w:r>
      <w:r>
        <w:tab/>
        <w:t xml:space="preserve">IEA. Uganda - Countries &amp; Regions. </w:t>
      </w:r>
      <w:r>
        <w:rPr>
          <w:i/>
          <w:iCs/>
        </w:rPr>
        <w:t>IEA</w:t>
      </w:r>
      <w:r>
        <w:t xml:space="preserve"> https://www.iea.org/countries/uganda/electricity (2023).</w:t>
      </w:r>
    </w:p>
    <w:p w14:paraId="1F1EAE74" w14:textId="77777777" w:rsidR="0016542D" w:rsidRDefault="0016542D" w:rsidP="0016542D">
      <w:pPr>
        <w:pStyle w:val="Bibliography"/>
      </w:pPr>
      <w:r>
        <w:t>136.</w:t>
      </w:r>
      <w:r>
        <w:tab/>
        <w:t xml:space="preserve">United States Environmental Protection Agency. </w:t>
      </w:r>
      <w:r>
        <w:rPr>
          <w:i/>
          <w:iCs/>
        </w:rPr>
        <w:t>Emission Factors</w:t>
      </w:r>
      <w:r>
        <w:t>. https://www.epa.gov/sites/default/files/2021-04/documents/emission-factors_apr2021.pdf (2021).</w:t>
      </w:r>
    </w:p>
    <w:p w14:paraId="77174CAA" w14:textId="77777777" w:rsidR="0016542D" w:rsidRDefault="0016542D" w:rsidP="0016542D">
      <w:pPr>
        <w:pStyle w:val="Bibliography"/>
      </w:pPr>
      <w:r>
        <w:t>137.</w:t>
      </w:r>
      <w:r>
        <w:tab/>
        <w:t>Stewart, B., Korkovelos, A., Sahlberg, A. &amp; Khavari, B. Global Electrification Platform: Open Source Spatial Electrification Tool (OnSSET). (2023).</w:t>
      </w:r>
    </w:p>
    <w:p w14:paraId="53E4FC42" w14:textId="77777777" w:rsidR="0016542D" w:rsidRDefault="0016542D" w:rsidP="0016542D">
      <w:pPr>
        <w:pStyle w:val="Bibliography"/>
      </w:pPr>
      <w:r>
        <w:t>138.</w:t>
      </w:r>
      <w:r>
        <w:tab/>
        <w:t>Khavari, B. &amp; Sahlberg, A. Geo-spatial electricity demand assessment &amp; hybrid off-grid solutions to support electrification efforts using OnSSET: the case study of Tanzania. (Stockholm, 2017).</w:t>
      </w:r>
    </w:p>
    <w:p w14:paraId="12AE5C67" w14:textId="77777777" w:rsidR="0016542D" w:rsidRDefault="0016542D" w:rsidP="0016542D">
      <w:pPr>
        <w:pStyle w:val="Bibliography"/>
      </w:pPr>
      <w:r>
        <w:t>139.</w:t>
      </w:r>
      <w:r>
        <w:tab/>
        <w:t xml:space="preserve">Lèbre, É. </w:t>
      </w:r>
      <w:r>
        <w:rPr>
          <w:i/>
          <w:iCs/>
        </w:rPr>
        <w:t>et al.</w:t>
      </w:r>
      <w:r>
        <w:t xml:space="preserve"> The social and environmental complexities of extracting energy transition metals. </w:t>
      </w:r>
      <w:r>
        <w:rPr>
          <w:i/>
          <w:iCs/>
        </w:rPr>
        <w:t>Nat. Commun.</w:t>
      </w:r>
      <w:r>
        <w:t xml:space="preserve"> </w:t>
      </w:r>
      <w:r>
        <w:rPr>
          <w:b/>
          <w:bCs/>
        </w:rPr>
        <w:t>11</w:t>
      </w:r>
      <w:r>
        <w:t>, 4823 (2020).</w:t>
      </w:r>
    </w:p>
    <w:p w14:paraId="461B8886" w14:textId="77777777" w:rsidR="0016542D" w:rsidRDefault="0016542D" w:rsidP="0016542D">
      <w:pPr>
        <w:pStyle w:val="Bibliography"/>
      </w:pPr>
      <w:r>
        <w:t>140.</w:t>
      </w:r>
      <w:r>
        <w:tab/>
        <w:t>UNEP-WCMC &amp; IUCN. Protected Planet: The World Database on Protected Areas (WDPA)[On-line]. https://doi.org/10.34892/6fwd-af11 (2024).</w:t>
      </w:r>
    </w:p>
    <w:p w14:paraId="295163DC" w14:textId="77777777" w:rsidR="0016542D" w:rsidRDefault="0016542D" w:rsidP="0016542D">
      <w:pPr>
        <w:pStyle w:val="Bibliography"/>
      </w:pPr>
      <w:r>
        <w:t>141.</w:t>
      </w:r>
      <w:r>
        <w:tab/>
        <w:t>NASA- SEDAC. Last of the Wild Project, Version 3 (LWP-3): 2009 Human Footprint, 2018 Release. SEDAC https://doi.org/10.7927/H46T0JQ4 (2018).</w:t>
      </w:r>
    </w:p>
    <w:p w14:paraId="3270A6F8" w14:textId="77777777" w:rsidR="0016542D" w:rsidRDefault="0016542D" w:rsidP="0016542D">
      <w:pPr>
        <w:pStyle w:val="Bibliography"/>
      </w:pPr>
      <w:r>
        <w:t>142.</w:t>
      </w:r>
      <w:r>
        <w:tab/>
        <w:t>KBA. Key Biodiversity Areas Data. https://app.powerbi.com/view?r=eyJrIjoiYTY5Mzk5ZjctYmU1Mi00OTA4LTlkNjktNWZiYTljY</w:t>
      </w:r>
      <w:r>
        <w:lastRenderedPageBreak/>
        <w:t>mY0NDUwIiwidCI6IjMxNTUyMGY1LTJhYmUtNGRhZi1hMjY4LTk5NTU5ODgzYTY4NSIsImMiOjh9 (2024).</w:t>
      </w:r>
    </w:p>
    <w:p w14:paraId="26C24CD7" w14:textId="77777777" w:rsidR="0016542D" w:rsidRDefault="0016542D" w:rsidP="0016542D">
      <w:pPr>
        <w:pStyle w:val="Bibliography"/>
      </w:pPr>
      <w:r>
        <w:t>143.</w:t>
      </w:r>
      <w:r>
        <w:tab/>
        <w:t>Kuzma, S., Saccoccia, L. &amp; Chertock, M. 25 Countries, Housing One-Quarter of the Population, Face Extremely High Water Stress. https://www.wri.org/insights/highest-water-stressed-countries (2023).</w:t>
      </w:r>
    </w:p>
    <w:p w14:paraId="42045A2B" w14:textId="43B33F7B" w:rsidR="00BE51B1" w:rsidRPr="00680EF4" w:rsidRDefault="00623CDD" w:rsidP="00BE51B1">
      <w:pPr>
        <w:spacing w:after="0"/>
        <w:jc w:val="both"/>
        <w:rPr>
          <w:rFonts w:ascii="Arial" w:hAnsi="Arial" w:cs="Arial"/>
        </w:rPr>
      </w:pPr>
      <w:r>
        <w:rPr>
          <w:rFonts w:ascii="Arial" w:hAnsi="Arial" w:cs="Arial"/>
        </w:rPr>
        <w:fldChar w:fldCharType="end"/>
      </w:r>
    </w:p>
    <w:p w14:paraId="3C04082D" w14:textId="77777777" w:rsidR="00BE51B1" w:rsidRPr="00680EF4" w:rsidRDefault="00BE51B1" w:rsidP="00BE51B1">
      <w:pPr>
        <w:rPr>
          <w:rFonts w:ascii="Arial" w:hAnsi="Arial" w:cs="Arial"/>
          <w:b/>
          <w:bCs/>
        </w:rPr>
      </w:pPr>
    </w:p>
    <w:p w14:paraId="01BA770D" w14:textId="77777777" w:rsidR="00BE51B1" w:rsidRPr="00680EF4" w:rsidRDefault="00BE51B1" w:rsidP="00BE51B1">
      <w:pPr>
        <w:rPr>
          <w:rFonts w:ascii="Arial" w:hAnsi="Arial" w:cs="Arial"/>
          <w:b/>
          <w:bCs/>
        </w:rPr>
      </w:pPr>
      <w:r w:rsidRPr="00680EF4">
        <w:rPr>
          <w:rFonts w:ascii="Arial" w:hAnsi="Arial" w:cs="Arial"/>
          <w:b/>
          <w:bCs/>
        </w:rPr>
        <w:br w:type="page"/>
      </w:r>
    </w:p>
    <w:sectPr w:rsidR="00BE51B1" w:rsidRPr="00680EF4" w:rsidSect="00F60461">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FE58"/>
    <w:multiLevelType w:val="hybridMultilevel"/>
    <w:tmpl w:val="2DA0BA34"/>
    <w:lvl w:ilvl="0" w:tplc="FBF8013E">
      <w:start w:val="1"/>
      <w:numFmt w:val="bullet"/>
      <w:lvlText w:val=""/>
      <w:lvlJc w:val="left"/>
      <w:pPr>
        <w:ind w:left="720" w:hanging="360"/>
      </w:pPr>
      <w:rPr>
        <w:rFonts w:ascii="Symbol" w:hAnsi="Symbol" w:hint="default"/>
      </w:rPr>
    </w:lvl>
    <w:lvl w:ilvl="1" w:tplc="2848DCF2">
      <w:start w:val="1"/>
      <w:numFmt w:val="bullet"/>
      <w:lvlText w:val="o"/>
      <w:lvlJc w:val="left"/>
      <w:pPr>
        <w:ind w:left="1440" w:hanging="360"/>
      </w:pPr>
      <w:rPr>
        <w:rFonts w:ascii="Courier New" w:hAnsi="Courier New" w:hint="default"/>
      </w:rPr>
    </w:lvl>
    <w:lvl w:ilvl="2" w:tplc="F3AA47F4">
      <w:start w:val="1"/>
      <w:numFmt w:val="bullet"/>
      <w:lvlText w:val=""/>
      <w:lvlJc w:val="left"/>
      <w:pPr>
        <w:ind w:left="2160" w:hanging="360"/>
      </w:pPr>
      <w:rPr>
        <w:rFonts w:ascii="Wingdings" w:hAnsi="Wingdings" w:hint="default"/>
      </w:rPr>
    </w:lvl>
    <w:lvl w:ilvl="3" w:tplc="BE44CF02">
      <w:start w:val="1"/>
      <w:numFmt w:val="bullet"/>
      <w:lvlText w:val=""/>
      <w:lvlJc w:val="left"/>
      <w:pPr>
        <w:ind w:left="2880" w:hanging="360"/>
      </w:pPr>
      <w:rPr>
        <w:rFonts w:ascii="Symbol" w:hAnsi="Symbol" w:hint="default"/>
      </w:rPr>
    </w:lvl>
    <w:lvl w:ilvl="4" w:tplc="FF3096A6">
      <w:start w:val="1"/>
      <w:numFmt w:val="bullet"/>
      <w:lvlText w:val="o"/>
      <w:lvlJc w:val="left"/>
      <w:pPr>
        <w:ind w:left="3600" w:hanging="360"/>
      </w:pPr>
      <w:rPr>
        <w:rFonts w:ascii="Courier New" w:hAnsi="Courier New" w:hint="default"/>
      </w:rPr>
    </w:lvl>
    <w:lvl w:ilvl="5" w:tplc="E9F023E4">
      <w:start w:val="1"/>
      <w:numFmt w:val="bullet"/>
      <w:lvlText w:val=""/>
      <w:lvlJc w:val="left"/>
      <w:pPr>
        <w:ind w:left="4320" w:hanging="360"/>
      </w:pPr>
      <w:rPr>
        <w:rFonts w:ascii="Wingdings" w:hAnsi="Wingdings" w:hint="default"/>
      </w:rPr>
    </w:lvl>
    <w:lvl w:ilvl="6" w:tplc="6AD02516">
      <w:start w:val="1"/>
      <w:numFmt w:val="bullet"/>
      <w:lvlText w:val=""/>
      <w:lvlJc w:val="left"/>
      <w:pPr>
        <w:ind w:left="5040" w:hanging="360"/>
      </w:pPr>
      <w:rPr>
        <w:rFonts w:ascii="Symbol" w:hAnsi="Symbol" w:hint="default"/>
      </w:rPr>
    </w:lvl>
    <w:lvl w:ilvl="7" w:tplc="442A7CA6">
      <w:start w:val="1"/>
      <w:numFmt w:val="bullet"/>
      <w:lvlText w:val="o"/>
      <w:lvlJc w:val="left"/>
      <w:pPr>
        <w:ind w:left="5760" w:hanging="360"/>
      </w:pPr>
      <w:rPr>
        <w:rFonts w:ascii="Courier New" w:hAnsi="Courier New" w:hint="default"/>
      </w:rPr>
    </w:lvl>
    <w:lvl w:ilvl="8" w:tplc="773A8B76">
      <w:start w:val="1"/>
      <w:numFmt w:val="bullet"/>
      <w:lvlText w:val=""/>
      <w:lvlJc w:val="left"/>
      <w:pPr>
        <w:ind w:left="6480" w:hanging="360"/>
      </w:pPr>
      <w:rPr>
        <w:rFonts w:ascii="Wingdings" w:hAnsi="Wingdings" w:hint="default"/>
      </w:rPr>
    </w:lvl>
  </w:abstractNum>
  <w:abstractNum w:abstractNumId="1" w15:restartNumberingAfterBreak="0">
    <w:nsid w:val="0B1B363E"/>
    <w:multiLevelType w:val="hybridMultilevel"/>
    <w:tmpl w:val="2E5A7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3E60C3"/>
    <w:multiLevelType w:val="hybridMultilevel"/>
    <w:tmpl w:val="B704A0B6"/>
    <w:lvl w:ilvl="0" w:tplc="DE5ADEA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5968B4"/>
    <w:multiLevelType w:val="hybridMultilevel"/>
    <w:tmpl w:val="39585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E919BF"/>
    <w:multiLevelType w:val="hybridMultilevel"/>
    <w:tmpl w:val="E32A7138"/>
    <w:lvl w:ilvl="0" w:tplc="D5023F2A">
      <w:start w:val="1"/>
      <w:numFmt w:val="bullet"/>
      <w:lvlText w:val=""/>
      <w:lvlJc w:val="left"/>
      <w:pPr>
        <w:ind w:left="1020" w:hanging="360"/>
      </w:pPr>
      <w:rPr>
        <w:rFonts w:ascii="Symbol" w:hAnsi="Symbol"/>
      </w:rPr>
    </w:lvl>
    <w:lvl w:ilvl="1" w:tplc="A1FE35B0">
      <w:start w:val="1"/>
      <w:numFmt w:val="bullet"/>
      <w:lvlText w:val=""/>
      <w:lvlJc w:val="left"/>
      <w:pPr>
        <w:ind w:left="1020" w:hanging="360"/>
      </w:pPr>
      <w:rPr>
        <w:rFonts w:ascii="Symbol" w:hAnsi="Symbol"/>
      </w:rPr>
    </w:lvl>
    <w:lvl w:ilvl="2" w:tplc="0A00F142">
      <w:start w:val="1"/>
      <w:numFmt w:val="bullet"/>
      <w:lvlText w:val=""/>
      <w:lvlJc w:val="left"/>
      <w:pPr>
        <w:ind w:left="1020" w:hanging="360"/>
      </w:pPr>
      <w:rPr>
        <w:rFonts w:ascii="Symbol" w:hAnsi="Symbol"/>
      </w:rPr>
    </w:lvl>
    <w:lvl w:ilvl="3" w:tplc="FDB81846">
      <w:start w:val="1"/>
      <w:numFmt w:val="bullet"/>
      <w:lvlText w:val=""/>
      <w:lvlJc w:val="left"/>
      <w:pPr>
        <w:ind w:left="1020" w:hanging="360"/>
      </w:pPr>
      <w:rPr>
        <w:rFonts w:ascii="Symbol" w:hAnsi="Symbol"/>
      </w:rPr>
    </w:lvl>
    <w:lvl w:ilvl="4" w:tplc="93AA46B4">
      <w:start w:val="1"/>
      <w:numFmt w:val="bullet"/>
      <w:lvlText w:val=""/>
      <w:lvlJc w:val="left"/>
      <w:pPr>
        <w:ind w:left="1020" w:hanging="360"/>
      </w:pPr>
      <w:rPr>
        <w:rFonts w:ascii="Symbol" w:hAnsi="Symbol"/>
      </w:rPr>
    </w:lvl>
    <w:lvl w:ilvl="5" w:tplc="CB680E0A">
      <w:start w:val="1"/>
      <w:numFmt w:val="bullet"/>
      <w:lvlText w:val=""/>
      <w:lvlJc w:val="left"/>
      <w:pPr>
        <w:ind w:left="1020" w:hanging="360"/>
      </w:pPr>
      <w:rPr>
        <w:rFonts w:ascii="Symbol" w:hAnsi="Symbol"/>
      </w:rPr>
    </w:lvl>
    <w:lvl w:ilvl="6" w:tplc="DDFC9492">
      <w:start w:val="1"/>
      <w:numFmt w:val="bullet"/>
      <w:lvlText w:val=""/>
      <w:lvlJc w:val="left"/>
      <w:pPr>
        <w:ind w:left="1020" w:hanging="360"/>
      </w:pPr>
      <w:rPr>
        <w:rFonts w:ascii="Symbol" w:hAnsi="Symbol"/>
      </w:rPr>
    </w:lvl>
    <w:lvl w:ilvl="7" w:tplc="1BF4E1F4">
      <w:start w:val="1"/>
      <w:numFmt w:val="bullet"/>
      <w:lvlText w:val=""/>
      <w:lvlJc w:val="left"/>
      <w:pPr>
        <w:ind w:left="1020" w:hanging="360"/>
      </w:pPr>
      <w:rPr>
        <w:rFonts w:ascii="Symbol" w:hAnsi="Symbol"/>
      </w:rPr>
    </w:lvl>
    <w:lvl w:ilvl="8" w:tplc="F9FA6E28">
      <w:start w:val="1"/>
      <w:numFmt w:val="bullet"/>
      <w:lvlText w:val=""/>
      <w:lvlJc w:val="left"/>
      <w:pPr>
        <w:ind w:left="1020" w:hanging="360"/>
      </w:pPr>
      <w:rPr>
        <w:rFonts w:ascii="Symbol" w:hAnsi="Symbol"/>
      </w:rPr>
    </w:lvl>
  </w:abstractNum>
  <w:abstractNum w:abstractNumId="5" w15:restartNumberingAfterBreak="0">
    <w:nsid w:val="1DC279A4"/>
    <w:multiLevelType w:val="hybridMultilevel"/>
    <w:tmpl w:val="FFFFFFFF"/>
    <w:lvl w:ilvl="0" w:tplc="496E8F2A">
      <w:start w:val="1"/>
      <w:numFmt w:val="bullet"/>
      <w:lvlText w:val="·"/>
      <w:lvlJc w:val="left"/>
      <w:pPr>
        <w:ind w:left="720" w:hanging="360"/>
      </w:pPr>
      <w:rPr>
        <w:rFonts w:ascii="Symbol" w:hAnsi="Symbol" w:hint="default"/>
      </w:rPr>
    </w:lvl>
    <w:lvl w:ilvl="1" w:tplc="DF705A62">
      <w:start w:val="1"/>
      <w:numFmt w:val="bullet"/>
      <w:lvlText w:val="o"/>
      <w:lvlJc w:val="left"/>
      <w:pPr>
        <w:ind w:left="1440" w:hanging="360"/>
      </w:pPr>
      <w:rPr>
        <w:rFonts w:ascii="Courier New" w:hAnsi="Courier New" w:hint="default"/>
      </w:rPr>
    </w:lvl>
    <w:lvl w:ilvl="2" w:tplc="D17880A4">
      <w:start w:val="1"/>
      <w:numFmt w:val="bullet"/>
      <w:lvlText w:val=""/>
      <w:lvlJc w:val="left"/>
      <w:pPr>
        <w:ind w:left="2160" w:hanging="360"/>
      </w:pPr>
      <w:rPr>
        <w:rFonts w:ascii="Wingdings" w:hAnsi="Wingdings" w:hint="default"/>
      </w:rPr>
    </w:lvl>
    <w:lvl w:ilvl="3" w:tplc="7B8E57D8">
      <w:start w:val="1"/>
      <w:numFmt w:val="bullet"/>
      <w:lvlText w:val=""/>
      <w:lvlJc w:val="left"/>
      <w:pPr>
        <w:ind w:left="2880" w:hanging="360"/>
      </w:pPr>
      <w:rPr>
        <w:rFonts w:ascii="Symbol" w:hAnsi="Symbol" w:hint="default"/>
      </w:rPr>
    </w:lvl>
    <w:lvl w:ilvl="4" w:tplc="73AE749E">
      <w:start w:val="1"/>
      <w:numFmt w:val="bullet"/>
      <w:lvlText w:val="o"/>
      <w:lvlJc w:val="left"/>
      <w:pPr>
        <w:ind w:left="3600" w:hanging="360"/>
      </w:pPr>
      <w:rPr>
        <w:rFonts w:ascii="Courier New" w:hAnsi="Courier New" w:hint="default"/>
      </w:rPr>
    </w:lvl>
    <w:lvl w:ilvl="5" w:tplc="4AF4C8B2">
      <w:start w:val="1"/>
      <w:numFmt w:val="bullet"/>
      <w:lvlText w:val=""/>
      <w:lvlJc w:val="left"/>
      <w:pPr>
        <w:ind w:left="4320" w:hanging="360"/>
      </w:pPr>
      <w:rPr>
        <w:rFonts w:ascii="Wingdings" w:hAnsi="Wingdings" w:hint="default"/>
      </w:rPr>
    </w:lvl>
    <w:lvl w:ilvl="6" w:tplc="E304B462">
      <w:start w:val="1"/>
      <w:numFmt w:val="bullet"/>
      <w:lvlText w:val=""/>
      <w:lvlJc w:val="left"/>
      <w:pPr>
        <w:ind w:left="5040" w:hanging="360"/>
      </w:pPr>
      <w:rPr>
        <w:rFonts w:ascii="Symbol" w:hAnsi="Symbol" w:hint="default"/>
      </w:rPr>
    </w:lvl>
    <w:lvl w:ilvl="7" w:tplc="C08ADF7C">
      <w:start w:val="1"/>
      <w:numFmt w:val="bullet"/>
      <w:lvlText w:val="o"/>
      <w:lvlJc w:val="left"/>
      <w:pPr>
        <w:ind w:left="5760" w:hanging="360"/>
      </w:pPr>
      <w:rPr>
        <w:rFonts w:ascii="Courier New" w:hAnsi="Courier New" w:hint="default"/>
      </w:rPr>
    </w:lvl>
    <w:lvl w:ilvl="8" w:tplc="278A2498">
      <w:start w:val="1"/>
      <w:numFmt w:val="bullet"/>
      <w:lvlText w:val=""/>
      <w:lvlJc w:val="left"/>
      <w:pPr>
        <w:ind w:left="6480" w:hanging="360"/>
      </w:pPr>
      <w:rPr>
        <w:rFonts w:ascii="Wingdings" w:hAnsi="Wingdings" w:hint="default"/>
      </w:rPr>
    </w:lvl>
  </w:abstractNum>
  <w:abstractNum w:abstractNumId="6" w15:restartNumberingAfterBreak="0">
    <w:nsid w:val="1E1DE440"/>
    <w:multiLevelType w:val="hybridMultilevel"/>
    <w:tmpl w:val="CE68E6F4"/>
    <w:lvl w:ilvl="0" w:tplc="B2224432">
      <w:start w:val="1"/>
      <w:numFmt w:val="bullet"/>
      <w:lvlText w:val="·"/>
      <w:lvlJc w:val="left"/>
      <w:pPr>
        <w:ind w:left="720" w:hanging="360"/>
      </w:pPr>
      <w:rPr>
        <w:rFonts w:ascii="Symbol" w:hAnsi="Symbol" w:hint="default"/>
      </w:rPr>
    </w:lvl>
    <w:lvl w:ilvl="1" w:tplc="B3F2C4F6">
      <w:start w:val="1"/>
      <w:numFmt w:val="bullet"/>
      <w:lvlText w:val="o"/>
      <w:lvlJc w:val="left"/>
      <w:pPr>
        <w:ind w:left="1440" w:hanging="360"/>
      </w:pPr>
      <w:rPr>
        <w:rFonts w:ascii="Courier New" w:hAnsi="Courier New" w:hint="default"/>
      </w:rPr>
    </w:lvl>
    <w:lvl w:ilvl="2" w:tplc="B9FA4616">
      <w:start w:val="1"/>
      <w:numFmt w:val="bullet"/>
      <w:lvlText w:val=""/>
      <w:lvlJc w:val="left"/>
      <w:pPr>
        <w:ind w:left="2160" w:hanging="360"/>
      </w:pPr>
      <w:rPr>
        <w:rFonts w:ascii="Wingdings" w:hAnsi="Wingdings" w:hint="default"/>
      </w:rPr>
    </w:lvl>
    <w:lvl w:ilvl="3" w:tplc="08BE9CAC">
      <w:start w:val="1"/>
      <w:numFmt w:val="bullet"/>
      <w:lvlText w:val=""/>
      <w:lvlJc w:val="left"/>
      <w:pPr>
        <w:ind w:left="2880" w:hanging="360"/>
      </w:pPr>
      <w:rPr>
        <w:rFonts w:ascii="Symbol" w:hAnsi="Symbol" w:hint="default"/>
      </w:rPr>
    </w:lvl>
    <w:lvl w:ilvl="4" w:tplc="232A43C4">
      <w:start w:val="1"/>
      <w:numFmt w:val="bullet"/>
      <w:lvlText w:val="o"/>
      <w:lvlJc w:val="left"/>
      <w:pPr>
        <w:ind w:left="3600" w:hanging="360"/>
      </w:pPr>
      <w:rPr>
        <w:rFonts w:ascii="Courier New" w:hAnsi="Courier New" w:hint="default"/>
      </w:rPr>
    </w:lvl>
    <w:lvl w:ilvl="5" w:tplc="2EA4B2E0">
      <w:start w:val="1"/>
      <w:numFmt w:val="bullet"/>
      <w:lvlText w:val=""/>
      <w:lvlJc w:val="left"/>
      <w:pPr>
        <w:ind w:left="4320" w:hanging="360"/>
      </w:pPr>
      <w:rPr>
        <w:rFonts w:ascii="Wingdings" w:hAnsi="Wingdings" w:hint="default"/>
      </w:rPr>
    </w:lvl>
    <w:lvl w:ilvl="6" w:tplc="CA7466B6">
      <w:start w:val="1"/>
      <w:numFmt w:val="bullet"/>
      <w:lvlText w:val=""/>
      <w:lvlJc w:val="left"/>
      <w:pPr>
        <w:ind w:left="5040" w:hanging="360"/>
      </w:pPr>
      <w:rPr>
        <w:rFonts w:ascii="Symbol" w:hAnsi="Symbol" w:hint="default"/>
      </w:rPr>
    </w:lvl>
    <w:lvl w:ilvl="7" w:tplc="BEEC1CE2">
      <w:start w:val="1"/>
      <w:numFmt w:val="bullet"/>
      <w:lvlText w:val="o"/>
      <w:lvlJc w:val="left"/>
      <w:pPr>
        <w:ind w:left="5760" w:hanging="360"/>
      </w:pPr>
      <w:rPr>
        <w:rFonts w:ascii="Courier New" w:hAnsi="Courier New" w:hint="default"/>
      </w:rPr>
    </w:lvl>
    <w:lvl w:ilvl="8" w:tplc="77DA7D62">
      <w:start w:val="1"/>
      <w:numFmt w:val="bullet"/>
      <w:lvlText w:val=""/>
      <w:lvlJc w:val="left"/>
      <w:pPr>
        <w:ind w:left="6480" w:hanging="360"/>
      </w:pPr>
      <w:rPr>
        <w:rFonts w:ascii="Wingdings" w:hAnsi="Wingdings" w:hint="default"/>
      </w:rPr>
    </w:lvl>
  </w:abstractNum>
  <w:abstractNum w:abstractNumId="7" w15:restartNumberingAfterBreak="0">
    <w:nsid w:val="1FFC2DA8"/>
    <w:multiLevelType w:val="hybridMultilevel"/>
    <w:tmpl w:val="6C18460C"/>
    <w:lvl w:ilvl="0" w:tplc="A91E9246">
      <w:start w:val="1"/>
      <w:numFmt w:val="decimal"/>
      <w:lvlText w:val="%1)"/>
      <w:lvlJc w:val="left"/>
      <w:pPr>
        <w:ind w:left="1020" w:hanging="360"/>
      </w:pPr>
    </w:lvl>
    <w:lvl w:ilvl="1" w:tplc="ECA400D2">
      <w:start w:val="1"/>
      <w:numFmt w:val="decimal"/>
      <w:lvlText w:val="%2)"/>
      <w:lvlJc w:val="left"/>
      <w:pPr>
        <w:ind w:left="1020" w:hanging="360"/>
      </w:pPr>
    </w:lvl>
    <w:lvl w:ilvl="2" w:tplc="D222F246">
      <w:start w:val="1"/>
      <w:numFmt w:val="decimal"/>
      <w:lvlText w:val="%3)"/>
      <w:lvlJc w:val="left"/>
      <w:pPr>
        <w:ind w:left="1020" w:hanging="360"/>
      </w:pPr>
    </w:lvl>
    <w:lvl w:ilvl="3" w:tplc="F6CC9AA4">
      <w:start w:val="1"/>
      <w:numFmt w:val="decimal"/>
      <w:lvlText w:val="%4)"/>
      <w:lvlJc w:val="left"/>
      <w:pPr>
        <w:ind w:left="1020" w:hanging="360"/>
      </w:pPr>
    </w:lvl>
    <w:lvl w:ilvl="4" w:tplc="3066271A">
      <w:start w:val="1"/>
      <w:numFmt w:val="decimal"/>
      <w:lvlText w:val="%5)"/>
      <w:lvlJc w:val="left"/>
      <w:pPr>
        <w:ind w:left="1020" w:hanging="360"/>
      </w:pPr>
    </w:lvl>
    <w:lvl w:ilvl="5" w:tplc="7EE0D014">
      <w:start w:val="1"/>
      <w:numFmt w:val="decimal"/>
      <w:lvlText w:val="%6)"/>
      <w:lvlJc w:val="left"/>
      <w:pPr>
        <w:ind w:left="1020" w:hanging="360"/>
      </w:pPr>
    </w:lvl>
    <w:lvl w:ilvl="6" w:tplc="208863C4">
      <w:start w:val="1"/>
      <w:numFmt w:val="decimal"/>
      <w:lvlText w:val="%7)"/>
      <w:lvlJc w:val="left"/>
      <w:pPr>
        <w:ind w:left="1020" w:hanging="360"/>
      </w:pPr>
    </w:lvl>
    <w:lvl w:ilvl="7" w:tplc="EA7E950A">
      <w:start w:val="1"/>
      <w:numFmt w:val="decimal"/>
      <w:lvlText w:val="%8)"/>
      <w:lvlJc w:val="left"/>
      <w:pPr>
        <w:ind w:left="1020" w:hanging="360"/>
      </w:pPr>
    </w:lvl>
    <w:lvl w:ilvl="8" w:tplc="36107594">
      <w:start w:val="1"/>
      <w:numFmt w:val="decimal"/>
      <w:lvlText w:val="%9)"/>
      <w:lvlJc w:val="left"/>
      <w:pPr>
        <w:ind w:left="1020" w:hanging="360"/>
      </w:pPr>
    </w:lvl>
  </w:abstractNum>
  <w:abstractNum w:abstractNumId="8" w15:restartNumberingAfterBreak="0">
    <w:nsid w:val="20797F87"/>
    <w:multiLevelType w:val="hybridMultilevel"/>
    <w:tmpl w:val="1798A386"/>
    <w:lvl w:ilvl="0" w:tplc="B3FA2B0A">
      <w:numFmt w:val="decimal"/>
      <w:pStyle w:val="Heading1n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9B1725"/>
    <w:multiLevelType w:val="multilevel"/>
    <w:tmpl w:val="5442C6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4F05F7"/>
    <w:multiLevelType w:val="hybridMultilevel"/>
    <w:tmpl w:val="1716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4FCE7"/>
    <w:multiLevelType w:val="hybridMultilevel"/>
    <w:tmpl w:val="9022FE9C"/>
    <w:lvl w:ilvl="0" w:tplc="6078494E">
      <w:start w:val="1"/>
      <w:numFmt w:val="decimal"/>
      <w:lvlText w:val="%1."/>
      <w:lvlJc w:val="left"/>
      <w:pPr>
        <w:ind w:left="720" w:hanging="360"/>
      </w:pPr>
    </w:lvl>
    <w:lvl w:ilvl="1" w:tplc="B8D8DEA0">
      <w:start w:val="1"/>
      <w:numFmt w:val="lowerLetter"/>
      <w:lvlText w:val="%2."/>
      <w:lvlJc w:val="left"/>
      <w:pPr>
        <w:ind w:left="1440" w:hanging="360"/>
      </w:pPr>
    </w:lvl>
    <w:lvl w:ilvl="2" w:tplc="5D480442">
      <w:start w:val="1"/>
      <w:numFmt w:val="lowerRoman"/>
      <w:lvlText w:val="%3."/>
      <w:lvlJc w:val="right"/>
      <w:pPr>
        <w:ind w:left="2160" w:hanging="180"/>
      </w:pPr>
    </w:lvl>
    <w:lvl w:ilvl="3" w:tplc="BE6A8304">
      <w:start w:val="1"/>
      <w:numFmt w:val="decimal"/>
      <w:lvlText w:val="%4."/>
      <w:lvlJc w:val="left"/>
      <w:pPr>
        <w:ind w:left="2880" w:hanging="360"/>
      </w:pPr>
    </w:lvl>
    <w:lvl w:ilvl="4" w:tplc="9FCA987E">
      <w:start w:val="1"/>
      <w:numFmt w:val="lowerLetter"/>
      <w:lvlText w:val="%5."/>
      <w:lvlJc w:val="left"/>
      <w:pPr>
        <w:ind w:left="3600" w:hanging="360"/>
      </w:pPr>
    </w:lvl>
    <w:lvl w:ilvl="5" w:tplc="BED451A8">
      <w:start w:val="1"/>
      <w:numFmt w:val="lowerRoman"/>
      <w:lvlText w:val="%6."/>
      <w:lvlJc w:val="right"/>
      <w:pPr>
        <w:ind w:left="4320" w:hanging="180"/>
      </w:pPr>
    </w:lvl>
    <w:lvl w:ilvl="6" w:tplc="F3D846E0">
      <w:start w:val="1"/>
      <w:numFmt w:val="decimal"/>
      <w:lvlText w:val="%7."/>
      <w:lvlJc w:val="left"/>
      <w:pPr>
        <w:ind w:left="5040" w:hanging="360"/>
      </w:pPr>
    </w:lvl>
    <w:lvl w:ilvl="7" w:tplc="69369B4C">
      <w:start w:val="1"/>
      <w:numFmt w:val="lowerLetter"/>
      <w:lvlText w:val="%8."/>
      <w:lvlJc w:val="left"/>
      <w:pPr>
        <w:ind w:left="5760" w:hanging="360"/>
      </w:pPr>
    </w:lvl>
    <w:lvl w:ilvl="8" w:tplc="1B4471B6">
      <w:start w:val="1"/>
      <w:numFmt w:val="lowerRoman"/>
      <w:lvlText w:val="%9."/>
      <w:lvlJc w:val="right"/>
      <w:pPr>
        <w:ind w:left="6480" w:hanging="180"/>
      </w:pPr>
    </w:lvl>
  </w:abstractNum>
  <w:abstractNum w:abstractNumId="12" w15:restartNumberingAfterBreak="0">
    <w:nsid w:val="26BFE15B"/>
    <w:multiLevelType w:val="hybridMultilevel"/>
    <w:tmpl w:val="FFFFFFFF"/>
    <w:lvl w:ilvl="0" w:tplc="15F4ADE8">
      <w:start w:val="1"/>
      <w:numFmt w:val="bullet"/>
      <w:lvlText w:val=""/>
      <w:lvlJc w:val="left"/>
      <w:pPr>
        <w:ind w:left="360" w:hanging="360"/>
      </w:pPr>
      <w:rPr>
        <w:rFonts w:ascii="Symbol" w:hAnsi="Symbol" w:hint="default"/>
      </w:rPr>
    </w:lvl>
    <w:lvl w:ilvl="1" w:tplc="29343DB4">
      <w:start w:val="1"/>
      <w:numFmt w:val="bullet"/>
      <w:lvlText w:val="o"/>
      <w:lvlJc w:val="left"/>
      <w:pPr>
        <w:ind w:left="1080" w:hanging="360"/>
      </w:pPr>
      <w:rPr>
        <w:rFonts w:ascii="Courier New" w:hAnsi="Courier New" w:hint="default"/>
      </w:rPr>
    </w:lvl>
    <w:lvl w:ilvl="2" w:tplc="71E6EDD0">
      <w:start w:val="1"/>
      <w:numFmt w:val="bullet"/>
      <w:lvlText w:val=""/>
      <w:lvlJc w:val="left"/>
      <w:pPr>
        <w:ind w:left="1800" w:hanging="360"/>
      </w:pPr>
      <w:rPr>
        <w:rFonts w:ascii="Wingdings" w:hAnsi="Wingdings" w:hint="default"/>
      </w:rPr>
    </w:lvl>
    <w:lvl w:ilvl="3" w:tplc="C950907A">
      <w:start w:val="1"/>
      <w:numFmt w:val="bullet"/>
      <w:lvlText w:val=""/>
      <w:lvlJc w:val="left"/>
      <w:pPr>
        <w:ind w:left="2520" w:hanging="360"/>
      </w:pPr>
      <w:rPr>
        <w:rFonts w:ascii="Symbol" w:hAnsi="Symbol" w:hint="default"/>
      </w:rPr>
    </w:lvl>
    <w:lvl w:ilvl="4" w:tplc="30BE457C">
      <w:start w:val="1"/>
      <w:numFmt w:val="bullet"/>
      <w:lvlText w:val="o"/>
      <w:lvlJc w:val="left"/>
      <w:pPr>
        <w:ind w:left="3240" w:hanging="360"/>
      </w:pPr>
      <w:rPr>
        <w:rFonts w:ascii="Courier New" w:hAnsi="Courier New" w:hint="default"/>
      </w:rPr>
    </w:lvl>
    <w:lvl w:ilvl="5" w:tplc="00809714">
      <w:start w:val="1"/>
      <w:numFmt w:val="bullet"/>
      <w:lvlText w:val=""/>
      <w:lvlJc w:val="left"/>
      <w:pPr>
        <w:ind w:left="3960" w:hanging="360"/>
      </w:pPr>
      <w:rPr>
        <w:rFonts w:ascii="Wingdings" w:hAnsi="Wingdings" w:hint="default"/>
      </w:rPr>
    </w:lvl>
    <w:lvl w:ilvl="6" w:tplc="86FA8444">
      <w:start w:val="1"/>
      <w:numFmt w:val="bullet"/>
      <w:lvlText w:val=""/>
      <w:lvlJc w:val="left"/>
      <w:pPr>
        <w:ind w:left="4680" w:hanging="360"/>
      </w:pPr>
      <w:rPr>
        <w:rFonts w:ascii="Symbol" w:hAnsi="Symbol" w:hint="default"/>
      </w:rPr>
    </w:lvl>
    <w:lvl w:ilvl="7" w:tplc="853CB9EA">
      <w:start w:val="1"/>
      <w:numFmt w:val="bullet"/>
      <w:lvlText w:val="o"/>
      <w:lvlJc w:val="left"/>
      <w:pPr>
        <w:ind w:left="5400" w:hanging="360"/>
      </w:pPr>
      <w:rPr>
        <w:rFonts w:ascii="Courier New" w:hAnsi="Courier New" w:hint="default"/>
      </w:rPr>
    </w:lvl>
    <w:lvl w:ilvl="8" w:tplc="D57232B0">
      <w:start w:val="1"/>
      <w:numFmt w:val="bullet"/>
      <w:lvlText w:val=""/>
      <w:lvlJc w:val="left"/>
      <w:pPr>
        <w:ind w:left="6120" w:hanging="360"/>
      </w:pPr>
      <w:rPr>
        <w:rFonts w:ascii="Wingdings" w:hAnsi="Wingdings" w:hint="default"/>
      </w:rPr>
    </w:lvl>
  </w:abstractNum>
  <w:abstractNum w:abstractNumId="13" w15:restartNumberingAfterBreak="0">
    <w:nsid w:val="27762253"/>
    <w:multiLevelType w:val="multilevel"/>
    <w:tmpl w:val="2B2CA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D51F8F"/>
    <w:multiLevelType w:val="multilevel"/>
    <w:tmpl w:val="C3A6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E86F91"/>
    <w:multiLevelType w:val="hybridMultilevel"/>
    <w:tmpl w:val="DD6AE9A2"/>
    <w:lvl w:ilvl="0" w:tplc="761EC60A">
      <w:start w:val="1"/>
      <w:numFmt w:val="decimal"/>
      <w:lvlText w:val="%1)"/>
      <w:lvlJc w:val="left"/>
      <w:pPr>
        <w:ind w:left="1020" w:hanging="360"/>
      </w:pPr>
    </w:lvl>
    <w:lvl w:ilvl="1" w:tplc="F59E3862">
      <w:start w:val="1"/>
      <w:numFmt w:val="decimal"/>
      <w:lvlText w:val="%2)"/>
      <w:lvlJc w:val="left"/>
      <w:pPr>
        <w:ind w:left="1020" w:hanging="360"/>
      </w:pPr>
    </w:lvl>
    <w:lvl w:ilvl="2" w:tplc="5FC20BAA">
      <w:start w:val="1"/>
      <w:numFmt w:val="decimal"/>
      <w:lvlText w:val="%3)"/>
      <w:lvlJc w:val="left"/>
      <w:pPr>
        <w:ind w:left="1020" w:hanging="360"/>
      </w:pPr>
    </w:lvl>
    <w:lvl w:ilvl="3" w:tplc="B3461E2E">
      <w:start w:val="1"/>
      <w:numFmt w:val="decimal"/>
      <w:lvlText w:val="%4)"/>
      <w:lvlJc w:val="left"/>
      <w:pPr>
        <w:ind w:left="1020" w:hanging="360"/>
      </w:pPr>
    </w:lvl>
    <w:lvl w:ilvl="4" w:tplc="22185C22">
      <w:start w:val="1"/>
      <w:numFmt w:val="decimal"/>
      <w:lvlText w:val="%5)"/>
      <w:lvlJc w:val="left"/>
      <w:pPr>
        <w:ind w:left="1020" w:hanging="360"/>
      </w:pPr>
    </w:lvl>
    <w:lvl w:ilvl="5" w:tplc="F190D6D2">
      <w:start w:val="1"/>
      <w:numFmt w:val="decimal"/>
      <w:lvlText w:val="%6)"/>
      <w:lvlJc w:val="left"/>
      <w:pPr>
        <w:ind w:left="1020" w:hanging="360"/>
      </w:pPr>
    </w:lvl>
    <w:lvl w:ilvl="6" w:tplc="D2187272">
      <w:start w:val="1"/>
      <w:numFmt w:val="decimal"/>
      <w:lvlText w:val="%7)"/>
      <w:lvlJc w:val="left"/>
      <w:pPr>
        <w:ind w:left="1020" w:hanging="360"/>
      </w:pPr>
    </w:lvl>
    <w:lvl w:ilvl="7" w:tplc="09229C2A">
      <w:start w:val="1"/>
      <w:numFmt w:val="decimal"/>
      <w:lvlText w:val="%8)"/>
      <w:lvlJc w:val="left"/>
      <w:pPr>
        <w:ind w:left="1020" w:hanging="360"/>
      </w:pPr>
    </w:lvl>
    <w:lvl w:ilvl="8" w:tplc="6422D400">
      <w:start w:val="1"/>
      <w:numFmt w:val="decimal"/>
      <w:lvlText w:val="%9)"/>
      <w:lvlJc w:val="left"/>
      <w:pPr>
        <w:ind w:left="1020" w:hanging="360"/>
      </w:pPr>
    </w:lvl>
  </w:abstractNum>
  <w:abstractNum w:abstractNumId="16" w15:restartNumberingAfterBreak="0">
    <w:nsid w:val="2AA35268"/>
    <w:multiLevelType w:val="hybridMultilevel"/>
    <w:tmpl w:val="1B6EA7C6"/>
    <w:lvl w:ilvl="0" w:tplc="F0488298">
      <w:start w:val="1"/>
      <w:numFmt w:val="bullet"/>
      <w:lvlText w:val="·"/>
      <w:lvlJc w:val="left"/>
      <w:pPr>
        <w:ind w:left="720" w:hanging="360"/>
      </w:pPr>
      <w:rPr>
        <w:rFonts w:ascii="Symbol" w:hAnsi="Symbol" w:hint="default"/>
      </w:rPr>
    </w:lvl>
    <w:lvl w:ilvl="1" w:tplc="9E34A324">
      <w:start w:val="1"/>
      <w:numFmt w:val="bullet"/>
      <w:lvlText w:val="o"/>
      <w:lvlJc w:val="left"/>
      <w:pPr>
        <w:ind w:left="1440" w:hanging="360"/>
      </w:pPr>
      <w:rPr>
        <w:rFonts w:ascii="Courier New" w:hAnsi="Courier New" w:hint="default"/>
      </w:rPr>
    </w:lvl>
    <w:lvl w:ilvl="2" w:tplc="157EE1F6">
      <w:start w:val="1"/>
      <w:numFmt w:val="bullet"/>
      <w:lvlText w:val=""/>
      <w:lvlJc w:val="left"/>
      <w:pPr>
        <w:ind w:left="2160" w:hanging="360"/>
      </w:pPr>
      <w:rPr>
        <w:rFonts w:ascii="Wingdings" w:hAnsi="Wingdings" w:hint="default"/>
      </w:rPr>
    </w:lvl>
    <w:lvl w:ilvl="3" w:tplc="44887AE2">
      <w:start w:val="1"/>
      <w:numFmt w:val="bullet"/>
      <w:lvlText w:val=""/>
      <w:lvlJc w:val="left"/>
      <w:pPr>
        <w:ind w:left="2880" w:hanging="360"/>
      </w:pPr>
      <w:rPr>
        <w:rFonts w:ascii="Symbol" w:hAnsi="Symbol" w:hint="default"/>
      </w:rPr>
    </w:lvl>
    <w:lvl w:ilvl="4" w:tplc="AC163FB2">
      <w:start w:val="1"/>
      <w:numFmt w:val="bullet"/>
      <w:lvlText w:val="o"/>
      <w:lvlJc w:val="left"/>
      <w:pPr>
        <w:ind w:left="3600" w:hanging="360"/>
      </w:pPr>
      <w:rPr>
        <w:rFonts w:ascii="Courier New" w:hAnsi="Courier New" w:hint="default"/>
      </w:rPr>
    </w:lvl>
    <w:lvl w:ilvl="5" w:tplc="11403284">
      <w:start w:val="1"/>
      <w:numFmt w:val="bullet"/>
      <w:lvlText w:val=""/>
      <w:lvlJc w:val="left"/>
      <w:pPr>
        <w:ind w:left="4320" w:hanging="360"/>
      </w:pPr>
      <w:rPr>
        <w:rFonts w:ascii="Wingdings" w:hAnsi="Wingdings" w:hint="default"/>
      </w:rPr>
    </w:lvl>
    <w:lvl w:ilvl="6" w:tplc="4754BC5C">
      <w:start w:val="1"/>
      <w:numFmt w:val="bullet"/>
      <w:lvlText w:val=""/>
      <w:lvlJc w:val="left"/>
      <w:pPr>
        <w:ind w:left="5040" w:hanging="360"/>
      </w:pPr>
      <w:rPr>
        <w:rFonts w:ascii="Symbol" w:hAnsi="Symbol" w:hint="default"/>
      </w:rPr>
    </w:lvl>
    <w:lvl w:ilvl="7" w:tplc="9864B944">
      <w:start w:val="1"/>
      <w:numFmt w:val="bullet"/>
      <w:lvlText w:val="o"/>
      <w:lvlJc w:val="left"/>
      <w:pPr>
        <w:ind w:left="5760" w:hanging="360"/>
      </w:pPr>
      <w:rPr>
        <w:rFonts w:ascii="Courier New" w:hAnsi="Courier New" w:hint="default"/>
      </w:rPr>
    </w:lvl>
    <w:lvl w:ilvl="8" w:tplc="E092DAA6">
      <w:start w:val="1"/>
      <w:numFmt w:val="bullet"/>
      <w:lvlText w:val=""/>
      <w:lvlJc w:val="left"/>
      <w:pPr>
        <w:ind w:left="6480" w:hanging="360"/>
      </w:pPr>
      <w:rPr>
        <w:rFonts w:ascii="Wingdings" w:hAnsi="Wingdings" w:hint="default"/>
      </w:rPr>
    </w:lvl>
  </w:abstractNum>
  <w:abstractNum w:abstractNumId="17" w15:restartNumberingAfterBreak="0">
    <w:nsid w:val="2E8B4F5C"/>
    <w:multiLevelType w:val="hybridMultilevel"/>
    <w:tmpl w:val="64A6BF8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decimal"/>
      <w:lvlText w:val="%3.1.1."/>
      <w:lvlJc w:val="lef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2F69152D"/>
    <w:multiLevelType w:val="hybridMultilevel"/>
    <w:tmpl w:val="A7A28CB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2FA64067"/>
    <w:multiLevelType w:val="multilevel"/>
    <w:tmpl w:val="FCBE98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6165B3"/>
    <w:multiLevelType w:val="hybridMultilevel"/>
    <w:tmpl w:val="BE4866F6"/>
    <w:lvl w:ilvl="0" w:tplc="68924070">
      <w:start w:val="1"/>
      <w:numFmt w:val="lowerLetter"/>
      <w:lvlText w:val="%1)"/>
      <w:lvlJc w:val="left"/>
      <w:pPr>
        <w:ind w:left="1020" w:hanging="360"/>
      </w:pPr>
    </w:lvl>
    <w:lvl w:ilvl="1" w:tplc="831E916E">
      <w:start w:val="1"/>
      <w:numFmt w:val="lowerLetter"/>
      <w:lvlText w:val="%2)"/>
      <w:lvlJc w:val="left"/>
      <w:pPr>
        <w:ind w:left="1020" w:hanging="360"/>
      </w:pPr>
    </w:lvl>
    <w:lvl w:ilvl="2" w:tplc="AB765844">
      <w:start w:val="1"/>
      <w:numFmt w:val="lowerLetter"/>
      <w:lvlText w:val="%3)"/>
      <w:lvlJc w:val="left"/>
      <w:pPr>
        <w:ind w:left="1020" w:hanging="360"/>
      </w:pPr>
    </w:lvl>
    <w:lvl w:ilvl="3" w:tplc="81F64D1A">
      <w:start w:val="1"/>
      <w:numFmt w:val="lowerLetter"/>
      <w:lvlText w:val="%4)"/>
      <w:lvlJc w:val="left"/>
      <w:pPr>
        <w:ind w:left="1020" w:hanging="360"/>
      </w:pPr>
    </w:lvl>
    <w:lvl w:ilvl="4" w:tplc="3EBE8E46">
      <w:start w:val="1"/>
      <w:numFmt w:val="lowerLetter"/>
      <w:lvlText w:val="%5)"/>
      <w:lvlJc w:val="left"/>
      <w:pPr>
        <w:ind w:left="1020" w:hanging="360"/>
      </w:pPr>
    </w:lvl>
    <w:lvl w:ilvl="5" w:tplc="A9EEB79C">
      <w:start w:val="1"/>
      <w:numFmt w:val="lowerLetter"/>
      <w:lvlText w:val="%6)"/>
      <w:lvlJc w:val="left"/>
      <w:pPr>
        <w:ind w:left="1020" w:hanging="360"/>
      </w:pPr>
    </w:lvl>
    <w:lvl w:ilvl="6" w:tplc="84287BE0">
      <w:start w:val="1"/>
      <w:numFmt w:val="lowerLetter"/>
      <w:lvlText w:val="%7)"/>
      <w:lvlJc w:val="left"/>
      <w:pPr>
        <w:ind w:left="1020" w:hanging="360"/>
      </w:pPr>
    </w:lvl>
    <w:lvl w:ilvl="7" w:tplc="ABA08D86">
      <w:start w:val="1"/>
      <w:numFmt w:val="lowerLetter"/>
      <w:lvlText w:val="%8)"/>
      <w:lvlJc w:val="left"/>
      <w:pPr>
        <w:ind w:left="1020" w:hanging="360"/>
      </w:pPr>
    </w:lvl>
    <w:lvl w:ilvl="8" w:tplc="E4D8B2CE">
      <w:start w:val="1"/>
      <w:numFmt w:val="lowerLetter"/>
      <w:lvlText w:val="%9)"/>
      <w:lvlJc w:val="left"/>
      <w:pPr>
        <w:ind w:left="1020" w:hanging="360"/>
      </w:pPr>
    </w:lvl>
  </w:abstractNum>
  <w:abstractNum w:abstractNumId="21" w15:restartNumberingAfterBreak="0">
    <w:nsid w:val="3A4211EE"/>
    <w:multiLevelType w:val="hybridMultilevel"/>
    <w:tmpl w:val="FFFFFFFF"/>
    <w:lvl w:ilvl="0" w:tplc="3CBA0D7E">
      <w:start w:val="1"/>
      <w:numFmt w:val="decimal"/>
      <w:lvlText w:val="%1."/>
      <w:lvlJc w:val="left"/>
      <w:pPr>
        <w:ind w:left="720" w:hanging="360"/>
      </w:pPr>
    </w:lvl>
    <w:lvl w:ilvl="1" w:tplc="D5DCDD1C">
      <w:start w:val="1"/>
      <w:numFmt w:val="lowerLetter"/>
      <w:lvlText w:val="%2."/>
      <w:lvlJc w:val="left"/>
      <w:pPr>
        <w:ind w:left="1440" w:hanging="360"/>
      </w:pPr>
    </w:lvl>
    <w:lvl w:ilvl="2" w:tplc="1E4EDCB0">
      <w:start w:val="1"/>
      <w:numFmt w:val="lowerRoman"/>
      <w:lvlText w:val="%3."/>
      <w:lvlJc w:val="right"/>
      <w:pPr>
        <w:ind w:left="2160" w:hanging="180"/>
      </w:pPr>
    </w:lvl>
    <w:lvl w:ilvl="3" w:tplc="08D2BD8E">
      <w:start w:val="1"/>
      <w:numFmt w:val="decimal"/>
      <w:lvlText w:val="%4."/>
      <w:lvlJc w:val="left"/>
      <w:pPr>
        <w:ind w:left="2880" w:hanging="360"/>
      </w:pPr>
    </w:lvl>
    <w:lvl w:ilvl="4" w:tplc="98B271BA">
      <w:start w:val="1"/>
      <w:numFmt w:val="lowerLetter"/>
      <w:lvlText w:val="%5."/>
      <w:lvlJc w:val="left"/>
      <w:pPr>
        <w:ind w:left="3600" w:hanging="360"/>
      </w:pPr>
    </w:lvl>
    <w:lvl w:ilvl="5" w:tplc="88D87072">
      <w:start w:val="1"/>
      <w:numFmt w:val="lowerRoman"/>
      <w:lvlText w:val="%6."/>
      <w:lvlJc w:val="right"/>
      <w:pPr>
        <w:ind w:left="4320" w:hanging="180"/>
      </w:pPr>
    </w:lvl>
    <w:lvl w:ilvl="6" w:tplc="605AB018">
      <w:start w:val="1"/>
      <w:numFmt w:val="decimal"/>
      <w:lvlText w:val="%7."/>
      <w:lvlJc w:val="left"/>
      <w:pPr>
        <w:ind w:left="5040" w:hanging="360"/>
      </w:pPr>
    </w:lvl>
    <w:lvl w:ilvl="7" w:tplc="17989C16">
      <w:start w:val="1"/>
      <w:numFmt w:val="lowerLetter"/>
      <w:lvlText w:val="%8."/>
      <w:lvlJc w:val="left"/>
      <w:pPr>
        <w:ind w:left="5760" w:hanging="360"/>
      </w:pPr>
    </w:lvl>
    <w:lvl w:ilvl="8" w:tplc="792ACDDC">
      <w:start w:val="1"/>
      <w:numFmt w:val="lowerRoman"/>
      <w:lvlText w:val="%9."/>
      <w:lvlJc w:val="right"/>
      <w:pPr>
        <w:ind w:left="6480" w:hanging="180"/>
      </w:pPr>
    </w:lvl>
  </w:abstractNum>
  <w:abstractNum w:abstractNumId="22" w15:restartNumberingAfterBreak="0">
    <w:nsid w:val="3B9AAFBB"/>
    <w:multiLevelType w:val="hybridMultilevel"/>
    <w:tmpl w:val="EF9E1A2A"/>
    <w:lvl w:ilvl="0" w:tplc="3FEE195C">
      <w:start w:val="1"/>
      <w:numFmt w:val="bullet"/>
      <w:lvlText w:val=""/>
      <w:lvlJc w:val="left"/>
      <w:pPr>
        <w:ind w:left="360" w:hanging="360"/>
      </w:pPr>
      <w:rPr>
        <w:rFonts w:ascii="Symbol" w:hAnsi="Symbol" w:hint="default"/>
      </w:rPr>
    </w:lvl>
    <w:lvl w:ilvl="1" w:tplc="374007BA">
      <w:start w:val="1"/>
      <w:numFmt w:val="bullet"/>
      <w:lvlText w:val="o"/>
      <w:lvlJc w:val="left"/>
      <w:pPr>
        <w:ind w:left="1080" w:hanging="360"/>
      </w:pPr>
      <w:rPr>
        <w:rFonts w:ascii="Courier New" w:hAnsi="Courier New" w:hint="default"/>
      </w:rPr>
    </w:lvl>
    <w:lvl w:ilvl="2" w:tplc="AB4270BE">
      <w:start w:val="1"/>
      <w:numFmt w:val="bullet"/>
      <w:lvlText w:val=""/>
      <w:lvlJc w:val="left"/>
      <w:pPr>
        <w:ind w:left="1800" w:hanging="360"/>
      </w:pPr>
      <w:rPr>
        <w:rFonts w:ascii="Wingdings" w:hAnsi="Wingdings" w:hint="default"/>
      </w:rPr>
    </w:lvl>
    <w:lvl w:ilvl="3" w:tplc="C986931C">
      <w:start w:val="1"/>
      <w:numFmt w:val="bullet"/>
      <w:lvlText w:val=""/>
      <w:lvlJc w:val="left"/>
      <w:pPr>
        <w:ind w:left="2520" w:hanging="360"/>
      </w:pPr>
      <w:rPr>
        <w:rFonts w:ascii="Symbol" w:hAnsi="Symbol" w:hint="default"/>
      </w:rPr>
    </w:lvl>
    <w:lvl w:ilvl="4" w:tplc="308CE7AE">
      <w:start w:val="1"/>
      <w:numFmt w:val="bullet"/>
      <w:lvlText w:val="o"/>
      <w:lvlJc w:val="left"/>
      <w:pPr>
        <w:ind w:left="3240" w:hanging="360"/>
      </w:pPr>
      <w:rPr>
        <w:rFonts w:ascii="Courier New" w:hAnsi="Courier New" w:hint="default"/>
      </w:rPr>
    </w:lvl>
    <w:lvl w:ilvl="5" w:tplc="C66492E4">
      <w:start w:val="1"/>
      <w:numFmt w:val="bullet"/>
      <w:lvlText w:val=""/>
      <w:lvlJc w:val="left"/>
      <w:pPr>
        <w:ind w:left="3960" w:hanging="360"/>
      </w:pPr>
      <w:rPr>
        <w:rFonts w:ascii="Wingdings" w:hAnsi="Wingdings" w:hint="default"/>
      </w:rPr>
    </w:lvl>
    <w:lvl w:ilvl="6" w:tplc="D4A08E94">
      <w:start w:val="1"/>
      <w:numFmt w:val="bullet"/>
      <w:lvlText w:val=""/>
      <w:lvlJc w:val="left"/>
      <w:pPr>
        <w:ind w:left="4680" w:hanging="360"/>
      </w:pPr>
      <w:rPr>
        <w:rFonts w:ascii="Symbol" w:hAnsi="Symbol" w:hint="default"/>
      </w:rPr>
    </w:lvl>
    <w:lvl w:ilvl="7" w:tplc="30B278A2">
      <w:start w:val="1"/>
      <w:numFmt w:val="bullet"/>
      <w:lvlText w:val="o"/>
      <w:lvlJc w:val="left"/>
      <w:pPr>
        <w:ind w:left="5400" w:hanging="360"/>
      </w:pPr>
      <w:rPr>
        <w:rFonts w:ascii="Courier New" w:hAnsi="Courier New" w:hint="default"/>
      </w:rPr>
    </w:lvl>
    <w:lvl w:ilvl="8" w:tplc="430C8D5E">
      <w:start w:val="1"/>
      <w:numFmt w:val="bullet"/>
      <w:lvlText w:val=""/>
      <w:lvlJc w:val="left"/>
      <w:pPr>
        <w:ind w:left="6120" w:hanging="360"/>
      </w:pPr>
      <w:rPr>
        <w:rFonts w:ascii="Wingdings" w:hAnsi="Wingdings" w:hint="default"/>
      </w:rPr>
    </w:lvl>
  </w:abstractNum>
  <w:abstractNum w:abstractNumId="23" w15:restartNumberingAfterBreak="0">
    <w:nsid w:val="3C8C172E"/>
    <w:multiLevelType w:val="hybridMultilevel"/>
    <w:tmpl w:val="F704E032"/>
    <w:lvl w:ilvl="0" w:tplc="6DD4FCAC">
      <w:start w:val="1"/>
      <w:numFmt w:val="decimal"/>
      <w:lvlText w:val="%1)"/>
      <w:lvlJc w:val="left"/>
      <w:pPr>
        <w:ind w:left="1020" w:hanging="360"/>
      </w:pPr>
    </w:lvl>
    <w:lvl w:ilvl="1" w:tplc="F7E0FE4A">
      <w:start w:val="1"/>
      <w:numFmt w:val="decimal"/>
      <w:lvlText w:val="%2)"/>
      <w:lvlJc w:val="left"/>
      <w:pPr>
        <w:ind w:left="1020" w:hanging="360"/>
      </w:pPr>
    </w:lvl>
    <w:lvl w:ilvl="2" w:tplc="EB326432">
      <w:start w:val="1"/>
      <w:numFmt w:val="decimal"/>
      <w:lvlText w:val="%3)"/>
      <w:lvlJc w:val="left"/>
      <w:pPr>
        <w:ind w:left="1020" w:hanging="360"/>
      </w:pPr>
    </w:lvl>
    <w:lvl w:ilvl="3" w:tplc="5B125100">
      <w:start w:val="1"/>
      <w:numFmt w:val="decimal"/>
      <w:lvlText w:val="%4)"/>
      <w:lvlJc w:val="left"/>
      <w:pPr>
        <w:ind w:left="1020" w:hanging="360"/>
      </w:pPr>
    </w:lvl>
    <w:lvl w:ilvl="4" w:tplc="052A8030">
      <w:start w:val="1"/>
      <w:numFmt w:val="decimal"/>
      <w:lvlText w:val="%5)"/>
      <w:lvlJc w:val="left"/>
      <w:pPr>
        <w:ind w:left="1020" w:hanging="360"/>
      </w:pPr>
    </w:lvl>
    <w:lvl w:ilvl="5" w:tplc="3EE426EE">
      <w:start w:val="1"/>
      <w:numFmt w:val="decimal"/>
      <w:lvlText w:val="%6)"/>
      <w:lvlJc w:val="left"/>
      <w:pPr>
        <w:ind w:left="1020" w:hanging="360"/>
      </w:pPr>
    </w:lvl>
    <w:lvl w:ilvl="6" w:tplc="F4506C00">
      <w:start w:val="1"/>
      <w:numFmt w:val="decimal"/>
      <w:lvlText w:val="%7)"/>
      <w:lvlJc w:val="left"/>
      <w:pPr>
        <w:ind w:left="1020" w:hanging="360"/>
      </w:pPr>
    </w:lvl>
    <w:lvl w:ilvl="7" w:tplc="94E4697E">
      <w:start w:val="1"/>
      <w:numFmt w:val="decimal"/>
      <w:lvlText w:val="%8)"/>
      <w:lvlJc w:val="left"/>
      <w:pPr>
        <w:ind w:left="1020" w:hanging="360"/>
      </w:pPr>
    </w:lvl>
    <w:lvl w:ilvl="8" w:tplc="73981E3A">
      <w:start w:val="1"/>
      <w:numFmt w:val="decimal"/>
      <w:lvlText w:val="%9)"/>
      <w:lvlJc w:val="left"/>
      <w:pPr>
        <w:ind w:left="1020" w:hanging="360"/>
      </w:pPr>
    </w:lvl>
  </w:abstractNum>
  <w:abstractNum w:abstractNumId="24" w15:restartNumberingAfterBreak="0">
    <w:nsid w:val="3D1D460B"/>
    <w:multiLevelType w:val="hybridMultilevel"/>
    <w:tmpl w:val="8BA2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F146F2"/>
    <w:multiLevelType w:val="hybridMultilevel"/>
    <w:tmpl w:val="01F8F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0928C1"/>
    <w:multiLevelType w:val="hybridMultilevel"/>
    <w:tmpl w:val="8916B98E"/>
    <w:lvl w:ilvl="0" w:tplc="2BAE187A">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3292DD7"/>
    <w:multiLevelType w:val="multilevel"/>
    <w:tmpl w:val="7854B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433B73CD"/>
    <w:multiLevelType w:val="hybridMultilevel"/>
    <w:tmpl w:val="A0348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7567C9"/>
    <w:multiLevelType w:val="hybridMultilevel"/>
    <w:tmpl w:val="7984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D6895"/>
    <w:multiLevelType w:val="hybridMultilevel"/>
    <w:tmpl w:val="0FB03BAE"/>
    <w:lvl w:ilvl="0" w:tplc="0E6A4D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6B66E7D"/>
    <w:multiLevelType w:val="hybridMultilevel"/>
    <w:tmpl w:val="B488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5F18B4"/>
    <w:multiLevelType w:val="hybridMultilevel"/>
    <w:tmpl w:val="FD60D374"/>
    <w:lvl w:ilvl="0" w:tplc="885832D6">
      <w:start w:val="1"/>
      <w:numFmt w:val="bullet"/>
      <w:lvlText w:val="·"/>
      <w:lvlJc w:val="left"/>
      <w:pPr>
        <w:ind w:left="720" w:hanging="360"/>
      </w:pPr>
      <w:rPr>
        <w:rFonts w:ascii="Symbol" w:hAnsi="Symbol" w:hint="default"/>
      </w:rPr>
    </w:lvl>
    <w:lvl w:ilvl="1" w:tplc="94F86256">
      <w:start w:val="1"/>
      <w:numFmt w:val="bullet"/>
      <w:lvlText w:val="o"/>
      <w:lvlJc w:val="left"/>
      <w:pPr>
        <w:ind w:left="1440" w:hanging="360"/>
      </w:pPr>
      <w:rPr>
        <w:rFonts w:ascii="Courier New" w:hAnsi="Courier New" w:hint="default"/>
      </w:rPr>
    </w:lvl>
    <w:lvl w:ilvl="2" w:tplc="0ACCA032">
      <w:start w:val="1"/>
      <w:numFmt w:val="bullet"/>
      <w:lvlText w:val=""/>
      <w:lvlJc w:val="left"/>
      <w:pPr>
        <w:ind w:left="2160" w:hanging="360"/>
      </w:pPr>
      <w:rPr>
        <w:rFonts w:ascii="Wingdings" w:hAnsi="Wingdings" w:hint="default"/>
      </w:rPr>
    </w:lvl>
    <w:lvl w:ilvl="3" w:tplc="3C5ACCF2">
      <w:start w:val="1"/>
      <w:numFmt w:val="bullet"/>
      <w:lvlText w:val=""/>
      <w:lvlJc w:val="left"/>
      <w:pPr>
        <w:ind w:left="2880" w:hanging="360"/>
      </w:pPr>
      <w:rPr>
        <w:rFonts w:ascii="Symbol" w:hAnsi="Symbol" w:hint="default"/>
      </w:rPr>
    </w:lvl>
    <w:lvl w:ilvl="4" w:tplc="DC88D1C8">
      <w:start w:val="1"/>
      <w:numFmt w:val="bullet"/>
      <w:lvlText w:val="o"/>
      <w:lvlJc w:val="left"/>
      <w:pPr>
        <w:ind w:left="3600" w:hanging="360"/>
      </w:pPr>
      <w:rPr>
        <w:rFonts w:ascii="Courier New" w:hAnsi="Courier New" w:hint="default"/>
      </w:rPr>
    </w:lvl>
    <w:lvl w:ilvl="5" w:tplc="7D0EE288">
      <w:start w:val="1"/>
      <w:numFmt w:val="bullet"/>
      <w:lvlText w:val=""/>
      <w:lvlJc w:val="left"/>
      <w:pPr>
        <w:ind w:left="4320" w:hanging="360"/>
      </w:pPr>
      <w:rPr>
        <w:rFonts w:ascii="Wingdings" w:hAnsi="Wingdings" w:hint="default"/>
      </w:rPr>
    </w:lvl>
    <w:lvl w:ilvl="6" w:tplc="07047AC0">
      <w:start w:val="1"/>
      <w:numFmt w:val="bullet"/>
      <w:lvlText w:val=""/>
      <w:lvlJc w:val="left"/>
      <w:pPr>
        <w:ind w:left="5040" w:hanging="360"/>
      </w:pPr>
      <w:rPr>
        <w:rFonts w:ascii="Symbol" w:hAnsi="Symbol" w:hint="default"/>
      </w:rPr>
    </w:lvl>
    <w:lvl w:ilvl="7" w:tplc="7D6C1872">
      <w:start w:val="1"/>
      <w:numFmt w:val="bullet"/>
      <w:lvlText w:val="o"/>
      <w:lvlJc w:val="left"/>
      <w:pPr>
        <w:ind w:left="5760" w:hanging="360"/>
      </w:pPr>
      <w:rPr>
        <w:rFonts w:ascii="Courier New" w:hAnsi="Courier New" w:hint="default"/>
      </w:rPr>
    </w:lvl>
    <w:lvl w:ilvl="8" w:tplc="15908B44">
      <w:start w:val="1"/>
      <w:numFmt w:val="bullet"/>
      <w:lvlText w:val=""/>
      <w:lvlJc w:val="left"/>
      <w:pPr>
        <w:ind w:left="6480" w:hanging="360"/>
      </w:pPr>
      <w:rPr>
        <w:rFonts w:ascii="Wingdings" w:hAnsi="Wingdings" w:hint="default"/>
      </w:rPr>
    </w:lvl>
  </w:abstractNum>
  <w:abstractNum w:abstractNumId="33" w15:restartNumberingAfterBreak="0">
    <w:nsid w:val="4BD6A85F"/>
    <w:multiLevelType w:val="hybridMultilevel"/>
    <w:tmpl w:val="FFFFFFFF"/>
    <w:lvl w:ilvl="0" w:tplc="A1EA1870">
      <w:start w:val="1"/>
      <w:numFmt w:val="decimal"/>
      <w:lvlText w:val="%1."/>
      <w:lvlJc w:val="left"/>
      <w:pPr>
        <w:ind w:left="720" w:hanging="360"/>
      </w:pPr>
    </w:lvl>
    <w:lvl w:ilvl="1" w:tplc="F8CA0EF8">
      <w:start w:val="1"/>
      <w:numFmt w:val="lowerLetter"/>
      <w:lvlText w:val="%2."/>
      <w:lvlJc w:val="left"/>
      <w:pPr>
        <w:ind w:left="1440" w:hanging="360"/>
      </w:pPr>
    </w:lvl>
    <w:lvl w:ilvl="2" w:tplc="A642BA90">
      <w:start w:val="1"/>
      <w:numFmt w:val="lowerRoman"/>
      <w:lvlText w:val="%3."/>
      <w:lvlJc w:val="right"/>
      <w:pPr>
        <w:ind w:left="2160" w:hanging="180"/>
      </w:pPr>
    </w:lvl>
    <w:lvl w:ilvl="3" w:tplc="A412CE84">
      <w:start w:val="1"/>
      <w:numFmt w:val="decimal"/>
      <w:lvlText w:val="%4."/>
      <w:lvlJc w:val="left"/>
      <w:pPr>
        <w:ind w:left="2880" w:hanging="360"/>
      </w:pPr>
    </w:lvl>
    <w:lvl w:ilvl="4" w:tplc="2F7E7796">
      <w:start w:val="1"/>
      <w:numFmt w:val="lowerLetter"/>
      <w:lvlText w:val="%5."/>
      <w:lvlJc w:val="left"/>
      <w:pPr>
        <w:ind w:left="3600" w:hanging="360"/>
      </w:pPr>
    </w:lvl>
    <w:lvl w:ilvl="5" w:tplc="2BE2C5E2">
      <w:start w:val="1"/>
      <w:numFmt w:val="lowerRoman"/>
      <w:lvlText w:val="%6."/>
      <w:lvlJc w:val="right"/>
      <w:pPr>
        <w:ind w:left="4320" w:hanging="180"/>
      </w:pPr>
    </w:lvl>
    <w:lvl w:ilvl="6" w:tplc="29B2202E">
      <w:start w:val="1"/>
      <w:numFmt w:val="decimal"/>
      <w:lvlText w:val="%7."/>
      <w:lvlJc w:val="left"/>
      <w:pPr>
        <w:ind w:left="5040" w:hanging="360"/>
      </w:pPr>
    </w:lvl>
    <w:lvl w:ilvl="7" w:tplc="052CE9F6">
      <w:start w:val="1"/>
      <w:numFmt w:val="lowerLetter"/>
      <w:lvlText w:val="%8."/>
      <w:lvlJc w:val="left"/>
      <w:pPr>
        <w:ind w:left="5760" w:hanging="360"/>
      </w:pPr>
    </w:lvl>
    <w:lvl w:ilvl="8" w:tplc="11148CF8">
      <w:start w:val="1"/>
      <w:numFmt w:val="lowerRoman"/>
      <w:lvlText w:val="%9."/>
      <w:lvlJc w:val="right"/>
      <w:pPr>
        <w:ind w:left="6480" w:hanging="180"/>
      </w:pPr>
    </w:lvl>
  </w:abstractNum>
  <w:abstractNum w:abstractNumId="34" w15:restartNumberingAfterBreak="0">
    <w:nsid w:val="4DBA12A9"/>
    <w:multiLevelType w:val="hybridMultilevel"/>
    <w:tmpl w:val="4532FB8A"/>
    <w:lvl w:ilvl="0" w:tplc="8A4037EE">
      <w:start w:val="1"/>
      <w:numFmt w:val="lowerLetter"/>
      <w:lvlText w:val="%1)"/>
      <w:lvlJc w:val="left"/>
      <w:pPr>
        <w:ind w:left="1020" w:hanging="360"/>
      </w:pPr>
    </w:lvl>
    <w:lvl w:ilvl="1" w:tplc="F20A1B4C">
      <w:start w:val="1"/>
      <w:numFmt w:val="lowerLetter"/>
      <w:lvlText w:val="%2)"/>
      <w:lvlJc w:val="left"/>
      <w:pPr>
        <w:ind w:left="1020" w:hanging="360"/>
      </w:pPr>
    </w:lvl>
    <w:lvl w:ilvl="2" w:tplc="A3C2B4BA">
      <w:start w:val="1"/>
      <w:numFmt w:val="lowerLetter"/>
      <w:lvlText w:val="%3)"/>
      <w:lvlJc w:val="left"/>
      <w:pPr>
        <w:ind w:left="1020" w:hanging="360"/>
      </w:pPr>
    </w:lvl>
    <w:lvl w:ilvl="3" w:tplc="F3FE16B2">
      <w:start w:val="1"/>
      <w:numFmt w:val="lowerLetter"/>
      <w:lvlText w:val="%4)"/>
      <w:lvlJc w:val="left"/>
      <w:pPr>
        <w:ind w:left="1020" w:hanging="360"/>
      </w:pPr>
    </w:lvl>
    <w:lvl w:ilvl="4" w:tplc="0FF45526">
      <w:start w:val="1"/>
      <w:numFmt w:val="lowerLetter"/>
      <w:lvlText w:val="%5)"/>
      <w:lvlJc w:val="left"/>
      <w:pPr>
        <w:ind w:left="1020" w:hanging="360"/>
      </w:pPr>
    </w:lvl>
    <w:lvl w:ilvl="5" w:tplc="EE140086">
      <w:start w:val="1"/>
      <w:numFmt w:val="lowerLetter"/>
      <w:lvlText w:val="%6)"/>
      <w:lvlJc w:val="left"/>
      <w:pPr>
        <w:ind w:left="1020" w:hanging="360"/>
      </w:pPr>
    </w:lvl>
    <w:lvl w:ilvl="6" w:tplc="7D86004C">
      <w:start w:val="1"/>
      <w:numFmt w:val="lowerLetter"/>
      <w:lvlText w:val="%7)"/>
      <w:lvlJc w:val="left"/>
      <w:pPr>
        <w:ind w:left="1020" w:hanging="360"/>
      </w:pPr>
    </w:lvl>
    <w:lvl w:ilvl="7" w:tplc="C40ECB8E">
      <w:start w:val="1"/>
      <w:numFmt w:val="lowerLetter"/>
      <w:lvlText w:val="%8)"/>
      <w:lvlJc w:val="left"/>
      <w:pPr>
        <w:ind w:left="1020" w:hanging="360"/>
      </w:pPr>
    </w:lvl>
    <w:lvl w:ilvl="8" w:tplc="7D26868E">
      <w:start w:val="1"/>
      <w:numFmt w:val="lowerLetter"/>
      <w:lvlText w:val="%9)"/>
      <w:lvlJc w:val="left"/>
      <w:pPr>
        <w:ind w:left="1020" w:hanging="360"/>
      </w:pPr>
    </w:lvl>
  </w:abstractNum>
  <w:abstractNum w:abstractNumId="35" w15:restartNumberingAfterBreak="0">
    <w:nsid w:val="4EF60235"/>
    <w:multiLevelType w:val="hybridMultilevel"/>
    <w:tmpl w:val="AE78D9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104C46"/>
    <w:multiLevelType w:val="hybridMultilevel"/>
    <w:tmpl w:val="E326CB6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1F020FC"/>
    <w:multiLevelType w:val="multilevel"/>
    <w:tmpl w:val="37D678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2043518"/>
    <w:multiLevelType w:val="hybridMultilevel"/>
    <w:tmpl w:val="CBB0D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3911B6B"/>
    <w:multiLevelType w:val="hybridMultilevel"/>
    <w:tmpl w:val="6B5AEB20"/>
    <w:lvl w:ilvl="0" w:tplc="0ADAD2B0">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4B901B4"/>
    <w:multiLevelType w:val="hybridMultilevel"/>
    <w:tmpl w:val="452C4078"/>
    <w:lvl w:ilvl="0" w:tplc="CE04F29A">
      <w:start w:val="1"/>
      <w:numFmt w:val="decimal"/>
      <w:lvlText w:val="%1."/>
      <w:lvlJc w:val="left"/>
      <w:pPr>
        <w:ind w:left="720" w:hanging="360"/>
      </w:pPr>
    </w:lvl>
    <w:lvl w:ilvl="1" w:tplc="A0D2269E">
      <w:start w:val="1"/>
      <w:numFmt w:val="lowerLetter"/>
      <w:lvlText w:val="%2."/>
      <w:lvlJc w:val="left"/>
      <w:pPr>
        <w:ind w:left="1440" w:hanging="360"/>
      </w:pPr>
    </w:lvl>
    <w:lvl w:ilvl="2" w:tplc="FBEE979A">
      <w:start w:val="1"/>
      <w:numFmt w:val="lowerRoman"/>
      <w:lvlText w:val="%3."/>
      <w:lvlJc w:val="right"/>
      <w:pPr>
        <w:ind w:left="2160" w:hanging="180"/>
      </w:pPr>
    </w:lvl>
    <w:lvl w:ilvl="3" w:tplc="7AFA58F4">
      <w:start w:val="1"/>
      <w:numFmt w:val="decimal"/>
      <w:lvlText w:val="%4."/>
      <w:lvlJc w:val="left"/>
      <w:pPr>
        <w:ind w:left="2880" w:hanging="360"/>
      </w:pPr>
    </w:lvl>
    <w:lvl w:ilvl="4" w:tplc="14487976">
      <w:start w:val="1"/>
      <w:numFmt w:val="lowerLetter"/>
      <w:lvlText w:val="%5."/>
      <w:lvlJc w:val="left"/>
      <w:pPr>
        <w:ind w:left="3600" w:hanging="360"/>
      </w:pPr>
    </w:lvl>
    <w:lvl w:ilvl="5" w:tplc="262A9BBC">
      <w:start w:val="1"/>
      <w:numFmt w:val="lowerRoman"/>
      <w:lvlText w:val="%6."/>
      <w:lvlJc w:val="right"/>
      <w:pPr>
        <w:ind w:left="4320" w:hanging="180"/>
      </w:pPr>
    </w:lvl>
    <w:lvl w:ilvl="6" w:tplc="256C0058">
      <w:start w:val="1"/>
      <w:numFmt w:val="decimal"/>
      <w:lvlText w:val="%7."/>
      <w:lvlJc w:val="left"/>
      <w:pPr>
        <w:ind w:left="5040" w:hanging="360"/>
      </w:pPr>
    </w:lvl>
    <w:lvl w:ilvl="7" w:tplc="ABFC6476">
      <w:start w:val="1"/>
      <w:numFmt w:val="lowerLetter"/>
      <w:lvlText w:val="%8."/>
      <w:lvlJc w:val="left"/>
      <w:pPr>
        <w:ind w:left="5760" w:hanging="360"/>
      </w:pPr>
    </w:lvl>
    <w:lvl w:ilvl="8" w:tplc="709C7F10">
      <w:start w:val="1"/>
      <w:numFmt w:val="lowerRoman"/>
      <w:lvlText w:val="%9."/>
      <w:lvlJc w:val="right"/>
      <w:pPr>
        <w:ind w:left="6480" w:hanging="180"/>
      </w:pPr>
    </w:lvl>
  </w:abstractNum>
  <w:abstractNum w:abstractNumId="41" w15:restartNumberingAfterBreak="0">
    <w:nsid w:val="5E9D7009"/>
    <w:multiLevelType w:val="hybridMultilevel"/>
    <w:tmpl w:val="A6FE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0920AC"/>
    <w:multiLevelType w:val="hybridMultilevel"/>
    <w:tmpl w:val="0CCC7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CB575F"/>
    <w:multiLevelType w:val="hybridMultilevel"/>
    <w:tmpl w:val="9ED4AB42"/>
    <w:lvl w:ilvl="0" w:tplc="90989616">
      <w:start w:val="1"/>
      <w:numFmt w:val="bullet"/>
      <w:lvlText w:val=""/>
      <w:lvlJc w:val="left"/>
      <w:pPr>
        <w:ind w:left="720" w:hanging="360"/>
      </w:pPr>
      <w:rPr>
        <w:rFonts w:ascii="Symbol" w:hAnsi="Symbol" w:hint="default"/>
      </w:rPr>
    </w:lvl>
    <w:lvl w:ilvl="1" w:tplc="4CEA19E8">
      <w:start w:val="1"/>
      <w:numFmt w:val="bullet"/>
      <w:lvlText w:val="o"/>
      <w:lvlJc w:val="left"/>
      <w:pPr>
        <w:ind w:left="1440" w:hanging="360"/>
      </w:pPr>
      <w:rPr>
        <w:rFonts w:ascii="Courier New" w:hAnsi="Courier New" w:hint="default"/>
      </w:rPr>
    </w:lvl>
    <w:lvl w:ilvl="2" w:tplc="5F68A984">
      <w:start w:val="1"/>
      <w:numFmt w:val="bullet"/>
      <w:lvlText w:val=""/>
      <w:lvlJc w:val="left"/>
      <w:pPr>
        <w:ind w:left="2160" w:hanging="360"/>
      </w:pPr>
      <w:rPr>
        <w:rFonts w:ascii="Wingdings" w:hAnsi="Wingdings" w:hint="default"/>
      </w:rPr>
    </w:lvl>
    <w:lvl w:ilvl="3" w:tplc="C9009EAA">
      <w:start w:val="1"/>
      <w:numFmt w:val="bullet"/>
      <w:lvlText w:val=""/>
      <w:lvlJc w:val="left"/>
      <w:pPr>
        <w:ind w:left="2880" w:hanging="360"/>
      </w:pPr>
      <w:rPr>
        <w:rFonts w:ascii="Symbol" w:hAnsi="Symbol" w:hint="default"/>
      </w:rPr>
    </w:lvl>
    <w:lvl w:ilvl="4" w:tplc="4E42D0B8">
      <w:start w:val="1"/>
      <w:numFmt w:val="bullet"/>
      <w:lvlText w:val="o"/>
      <w:lvlJc w:val="left"/>
      <w:pPr>
        <w:ind w:left="3600" w:hanging="360"/>
      </w:pPr>
      <w:rPr>
        <w:rFonts w:ascii="Courier New" w:hAnsi="Courier New" w:hint="default"/>
      </w:rPr>
    </w:lvl>
    <w:lvl w:ilvl="5" w:tplc="AD9CB486">
      <w:start w:val="1"/>
      <w:numFmt w:val="bullet"/>
      <w:lvlText w:val=""/>
      <w:lvlJc w:val="left"/>
      <w:pPr>
        <w:ind w:left="4320" w:hanging="360"/>
      </w:pPr>
      <w:rPr>
        <w:rFonts w:ascii="Wingdings" w:hAnsi="Wingdings" w:hint="default"/>
      </w:rPr>
    </w:lvl>
    <w:lvl w:ilvl="6" w:tplc="EE7254F2">
      <w:start w:val="1"/>
      <w:numFmt w:val="bullet"/>
      <w:lvlText w:val=""/>
      <w:lvlJc w:val="left"/>
      <w:pPr>
        <w:ind w:left="5040" w:hanging="360"/>
      </w:pPr>
      <w:rPr>
        <w:rFonts w:ascii="Symbol" w:hAnsi="Symbol" w:hint="default"/>
      </w:rPr>
    </w:lvl>
    <w:lvl w:ilvl="7" w:tplc="60A27AA4">
      <w:start w:val="1"/>
      <w:numFmt w:val="bullet"/>
      <w:lvlText w:val="o"/>
      <w:lvlJc w:val="left"/>
      <w:pPr>
        <w:ind w:left="5760" w:hanging="360"/>
      </w:pPr>
      <w:rPr>
        <w:rFonts w:ascii="Courier New" w:hAnsi="Courier New" w:hint="default"/>
      </w:rPr>
    </w:lvl>
    <w:lvl w:ilvl="8" w:tplc="8B6299DA">
      <w:start w:val="1"/>
      <w:numFmt w:val="bullet"/>
      <w:lvlText w:val=""/>
      <w:lvlJc w:val="left"/>
      <w:pPr>
        <w:ind w:left="6480" w:hanging="360"/>
      </w:pPr>
      <w:rPr>
        <w:rFonts w:ascii="Wingdings" w:hAnsi="Wingdings" w:hint="default"/>
      </w:rPr>
    </w:lvl>
  </w:abstractNum>
  <w:abstractNum w:abstractNumId="44" w15:restartNumberingAfterBreak="0">
    <w:nsid w:val="609FDBE9"/>
    <w:multiLevelType w:val="hybridMultilevel"/>
    <w:tmpl w:val="37D43970"/>
    <w:lvl w:ilvl="0" w:tplc="D1461748">
      <w:start w:val="1"/>
      <w:numFmt w:val="decimal"/>
      <w:lvlText w:val="%1."/>
      <w:lvlJc w:val="left"/>
      <w:pPr>
        <w:ind w:left="720" w:hanging="360"/>
      </w:pPr>
    </w:lvl>
    <w:lvl w:ilvl="1" w:tplc="678CBF0E">
      <w:start w:val="1"/>
      <w:numFmt w:val="lowerLetter"/>
      <w:lvlText w:val="%2."/>
      <w:lvlJc w:val="left"/>
      <w:pPr>
        <w:ind w:left="1440" w:hanging="360"/>
      </w:pPr>
    </w:lvl>
    <w:lvl w:ilvl="2" w:tplc="35321B3A">
      <w:start w:val="1"/>
      <w:numFmt w:val="lowerRoman"/>
      <w:lvlText w:val="%3."/>
      <w:lvlJc w:val="right"/>
      <w:pPr>
        <w:ind w:left="2160" w:hanging="180"/>
      </w:pPr>
    </w:lvl>
    <w:lvl w:ilvl="3" w:tplc="C316C92C">
      <w:start w:val="1"/>
      <w:numFmt w:val="decimal"/>
      <w:lvlText w:val="%4."/>
      <w:lvlJc w:val="left"/>
      <w:pPr>
        <w:ind w:left="2880" w:hanging="360"/>
      </w:pPr>
    </w:lvl>
    <w:lvl w:ilvl="4" w:tplc="3E34B30C">
      <w:start w:val="1"/>
      <w:numFmt w:val="lowerLetter"/>
      <w:lvlText w:val="%5."/>
      <w:lvlJc w:val="left"/>
      <w:pPr>
        <w:ind w:left="3600" w:hanging="360"/>
      </w:pPr>
    </w:lvl>
    <w:lvl w:ilvl="5" w:tplc="861EBCD4">
      <w:start w:val="1"/>
      <w:numFmt w:val="lowerRoman"/>
      <w:lvlText w:val="%6."/>
      <w:lvlJc w:val="right"/>
      <w:pPr>
        <w:ind w:left="4320" w:hanging="180"/>
      </w:pPr>
    </w:lvl>
    <w:lvl w:ilvl="6" w:tplc="B9187B16">
      <w:start w:val="1"/>
      <w:numFmt w:val="decimal"/>
      <w:lvlText w:val="%7."/>
      <w:lvlJc w:val="left"/>
      <w:pPr>
        <w:ind w:left="5040" w:hanging="360"/>
      </w:pPr>
    </w:lvl>
    <w:lvl w:ilvl="7" w:tplc="7E84F04A">
      <w:start w:val="1"/>
      <w:numFmt w:val="lowerLetter"/>
      <w:lvlText w:val="%8."/>
      <w:lvlJc w:val="left"/>
      <w:pPr>
        <w:ind w:left="5760" w:hanging="360"/>
      </w:pPr>
    </w:lvl>
    <w:lvl w:ilvl="8" w:tplc="E6C814C8">
      <w:start w:val="1"/>
      <w:numFmt w:val="lowerRoman"/>
      <w:lvlText w:val="%9."/>
      <w:lvlJc w:val="right"/>
      <w:pPr>
        <w:ind w:left="6480" w:hanging="180"/>
      </w:pPr>
    </w:lvl>
  </w:abstractNum>
  <w:abstractNum w:abstractNumId="45" w15:restartNumberingAfterBreak="0">
    <w:nsid w:val="6A5E6DCE"/>
    <w:multiLevelType w:val="hybridMultilevel"/>
    <w:tmpl w:val="8E2E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3A4C6B"/>
    <w:multiLevelType w:val="hybridMultilevel"/>
    <w:tmpl w:val="C94E3AE6"/>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E37746E"/>
    <w:multiLevelType w:val="multilevel"/>
    <w:tmpl w:val="E9C6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482097"/>
    <w:multiLevelType w:val="hybridMultilevel"/>
    <w:tmpl w:val="FB8A7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E910B06"/>
    <w:multiLevelType w:val="hybridMultilevel"/>
    <w:tmpl w:val="1122B1EA"/>
    <w:lvl w:ilvl="0" w:tplc="E98AF4D6">
      <w:start w:val="1"/>
      <w:numFmt w:val="decimal"/>
      <w:lvlText w:val="%1)"/>
      <w:lvlJc w:val="left"/>
      <w:pPr>
        <w:ind w:left="1020" w:hanging="360"/>
      </w:pPr>
    </w:lvl>
    <w:lvl w:ilvl="1" w:tplc="46A2293E">
      <w:start w:val="1"/>
      <w:numFmt w:val="decimal"/>
      <w:lvlText w:val="%2)"/>
      <w:lvlJc w:val="left"/>
      <w:pPr>
        <w:ind w:left="1020" w:hanging="360"/>
      </w:pPr>
    </w:lvl>
    <w:lvl w:ilvl="2" w:tplc="AC38961A">
      <w:start w:val="1"/>
      <w:numFmt w:val="decimal"/>
      <w:lvlText w:val="%3)"/>
      <w:lvlJc w:val="left"/>
      <w:pPr>
        <w:ind w:left="1020" w:hanging="360"/>
      </w:pPr>
    </w:lvl>
    <w:lvl w:ilvl="3" w:tplc="FB28CF4E">
      <w:start w:val="1"/>
      <w:numFmt w:val="decimal"/>
      <w:lvlText w:val="%4)"/>
      <w:lvlJc w:val="left"/>
      <w:pPr>
        <w:ind w:left="1020" w:hanging="360"/>
      </w:pPr>
    </w:lvl>
    <w:lvl w:ilvl="4" w:tplc="64A20ACE">
      <w:start w:val="1"/>
      <w:numFmt w:val="decimal"/>
      <w:lvlText w:val="%5)"/>
      <w:lvlJc w:val="left"/>
      <w:pPr>
        <w:ind w:left="1020" w:hanging="360"/>
      </w:pPr>
    </w:lvl>
    <w:lvl w:ilvl="5" w:tplc="E57671B6">
      <w:start w:val="1"/>
      <w:numFmt w:val="decimal"/>
      <w:lvlText w:val="%6)"/>
      <w:lvlJc w:val="left"/>
      <w:pPr>
        <w:ind w:left="1020" w:hanging="360"/>
      </w:pPr>
    </w:lvl>
    <w:lvl w:ilvl="6" w:tplc="D5B28926">
      <w:start w:val="1"/>
      <w:numFmt w:val="decimal"/>
      <w:lvlText w:val="%7)"/>
      <w:lvlJc w:val="left"/>
      <w:pPr>
        <w:ind w:left="1020" w:hanging="360"/>
      </w:pPr>
    </w:lvl>
    <w:lvl w:ilvl="7" w:tplc="E90899BC">
      <w:start w:val="1"/>
      <w:numFmt w:val="decimal"/>
      <w:lvlText w:val="%8)"/>
      <w:lvlJc w:val="left"/>
      <w:pPr>
        <w:ind w:left="1020" w:hanging="360"/>
      </w:pPr>
    </w:lvl>
    <w:lvl w:ilvl="8" w:tplc="54326FDC">
      <w:start w:val="1"/>
      <w:numFmt w:val="decimal"/>
      <w:lvlText w:val="%9)"/>
      <w:lvlJc w:val="left"/>
      <w:pPr>
        <w:ind w:left="1020" w:hanging="360"/>
      </w:pPr>
    </w:lvl>
  </w:abstractNum>
  <w:abstractNum w:abstractNumId="50" w15:restartNumberingAfterBreak="0">
    <w:nsid w:val="6F793612"/>
    <w:multiLevelType w:val="hybridMultilevel"/>
    <w:tmpl w:val="FFFFFFFF"/>
    <w:lvl w:ilvl="0" w:tplc="643CAAC6">
      <w:start w:val="1"/>
      <w:numFmt w:val="bullet"/>
      <w:lvlText w:val="·"/>
      <w:lvlJc w:val="left"/>
      <w:pPr>
        <w:ind w:left="720" w:hanging="360"/>
      </w:pPr>
      <w:rPr>
        <w:rFonts w:ascii="Symbol" w:hAnsi="Symbol" w:hint="default"/>
      </w:rPr>
    </w:lvl>
    <w:lvl w:ilvl="1" w:tplc="FD426D84">
      <w:start w:val="1"/>
      <w:numFmt w:val="bullet"/>
      <w:lvlText w:val="o"/>
      <w:lvlJc w:val="left"/>
      <w:pPr>
        <w:ind w:left="1440" w:hanging="360"/>
      </w:pPr>
      <w:rPr>
        <w:rFonts w:ascii="Courier New" w:hAnsi="Courier New" w:hint="default"/>
      </w:rPr>
    </w:lvl>
    <w:lvl w:ilvl="2" w:tplc="009CC8E0">
      <w:start w:val="1"/>
      <w:numFmt w:val="bullet"/>
      <w:lvlText w:val=""/>
      <w:lvlJc w:val="left"/>
      <w:pPr>
        <w:ind w:left="2160" w:hanging="360"/>
      </w:pPr>
      <w:rPr>
        <w:rFonts w:ascii="Wingdings" w:hAnsi="Wingdings" w:hint="default"/>
      </w:rPr>
    </w:lvl>
    <w:lvl w:ilvl="3" w:tplc="C1068D50">
      <w:start w:val="1"/>
      <w:numFmt w:val="bullet"/>
      <w:lvlText w:val=""/>
      <w:lvlJc w:val="left"/>
      <w:pPr>
        <w:ind w:left="2880" w:hanging="360"/>
      </w:pPr>
      <w:rPr>
        <w:rFonts w:ascii="Symbol" w:hAnsi="Symbol" w:hint="default"/>
      </w:rPr>
    </w:lvl>
    <w:lvl w:ilvl="4" w:tplc="BFC09C5E">
      <w:start w:val="1"/>
      <w:numFmt w:val="bullet"/>
      <w:lvlText w:val="o"/>
      <w:lvlJc w:val="left"/>
      <w:pPr>
        <w:ind w:left="3600" w:hanging="360"/>
      </w:pPr>
      <w:rPr>
        <w:rFonts w:ascii="Courier New" w:hAnsi="Courier New" w:hint="default"/>
      </w:rPr>
    </w:lvl>
    <w:lvl w:ilvl="5" w:tplc="36048944">
      <w:start w:val="1"/>
      <w:numFmt w:val="bullet"/>
      <w:lvlText w:val=""/>
      <w:lvlJc w:val="left"/>
      <w:pPr>
        <w:ind w:left="4320" w:hanging="360"/>
      </w:pPr>
      <w:rPr>
        <w:rFonts w:ascii="Wingdings" w:hAnsi="Wingdings" w:hint="default"/>
      </w:rPr>
    </w:lvl>
    <w:lvl w:ilvl="6" w:tplc="7A162A20">
      <w:start w:val="1"/>
      <w:numFmt w:val="bullet"/>
      <w:lvlText w:val=""/>
      <w:lvlJc w:val="left"/>
      <w:pPr>
        <w:ind w:left="5040" w:hanging="360"/>
      </w:pPr>
      <w:rPr>
        <w:rFonts w:ascii="Symbol" w:hAnsi="Symbol" w:hint="default"/>
      </w:rPr>
    </w:lvl>
    <w:lvl w:ilvl="7" w:tplc="79C4CC68">
      <w:start w:val="1"/>
      <w:numFmt w:val="bullet"/>
      <w:lvlText w:val="o"/>
      <w:lvlJc w:val="left"/>
      <w:pPr>
        <w:ind w:left="5760" w:hanging="360"/>
      </w:pPr>
      <w:rPr>
        <w:rFonts w:ascii="Courier New" w:hAnsi="Courier New" w:hint="default"/>
      </w:rPr>
    </w:lvl>
    <w:lvl w:ilvl="8" w:tplc="67B4E49A">
      <w:start w:val="1"/>
      <w:numFmt w:val="bullet"/>
      <w:lvlText w:val=""/>
      <w:lvlJc w:val="left"/>
      <w:pPr>
        <w:ind w:left="6480" w:hanging="360"/>
      </w:pPr>
      <w:rPr>
        <w:rFonts w:ascii="Wingdings" w:hAnsi="Wingdings" w:hint="default"/>
      </w:rPr>
    </w:lvl>
  </w:abstractNum>
  <w:abstractNum w:abstractNumId="51" w15:restartNumberingAfterBreak="0">
    <w:nsid w:val="71EFE2BA"/>
    <w:multiLevelType w:val="hybridMultilevel"/>
    <w:tmpl w:val="EB1E85D6"/>
    <w:lvl w:ilvl="0" w:tplc="E438F012">
      <w:start w:val="1"/>
      <w:numFmt w:val="decimal"/>
      <w:lvlText w:val="%1."/>
      <w:lvlJc w:val="left"/>
      <w:pPr>
        <w:ind w:left="720" w:hanging="360"/>
      </w:pPr>
    </w:lvl>
    <w:lvl w:ilvl="1" w:tplc="68BC4E98">
      <w:start w:val="1"/>
      <w:numFmt w:val="lowerLetter"/>
      <w:lvlText w:val="%2."/>
      <w:lvlJc w:val="left"/>
      <w:pPr>
        <w:ind w:left="1440" w:hanging="360"/>
      </w:pPr>
    </w:lvl>
    <w:lvl w:ilvl="2" w:tplc="719C0ECE">
      <w:start w:val="1"/>
      <w:numFmt w:val="lowerRoman"/>
      <w:lvlText w:val="%3."/>
      <w:lvlJc w:val="right"/>
      <w:pPr>
        <w:ind w:left="2160" w:hanging="180"/>
      </w:pPr>
    </w:lvl>
    <w:lvl w:ilvl="3" w:tplc="36281D66">
      <w:start w:val="1"/>
      <w:numFmt w:val="decimal"/>
      <w:lvlText w:val="%4."/>
      <w:lvlJc w:val="left"/>
      <w:pPr>
        <w:ind w:left="2880" w:hanging="360"/>
      </w:pPr>
    </w:lvl>
    <w:lvl w:ilvl="4" w:tplc="43BC05EA">
      <w:start w:val="1"/>
      <w:numFmt w:val="lowerLetter"/>
      <w:lvlText w:val="%5."/>
      <w:lvlJc w:val="left"/>
      <w:pPr>
        <w:ind w:left="3600" w:hanging="360"/>
      </w:pPr>
    </w:lvl>
    <w:lvl w:ilvl="5" w:tplc="445257F4">
      <w:start w:val="1"/>
      <w:numFmt w:val="lowerRoman"/>
      <w:lvlText w:val="%6."/>
      <w:lvlJc w:val="right"/>
      <w:pPr>
        <w:ind w:left="4320" w:hanging="180"/>
      </w:pPr>
    </w:lvl>
    <w:lvl w:ilvl="6" w:tplc="C3180AF4">
      <w:start w:val="1"/>
      <w:numFmt w:val="decimal"/>
      <w:lvlText w:val="%7."/>
      <w:lvlJc w:val="left"/>
      <w:pPr>
        <w:ind w:left="5040" w:hanging="360"/>
      </w:pPr>
    </w:lvl>
    <w:lvl w:ilvl="7" w:tplc="B266682E">
      <w:start w:val="1"/>
      <w:numFmt w:val="lowerLetter"/>
      <w:lvlText w:val="%8."/>
      <w:lvlJc w:val="left"/>
      <w:pPr>
        <w:ind w:left="5760" w:hanging="360"/>
      </w:pPr>
    </w:lvl>
    <w:lvl w:ilvl="8" w:tplc="0A0844A6">
      <w:start w:val="1"/>
      <w:numFmt w:val="lowerRoman"/>
      <w:lvlText w:val="%9."/>
      <w:lvlJc w:val="right"/>
      <w:pPr>
        <w:ind w:left="6480" w:hanging="180"/>
      </w:pPr>
    </w:lvl>
  </w:abstractNum>
  <w:abstractNum w:abstractNumId="52" w15:restartNumberingAfterBreak="0">
    <w:nsid w:val="72AE47B7"/>
    <w:multiLevelType w:val="multilevel"/>
    <w:tmpl w:val="E54898A8"/>
    <w:lvl w:ilvl="0">
      <w:start w:val="1"/>
      <w:numFmt w:val="bullet"/>
      <w:lvlText w:val=""/>
      <w:lvlJc w:val="left"/>
      <w:pPr>
        <w:tabs>
          <w:tab w:val="num" w:pos="540"/>
        </w:tabs>
        <w:ind w:left="540" w:hanging="360"/>
      </w:pPr>
      <w:rPr>
        <w:rFonts w:ascii="Symbol" w:hAnsi="Symbol" w:hint="default"/>
        <w:sz w:val="20"/>
      </w:rPr>
    </w:lvl>
    <w:lvl w:ilvl="1">
      <w:start w:val="1"/>
      <w:numFmt w:val="decimal"/>
      <w:lvlText w:val="%2."/>
      <w:lvlJc w:val="left"/>
      <w:pPr>
        <w:ind w:left="540" w:hanging="360"/>
      </w:pPr>
      <w:rPr>
        <w:rFonts w:hint="default"/>
      </w:rPr>
    </w:lvl>
    <w:lvl w:ilvl="2">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53" w15:restartNumberingAfterBreak="0">
    <w:nsid w:val="746B0945"/>
    <w:multiLevelType w:val="hybridMultilevel"/>
    <w:tmpl w:val="A7D08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6C4126A"/>
    <w:multiLevelType w:val="hybridMultilevel"/>
    <w:tmpl w:val="70144C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77941F5"/>
    <w:multiLevelType w:val="hybridMultilevel"/>
    <w:tmpl w:val="2004A40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78B75C89"/>
    <w:multiLevelType w:val="hybridMultilevel"/>
    <w:tmpl w:val="57EA0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BE30B3A"/>
    <w:multiLevelType w:val="hybridMultilevel"/>
    <w:tmpl w:val="B9347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DCD7508"/>
    <w:multiLevelType w:val="hybridMultilevel"/>
    <w:tmpl w:val="15BE704A"/>
    <w:lvl w:ilvl="0" w:tplc="FCCE20D0">
      <w:numFmt w:val="bullet"/>
      <w:lvlText w:val="-"/>
      <w:lvlJc w:val="left"/>
      <w:pPr>
        <w:ind w:left="540" w:hanging="360"/>
      </w:pPr>
      <w:rPr>
        <w:rFonts w:ascii="Aptos" w:eastAsiaTheme="minorHAnsi" w:hAnsi="Aptos" w:cstheme="minorBid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9" w15:restartNumberingAfterBreak="0">
    <w:nsid w:val="7EC80936"/>
    <w:multiLevelType w:val="hybridMultilevel"/>
    <w:tmpl w:val="33B043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F4836BE"/>
    <w:multiLevelType w:val="hybridMultilevel"/>
    <w:tmpl w:val="9B42BE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FDE3D46"/>
    <w:multiLevelType w:val="hybridMultilevel"/>
    <w:tmpl w:val="D9145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473600">
    <w:abstractNumId w:val="22"/>
  </w:num>
  <w:num w:numId="2" w16cid:durableId="1249730256">
    <w:abstractNumId w:val="43"/>
  </w:num>
  <w:num w:numId="3" w16cid:durableId="1730761125">
    <w:abstractNumId w:val="0"/>
  </w:num>
  <w:num w:numId="4" w16cid:durableId="1986885764">
    <w:abstractNumId w:val="12"/>
  </w:num>
  <w:num w:numId="5" w16cid:durableId="1138720096">
    <w:abstractNumId w:val="21"/>
  </w:num>
  <w:num w:numId="6" w16cid:durableId="452987833">
    <w:abstractNumId w:val="16"/>
  </w:num>
  <w:num w:numId="7" w16cid:durableId="2114591236">
    <w:abstractNumId w:val="32"/>
  </w:num>
  <w:num w:numId="8" w16cid:durableId="1167666814">
    <w:abstractNumId w:val="6"/>
  </w:num>
  <w:num w:numId="9" w16cid:durableId="373045573">
    <w:abstractNumId w:val="40"/>
  </w:num>
  <w:num w:numId="10" w16cid:durableId="885992125">
    <w:abstractNumId w:val="11"/>
  </w:num>
  <w:num w:numId="11" w16cid:durableId="1595161946">
    <w:abstractNumId w:val="51"/>
  </w:num>
  <w:num w:numId="12" w16cid:durableId="1392382369">
    <w:abstractNumId w:val="44"/>
  </w:num>
  <w:num w:numId="13" w16cid:durableId="714811510">
    <w:abstractNumId w:val="8"/>
  </w:num>
  <w:num w:numId="14" w16cid:durableId="96605478">
    <w:abstractNumId w:val="53"/>
  </w:num>
  <w:num w:numId="15" w16cid:durableId="75054737">
    <w:abstractNumId w:val="37"/>
  </w:num>
  <w:num w:numId="16" w16cid:durableId="121309946">
    <w:abstractNumId w:val="17"/>
  </w:num>
  <w:num w:numId="17" w16cid:durableId="538510865">
    <w:abstractNumId w:val="57"/>
  </w:num>
  <w:num w:numId="18" w16cid:durableId="699088741">
    <w:abstractNumId w:val="24"/>
  </w:num>
  <w:num w:numId="19" w16cid:durableId="1159031538">
    <w:abstractNumId w:val="10"/>
  </w:num>
  <w:num w:numId="20" w16cid:durableId="1930117092">
    <w:abstractNumId w:val="31"/>
  </w:num>
  <w:num w:numId="21" w16cid:durableId="1591155946">
    <w:abstractNumId w:val="45"/>
  </w:num>
  <w:num w:numId="22" w16cid:durableId="688068190">
    <w:abstractNumId w:val="29"/>
  </w:num>
  <w:num w:numId="23" w16cid:durableId="1060592651">
    <w:abstractNumId w:val="35"/>
  </w:num>
  <w:num w:numId="24" w16cid:durableId="2090687797">
    <w:abstractNumId w:val="3"/>
  </w:num>
  <w:num w:numId="25" w16cid:durableId="423501058">
    <w:abstractNumId w:val="55"/>
  </w:num>
  <w:num w:numId="26" w16cid:durableId="214393507">
    <w:abstractNumId w:val="18"/>
  </w:num>
  <w:num w:numId="27" w16cid:durableId="102573393">
    <w:abstractNumId w:val="41"/>
  </w:num>
  <w:num w:numId="28" w16cid:durableId="1451320900">
    <w:abstractNumId w:val="59"/>
  </w:num>
  <w:num w:numId="29" w16cid:durableId="1297178308">
    <w:abstractNumId w:val="28"/>
  </w:num>
  <w:num w:numId="30" w16cid:durableId="1693653102">
    <w:abstractNumId w:val="46"/>
  </w:num>
  <w:num w:numId="31" w16cid:durableId="802692241">
    <w:abstractNumId w:val="1"/>
  </w:num>
  <w:num w:numId="32" w16cid:durableId="1879774490">
    <w:abstractNumId w:val="33"/>
  </w:num>
  <w:num w:numId="33" w16cid:durableId="529100967">
    <w:abstractNumId w:val="7"/>
  </w:num>
  <w:num w:numId="34" w16cid:durableId="1397581631">
    <w:abstractNumId w:val="49"/>
  </w:num>
  <w:num w:numId="35" w16cid:durableId="959409615">
    <w:abstractNumId w:val="4"/>
  </w:num>
  <w:num w:numId="36" w16cid:durableId="1079448856">
    <w:abstractNumId w:val="15"/>
  </w:num>
  <w:num w:numId="37" w16cid:durableId="197285180">
    <w:abstractNumId w:val="23"/>
  </w:num>
  <w:num w:numId="38" w16cid:durableId="1675256785">
    <w:abstractNumId w:val="13"/>
  </w:num>
  <w:num w:numId="39" w16cid:durableId="727844158">
    <w:abstractNumId w:val="38"/>
  </w:num>
  <w:num w:numId="40" w16cid:durableId="1883401763">
    <w:abstractNumId w:val="56"/>
  </w:num>
  <w:num w:numId="41" w16cid:durableId="2106611773">
    <w:abstractNumId w:val="2"/>
  </w:num>
  <w:num w:numId="42" w16cid:durableId="393894807">
    <w:abstractNumId w:val="39"/>
  </w:num>
  <w:num w:numId="43" w16cid:durableId="1796755193">
    <w:abstractNumId w:val="48"/>
  </w:num>
  <w:num w:numId="44" w16cid:durableId="1738167670">
    <w:abstractNumId w:val="27"/>
  </w:num>
  <w:num w:numId="45" w16cid:durableId="1326788088">
    <w:abstractNumId w:val="25"/>
  </w:num>
  <w:num w:numId="46" w16cid:durableId="1412315930">
    <w:abstractNumId w:val="50"/>
  </w:num>
  <w:num w:numId="47" w16cid:durableId="1639798519">
    <w:abstractNumId w:val="5"/>
  </w:num>
  <w:num w:numId="48" w16cid:durableId="1637224883">
    <w:abstractNumId w:val="52"/>
  </w:num>
  <w:num w:numId="49" w16cid:durableId="2002272091">
    <w:abstractNumId w:val="36"/>
  </w:num>
  <w:num w:numId="50" w16cid:durableId="1500078917">
    <w:abstractNumId w:val="60"/>
  </w:num>
  <w:num w:numId="51" w16cid:durableId="1182354319">
    <w:abstractNumId w:val="58"/>
  </w:num>
  <w:num w:numId="52" w16cid:durableId="342632719">
    <w:abstractNumId w:val="14"/>
  </w:num>
  <w:num w:numId="53" w16cid:durableId="50816051">
    <w:abstractNumId w:val="20"/>
  </w:num>
  <w:num w:numId="54" w16cid:durableId="828909456">
    <w:abstractNumId w:val="34"/>
  </w:num>
  <w:num w:numId="55" w16cid:durableId="1353606936">
    <w:abstractNumId w:val="47"/>
  </w:num>
  <w:num w:numId="56" w16cid:durableId="1506287394">
    <w:abstractNumId w:val="61"/>
  </w:num>
  <w:num w:numId="57" w16cid:durableId="219902400">
    <w:abstractNumId w:val="26"/>
  </w:num>
  <w:num w:numId="58" w16cid:durableId="17974677">
    <w:abstractNumId w:val="54"/>
  </w:num>
  <w:num w:numId="59" w16cid:durableId="2099326307">
    <w:abstractNumId w:val="9"/>
  </w:num>
  <w:num w:numId="60" w16cid:durableId="146434932">
    <w:abstractNumId w:val="42"/>
  </w:num>
  <w:num w:numId="61" w16cid:durableId="2061903065">
    <w:abstractNumId w:val="19"/>
  </w:num>
  <w:num w:numId="62" w16cid:durableId="18269700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08"/>
    <w:rsid w:val="000469CE"/>
    <w:rsid w:val="00060CA3"/>
    <w:rsid w:val="0008623C"/>
    <w:rsid w:val="000E3E1D"/>
    <w:rsid w:val="000F528B"/>
    <w:rsid w:val="000F698A"/>
    <w:rsid w:val="00100A15"/>
    <w:rsid w:val="001446BC"/>
    <w:rsid w:val="00154103"/>
    <w:rsid w:val="0016542D"/>
    <w:rsid w:val="00177337"/>
    <w:rsid w:val="001812A7"/>
    <w:rsid w:val="001D201F"/>
    <w:rsid w:val="001D53DF"/>
    <w:rsid w:val="001E7C0E"/>
    <w:rsid w:val="001F65A6"/>
    <w:rsid w:val="002249F6"/>
    <w:rsid w:val="0025126B"/>
    <w:rsid w:val="002B7B7C"/>
    <w:rsid w:val="00332179"/>
    <w:rsid w:val="00360CC8"/>
    <w:rsid w:val="00361E76"/>
    <w:rsid w:val="00394172"/>
    <w:rsid w:val="003A1DD3"/>
    <w:rsid w:val="003A1FBA"/>
    <w:rsid w:val="003A72E3"/>
    <w:rsid w:val="003C78A7"/>
    <w:rsid w:val="003C7B49"/>
    <w:rsid w:val="003F3E56"/>
    <w:rsid w:val="00401ECF"/>
    <w:rsid w:val="004132C2"/>
    <w:rsid w:val="00456F9A"/>
    <w:rsid w:val="004742B4"/>
    <w:rsid w:val="0049157F"/>
    <w:rsid w:val="00511ED8"/>
    <w:rsid w:val="00512D82"/>
    <w:rsid w:val="00512EE5"/>
    <w:rsid w:val="00542B41"/>
    <w:rsid w:val="00543761"/>
    <w:rsid w:val="005909AA"/>
    <w:rsid w:val="005A502B"/>
    <w:rsid w:val="005B13B2"/>
    <w:rsid w:val="005C7E79"/>
    <w:rsid w:val="005D12F3"/>
    <w:rsid w:val="00604551"/>
    <w:rsid w:val="00615C28"/>
    <w:rsid w:val="0062094C"/>
    <w:rsid w:val="00623CDD"/>
    <w:rsid w:val="00666237"/>
    <w:rsid w:val="00692E0C"/>
    <w:rsid w:val="00697504"/>
    <w:rsid w:val="006A12C3"/>
    <w:rsid w:val="006B6728"/>
    <w:rsid w:val="006D5074"/>
    <w:rsid w:val="00741069"/>
    <w:rsid w:val="00741B63"/>
    <w:rsid w:val="007555C9"/>
    <w:rsid w:val="00763584"/>
    <w:rsid w:val="007637F1"/>
    <w:rsid w:val="00771AFD"/>
    <w:rsid w:val="007B700D"/>
    <w:rsid w:val="007C1413"/>
    <w:rsid w:val="007E07E0"/>
    <w:rsid w:val="007F2CA3"/>
    <w:rsid w:val="007F5678"/>
    <w:rsid w:val="008065BB"/>
    <w:rsid w:val="00831C0D"/>
    <w:rsid w:val="008330B5"/>
    <w:rsid w:val="00877C15"/>
    <w:rsid w:val="0089166D"/>
    <w:rsid w:val="008A2C01"/>
    <w:rsid w:val="008B537F"/>
    <w:rsid w:val="008E1D68"/>
    <w:rsid w:val="00904CFA"/>
    <w:rsid w:val="00916D1B"/>
    <w:rsid w:val="00951483"/>
    <w:rsid w:val="00974065"/>
    <w:rsid w:val="009865AA"/>
    <w:rsid w:val="009A5924"/>
    <w:rsid w:val="009C4FF2"/>
    <w:rsid w:val="009F3AF4"/>
    <w:rsid w:val="00A0218E"/>
    <w:rsid w:val="00A14680"/>
    <w:rsid w:val="00A404E1"/>
    <w:rsid w:val="00A56CB9"/>
    <w:rsid w:val="00A662B3"/>
    <w:rsid w:val="00A869C2"/>
    <w:rsid w:val="00A87EF2"/>
    <w:rsid w:val="00A929F8"/>
    <w:rsid w:val="00AA0266"/>
    <w:rsid w:val="00AB7819"/>
    <w:rsid w:val="00AC4291"/>
    <w:rsid w:val="00AD40F3"/>
    <w:rsid w:val="00B04033"/>
    <w:rsid w:val="00B10A7E"/>
    <w:rsid w:val="00B23226"/>
    <w:rsid w:val="00B4252C"/>
    <w:rsid w:val="00B71F00"/>
    <w:rsid w:val="00B7351C"/>
    <w:rsid w:val="00B8490A"/>
    <w:rsid w:val="00B90DEB"/>
    <w:rsid w:val="00BD08E3"/>
    <w:rsid w:val="00BE51B1"/>
    <w:rsid w:val="00C3191E"/>
    <w:rsid w:val="00C40BCA"/>
    <w:rsid w:val="00CE6832"/>
    <w:rsid w:val="00D00E20"/>
    <w:rsid w:val="00D00E3E"/>
    <w:rsid w:val="00D1626F"/>
    <w:rsid w:val="00D22FD3"/>
    <w:rsid w:val="00D3313A"/>
    <w:rsid w:val="00D50E86"/>
    <w:rsid w:val="00D76A76"/>
    <w:rsid w:val="00D81467"/>
    <w:rsid w:val="00D8207E"/>
    <w:rsid w:val="00DC2A39"/>
    <w:rsid w:val="00DC75B2"/>
    <w:rsid w:val="00DE570E"/>
    <w:rsid w:val="00DF5B28"/>
    <w:rsid w:val="00DF7207"/>
    <w:rsid w:val="00E1763F"/>
    <w:rsid w:val="00E23179"/>
    <w:rsid w:val="00E34460"/>
    <w:rsid w:val="00E34995"/>
    <w:rsid w:val="00E55355"/>
    <w:rsid w:val="00E64DAE"/>
    <w:rsid w:val="00E82170"/>
    <w:rsid w:val="00E829E2"/>
    <w:rsid w:val="00E92DA3"/>
    <w:rsid w:val="00EB0EDB"/>
    <w:rsid w:val="00EB46BA"/>
    <w:rsid w:val="00EC5937"/>
    <w:rsid w:val="00F15C58"/>
    <w:rsid w:val="00F250D7"/>
    <w:rsid w:val="00F256D1"/>
    <w:rsid w:val="00F44408"/>
    <w:rsid w:val="00F51365"/>
    <w:rsid w:val="00F60461"/>
    <w:rsid w:val="00F9595C"/>
    <w:rsid w:val="00FC5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AE4F1"/>
  <w15:chartTrackingRefBased/>
  <w15:docId w15:val="{F8F5B7B7-7561-42C7-B593-FAE55147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4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444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44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44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44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44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4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4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4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4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44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444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4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44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44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4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4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408"/>
    <w:rPr>
      <w:rFonts w:eastAsiaTheme="majorEastAsia" w:cstheme="majorBidi"/>
      <w:color w:val="272727" w:themeColor="text1" w:themeTint="D8"/>
    </w:rPr>
  </w:style>
  <w:style w:type="paragraph" w:styleId="Title">
    <w:name w:val="Title"/>
    <w:basedOn w:val="Normal"/>
    <w:next w:val="Normal"/>
    <w:link w:val="TitleChar"/>
    <w:uiPriority w:val="10"/>
    <w:qFormat/>
    <w:rsid w:val="00F444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44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4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4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408"/>
    <w:pPr>
      <w:spacing w:before="160"/>
      <w:jc w:val="center"/>
    </w:pPr>
    <w:rPr>
      <w:i/>
      <w:iCs/>
      <w:color w:val="404040" w:themeColor="text1" w:themeTint="BF"/>
    </w:rPr>
  </w:style>
  <w:style w:type="character" w:customStyle="1" w:styleId="QuoteChar">
    <w:name w:val="Quote Char"/>
    <w:basedOn w:val="DefaultParagraphFont"/>
    <w:link w:val="Quote"/>
    <w:uiPriority w:val="29"/>
    <w:rsid w:val="00F44408"/>
    <w:rPr>
      <w:i/>
      <w:iCs/>
      <w:color w:val="404040" w:themeColor="text1" w:themeTint="BF"/>
    </w:rPr>
  </w:style>
  <w:style w:type="paragraph" w:styleId="ListParagraph">
    <w:name w:val="List Paragraph"/>
    <w:basedOn w:val="Normal"/>
    <w:uiPriority w:val="34"/>
    <w:qFormat/>
    <w:rsid w:val="00F44408"/>
    <w:pPr>
      <w:ind w:left="720"/>
      <w:contextualSpacing/>
    </w:pPr>
  </w:style>
  <w:style w:type="character" w:styleId="IntenseEmphasis">
    <w:name w:val="Intense Emphasis"/>
    <w:basedOn w:val="DefaultParagraphFont"/>
    <w:uiPriority w:val="21"/>
    <w:qFormat/>
    <w:rsid w:val="00F44408"/>
    <w:rPr>
      <w:i/>
      <w:iCs/>
      <w:color w:val="0F4761" w:themeColor="accent1" w:themeShade="BF"/>
    </w:rPr>
  </w:style>
  <w:style w:type="paragraph" w:styleId="IntenseQuote">
    <w:name w:val="Intense Quote"/>
    <w:basedOn w:val="Normal"/>
    <w:next w:val="Normal"/>
    <w:link w:val="IntenseQuoteChar"/>
    <w:uiPriority w:val="30"/>
    <w:qFormat/>
    <w:rsid w:val="00F444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408"/>
    <w:rPr>
      <w:i/>
      <w:iCs/>
      <w:color w:val="0F4761" w:themeColor="accent1" w:themeShade="BF"/>
    </w:rPr>
  </w:style>
  <w:style w:type="character" w:styleId="IntenseReference">
    <w:name w:val="Intense Reference"/>
    <w:basedOn w:val="DefaultParagraphFont"/>
    <w:uiPriority w:val="32"/>
    <w:qFormat/>
    <w:rsid w:val="00F44408"/>
    <w:rPr>
      <w:b/>
      <w:bCs/>
      <w:smallCaps/>
      <w:color w:val="0F4761" w:themeColor="accent1" w:themeShade="BF"/>
      <w:spacing w:val="5"/>
    </w:rPr>
  </w:style>
  <w:style w:type="paragraph" w:styleId="Caption">
    <w:name w:val="caption"/>
    <w:basedOn w:val="Normal"/>
    <w:next w:val="Normal"/>
    <w:uiPriority w:val="35"/>
    <w:unhideWhenUsed/>
    <w:qFormat/>
    <w:rsid w:val="007F2CA3"/>
    <w:pPr>
      <w:spacing w:after="200" w:line="240" w:lineRule="auto"/>
    </w:pPr>
    <w:rPr>
      <w:i/>
      <w:iCs/>
      <w:color w:val="0E2841" w:themeColor="text2"/>
      <w:sz w:val="18"/>
      <w:szCs w:val="18"/>
    </w:rPr>
  </w:style>
  <w:style w:type="paragraph" w:styleId="NormalWeb">
    <w:name w:val="Normal (Web)"/>
    <w:basedOn w:val="Normal"/>
    <w:uiPriority w:val="99"/>
    <w:semiHidden/>
    <w:unhideWhenUsed/>
    <w:rsid w:val="00BE51B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aragraph">
    <w:name w:val="paragraph"/>
    <w:basedOn w:val="Normal"/>
    <w:link w:val="paragraphChar"/>
    <w:rsid w:val="00BE51B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BE51B1"/>
  </w:style>
  <w:style w:type="character" w:customStyle="1" w:styleId="eop">
    <w:name w:val="eop"/>
    <w:basedOn w:val="DefaultParagraphFont"/>
    <w:rsid w:val="00BE51B1"/>
  </w:style>
  <w:style w:type="table" w:styleId="TableGrid">
    <w:name w:val="Table Grid"/>
    <w:aliases w:val="Table long document,mtbs"/>
    <w:basedOn w:val="TableNormal"/>
    <w:uiPriority w:val="59"/>
    <w:rsid w:val="00BE51B1"/>
    <w:pPr>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BE51B1"/>
    <w:pPr>
      <w:spacing w:line="240" w:lineRule="auto"/>
    </w:pPr>
    <w:rPr>
      <w:sz w:val="20"/>
      <w:szCs w:val="20"/>
    </w:rPr>
  </w:style>
  <w:style w:type="character" w:customStyle="1" w:styleId="CommentTextChar">
    <w:name w:val="Comment Text Char"/>
    <w:basedOn w:val="DefaultParagraphFont"/>
    <w:link w:val="CommentText"/>
    <w:uiPriority w:val="99"/>
    <w:rsid w:val="00BE51B1"/>
    <w:rPr>
      <w:sz w:val="20"/>
      <w:szCs w:val="20"/>
    </w:rPr>
  </w:style>
  <w:style w:type="character" w:styleId="CommentReference">
    <w:name w:val="annotation reference"/>
    <w:basedOn w:val="DefaultParagraphFont"/>
    <w:uiPriority w:val="99"/>
    <w:semiHidden/>
    <w:unhideWhenUsed/>
    <w:rsid w:val="00BE51B1"/>
    <w:rPr>
      <w:sz w:val="16"/>
      <w:szCs w:val="16"/>
    </w:rPr>
  </w:style>
  <w:style w:type="character" w:styleId="Hyperlink">
    <w:name w:val="Hyperlink"/>
    <w:basedOn w:val="DefaultParagraphFont"/>
    <w:uiPriority w:val="99"/>
    <w:unhideWhenUsed/>
    <w:rsid w:val="00BE51B1"/>
    <w:rPr>
      <w:color w:val="467886" w:themeColor="hyperlink"/>
      <w:u w:val="single"/>
    </w:rPr>
  </w:style>
  <w:style w:type="character" w:styleId="UnresolvedMention">
    <w:name w:val="Unresolved Mention"/>
    <w:basedOn w:val="DefaultParagraphFont"/>
    <w:uiPriority w:val="99"/>
    <w:semiHidden/>
    <w:unhideWhenUsed/>
    <w:rsid w:val="00BE51B1"/>
    <w:rPr>
      <w:color w:val="605E5C"/>
      <w:shd w:val="clear" w:color="auto" w:fill="E1DFDD"/>
    </w:rPr>
  </w:style>
  <w:style w:type="paragraph" w:customStyle="1" w:styleId="Default">
    <w:name w:val="Default"/>
    <w:basedOn w:val="Normal"/>
    <w:uiPriority w:val="1"/>
    <w:rsid w:val="00BE51B1"/>
    <w:pPr>
      <w:spacing w:after="0" w:line="240" w:lineRule="auto"/>
    </w:pPr>
    <w:rPr>
      <w:rFonts w:eastAsiaTheme="minorEastAsia"/>
      <w:color w:val="000000" w:themeColor="text1"/>
    </w:rPr>
  </w:style>
  <w:style w:type="character" w:styleId="FootnoteReference">
    <w:name w:val="footnote reference"/>
    <w:basedOn w:val="DefaultParagraphFont"/>
    <w:uiPriority w:val="99"/>
    <w:semiHidden/>
    <w:unhideWhenUsed/>
    <w:rsid w:val="00BE51B1"/>
    <w:rPr>
      <w:vertAlign w:val="superscript"/>
    </w:rPr>
  </w:style>
  <w:style w:type="character" w:customStyle="1" w:styleId="FootnoteTextChar">
    <w:name w:val="Footnote Text Char"/>
    <w:basedOn w:val="DefaultParagraphFont"/>
    <w:link w:val="FootnoteText"/>
    <w:uiPriority w:val="99"/>
    <w:semiHidden/>
    <w:rsid w:val="00BE51B1"/>
    <w:rPr>
      <w:sz w:val="20"/>
      <w:szCs w:val="20"/>
    </w:rPr>
  </w:style>
  <w:style w:type="paragraph" w:styleId="FootnoteText">
    <w:name w:val="footnote text"/>
    <w:basedOn w:val="Normal"/>
    <w:link w:val="FootnoteTextChar"/>
    <w:uiPriority w:val="99"/>
    <w:semiHidden/>
    <w:unhideWhenUsed/>
    <w:rsid w:val="00BE51B1"/>
    <w:pPr>
      <w:spacing w:after="0" w:line="240" w:lineRule="auto"/>
    </w:pPr>
    <w:rPr>
      <w:sz w:val="20"/>
      <w:szCs w:val="20"/>
    </w:rPr>
  </w:style>
  <w:style w:type="character" w:customStyle="1" w:styleId="FootnoteTextChar1">
    <w:name w:val="Footnote Text Char1"/>
    <w:basedOn w:val="DefaultParagraphFont"/>
    <w:uiPriority w:val="99"/>
    <w:semiHidden/>
    <w:rsid w:val="00BE51B1"/>
    <w:rPr>
      <w:sz w:val="20"/>
      <w:szCs w:val="20"/>
    </w:rPr>
  </w:style>
  <w:style w:type="paragraph" w:styleId="Header">
    <w:name w:val="header"/>
    <w:basedOn w:val="Normal"/>
    <w:link w:val="HeaderChar"/>
    <w:uiPriority w:val="99"/>
    <w:unhideWhenUsed/>
    <w:rsid w:val="00BE51B1"/>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BE51B1"/>
    <w:rPr>
      <w:sz w:val="22"/>
      <w:szCs w:val="22"/>
    </w:rPr>
  </w:style>
  <w:style w:type="paragraph" w:styleId="Footer">
    <w:name w:val="footer"/>
    <w:basedOn w:val="Normal"/>
    <w:link w:val="FooterChar"/>
    <w:uiPriority w:val="99"/>
    <w:unhideWhenUsed/>
    <w:rsid w:val="00BE51B1"/>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BE51B1"/>
    <w:rPr>
      <w:sz w:val="22"/>
      <w:szCs w:val="22"/>
    </w:rPr>
  </w:style>
  <w:style w:type="paragraph" w:customStyle="1" w:styleId="Heading1nr">
    <w:name w:val="Heading 1 nr"/>
    <w:basedOn w:val="Heading1"/>
    <w:next w:val="Normal"/>
    <w:link w:val="Heading1nrChar"/>
    <w:qFormat/>
    <w:rsid w:val="00BE51B1"/>
    <w:pPr>
      <w:numPr>
        <w:numId w:val="13"/>
      </w:numPr>
      <w:spacing w:before="0" w:after="0" w:line="259" w:lineRule="auto"/>
      <w:textAlignment w:val="baseline"/>
    </w:pPr>
    <w:rPr>
      <w:rFonts w:ascii="Calibri" w:hAnsi="Calibri" w:cs="Calibri"/>
      <w:b/>
      <w:bCs/>
      <w:sz w:val="32"/>
      <w:szCs w:val="32"/>
    </w:rPr>
  </w:style>
  <w:style w:type="character" w:customStyle="1" w:styleId="Heading1nrChar">
    <w:name w:val="Heading 1 nr Char"/>
    <w:basedOn w:val="Heading1Char"/>
    <w:link w:val="Heading1nr"/>
    <w:rsid w:val="00BE51B1"/>
    <w:rPr>
      <w:rFonts w:ascii="Calibri" w:eastAsiaTheme="majorEastAsia" w:hAnsi="Calibri" w:cs="Calibri"/>
      <w:b/>
      <w:bCs/>
      <w:color w:val="0F4761" w:themeColor="accent1" w:themeShade="BF"/>
      <w:sz w:val="32"/>
      <w:szCs w:val="32"/>
    </w:rPr>
  </w:style>
  <w:style w:type="table" w:styleId="PlainTable2">
    <w:name w:val="Plain Table 2"/>
    <w:basedOn w:val="TableNormal"/>
    <w:uiPriority w:val="42"/>
    <w:rsid w:val="00BE51B1"/>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E51B1"/>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BE51B1"/>
    <w:pPr>
      <w:spacing w:after="100" w:line="259" w:lineRule="auto"/>
    </w:pPr>
    <w:rPr>
      <w:sz w:val="22"/>
      <w:szCs w:val="22"/>
    </w:rPr>
  </w:style>
  <w:style w:type="character" w:styleId="FollowedHyperlink">
    <w:name w:val="FollowedHyperlink"/>
    <w:basedOn w:val="DefaultParagraphFont"/>
    <w:uiPriority w:val="99"/>
    <w:semiHidden/>
    <w:unhideWhenUsed/>
    <w:rsid w:val="00BE51B1"/>
    <w:rPr>
      <w:color w:val="96607D" w:themeColor="followedHyperlink"/>
      <w:u w:val="single"/>
    </w:rPr>
  </w:style>
  <w:style w:type="paragraph" w:styleId="Bibliography">
    <w:name w:val="Bibliography"/>
    <w:basedOn w:val="Normal"/>
    <w:next w:val="Normal"/>
    <w:uiPriority w:val="37"/>
    <w:unhideWhenUsed/>
    <w:rsid w:val="00BE51B1"/>
    <w:pPr>
      <w:tabs>
        <w:tab w:val="left" w:pos="504"/>
      </w:tabs>
      <w:spacing w:after="0" w:line="480" w:lineRule="auto"/>
      <w:ind w:left="504" w:hanging="504"/>
    </w:pPr>
    <w:rPr>
      <w:sz w:val="22"/>
      <w:szCs w:val="22"/>
    </w:rPr>
  </w:style>
  <w:style w:type="paragraph" w:styleId="CommentSubject">
    <w:name w:val="annotation subject"/>
    <w:basedOn w:val="CommentText"/>
    <w:next w:val="CommentText"/>
    <w:link w:val="CommentSubjectChar"/>
    <w:uiPriority w:val="99"/>
    <w:semiHidden/>
    <w:unhideWhenUsed/>
    <w:rsid w:val="00BE51B1"/>
    <w:rPr>
      <w:b/>
      <w:bCs/>
    </w:rPr>
  </w:style>
  <w:style w:type="character" w:customStyle="1" w:styleId="CommentSubjectChar">
    <w:name w:val="Comment Subject Char"/>
    <w:basedOn w:val="CommentTextChar"/>
    <w:link w:val="CommentSubject"/>
    <w:uiPriority w:val="99"/>
    <w:semiHidden/>
    <w:rsid w:val="00BE51B1"/>
    <w:rPr>
      <w:b/>
      <w:bCs/>
      <w:sz w:val="20"/>
      <w:szCs w:val="20"/>
    </w:rPr>
  </w:style>
  <w:style w:type="character" w:styleId="EndnoteReference">
    <w:name w:val="endnote reference"/>
    <w:basedOn w:val="DefaultParagraphFont"/>
    <w:uiPriority w:val="99"/>
    <w:semiHidden/>
    <w:unhideWhenUsed/>
    <w:rsid w:val="00BE51B1"/>
    <w:rPr>
      <w:vertAlign w:val="superscript"/>
    </w:rPr>
  </w:style>
  <w:style w:type="table" w:styleId="TableGridLight">
    <w:name w:val="Grid Table Light"/>
    <w:basedOn w:val="TableNormal"/>
    <w:uiPriority w:val="40"/>
    <w:rsid w:val="00BE51B1"/>
    <w:pPr>
      <w:spacing w:after="0" w:line="240" w:lineRule="auto"/>
    </w:pPr>
    <w:rPr>
      <w:rFonts w:eastAsiaTheme="minorEastAsia"/>
      <w:kern w:val="0"/>
      <w:lang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BE51B1"/>
    <w:pPr>
      <w:spacing w:after="100" w:line="259" w:lineRule="auto"/>
      <w:ind w:left="220"/>
    </w:pPr>
    <w:rPr>
      <w:sz w:val="22"/>
      <w:szCs w:val="22"/>
    </w:rPr>
  </w:style>
  <w:style w:type="paragraph" w:styleId="TOC3">
    <w:name w:val="toc 3"/>
    <w:basedOn w:val="Normal"/>
    <w:next w:val="Normal"/>
    <w:autoRedefine/>
    <w:uiPriority w:val="39"/>
    <w:unhideWhenUsed/>
    <w:rsid w:val="00BE51B1"/>
    <w:pPr>
      <w:spacing w:after="100" w:line="259" w:lineRule="auto"/>
      <w:ind w:left="440"/>
    </w:pPr>
    <w:rPr>
      <w:sz w:val="22"/>
      <w:szCs w:val="22"/>
    </w:rPr>
  </w:style>
  <w:style w:type="paragraph" w:styleId="Revision">
    <w:name w:val="Revision"/>
    <w:hidden/>
    <w:uiPriority w:val="99"/>
    <w:semiHidden/>
    <w:rsid w:val="00BE51B1"/>
    <w:pPr>
      <w:spacing w:after="0" w:line="240" w:lineRule="auto"/>
    </w:pPr>
    <w:rPr>
      <w:sz w:val="22"/>
      <w:szCs w:val="22"/>
    </w:rPr>
  </w:style>
  <w:style w:type="character" w:styleId="PlaceholderText">
    <w:name w:val="Placeholder Text"/>
    <w:basedOn w:val="DefaultParagraphFont"/>
    <w:uiPriority w:val="99"/>
    <w:semiHidden/>
    <w:rsid w:val="00BE51B1"/>
    <w:rPr>
      <w:color w:val="666666"/>
    </w:rPr>
  </w:style>
  <w:style w:type="paragraph" w:customStyle="1" w:styleId="TableMinerals">
    <w:name w:val="Table Minerals"/>
    <w:basedOn w:val="paragraph"/>
    <w:link w:val="TableMineralsChar"/>
    <w:qFormat/>
    <w:rsid w:val="00BE51B1"/>
    <w:pPr>
      <w:spacing w:before="0" w:beforeAutospacing="0" w:after="0" w:afterAutospacing="0" w:line="257" w:lineRule="auto"/>
      <w:jc w:val="center"/>
    </w:pPr>
    <w:rPr>
      <w:rFonts w:eastAsiaTheme="minorEastAsia"/>
      <w:b/>
      <w:bCs/>
    </w:rPr>
  </w:style>
  <w:style w:type="character" w:customStyle="1" w:styleId="paragraphChar">
    <w:name w:val="paragraph Char"/>
    <w:basedOn w:val="DefaultParagraphFont"/>
    <w:link w:val="paragraph"/>
    <w:rsid w:val="00BE51B1"/>
    <w:rPr>
      <w:rFonts w:ascii="Times New Roman" w:eastAsia="Times New Roman" w:hAnsi="Times New Roman" w:cs="Times New Roman"/>
      <w:kern w:val="0"/>
      <w:lang w:eastAsia="en-GB"/>
      <w14:ligatures w14:val="none"/>
    </w:rPr>
  </w:style>
  <w:style w:type="character" w:customStyle="1" w:styleId="TableMineralsChar">
    <w:name w:val="Table Minerals Char"/>
    <w:basedOn w:val="paragraphChar"/>
    <w:link w:val="TableMinerals"/>
    <w:rsid w:val="00BE51B1"/>
    <w:rPr>
      <w:rFonts w:ascii="Times New Roman" w:eastAsiaTheme="minorEastAsia" w:hAnsi="Times New Roman" w:cs="Times New Roman"/>
      <w:b/>
      <w:bCs/>
      <w:kern w:val="0"/>
      <w:lang w:eastAsia="en-GB"/>
      <w14:ligatures w14:val="none"/>
    </w:rPr>
  </w:style>
  <w:style w:type="paragraph" w:styleId="TableofFigures">
    <w:name w:val="table of figures"/>
    <w:basedOn w:val="Normal"/>
    <w:next w:val="Normal"/>
    <w:uiPriority w:val="99"/>
    <w:unhideWhenUsed/>
    <w:rsid w:val="00BE51B1"/>
    <w:pPr>
      <w:spacing w:after="0" w:line="259" w:lineRule="auto"/>
    </w:pPr>
    <w:rPr>
      <w:sz w:val="22"/>
      <w:szCs w:val="22"/>
    </w:rPr>
  </w:style>
  <w:style w:type="paragraph" w:styleId="NoSpacing">
    <w:name w:val="No Spacing"/>
    <w:link w:val="NoSpacingChar"/>
    <w:uiPriority w:val="1"/>
    <w:qFormat/>
    <w:rsid w:val="00BE51B1"/>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E51B1"/>
    <w:rPr>
      <w:rFonts w:eastAsiaTheme="minorEastAsia"/>
      <w:kern w:val="0"/>
      <w:sz w:val="22"/>
      <w:szCs w:val="22"/>
      <w:lang w:val="en-US" w:eastAsia="zh-CN"/>
      <w14:ligatures w14:val="none"/>
    </w:rPr>
  </w:style>
  <w:style w:type="paragraph" w:customStyle="1" w:styleId="BasicParagraph">
    <w:name w:val="[Basic Paragraph]"/>
    <w:basedOn w:val="Normal"/>
    <w:uiPriority w:val="99"/>
    <w:rsid w:val="00BE51B1"/>
    <w:pPr>
      <w:autoSpaceDE w:val="0"/>
      <w:autoSpaceDN w:val="0"/>
      <w:adjustRightInd w:val="0"/>
      <w:spacing w:after="0" w:line="288" w:lineRule="auto"/>
      <w:textAlignment w:val="center"/>
    </w:pPr>
    <w:rPr>
      <w:rFonts w:ascii="Minion Pro" w:hAnsi="Minion Pro" w:cs="Minion Pro"/>
      <w:color w:val="000000"/>
      <w:kern w:val="0"/>
      <w:lang w:val="en-US"/>
    </w:rPr>
  </w:style>
  <w:style w:type="character" w:styleId="PageNumber">
    <w:name w:val="page number"/>
    <w:basedOn w:val="DefaultParagraphFont"/>
    <w:uiPriority w:val="99"/>
    <w:semiHidden/>
    <w:unhideWhenUsed/>
    <w:rsid w:val="00BE51B1"/>
  </w:style>
  <w:style w:type="character" w:styleId="Strong">
    <w:name w:val="Strong"/>
    <w:basedOn w:val="DefaultParagraphFont"/>
    <w:uiPriority w:val="22"/>
    <w:qFormat/>
    <w:rsid w:val="00BE51B1"/>
    <w:rPr>
      <w:b/>
      <w:bCs/>
    </w:rPr>
  </w:style>
  <w:style w:type="table" w:styleId="PlainTable3">
    <w:name w:val="Plain Table 3"/>
    <w:basedOn w:val="TableNormal"/>
    <w:uiPriority w:val="43"/>
    <w:rsid w:val="00BE51B1"/>
    <w:pPr>
      <w:spacing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BE51B1"/>
    <w:pPr>
      <w:spacing w:after="0" w:line="240" w:lineRule="auto"/>
    </w:pPr>
    <w:rPr>
      <w:sz w:val="22"/>
      <w:szCs w:val="22"/>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BE51B1"/>
    <w:pPr>
      <w:spacing w:after="0" w:line="240" w:lineRule="auto"/>
    </w:pPr>
    <w:rPr>
      <w:sz w:val="22"/>
      <w:szCs w:val="22"/>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3">
    <w:name w:val="Grid Table 2 Accent 3"/>
    <w:basedOn w:val="TableNormal"/>
    <w:uiPriority w:val="47"/>
    <w:rsid w:val="00BE51B1"/>
    <w:pPr>
      <w:spacing w:after="0" w:line="240" w:lineRule="auto"/>
    </w:pPr>
    <w:rPr>
      <w:sz w:val="22"/>
      <w:szCs w:val="22"/>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2">
    <w:name w:val="Grid Table 2 Accent 2"/>
    <w:basedOn w:val="TableNormal"/>
    <w:uiPriority w:val="47"/>
    <w:rsid w:val="00BE51B1"/>
    <w:pPr>
      <w:spacing w:after="0" w:line="240" w:lineRule="auto"/>
    </w:pPr>
    <w:rPr>
      <w:sz w:val="22"/>
      <w:szCs w:val="22"/>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6">
    <w:name w:val="Grid Table 2 Accent 6"/>
    <w:basedOn w:val="TableNormal"/>
    <w:uiPriority w:val="47"/>
    <w:rsid w:val="00BE51B1"/>
    <w:pPr>
      <w:spacing w:after="0" w:line="240" w:lineRule="auto"/>
    </w:pPr>
    <w:rPr>
      <w:sz w:val="22"/>
      <w:szCs w:val="22"/>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Accent6">
    <w:name w:val="List Table 2 Accent 6"/>
    <w:basedOn w:val="TableNormal"/>
    <w:uiPriority w:val="47"/>
    <w:rsid w:val="00BE51B1"/>
    <w:pPr>
      <w:spacing w:after="0" w:line="240" w:lineRule="auto"/>
    </w:pPr>
    <w:rPr>
      <w:sz w:val="22"/>
      <w:szCs w:val="22"/>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Accent1">
    <w:name w:val="List Table 2 Accent 1"/>
    <w:basedOn w:val="TableNormal"/>
    <w:uiPriority w:val="47"/>
    <w:rsid w:val="00BE51B1"/>
    <w:pPr>
      <w:spacing w:after="0" w:line="240" w:lineRule="auto"/>
    </w:pPr>
    <w:rPr>
      <w:sz w:val="22"/>
      <w:szCs w:val="22"/>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1">
    <w:name w:val="Grid Table 2 Accent 1"/>
    <w:basedOn w:val="TableNormal"/>
    <w:uiPriority w:val="47"/>
    <w:rsid w:val="00BE51B1"/>
    <w:pPr>
      <w:spacing w:after="0" w:line="240" w:lineRule="auto"/>
    </w:pPr>
    <w:rPr>
      <w:sz w:val="22"/>
      <w:szCs w:val="22"/>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PlainTable5">
    <w:name w:val="Plain Table 5"/>
    <w:basedOn w:val="TableNormal"/>
    <w:uiPriority w:val="45"/>
    <w:rsid w:val="00BE51B1"/>
    <w:pPr>
      <w:spacing w:after="0" w:line="240" w:lineRule="auto"/>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BE51B1"/>
    <w:rPr>
      <w:color w:val="2B579A"/>
      <w:shd w:val="clear" w:color="auto" w:fill="E1DFDD"/>
    </w:rPr>
  </w:style>
  <w:style w:type="table" w:styleId="GridTable1Light">
    <w:name w:val="Grid Table 1 Light"/>
    <w:basedOn w:val="TableNormal"/>
    <w:uiPriority w:val="46"/>
    <w:rsid w:val="00BE51B1"/>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svg"/><Relationship Id="rId42" Type="http://schemas.openxmlformats.org/officeDocument/2006/relationships/image" Target="media/image37.png"/><Relationship Id="rId47" Type="http://schemas.openxmlformats.org/officeDocument/2006/relationships/image" Target="media/image42.svg"/><Relationship Id="rId63" Type="http://schemas.openxmlformats.org/officeDocument/2006/relationships/hyperlink" Target="https://www.asianmetal.com/price/initPriceListEn.am?pId=164" TargetMode="External"/><Relationship Id="rId68" Type="http://schemas.openxmlformats.org/officeDocument/2006/relationships/hyperlink" Target="https://www.metal.com/Lithium/201905160001" TargetMode="External"/><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image" Target="media/image11.png"/><Relationship Id="rId107" Type="http://schemas.openxmlformats.org/officeDocument/2006/relationships/image" Target="media/image78.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hyperlink" Target="https://www.indexbox.io/search/price-for-manganese-ore-and-concentrate-brazil/" TargetMode="External"/><Relationship Id="rId58" Type="http://schemas.openxmlformats.org/officeDocument/2006/relationships/hyperlink" Target="https://www.indexbox.io/search/manganese-oxides-price-south-africa/" TargetMode="External"/><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hyperlink" Target="https://www.indexbox.io/search/graphite-price-angola/" TargetMode="External"/><Relationship Id="rId69" Type="http://schemas.openxmlformats.org/officeDocument/2006/relationships/hyperlink" Target="https://www.indexbox.io/search/lithium-carbonate-price-uganda/" TargetMode="External"/><Relationship Id="rId113" Type="http://schemas.openxmlformats.org/officeDocument/2006/relationships/image" Target="media/image84.pn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7.png"/><Relationship Id="rId17" Type="http://schemas.openxmlformats.org/officeDocument/2006/relationships/image" Target="media/image12.svg"/><Relationship Id="rId33" Type="http://schemas.openxmlformats.org/officeDocument/2006/relationships/image" Target="media/image28.png"/><Relationship Id="rId38" Type="http://schemas.openxmlformats.org/officeDocument/2006/relationships/image" Target="media/image33.svg"/><Relationship Id="rId59" Type="http://schemas.openxmlformats.org/officeDocument/2006/relationships/hyperlink" Target="https://www.indexbox.io/search/manganese-oxides-price-uganda/" TargetMode="External"/><Relationship Id="rId103" Type="http://schemas.openxmlformats.org/officeDocument/2006/relationships/image" Target="media/image74.png"/><Relationship Id="rId108" Type="http://schemas.openxmlformats.org/officeDocument/2006/relationships/image" Target="media/image79.png"/><Relationship Id="rId54" Type="http://schemas.openxmlformats.org/officeDocument/2006/relationships/hyperlink" Target="https://www.indexbox.io/search/price-for-manganese-ore-and-concentrate-belgium/" TargetMode="External"/><Relationship Id="rId70" Type="http://schemas.openxmlformats.org/officeDocument/2006/relationships/hyperlink" Target="https://www.indexbox.io/search/lithium-oxide-price-tanzania/" TargetMode="External"/><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image" Target="media/image31.svg"/><Relationship Id="rId49" Type="http://schemas.openxmlformats.org/officeDocument/2006/relationships/image" Target="media/image44.svg"/><Relationship Id="rId57" Type="http://schemas.openxmlformats.org/officeDocument/2006/relationships/hyperlink" Target="https://www.indexbox.io/search/manganese-oxides-price-kenya/" TargetMode="External"/><Relationship Id="rId106" Type="http://schemas.openxmlformats.org/officeDocument/2006/relationships/image" Target="media/image77.png"/><Relationship Id="rId114" Type="http://schemas.openxmlformats.org/officeDocument/2006/relationships/image" Target="media/image85.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www.indexbox.io/search/price-for-manganese-ore-and-concentrate-germany/" TargetMode="External"/><Relationship Id="rId60" Type="http://schemas.openxmlformats.org/officeDocument/2006/relationships/hyperlink" Target="https://www.indexbox.io/search/manganese-oxides-price-tanzania/" TargetMode="External"/><Relationship Id="rId65" Type="http://schemas.openxmlformats.org/officeDocument/2006/relationships/hyperlink" Target="https://www.indexbox.io/search/graphite-price-tanzania/" TargetMode="External"/><Relationship Id="rId73" Type="http://schemas.openxmlformats.org/officeDocument/2006/relationships/hyperlink" Target="https://www.metal.com/Lithium/202106020003"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80.png"/><Relationship Id="rId34" Type="http://schemas.openxmlformats.org/officeDocument/2006/relationships/image" Target="media/image29.svg"/><Relationship Id="rId50" Type="http://schemas.openxmlformats.org/officeDocument/2006/relationships/hyperlink" Target="https://www.indexbox.io/search/price-for-manganese-ore-and-concentrate-angola/" TargetMode="External"/><Relationship Id="rId55" Type="http://schemas.openxmlformats.org/officeDocument/2006/relationships/hyperlink" Target="https://www.indexbox.io/search/manganese-oxides-price-the-uk/" TargetMode="External"/><Relationship Id="rId76" Type="http://schemas.openxmlformats.org/officeDocument/2006/relationships/image" Target="media/image47.jpe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image" Target="media/image2.jpg"/><Relationship Id="rId71" Type="http://schemas.openxmlformats.org/officeDocument/2006/relationships/hyperlink" Target="https://www.indexbox.io/search/lithium-oxide-price-south-africa/" TargetMode="External"/><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svg"/><Relationship Id="rId45" Type="http://schemas.openxmlformats.org/officeDocument/2006/relationships/image" Target="media/image40.svg"/><Relationship Id="rId66" Type="http://schemas.openxmlformats.org/officeDocument/2006/relationships/hyperlink" Target="https://www.indexbox.io/search/graphite-price-kenya/" TargetMode="External"/><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fontTable" Target="fontTable.xml"/><Relationship Id="rId61" Type="http://schemas.openxmlformats.org/officeDocument/2006/relationships/hyperlink" Target="https://www.metal.com/Manganese/202208300001" TargetMode="External"/><Relationship Id="rId82" Type="http://schemas.openxmlformats.org/officeDocument/2006/relationships/image" Target="media/image53.png"/><Relationship Id="rId19" Type="http://schemas.openxmlformats.org/officeDocument/2006/relationships/image" Target="media/image14.sv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hyperlink" Target="https://www.indexbox.io/search/manganese-oxides-price-angola/" TargetMode="External"/><Relationship Id="rId77" Type="http://schemas.openxmlformats.org/officeDocument/2006/relationships/image" Target="media/image48.jpe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image" Target="media/image3.png"/><Relationship Id="rId51" Type="http://schemas.openxmlformats.org/officeDocument/2006/relationships/hyperlink" Target="https://www.indexbox.io/search/price-for-manganese-ore-and-concentrate-south-africa/" TargetMode="External"/><Relationship Id="rId72" Type="http://schemas.openxmlformats.org/officeDocument/2006/relationships/hyperlink" Target="https://www.metal.com/Lithium/202212140004" TargetMode="External"/><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20.svg"/><Relationship Id="rId46" Type="http://schemas.openxmlformats.org/officeDocument/2006/relationships/image" Target="media/image41.png"/><Relationship Id="rId67" Type="http://schemas.openxmlformats.org/officeDocument/2006/relationships/hyperlink" Target="https://www.indexbox.io/search/graphite-price-south-africa/" TargetMode="External"/><Relationship Id="rId11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yperlink" Target="https://www.metal.com/Manganese/201805300001" TargetMode="External"/><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52EF2-B926-491B-96CF-272D616E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54803</Words>
  <Characters>312383</Characters>
  <Application>Microsoft Office Word</Application>
  <DocSecurity>0</DocSecurity>
  <Lines>2603</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Cervantes Barrón</dc:creator>
  <cp:keywords/>
  <dc:description/>
  <cp:lastModifiedBy>Karla Cervantes Barrón</cp:lastModifiedBy>
  <cp:revision>20</cp:revision>
  <cp:lastPrinted>2026-03-20T13:54:00Z</cp:lastPrinted>
  <dcterms:created xsi:type="dcterms:W3CDTF">2026-03-20T11:46:00Z</dcterms:created>
  <dcterms:modified xsi:type="dcterms:W3CDTF">2026-03-20T13:57:00Z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id="5Zy1OqP8"/&gt;&lt;style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