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2969"/>
        <w:gridCol w:w="6566"/>
      </w:tblGrid>
      <w:tr w:rsidR="001C2C19" w:rsidRPr="001C2C19" w14:paraId="1C92FFA1" w14:textId="77777777" w:rsidTr="001C2C19">
        <w:tc>
          <w:tcPr>
            <w:tcW w:w="0" w:type="auto"/>
            <w:shd w:val="clear" w:color="auto" w:fill="A5A5A5" w:themeFill="accent3"/>
            <w:hideMark/>
          </w:tcPr>
          <w:p w14:paraId="17AF665D" w14:textId="77777777" w:rsidR="001C2C19" w:rsidRPr="001C2C19" w:rsidRDefault="001C2C19" w:rsidP="001C2C19">
            <w:pPr>
              <w:spacing w:line="375" w:lineRule="atLeast"/>
              <w:jc w:val="center"/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</w:pPr>
            <w:r w:rsidRPr="001C2C19">
              <w:rPr>
                <w:rFonts w:asciiTheme="majorBidi" w:eastAsia="Times New Roman" w:hAnsiTheme="majorBidi" w:cstheme="majorBidi"/>
                <w:b/>
                <w:bCs/>
                <w:color w:val="0F1115"/>
                <w:sz w:val="28"/>
                <w:szCs w:val="28"/>
              </w:rPr>
              <w:t>Contribution Area</w:t>
            </w:r>
          </w:p>
        </w:tc>
        <w:tc>
          <w:tcPr>
            <w:tcW w:w="6566" w:type="dxa"/>
            <w:shd w:val="clear" w:color="auto" w:fill="A5A5A5" w:themeFill="accent3"/>
            <w:hideMark/>
          </w:tcPr>
          <w:p w14:paraId="3EF6C93D" w14:textId="77777777" w:rsidR="001C2C19" w:rsidRPr="001C2C19" w:rsidRDefault="001C2C19" w:rsidP="001C2C19">
            <w:pPr>
              <w:spacing w:line="375" w:lineRule="atLeast"/>
              <w:jc w:val="center"/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</w:pPr>
            <w:r w:rsidRPr="001C2C19">
              <w:rPr>
                <w:rFonts w:asciiTheme="majorBidi" w:eastAsia="Times New Roman" w:hAnsiTheme="majorBidi" w:cstheme="majorBidi"/>
                <w:b/>
                <w:bCs/>
                <w:color w:val="0F1115"/>
                <w:sz w:val="28"/>
                <w:szCs w:val="28"/>
              </w:rPr>
              <w:t>Specific Contribution</w:t>
            </w:r>
          </w:p>
        </w:tc>
      </w:tr>
      <w:tr w:rsidR="001C2C19" w:rsidRPr="001C2C19" w14:paraId="23FA317A" w14:textId="77777777" w:rsidTr="001C2C19">
        <w:tc>
          <w:tcPr>
            <w:tcW w:w="0" w:type="auto"/>
            <w:hideMark/>
          </w:tcPr>
          <w:p w14:paraId="4E658E7E" w14:textId="52F3214C" w:rsidR="001C2C19" w:rsidRPr="001C2C19" w:rsidRDefault="001C2C19" w:rsidP="001C2C19">
            <w:pPr>
              <w:spacing w:line="375" w:lineRule="atLeast"/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</w:pPr>
            <w:r w:rsidRPr="001C2C19">
              <w:rPr>
                <w:rFonts w:asciiTheme="majorBidi" w:eastAsia="Times New Roman" w:hAnsiTheme="majorBidi" w:cstheme="majorBidi"/>
                <w:b/>
                <w:bCs/>
                <w:color w:val="0F1115"/>
                <w:sz w:val="28"/>
                <w:szCs w:val="28"/>
              </w:rPr>
              <w:t xml:space="preserve">Methodological </w:t>
            </w:r>
          </w:p>
        </w:tc>
        <w:tc>
          <w:tcPr>
            <w:tcW w:w="6566" w:type="dxa"/>
            <w:hideMark/>
          </w:tcPr>
          <w:p w14:paraId="29184ACC" w14:textId="0D13E227" w:rsidR="001C2C19" w:rsidRPr="001C2C19" w:rsidRDefault="001C2C19" w:rsidP="001C2C19">
            <w:pPr>
              <w:spacing w:line="375" w:lineRule="atLeast"/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</w:pPr>
            <w:r w:rsidRPr="001C2C19"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>Exclusion of tautological predictors (RWCL) to ensure real-world applicability</w:t>
            </w:r>
            <w:r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>.</w:t>
            </w:r>
          </w:p>
        </w:tc>
      </w:tr>
      <w:tr w:rsidR="001C2C19" w:rsidRPr="001C2C19" w14:paraId="54F88C4B" w14:textId="77777777" w:rsidTr="001C2C19">
        <w:tc>
          <w:tcPr>
            <w:tcW w:w="0" w:type="auto"/>
            <w:hideMark/>
          </w:tcPr>
          <w:p w14:paraId="5048E618" w14:textId="77777777" w:rsidR="001C2C19" w:rsidRPr="001C2C19" w:rsidRDefault="001C2C19" w:rsidP="001C2C19">
            <w:pPr>
              <w:spacing w:line="375" w:lineRule="atLeast"/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</w:pPr>
            <w:r w:rsidRPr="001C2C19">
              <w:rPr>
                <w:rFonts w:asciiTheme="majorBidi" w:eastAsia="Times New Roman" w:hAnsiTheme="majorBidi" w:cstheme="majorBidi"/>
                <w:b/>
                <w:bCs/>
                <w:color w:val="0F1115"/>
                <w:sz w:val="28"/>
                <w:szCs w:val="28"/>
              </w:rPr>
              <w:t>Algorithmic Benchmarking</w:t>
            </w:r>
          </w:p>
        </w:tc>
        <w:tc>
          <w:tcPr>
            <w:tcW w:w="6566" w:type="dxa"/>
            <w:hideMark/>
          </w:tcPr>
          <w:p w14:paraId="17AFF938" w14:textId="7CE234E3" w:rsidR="001C2C19" w:rsidRPr="001C2C19" w:rsidRDefault="001C2C19" w:rsidP="001C2C19">
            <w:pPr>
              <w:spacing w:line="375" w:lineRule="atLeast"/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</w:pPr>
            <w:r w:rsidRPr="001C2C19"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>Systematic comparison of six regression models</w:t>
            </w:r>
            <w:r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>:</w:t>
            </w:r>
            <w:r w:rsidRPr="001C2C19"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 xml:space="preserve"> </w:t>
            </w:r>
            <w:proofErr w:type="spellStart"/>
            <w:r w:rsidRPr="001C2C19"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>LightGBM</w:t>
            </w:r>
            <w:proofErr w:type="spellEnd"/>
            <w:r w:rsidRPr="001C2C19"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 xml:space="preserve"> and </w:t>
            </w:r>
            <w:proofErr w:type="spellStart"/>
            <w:r w:rsidRPr="001C2C19"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>XGBoost</w:t>
            </w:r>
            <w:proofErr w:type="spellEnd"/>
            <w:r w:rsidRPr="001C2C19"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 xml:space="preserve"> achieve near-perfect accuracy</w:t>
            </w:r>
            <w:r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>.</w:t>
            </w:r>
          </w:p>
        </w:tc>
      </w:tr>
      <w:tr w:rsidR="001C2C19" w:rsidRPr="001C2C19" w14:paraId="7F0BDA47" w14:textId="77777777" w:rsidTr="001C2C19">
        <w:tc>
          <w:tcPr>
            <w:tcW w:w="0" w:type="auto"/>
            <w:hideMark/>
          </w:tcPr>
          <w:p w14:paraId="5E2B06DD" w14:textId="77777777" w:rsidR="001C2C19" w:rsidRPr="001C2C19" w:rsidRDefault="001C2C19" w:rsidP="001C2C19">
            <w:pPr>
              <w:spacing w:line="375" w:lineRule="atLeast"/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</w:pPr>
            <w:r w:rsidRPr="001C2C19">
              <w:rPr>
                <w:rFonts w:asciiTheme="majorBidi" w:eastAsia="Times New Roman" w:hAnsiTheme="majorBidi" w:cstheme="majorBidi"/>
                <w:b/>
                <w:bCs/>
                <w:color w:val="0F1115"/>
                <w:sz w:val="28"/>
                <w:szCs w:val="28"/>
              </w:rPr>
              <w:t>Stress Classification</w:t>
            </w:r>
          </w:p>
        </w:tc>
        <w:tc>
          <w:tcPr>
            <w:tcW w:w="6566" w:type="dxa"/>
            <w:hideMark/>
          </w:tcPr>
          <w:p w14:paraId="33B34286" w14:textId="13D210FB" w:rsidR="001C2C19" w:rsidRPr="001C2C19" w:rsidRDefault="001C2C19" w:rsidP="001C2C19">
            <w:pPr>
              <w:spacing w:line="375" w:lineRule="atLeast"/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</w:pPr>
            <w:r w:rsidRPr="001C2C19"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>Perfect discrimination of three stress levels with cross-validation and noise test validation</w:t>
            </w:r>
            <w:r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>.</w:t>
            </w:r>
          </w:p>
        </w:tc>
      </w:tr>
      <w:tr w:rsidR="001C2C19" w:rsidRPr="001C2C19" w14:paraId="0E0C27AD" w14:textId="77777777" w:rsidTr="001C2C19">
        <w:tc>
          <w:tcPr>
            <w:tcW w:w="0" w:type="auto"/>
            <w:hideMark/>
          </w:tcPr>
          <w:p w14:paraId="04C1E090" w14:textId="77777777" w:rsidR="001C2C19" w:rsidRPr="001C2C19" w:rsidRDefault="001C2C19" w:rsidP="001C2C19">
            <w:pPr>
              <w:spacing w:line="375" w:lineRule="atLeast"/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</w:pPr>
            <w:r w:rsidRPr="001C2C19">
              <w:rPr>
                <w:rFonts w:asciiTheme="majorBidi" w:eastAsia="Times New Roman" w:hAnsiTheme="majorBidi" w:cstheme="majorBidi"/>
                <w:b/>
                <w:bCs/>
                <w:color w:val="0F1115"/>
                <w:sz w:val="28"/>
                <w:szCs w:val="28"/>
              </w:rPr>
              <w:t>Interpretability</w:t>
            </w:r>
          </w:p>
        </w:tc>
        <w:tc>
          <w:tcPr>
            <w:tcW w:w="6566" w:type="dxa"/>
            <w:hideMark/>
          </w:tcPr>
          <w:p w14:paraId="1CD0B713" w14:textId="3331AD4C" w:rsidR="001C2C19" w:rsidRPr="001C2C19" w:rsidRDefault="001C2C19" w:rsidP="001C2C19">
            <w:pPr>
              <w:spacing w:line="375" w:lineRule="atLeast"/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</w:pPr>
            <w:r w:rsidRPr="001C2C19"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>SHAP analysis identifies PPE and SYUA as key water stress drivers</w:t>
            </w:r>
            <w:r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>.</w:t>
            </w:r>
          </w:p>
        </w:tc>
      </w:tr>
      <w:tr w:rsidR="001C2C19" w:rsidRPr="001C2C19" w14:paraId="309B2FE3" w14:textId="77777777" w:rsidTr="001C2C19">
        <w:tc>
          <w:tcPr>
            <w:tcW w:w="0" w:type="auto"/>
            <w:hideMark/>
          </w:tcPr>
          <w:p w14:paraId="035ACE2D" w14:textId="77777777" w:rsidR="001C2C19" w:rsidRPr="001C2C19" w:rsidRDefault="001C2C19" w:rsidP="001C2C19">
            <w:pPr>
              <w:spacing w:line="375" w:lineRule="atLeast"/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</w:pPr>
            <w:r w:rsidRPr="001C2C19">
              <w:rPr>
                <w:rFonts w:asciiTheme="majorBidi" w:eastAsia="Times New Roman" w:hAnsiTheme="majorBidi" w:cstheme="majorBidi"/>
                <w:b/>
                <w:bCs/>
                <w:color w:val="0F1115"/>
                <w:sz w:val="28"/>
                <w:szCs w:val="28"/>
              </w:rPr>
              <w:t>Irrigation Operationalization</w:t>
            </w:r>
          </w:p>
        </w:tc>
        <w:tc>
          <w:tcPr>
            <w:tcW w:w="6566" w:type="dxa"/>
            <w:hideMark/>
          </w:tcPr>
          <w:p w14:paraId="4DA43BE9" w14:textId="20854195" w:rsidR="001C2C19" w:rsidRPr="001C2C19" w:rsidRDefault="001C2C19" w:rsidP="001C2C19">
            <w:pPr>
              <w:spacing w:line="375" w:lineRule="atLeast"/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</w:pPr>
            <w:r w:rsidRPr="001C2C19"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>End-to-end translation of traits to irrigation requirements with R² = 1.0</w:t>
            </w:r>
            <w:r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>.</w:t>
            </w:r>
          </w:p>
        </w:tc>
      </w:tr>
      <w:tr w:rsidR="001C2C19" w:rsidRPr="001C2C19" w14:paraId="2A53134A" w14:textId="77777777" w:rsidTr="001C2C19">
        <w:tc>
          <w:tcPr>
            <w:tcW w:w="0" w:type="auto"/>
            <w:hideMark/>
          </w:tcPr>
          <w:p w14:paraId="4C88F3ED" w14:textId="77777777" w:rsidR="001C2C19" w:rsidRPr="001C2C19" w:rsidRDefault="001C2C19" w:rsidP="001C2C19">
            <w:pPr>
              <w:spacing w:line="375" w:lineRule="atLeast"/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</w:pPr>
            <w:r w:rsidRPr="001C2C19">
              <w:rPr>
                <w:rFonts w:asciiTheme="majorBidi" w:eastAsia="Times New Roman" w:hAnsiTheme="majorBidi" w:cstheme="majorBidi"/>
                <w:b/>
                <w:bCs/>
                <w:color w:val="0F1115"/>
                <w:sz w:val="28"/>
                <w:szCs w:val="28"/>
              </w:rPr>
              <w:t>Practical Relevance</w:t>
            </w:r>
          </w:p>
        </w:tc>
        <w:tc>
          <w:tcPr>
            <w:tcW w:w="6566" w:type="dxa"/>
            <w:hideMark/>
          </w:tcPr>
          <w:p w14:paraId="3D02AA7B" w14:textId="09C332EC" w:rsidR="001C2C19" w:rsidRPr="001C2C19" w:rsidRDefault="001C2C19" w:rsidP="001C2C19">
            <w:pPr>
              <w:spacing w:line="375" w:lineRule="atLeast"/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</w:pPr>
            <w:r w:rsidRPr="001C2C19"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>Cost-effective, computationally efficient, and tailored for water-scarce regions like Iraq</w:t>
            </w:r>
            <w:r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>.</w:t>
            </w:r>
          </w:p>
        </w:tc>
      </w:tr>
      <w:tr w:rsidR="001C2C19" w:rsidRPr="001C2C19" w14:paraId="0057C7F2" w14:textId="77777777" w:rsidTr="001C2C19">
        <w:tc>
          <w:tcPr>
            <w:tcW w:w="0" w:type="auto"/>
            <w:hideMark/>
          </w:tcPr>
          <w:p w14:paraId="5017D938" w14:textId="77777777" w:rsidR="001C2C19" w:rsidRPr="001C2C19" w:rsidRDefault="001C2C19" w:rsidP="001C2C19">
            <w:pPr>
              <w:spacing w:line="375" w:lineRule="atLeast"/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</w:pPr>
            <w:r w:rsidRPr="001C2C19">
              <w:rPr>
                <w:rFonts w:asciiTheme="majorBidi" w:eastAsia="Times New Roman" w:hAnsiTheme="majorBidi" w:cstheme="majorBidi"/>
                <w:b/>
                <w:bCs/>
                <w:color w:val="0F1115"/>
                <w:sz w:val="28"/>
                <w:szCs w:val="28"/>
              </w:rPr>
              <w:t>Reproducibility</w:t>
            </w:r>
          </w:p>
        </w:tc>
        <w:tc>
          <w:tcPr>
            <w:tcW w:w="6566" w:type="dxa"/>
            <w:hideMark/>
          </w:tcPr>
          <w:p w14:paraId="3DF5234B" w14:textId="54513E0B" w:rsidR="001C2C19" w:rsidRPr="001C2C19" w:rsidRDefault="001C2C19" w:rsidP="001C2C19">
            <w:pPr>
              <w:spacing w:line="375" w:lineRule="atLeast"/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</w:pPr>
            <w:r w:rsidRPr="001C2C19"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>Public code repository, detailed specifications, and data availability statement</w:t>
            </w:r>
            <w:r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>.</w:t>
            </w:r>
          </w:p>
        </w:tc>
      </w:tr>
      <w:tr w:rsidR="001C2C19" w:rsidRPr="001C2C19" w14:paraId="4695CFCA" w14:textId="77777777" w:rsidTr="001C2C19">
        <w:tc>
          <w:tcPr>
            <w:tcW w:w="0" w:type="auto"/>
            <w:hideMark/>
          </w:tcPr>
          <w:p w14:paraId="429E3E45" w14:textId="77777777" w:rsidR="001C2C19" w:rsidRPr="001C2C19" w:rsidRDefault="001C2C19" w:rsidP="001C2C19">
            <w:pPr>
              <w:spacing w:line="375" w:lineRule="atLeast"/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</w:pPr>
            <w:r w:rsidRPr="001C2C19">
              <w:rPr>
                <w:rFonts w:asciiTheme="majorBidi" w:eastAsia="Times New Roman" w:hAnsiTheme="majorBidi" w:cstheme="majorBidi"/>
                <w:b/>
                <w:bCs/>
                <w:color w:val="0F1115"/>
                <w:sz w:val="28"/>
                <w:szCs w:val="28"/>
              </w:rPr>
              <w:t>Future Directions</w:t>
            </w:r>
          </w:p>
        </w:tc>
        <w:tc>
          <w:tcPr>
            <w:tcW w:w="6566" w:type="dxa"/>
            <w:hideMark/>
          </w:tcPr>
          <w:p w14:paraId="4BC7AF1D" w14:textId="4BC6193E" w:rsidR="001C2C19" w:rsidRPr="001C2C19" w:rsidRDefault="001C2C19" w:rsidP="001C2C19">
            <w:pPr>
              <w:spacing w:line="375" w:lineRule="atLeast"/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</w:pPr>
            <w:r w:rsidRPr="001C2C19"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>Explicit identification of limitations and research priorities to guide follow-up studies</w:t>
            </w:r>
            <w:r>
              <w:rPr>
                <w:rFonts w:asciiTheme="majorBidi" w:eastAsia="Times New Roman" w:hAnsiTheme="majorBidi" w:cstheme="majorBidi"/>
                <w:color w:val="0F1115"/>
                <w:sz w:val="28"/>
                <w:szCs w:val="28"/>
              </w:rPr>
              <w:t>.</w:t>
            </w:r>
          </w:p>
        </w:tc>
      </w:tr>
    </w:tbl>
    <w:p w14:paraId="01D4949C" w14:textId="77777777" w:rsidR="0088465C" w:rsidRDefault="0088465C"/>
    <w:sectPr w:rsidR="008846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C19"/>
    <w:rsid w:val="001C2C19"/>
    <w:rsid w:val="00884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AC074"/>
  <w15:chartTrackingRefBased/>
  <w15:docId w15:val="{FC5F05D1-DFB7-4BB2-8845-A3C806E82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1C2C19"/>
    <w:rPr>
      <w:b/>
      <w:bCs/>
    </w:rPr>
  </w:style>
  <w:style w:type="table" w:styleId="TableGrid">
    <w:name w:val="Table Grid"/>
    <w:basedOn w:val="TableNormal"/>
    <w:uiPriority w:val="39"/>
    <w:rsid w:val="001C2C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490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2026-03-24T06:21:00Z</dcterms:created>
  <dcterms:modified xsi:type="dcterms:W3CDTF">2026-03-24T06:24:00Z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84e03dc0-a8b6-448e-8c44-f56823eabfa9</vt:lpwstr>
  </property>
</Properties>
</file>