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C91E9">
      <w:pPr>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Supplementary table 1 S</w:t>
      </w:r>
      <w:r>
        <w:rPr>
          <w:rFonts w:hint="default" w:ascii="Times New Roman" w:hAnsi="Times New Roman" w:cs="Times New Roman"/>
          <w:b/>
          <w:bCs/>
          <w:sz w:val="21"/>
          <w:szCs w:val="21"/>
        </w:rPr>
        <w:t>tandardised feedback scoring system</w:t>
      </w:r>
      <w:bookmarkStart w:id="0" w:name="_GoBack"/>
      <w:bookmarkEnd w:id="0"/>
    </w:p>
    <w:tbl>
      <w:tblPr>
        <w:tblStyle w:val="5"/>
        <w:tblW w:w="0" w:type="auto"/>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2130"/>
        <w:gridCol w:w="8486"/>
        <w:gridCol w:w="1031"/>
      </w:tblGrid>
      <w:tr w14:paraId="6935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184" w:type="dxa"/>
          </w:tcPr>
          <w:p w14:paraId="3969C2C2">
            <w:pPr>
              <w:ind w:firstLine="630" w:firstLineChars="300"/>
              <w:jc w:val="both"/>
              <w:rPr>
                <w:vertAlign w:val="baseline"/>
              </w:rPr>
            </w:pPr>
            <w:r>
              <w:rPr>
                <w:rFonts w:hint="eastAsia"/>
                <w:vertAlign w:val="baseline"/>
              </w:rPr>
              <w:t>Item</w:t>
            </w:r>
          </w:p>
        </w:tc>
        <w:tc>
          <w:tcPr>
            <w:tcW w:w="10616" w:type="dxa"/>
            <w:gridSpan w:val="2"/>
          </w:tcPr>
          <w:p w14:paraId="7BB42532">
            <w:pPr>
              <w:jc w:val="center"/>
              <w:rPr>
                <w:vertAlign w:val="baseline"/>
              </w:rPr>
            </w:pPr>
            <w:r>
              <w:rPr>
                <w:rFonts w:hint="eastAsia"/>
                <w:vertAlign w:val="baseline"/>
              </w:rPr>
              <w:t>Assessment Content</w:t>
            </w:r>
          </w:p>
        </w:tc>
        <w:tc>
          <w:tcPr>
            <w:tcW w:w="1031" w:type="dxa"/>
          </w:tcPr>
          <w:p w14:paraId="45DD06D3">
            <w:pPr>
              <w:jc w:val="center"/>
              <w:rPr>
                <w:vertAlign w:val="baseline"/>
              </w:rPr>
            </w:pPr>
            <w:r>
              <w:rPr>
                <w:rFonts w:hint="eastAsia"/>
                <w:vertAlign w:val="baseline"/>
              </w:rPr>
              <w:t>Full</w:t>
            </w:r>
            <w:r>
              <w:rPr>
                <w:rFonts w:hint="eastAsia"/>
                <w:vertAlign w:val="baseline"/>
                <w:lang w:val="en-US" w:eastAsia="zh-CN"/>
              </w:rPr>
              <w:t xml:space="preserve"> </w:t>
            </w:r>
            <w:r>
              <w:rPr>
                <w:rFonts w:hint="eastAsia"/>
                <w:vertAlign w:val="baseline"/>
              </w:rPr>
              <w:t>Score</w:t>
            </w:r>
          </w:p>
        </w:tc>
      </w:tr>
      <w:tr w14:paraId="2D13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vMerge w:val="restart"/>
          </w:tcPr>
          <w:p w14:paraId="051B5E5F">
            <w:pPr>
              <w:rPr>
                <w:rStyle w:val="7"/>
                <w:rFonts w:ascii="Segoe UI" w:hAnsi="Segoe UI" w:eastAsia="Segoe UI" w:cs="Segoe UI"/>
                <w:b/>
                <w:bCs/>
                <w:i w:val="0"/>
                <w:iCs w:val="0"/>
                <w:caps w:val="0"/>
                <w:color w:val="0F1115"/>
                <w:spacing w:val="0"/>
                <w:sz w:val="15"/>
                <w:szCs w:val="15"/>
                <w:shd w:val="clear" w:fill="FFFFFF"/>
              </w:rPr>
            </w:pPr>
          </w:p>
          <w:p w14:paraId="4D7BD311">
            <w:pPr>
              <w:rPr>
                <w:rStyle w:val="7"/>
                <w:rFonts w:ascii="Segoe UI" w:hAnsi="Segoe UI" w:eastAsia="Segoe UI" w:cs="Segoe UI"/>
                <w:b/>
                <w:bCs/>
                <w:i w:val="0"/>
                <w:iCs w:val="0"/>
                <w:caps w:val="0"/>
                <w:color w:val="0F1115"/>
                <w:spacing w:val="0"/>
                <w:sz w:val="15"/>
                <w:szCs w:val="15"/>
                <w:shd w:val="clear" w:fill="FFFFFF"/>
              </w:rPr>
            </w:pPr>
          </w:p>
          <w:p w14:paraId="5D593B78">
            <w:pPr>
              <w:rPr>
                <w:vertAlign w:val="baseline"/>
              </w:rPr>
            </w:pPr>
            <w:r>
              <w:rPr>
                <w:rStyle w:val="7"/>
                <w:rFonts w:ascii="Segoe UI" w:hAnsi="Segoe UI" w:eastAsia="Segoe UI" w:cs="Segoe UI"/>
                <w:b/>
                <w:bCs/>
                <w:i w:val="0"/>
                <w:iCs w:val="0"/>
                <w:caps w:val="0"/>
                <w:color w:val="0F1115"/>
                <w:spacing w:val="0"/>
                <w:sz w:val="15"/>
                <w:szCs w:val="15"/>
                <w:shd w:val="clear" w:fill="FFFFFF"/>
              </w:rPr>
              <w:t>Pre-procedure Preparation</w:t>
            </w:r>
          </w:p>
        </w:tc>
        <w:tc>
          <w:tcPr>
            <w:tcW w:w="2130" w:type="dxa"/>
          </w:tcPr>
          <w:p w14:paraId="7F5368B3">
            <w:pPr>
              <w:rPr>
                <w:vertAlign w:val="baseline"/>
              </w:rPr>
            </w:pPr>
            <w:r>
              <w:rPr>
                <w:rStyle w:val="7"/>
                <w:rFonts w:ascii="Segoe UI" w:hAnsi="Segoe UI" w:eastAsia="Segoe UI" w:cs="Segoe UI"/>
                <w:b/>
                <w:bCs/>
                <w:i w:val="0"/>
                <w:iCs w:val="0"/>
                <w:caps w:val="0"/>
                <w:color w:val="0F1115"/>
                <w:spacing w:val="0"/>
                <w:sz w:val="15"/>
                <w:szCs w:val="15"/>
                <w:shd w:val="clear" w:fill="FFFFFF"/>
              </w:rPr>
              <w:t>Equipment Preparation</w:t>
            </w:r>
          </w:p>
        </w:tc>
        <w:tc>
          <w:tcPr>
            <w:tcW w:w="8486" w:type="dxa"/>
          </w:tcPr>
          <w:p w14:paraId="68C5F026">
            <w:pPr>
              <w:rPr>
                <w:vertAlign w:val="baseline"/>
              </w:rPr>
            </w:pPr>
            <w:r>
              <w:rPr>
                <w:rFonts w:ascii="Segoe UI" w:hAnsi="Segoe UI" w:eastAsia="Segoe UI" w:cs="Segoe UI"/>
                <w:i w:val="0"/>
                <w:iCs w:val="0"/>
                <w:caps w:val="0"/>
                <w:color w:val="0F1115"/>
                <w:spacing w:val="0"/>
                <w:sz w:val="15"/>
                <w:szCs w:val="15"/>
                <w:shd w:val="clear" w:fill="FFFFFF"/>
              </w:rPr>
              <w:t>Prepare appropriate concentration of local anesthetic, syringe, extension tubing, puncture needle, disinfectant swabs. (3 points) Connect and expel air from the extension tubing. (2 points)</w:t>
            </w:r>
          </w:p>
        </w:tc>
        <w:tc>
          <w:tcPr>
            <w:tcW w:w="1031" w:type="dxa"/>
          </w:tcPr>
          <w:p w14:paraId="32ED26DD">
            <w:pPr>
              <w:rPr>
                <w:vertAlign w:val="baseline"/>
              </w:rPr>
            </w:pPr>
          </w:p>
        </w:tc>
      </w:tr>
      <w:tr w14:paraId="293E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84" w:type="dxa"/>
            <w:vMerge w:val="continue"/>
          </w:tcPr>
          <w:p w14:paraId="47E73075">
            <w:pPr>
              <w:rPr>
                <w:vertAlign w:val="baseline"/>
              </w:rPr>
            </w:pPr>
          </w:p>
        </w:tc>
        <w:tc>
          <w:tcPr>
            <w:tcW w:w="2130" w:type="dxa"/>
            <w:vMerge w:val="restart"/>
          </w:tcPr>
          <w:p w14:paraId="02FF58C0">
            <w:pPr>
              <w:rPr>
                <w:vertAlign w:val="baseline"/>
              </w:rPr>
            </w:pPr>
            <w:r>
              <w:rPr>
                <w:rStyle w:val="7"/>
                <w:rFonts w:ascii="Segoe UI" w:hAnsi="Segoe UI" w:eastAsia="Segoe UI" w:cs="Segoe UI"/>
                <w:b/>
                <w:bCs/>
                <w:i w:val="0"/>
                <w:iCs w:val="0"/>
                <w:caps w:val="0"/>
                <w:color w:val="0F1115"/>
                <w:spacing w:val="0"/>
                <w:sz w:val="15"/>
                <w:szCs w:val="15"/>
                <w:shd w:val="clear" w:fill="FFFFFF"/>
              </w:rPr>
              <w:t>Ultrasound Preparation</w:t>
            </w:r>
          </w:p>
        </w:tc>
        <w:tc>
          <w:tcPr>
            <w:tcW w:w="8486" w:type="dxa"/>
          </w:tcPr>
          <w:p w14:paraId="02BBA4E6">
            <w:pPr>
              <w:rPr>
                <w:vertAlign w:val="baseline"/>
              </w:rPr>
            </w:pPr>
            <w:r>
              <w:rPr>
                <w:rFonts w:ascii="Segoe UI" w:hAnsi="Segoe UI" w:eastAsia="Segoe UI" w:cs="Segoe UI"/>
                <w:i w:val="0"/>
                <w:iCs w:val="0"/>
                <w:caps w:val="0"/>
                <w:color w:val="0F1115"/>
                <w:spacing w:val="0"/>
                <w:sz w:val="15"/>
                <w:szCs w:val="15"/>
                <w:shd w:val="clear" w:fill="FFFFFF"/>
              </w:rPr>
              <w:t>Correctly select ultrasound probe: linear probe, frequency range 5–13 MHz. (3 points)</w:t>
            </w:r>
          </w:p>
        </w:tc>
        <w:tc>
          <w:tcPr>
            <w:tcW w:w="1031" w:type="dxa"/>
            <w:vMerge w:val="restart"/>
          </w:tcPr>
          <w:p w14:paraId="14941344">
            <w:pPr>
              <w:rPr>
                <w:vertAlign w:val="baseline"/>
              </w:rPr>
            </w:pPr>
          </w:p>
        </w:tc>
      </w:tr>
      <w:tr w14:paraId="7245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84" w:type="dxa"/>
            <w:vMerge w:val="continue"/>
          </w:tcPr>
          <w:p w14:paraId="4D2897E7"/>
        </w:tc>
        <w:tc>
          <w:tcPr>
            <w:tcW w:w="2130" w:type="dxa"/>
            <w:vMerge w:val="continue"/>
          </w:tcPr>
          <w:p w14:paraId="25D875B4"/>
        </w:tc>
        <w:tc>
          <w:tcPr>
            <w:tcW w:w="8486" w:type="dxa"/>
          </w:tcPr>
          <w:p w14:paraId="5D075888">
            <w:pPr>
              <w:rPr>
                <w:rFonts w:ascii="Segoe UI" w:hAnsi="Segoe UI" w:eastAsia="Segoe UI" w:cs="Segoe UI"/>
                <w:i w:val="0"/>
                <w:iCs w:val="0"/>
                <w:caps w:val="0"/>
                <w:color w:val="0F1115"/>
                <w:spacing w:val="0"/>
                <w:sz w:val="15"/>
                <w:szCs w:val="15"/>
                <w:shd w:val="clear" w:fill="FFFFFF"/>
              </w:rPr>
            </w:pPr>
            <w:r>
              <w:rPr>
                <w:rFonts w:ascii="Segoe UI" w:hAnsi="Segoe UI" w:eastAsia="Segoe UI" w:cs="Segoe UI"/>
                <w:i w:val="0"/>
                <w:iCs w:val="0"/>
                <w:caps w:val="0"/>
                <w:color w:val="0F1115"/>
                <w:spacing w:val="0"/>
                <w:sz w:val="15"/>
                <w:szCs w:val="15"/>
                <w:shd w:val="clear" w:fill="FFFFFF"/>
              </w:rPr>
              <w:t>Apply coupling gel to ultrasound probe and cover with a disposable probe sheath, securing it in place. (2 points)</w:t>
            </w:r>
          </w:p>
        </w:tc>
        <w:tc>
          <w:tcPr>
            <w:tcW w:w="1031" w:type="dxa"/>
            <w:vMerge w:val="continue"/>
          </w:tcPr>
          <w:p w14:paraId="5B8955C3">
            <w:pPr>
              <w:rPr>
                <w:rFonts w:ascii="Segoe UI" w:hAnsi="Segoe UI" w:eastAsia="Segoe UI" w:cs="Segoe UI"/>
                <w:i w:val="0"/>
                <w:iCs w:val="0"/>
                <w:caps w:val="0"/>
                <w:color w:val="0F1115"/>
                <w:spacing w:val="0"/>
                <w:sz w:val="15"/>
                <w:szCs w:val="15"/>
                <w:shd w:val="clear" w:fill="FFFFFF"/>
              </w:rPr>
            </w:pPr>
          </w:p>
        </w:tc>
      </w:tr>
      <w:tr w14:paraId="2BC2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84" w:type="dxa"/>
            <w:vMerge w:val="continue"/>
          </w:tcPr>
          <w:p w14:paraId="17319D9E">
            <w:pPr>
              <w:rPr>
                <w:vertAlign w:val="baseline"/>
              </w:rPr>
            </w:pPr>
          </w:p>
        </w:tc>
        <w:tc>
          <w:tcPr>
            <w:tcW w:w="2130" w:type="dxa"/>
            <w:vMerge w:val="restart"/>
          </w:tcPr>
          <w:p w14:paraId="5ED4F8AC">
            <w:pPr>
              <w:rPr>
                <w:vertAlign w:val="baseline"/>
              </w:rPr>
            </w:pPr>
            <w:r>
              <w:rPr>
                <w:rStyle w:val="7"/>
                <w:rFonts w:ascii="Segoe UI" w:hAnsi="Segoe UI" w:eastAsia="Segoe UI" w:cs="Segoe UI"/>
                <w:b/>
                <w:bCs/>
                <w:i w:val="0"/>
                <w:iCs w:val="0"/>
                <w:caps w:val="0"/>
                <w:color w:val="0F1115"/>
                <w:spacing w:val="0"/>
                <w:sz w:val="15"/>
                <w:szCs w:val="15"/>
                <w:shd w:val="clear" w:fill="FFFFFF"/>
              </w:rPr>
              <w:t>Puncture Site Disinfection</w:t>
            </w:r>
          </w:p>
        </w:tc>
        <w:tc>
          <w:tcPr>
            <w:tcW w:w="8486" w:type="dxa"/>
          </w:tcPr>
          <w:p w14:paraId="4B18C5DE">
            <w:pPr>
              <w:rPr>
                <w:vertAlign w:val="baseline"/>
              </w:rPr>
            </w:pPr>
            <w:r>
              <w:rPr>
                <w:rFonts w:ascii="Segoe UI" w:hAnsi="Segoe UI" w:eastAsia="Segoe UI" w:cs="Segoe UI"/>
                <w:i w:val="0"/>
                <w:iCs w:val="0"/>
                <w:caps w:val="0"/>
                <w:color w:val="0F1115"/>
                <w:spacing w:val="0"/>
                <w:sz w:val="15"/>
                <w:szCs w:val="15"/>
                <w:shd w:val="clear" w:fill="FFFFFF"/>
              </w:rPr>
              <w:t>Position patient supine. (2 points)</w:t>
            </w:r>
          </w:p>
        </w:tc>
        <w:tc>
          <w:tcPr>
            <w:tcW w:w="1031" w:type="dxa"/>
            <w:vMerge w:val="restart"/>
          </w:tcPr>
          <w:p w14:paraId="41521AD8">
            <w:pPr>
              <w:rPr>
                <w:vertAlign w:val="baseline"/>
              </w:rPr>
            </w:pPr>
          </w:p>
        </w:tc>
      </w:tr>
      <w:tr w14:paraId="0532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84" w:type="dxa"/>
            <w:vMerge w:val="continue"/>
          </w:tcPr>
          <w:p w14:paraId="393DE41F"/>
        </w:tc>
        <w:tc>
          <w:tcPr>
            <w:tcW w:w="2130" w:type="dxa"/>
            <w:vMerge w:val="continue"/>
          </w:tcPr>
          <w:p w14:paraId="087F2182"/>
        </w:tc>
        <w:tc>
          <w:tcPr>
            <w:tcW w:w="8486" w:type="dxa"/>
          </w:tcPr>
          <w:p w14:paraId="23C1F09B">
            <w:pPr>
              <w:rPr>
                <w:vertAlign w:val="baseline"/>
              </w:rPr>
            </w:pPr>
            <w:r>
              <w:rPr>
                <w:rFonts w:ascii="Segoe UI" w:hAnsi="Segoe UI" w:eastAsia="Segoe UI" w:cs="Segoe UI"/>
                <w:i w:val="0"/>
                <w:iCs w:val="0"/>
                <w:caps w:val="0"/>
                <w:color w:val="0F1115"/>
                <w:spacing w:val="0"/>
                <w:sz w:val="15"/>
                <w:szCs w:val="15"/>
                <w:shd w:val="clear" w:fill="FFFFFF"/>
              </w:rPr>
              <w:t>Wear sterile gloves and disinfect with the puncture site as the center. (3 points)</w:t>
            </w:r>
          </w:p>
        </w:tc>
        <w:tc>
          <w:tcPr>
            <w:tcW w:w="1031" w:type="dxa"/>
            <w:vMerge w:val="continue"/>
          </w:tcPr>
          <w:p w14:paraId="07AF5EA4">
            <w:pPr>
              <w:rPr>
                <w:vertAlign w:val="baseline"/>
              </w:rPr>
            </w:pPr>
          </w:p>
        </w:tc>
      </w:tr>
      <w:tr w14:paraId="0FE6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vMerge w:val="restart"/>
          </w:tcPr>
          <w:p w14:paraId="6EBBB8D2">
            <w:pPr>
              <w:rPr>
                <w:rStyle w:val="7"/>
                <w:rFonts w:ascii="Segoe UI" w:hAnsi="Segoe UI" w:eastAsia="Segoe UI" w:cs="Segoe UI"/>
                <w:b/>
                <w:bCs/>
                <w:i w:val="0"/>
                <w:iCs w:val="0"/>
                <w:caps w:val="0"/>
                <w:color w:val="0F1115"/>
                <w:spacing w:val="0"/>
                <w:sz w:val="15"/>
                <w:szCs w:val="15"/>
                <w:shd w:val="clear" w:fill="FFFFFF"/>
              </w:rPr>
            </w:pPr>
          </w:p>
          <w:p w14:paraId="05ACD14D">
            <w:pPr>
              <w:rPr>
                <w:rStyle w:val="7"/>
                <w:rFonts w:ascii="Segoe UI" w:hAnsi="Segoe UI" w:eastAsia="Segoe UI" w:cs="Segoe UI"/>
                <w:b/>
                <w:bCs/>
                <w:i w:val="0"/>
                <w:iCs w:val="0"/>
                <w:caps w:val="0"/>
                <w:color w:val="0F1115"/>
                <w:spacing w:val="0"/>
                <w:sz w:val="15"/>
                <w:szCs w:val="15"/>
                <w:shd w:val="clear" w:fill="FFFFFF"/>
              </w:rPr>
            </w:pPr>
          </w:p>
          <w:p w14:paraId="3D927F0F">
            <w:pPr>
              <w:rPr>
                <w:vertAlign w:val="baseline"/>
              </w:rPr>
            </w:pPr>
            <w:r>
              <w:rPr>
                <w:rStyle w:val="7"/>
                <w:rFonts w:ascii="Segoe UI" w:hAnsi="Segoe UI" w:eastAsia="Segoe UI" w:cs="Segoe UI"/>
                <w:b/>
                <w:bCs/>
                <w:i w:val="0"/>
                <w:iCs w:val="0"/>
                <w:caps w:val="0"/>
                <w:color w:val="0F1115"/>
                <w:spacing w:val="0"/>
                <w:sz w:val="15"/>
                <w:szCs w:val="15"/>
                <w:shd w:val="clear" w:fill="FFFFFF"/>
              </w:rPr>
              <w:t>Puncture</w:t>
            </w:r>
            <w:r>
              <w:rPr>
                <w:rStyle w:val="7"/>
                <w:rFonts w:hint="eastAsia" w:ascii="Segoe UI" w:hAnsi="Segoe UI" w:eastAsia="宋体" w:cs="Segoe UI"/>
                <w:b/>
                <w:bCs/>
                <w:i w:val="0"/>
                <w:iCs w:val="0"/>
                <w:caps w:val="0"/>
                <w:color w:val="0F1115"/>
                <w:spacing w:val="0"/>
                <w:sz w:val="15"/>
                <w:szCs w:val="15"/>
                <w:shd w:val="clear" w:fill="FFFFFF"/>
                <w:lang w:val="en-US" w:eastAsia="zh-CN"/>
              </w:rPr>
              <w:t xml:space="preserve"> </w:t>
            </w:r>
            <w:r>
              <w:rPr>
                <w:rStyle w:val="7"/>
                <w:rFonts w:ascii="Segoe UI" w:hAnsi="Segoe UI" w:eastAsia="Segoe UI" w:cs="Segoe UI"/>
                <w:b/>
                <w:bCs/>
                <w:i w:val="0"/>
                <w:iCs w:val="0"/>
                <w:caps w:val="0"/>
                <w:color w:val="0F1115"/>
                <w:spacing w:val="0"/>
                <w:sz w:val="15"/>
                <w:szCs w:val="15"/>
                <w:shd w:val="clear" w:fill="FFFFFF"/>
              </w:rPr>
              <w:t>Approach Selection</w:t>
            </w:r>
          </w:p>
        </w:tc>
        <w:tc>
          <w:tcPr>
            <w:tcW w:w="2130" w:type="dxa"/>
            <w:vMerge w:val="restart"/>
          </w:tcPr>
          <w:p w14:paraId="6B3613FE">
            <w:pPr>
              <w:rPr>
                <w:rStyle w:val="7"/>
                <w:rFonts w:ascii="Segoe UI" w:hAnsi="Segoe UI" w:eastAsia="Segoe UI" w:cs="Segoe UI"/>
                <w:b/>
                <w:bCs/>
                <w:i w:val="0"/>
                <w:iCs w:val="0"/>
                <w:caps w:val="0"/>
                <w:color w:val="0F1115"/>
                <w:spacing w:val="0"/>
                <w:sz w:val="15"/>
                <w:szCs w:val="15"/>
                <w:shd w:val="clear" w:fill="FFFFFF"/>
              </w:rPr>
            </w:pPr>
          </w:p>
          <w:p w14:paraId="6B6A832C">
            <w:pPr>
              <w:rPr>
                <w:rStyle w:val="7"/>
                <w:rFonts w:ascii="Segoe UI" w:hAnsi="Segoe UI" w:eastAsia="Segoe UI" w:cs="Segoe UI"/>
                <w:b/>
                <w:bCs/>
                <w:i w:val="0"/>
                <w:iCs w:val="0"/>
                <w:caps w:val="0"/>
                <w:color w:val="0F1115"/>
                <w:spacing w:val="0"/>
                <w:sz w:val="15"/>
                <w:szCs w:val="15"/>
                <w:shd w:val="clear" w:fill="FFFFFF"/>
              </w:rPr>
            </w:pPr>
          </w:p>
          <w:p w14:paraId="72BA7778">
            <w:pPr>
              <w:rPr>
                <w:vertAlign w:val="baseline"/>
              </w:rPr>
            </w:pPr>
            <w:r>
              <w:rPr>
                <w:rStyle w:val="7"/>
                <w:rFonts w:ascii="Segoe UI" w:hAnsi="Segoe UI" w:eastAsia="Segoe UI" w:cs="Segoe UI"/>
                <w:b/>
                <w:bCs/>
                <w:i w:val="0"/>
                <w:iCs w:val="0"/>
                <w:caps w:val="0"/>
                <w:color w:val="0F1115"/>
                <w:spacing w:val="0"/>
                <w:sz w:val="15"/>
                <w:szCs w:val="15"/>
                <w:shd w:val="clear" w:fill="FFFFFF"/>
              </w:rPr>
              <w:t>Anterior Axillary/Midline Approach</w:t>
            </w:r>
          </w:p>
        </w:tc>
        <w:tc>
          <w:tcPr>
            <w:tcW w:w="8486" w:type="dxa"/>
          </w:tcPr>
          <w:p w14:paraId="3C0AD160">
            <w:pPr>
              <w:rPr>
                <w:vertAlign w:val="baseline"/>
              </w:rPr>
            </w:pPr>
            <w:r>
              <w:rPr>
                <w:rFonts w:ascii="Segoe UI" w:hAnsi="Segoe UI" w:eastAsia="Segoe UI" w:cs="Segoe UI"/>
                <w:i w:val="0"/>
                <w:iCs w:val="0"/>
                <w:caps w:val="0"/>
                <w:color w:val="0F1115"/>
                <w:spacing w:val="0"/>
                <w:sz w:val="15"/>
                <w:szCs w:val="15"/>
                <w:shd w:val="clear" w:fill="FFFFFF"/>
              </w:rPr>
              <w:t>Indications: Primarily lower abdomen; suitable for inguinal hernia repair, lower-segment cesarean section, gynecological surgery, etc. (10 points)</w:t>
            </w:r>
          </w:p>
        </w:tc>
        <w:tc>
          <w:tcPr>
            <w:tcW w:w="1031" w:type="dxa"/>
          </w:tcPr>
          <w:p w14:paraId="1C5EA88E">
            <w:pPr>
              <w:rPr>
                <w:vertAlign w:val="baseline"/>
              </w:rPr>
            </w:pPr>
          </w:p>
        </w:tc>
      </w:tr>
      <w:tr w14:paraId="4CC5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vMerge w:val="continue"/>
          </w:tcPr>
          <w:p w14:paraId="5E5A1FEA">
            <w:pPr>
              <w:rPr>
                <w:vertAlign w:val="baseline"/>
              </w:rPr>
            </w:pPr>
          </w:p>
        </w:tc>
        <w:tc>
          <w:tcPr>
            <w:tcW w:w="2130" w:type="dxa"/>
            <w:vMerge w:val="continue"/>
          </w:tcPr>
          <w:p w14:paraId="23AD1B27">
            <w:pPr>
              <w:rPr>
                <w:vertAlign w:val="baseline"/>
              </w:rPr>
            </w:pPr>
          </w:p>
        </w:tc>
        <w:tc>
          <w:tcPr>
            <w:tcW w:w="8486" w:type="dxa"/>
          </w:tcPr>
          <w:p w14:paraId="189A8734">
            <w:pPr>
              <w:rPr>
                <w:vertAlign w:val="baseline"/>
              </w:rPr>
            </w:pPr>
            <w:r>
              <w:rPr>
                <w:rFonts w:ascii="Segoe UI" w:hAnsi="Segoe UI" w:eastAsia="Segoe UI" w:cs="Segoe UI"/>
                <w:i w:val="0"/>
                <w:iCs w:val="0"/>
                <w:caps w:val="0"/>
                <w:color w:val="0F1115"/>
                <w:spacing w:val="0"/>
                <w:sz w:val="15"/>
                <w:szCs w:val="15"/>
                <w:shd w:val="clear" w:fill="FFFFFF"/>
              </w:rPr>
              <w:t>1. Place the probe perpendicular to the anterior axillary line, positioned axially on the abdominal wall between the iliac crest and costal margin. Scan toward the level of the anterior and mid-axillary lines. From superficial to deep, identify sequentially: subcutaneous fat, external oblique muscle, internal oblique muscle, transversus abdominis muscle, peritoneum, and intraperitoneal bowel. Obtain the clearest TAP block image. (10 points)</w:t>
            </w:r>
          </w:p>
        </w:tc>
        <w:tc>
          <w:tcPr>
            <w:tcW w:w="1031" w:type="dxa"/>
          </w:tcPr>
          <w:p w14:paraId="5A8AFD9C">
            <w:pPr>
              <w:rPr>
                <w:vertAlign w:val="baseline"/>
              </w:rPr>
            </w:pPr>
          </w:p>
        </w:tc>
      </w:tr>
      <w:tr w14:paraId="71CF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vMerge w:val="continue"/>
          </w:tcPr>
          <w:p w14:paraId="0BB25DD4">
            <w:pPr>
              <w:rPr>
                <w:vertAlign w:val="baseline"/>
              </w:rPr>
            </w:pPr>
          </w:p>
        </w:tc>
        <w:tc>
          <w:tcPr>
            <w:tcW w:w="2130" w:type="dxa"/>
            <w:vMerge w:val="continue"/>
          </w:tcPr>
          <w:p w14:paraId="27E025A7">
            <w:pPr>
              <w:rPr>
                <w:vertAlign w:val="baseline"/>
              </w:rPr>
            </w:pPr>
          </w:p>
        </w:tc>
        <w:tc>
          <w:tcPr>
            <w:tcW w:w="8486" w:type="dxa"/>
          </w:tcPr>
          <w:p w14:paraId="604F94AC">
            <w:pPr>
              <w:rPr>
                <w:vertAlign w:val="baseline"/>
              </w:rPr>
            </w:pPr>
            <w:r>
              <w:rPr>
                <w:rFonts w:ascii="Segoe UI" w:hAnsi="Segoe UI" w:eastAsia="Segoe UI" w:cs="Segoe UI"/>
                <w:i w:val="0"/>
                <w:iCs w:val="0"/>
                <w:caps w:val="0"/>
                <w:color w:val="0F1115"/>
                <w:spacing w:val="0"/>
                <w:sz w:val="15"/>
                <w:szCs w:val="15"/>
                <w:shd w:val="clear" w:fill="FFFFFF"/>
              </w:rPr>
              <w:t>2. Use in-plane technique. Under ultrasound guidance, advance the needle until the tip penetrates the external and internal oblique muscles and reaches the transversus abdominis plane. Aspirate to confirm no blood or air, then inject the medication. (10 points)</w:t>
            </w:r>
          </w:p>
        </w:tc>
        <w:tc>
          <w:tcPr>
            <w:tcW w:w="1031" w:type="dxa"/>
          </w:tcPr>
          <w:p w14:paraId="35B9DC8C">
            <w:pPr>
              <w:rPr>
                <w:vertAlign w:val="baseline"/>
              </w:rPr>
            </w:pPr>
          </w:p>
        </w:tc>
      </w:tr>
      <w:tr w14:paraId="7876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vMerge w:val="continue"/>
          </w:tcPr>
          <w:p w14:paraId="0F75B8EE">
            <w:pPr>
              <w:rPr>
                <w:vertAlign w:val="baseline"/>
              </w:rPr>
            </w:pPr>
          </w:p>
        </w:tc>
        <w:tc>
          <w:tcPr>
            <w:tcW w:w="2130" w:type="dxa"/>
            <w:vMerge w:val="continue"/>
          </w:tcPr>
          <w:p w14:paraId="52A80FC0">
            <w:pPr>
              <w:rPr>
                <w:vertAlign w:val="baseline"/>
              </w:rPr>
            </w:pPr>
          </w:p>
        </w:tc>
        <w:tc>
          <w:tcPr>
            <w:tcW w:w="8486" w:type="dxa"/>
          </w:tcPr>
          <w:p w14:paraId="184C8930">
            <w:pPr>
              <w:rPr>
                <w:vertAlign w:val="baseline"/>
              </w:rPr>
            </w:pPr>
            <w:r>
              <w:rPr>
                <w:rFonts w:ascii="Segoe UI" w:hAnsi="Segoe UI" w:eastAsia="Segoe UI" w:cs="Segoe UI"/>
                <w:i w:val="0"/>
                <w:iCs w:val="0"/>
                <w:caps w:val="0"/>
                <w:color w:val="0F1115"/>
                <w:spacing w:val="0"/>
                <w:sz w:val="15"/>
                <w:szCs w:val="15"/>
                <w:shd w:val="clear" w:fill="FFFFFF"/>
              </w:rPr>
              <w:t>3. Ultrasound image should show medication spread and infiltration, forming an anechoic area with separation of the transversus abdominis muscle. (10 points)</w:t>
            </w:r>
          </w:p>
        </w:tc>
        <w:tc>
          <w:tcPr>
            <w:tcW w:w="1031" w:type="dxa"/>
          </w:tcPr>
          <w:p w14:paraId="5A90ED6B">
            <w:pPr>
              <w:rPr>
                <w:vertAlign w:val="baseline"/>
              </w:rPr>
            </w:pPr>
          </w:p>
        </w:tc>
      </w:tr>
      <w:tr w14:paraId="516B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4" w:type="dxa"/>
          </w:tcPr>
          <w:p w14:paraId="1E682142">
            <w:pPr>
              <w:rPr>
                <w:vertAlign w:val="baseline"/>
              </w:rPr>
            </w:pPr>
            <w:r>
              <w:rPr>
                <w:rStyle w:val="7"/>
                <w:rFonts w:ascii="Segoe UI" w:hAnsi="Segoe UI" w:eastAsia="Segoe UI" w:cs="Segoe UI"/>
                <w:b/>
                <w:bCs/>
                <w:i w:val="0"/>
                <w:iCs w:val="0"/>
                <w:caps w:val="0"/>
                <w:color w:val="0F1115"/>
                <w:spacing w:val="0"/>
                <w:sz w:val="15"/>
                <w:szCs w:val="15"/>
                <w:shd w:val="clear" w:fill="FFFFFF"/>
              </w:rPr>
              <w:t>Operational Evaluation</w:t>
            </w:r>
          </w:p>
        </w:tc>
        <w:tc>
          <w:tcPr>
            <w:tcW w:w="10616" w:type="dxa"/>
            <w:gridSpan w:val="2"/>
          </w:tcPr>
          <w:p w14:paraId="623FA42F">
            <w:pPr>
              <w:rPr>
                <w:vertAlign w:val="baseline"/>
              </w:rPr>
            </w:pPr>
            <w:r>
              <w:rPr>
                <w:rFonts w:ascii="Segoe UI" w:hAnsi="Segoe UI" w:eastAsia="Segoe UI" w:cs="Segoe UI"/>
                <w:i w:val="0"/>
                <w:iCs w:val="0"/>
                <w:caps w:val="0"/>
                <w:color w:val="0F1115"/>
                <w:spacing w:val="0"/>
                <w:sz w:val="15"/>
                <w:szCs w:val="15"/>
                <w:shd w:val="clear" w:fill="FFFFFF"/>
              </w:rPr>
              <w:t>Appropriate ultrasound depth (5 points); needle path visible ≥1/2 of its length (10 points); clear needle tip visibility (10 points); after injection, a complete local anesthetic fluid pocket is formed (5 points); successful in one attempt (5 points).</w:t>
            </w:r>
          </w:p>
        </w:tc>
        <w:tc>
          <w:tcPr>
            <w:tcW w:w="1031" w:type="dxa"/>
          </w:tcPr>
          <w:p w14:paraId="08D0B4D8">
            <w:pPr>
              <w:rPr>
                <w:vertAlign w:val="baseline"/>
              </w:rPr>
            </w:pPr>
          </w:p>
        </w:tc>
      </w:tr>
      <w:tr w14:paraId="7E15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84" w:type="dxa"/>
            <w:vMerge w:val="restart"/>
          </w:tcPr>
          <w:p w14:paraId="2F13D45B">
            <w:pPr>
              <w:rPr>
                <w:vertAlign w:val="baseline"/>
              </w:rPr>
            </w:pPr>
            <w:r>
              <w:rPr>
                <w:rStyle w:val="7"/>
                <w:rFonts w:ascii="Segoe UI" w:hAnsi="Segoe UI" w:eastAsia="Segoe UI" w:cs="Segoe UI"/>
                <w:b/>
                <w:bCs/>
                <w:i w:val="0"/>
                <w:iCs w:val="0"/>
                <w:caps w:val="0"/>
                <w:color w:val="0F1115"/>
                <w:spacing w:val="0"/>
                <w:sz w:val="15"/>
                <w:szCs w:val="15"/>
                <w:shd w:val="clear" w:fill="FFFFFF"/>
              </w:rPr>
              <w:t>Proficiency</w:t>
            </w:r>
          </w:p>
        </w:tc>
        <w:tc>
          <w:tcPr>
            <w:tcW w:w="2130" w:type="dxa"/>
          </w:tcPr>
          <w:p w14:paraId="35BE9E57">
            <w:pPr>
              <w:rPr>
                <w:vertAlign w:val="baseline"/>
              </w:rPr>
            </w:pPr>
            <w:r>
              <w:rPr>
                <w:rStyle w:val="7"/>
                <w:rFonts w:ascii="Segoe UI" w:hAnsi="Segoe UI" w:eastAsia="Segoe UI" w:cs="Segoe UI"/>
                <w:b/>
                <w:bCs/>
                <w:i w:val="0"/>
                <w:iCs w:val="0"/>
                <w:caps w:val="0"/>
                <w:color w:val="0F1115"/>
                <w:spacing w:val="0"/>
                <w:sz w:val="15"/>
                <w:szCs w:val="15"/>
                <w:shd w:val="clear" w:fill="FFFFFF"/>
              </w:rPr>
              <w:t>Time required</w:t>
            </w:r>
          </w:p>
        </w:tc>
        <w:tc>
          <w:tcPr>
            <w:tcW w:w="8486" w:type="dxa"/>
          </w:tcPr>
          <w:p w14:paraId="0701A7EA">
            <w:pPr>
              <w:rPr>
                <w:vertAlign w:val="baseline"/>
              </w:rPr>
            </w:pPr>
            <w:r>
              <w:rPr>
                <w:rFonts w:ascii="Segoe UI" w:hAnsi="Segoe UI" w:eastAsia="Segoe UI" w:cs="Segoe UI"/>
                <w:i w:val="0"/>
                <w:iCs w:val="0"/>
                <w:caps w:val="0"/>
                <w:color w:val="0F1115"/>
                <w:spacing w:val="0"/>
                <w:sz w:val="15"/>
                <w:szCs w:val="15"/>
                <w:shd w:val="clear" w:fill="FFFFFF"/>
              </w:rPr>
              <w:t>0–3 min (5 points); 3–5 min (2 points); &gt;5 min (0 points)</w:t>
            </w:r>
          </w:p>
        </w:tc>
        <w:tc>
          <w:tcPr>
            <w:tcW w:w="1031" w:type="dxa"/>
            <w:vMerge w:val="restart"/>
          </w:tcPr>
          <w:p w14:paraId="780B9BF7">
            <w:pPr>
              <w:rPr>
                <w:vertAlign w:val="baseline"/>
              </w:rPr>
            </w:pPr>
          </w:p>
        </w:tc>
      </w:tr>
      <w:tr w14:paraId="7933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184" w:type="dxa"/>
            <w:vMerge w:val="continue"/>
          </w:tcPr>
          <w:p w14:paraId="1BA281F2"/>
        </w:tc>
        <w:tc>
          <w:tcPr>
            <w:tcW w:w="2130" w:type="dxa"/>
          </w:tcPr>
          <w:p w14:paraId="6D155114">
            <w:pPr>
              <w:rPr>
                <w:vertAlign w:val="baseline"/>
              </w:rPr>
            </w:pPr>
            <w:r>
              <w:rPr>
                <w:rStyle w:val="7"/>
                <w:rFonts w:ascii="Segoe UI" w:hAnsi="Segoe UI" w:eastAsia="Segoe UI" w:cs="Segoe UI"/>
                <w:b/>
                <w:bCs/>
                <w:i w:val="0"/>
                <w:iCs w:val="0"/>
                <w:caps w:val="0"/>
                <w:color w:val="0F1115"/>
                <w:spacing w:val="0"/>
                <w:sz w:val="15"/>
                <w:szCs w:val="15"/>
                <w:shd w:val="clear" w:fill="FFFFFF"/>
              </w:rPr>
              <w:t>Complications</w:t>
            </w:r>
          </w:p>
        </w:tc>
        <w:tc>
          <w:tcPr>
            <w:tcW w:w="8486" w:type="dxa"/>
          </w:tcPr>
          <w:p w14:paraId="626FE3E1">
            <w:pPr>
              <w:rPr>
                <w:vertAlign w:val="baseline"/>
              </w:rPr>
            </w:pPr>
            <w:r>
              <w:rPr>
                <w:rFonts w:ascii="Segoe UI" w:hAnsi="Segoe UI" w:eastAsia="Segoe UI" w:cs="Segoe UI"/>
                <w:i w:val="0"/>
                <w:iCs w:val="0"/>
                <w:caps w:val="0"/>
                <w:color w:val="0F1115"/>
                <w:spacing w:val="0"/>
                <w:sz w:val="15"/>
                <w:szCs w:val="15"/>
                <w:shd w:val="clear" w:fill="FFFFFF"/>
              </w:rPr>
              <w:t>No intraperitoneal injection, organ injury, local hematoma, or local anesthetic toxicity.</w:t>
            </w:r>
          </w:p>
        </w:tc>
        <w:tc>
          <w:tcPr>
            <w:tcW w:w="1031" w:type="dxa"/>
            <w:vMerge w:val="continue"/>
          </w:tcPr>
          <w:p w14:paraId="323B9F97">
            <w:pPr>
              <w:rPr>
                <w:vertAlign w:val="baseline"/>
              </w:rPr>
            </w:pPr>
          </w:p>
        </w:tc>
      </w:tr>
      <w:tr w14:paraId="70EA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00" w:type="dxa"/>
            <w:gridSpan w:val="3"/>
            <w:vAlign w:val="top"/>
          </w:tcPr>
          <w:p w14:paraId="6CAB3AF0">
            <w:pPr>
              <w:jc w:val="center"/>
              <w:rPr>
                <w:vertAlign w:val="baseline"/>
              </w:rPr>
            </w:pPr>
            <w:r>
              <w:rPr>
                <w:rStyle w:val="7"/>
                <w:rFonts w:ascii="Segoe UI" w:hAnsi="Segoe UI" w:eastAsia="Segoe UI" w:cs="Segoe UI"/>
                <w:b/>
                <w:bCs/>
                <w:i w:val="0"/>
                <w:iCs w:val="0"/>
                <w:caps w:val="0"/>
                <w:color w:val="0F1115"/>
                <w:spacing w:val="0"/>
                <w:sz w:val="15"/>
                <w:szCs w:val="15"/>
                <w:shd w:val="clear" w:fill="FFFFFF"/>
              </w:rPr>
              <w:t>Total Score</w:t>
            </w:r>
          </w:p>
        </w:tc>
        <w:tc>
          <w:tcPr>
            <w:tcW w:w="1031" w:type="dxa"/>
          </w:tcPr>
          <w:p w14:paraId="6F76299A">
            <w:pPr>
              <w:rPr>
                <w:vertAlign w:val="baseline"/>
              </w:rPr>
            </w:pPr>
          </w:p>
        </w:tc>
      </w:tr>
    </w:tbl>
    <w:p w14:paraId="0D5732B8">
      <w:pPr>
        <w:rPr>
          <w:rFonts w:hint="eastAsia"/>
          <w:lang w:val="en-US" w:eastAsia="zh-CN"/>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DFA4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E19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2141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A2B5D">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567E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C033">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A03A3"/>
    <w:rsid w:val="01E70628"/>
    <w:rsid w:val="034A03A3"/>
    <w:rsid w:val="08C95E7E"/>
    <w:rsid w:val="2B9F159F"/>
    <w:rsid w:val="39567866"/>
    <w:rsid w:val="52FB52AE"/>
    <w:rsid w:val="535A150C"/>
    <w:rsid w:val="68134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2026-01-27T13:38:00Z</dcterms:created>
  <dc:creator>陈首名</dc:creator>
  <cp:lastModifiedBy>陈首名</cp:lastModifiedBy>
  <dcterms:modified xsi:type="dcterms:W3CDTF">2026-01-27T13:58:39Z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8BC80BB3BF08442499B43E26D93AE259_11</vt:lpwstr>
  </property>
  <property fmtid="{D5CDD505-2E9C-101B-9397-08002B2CF9AE}" pid="4" name="KSOTemplateDocerSaveRecord">
    <vt:lpwstr>eyJoZGlkIjoiMjllNTk0N2E3MTc5OTMwYmNhYmI2YzYzOWVlOGZlYTAiLCJ1c2VySWQiOiIyODk5OTYyNzMifQ==</vt:lpwstr>
  </property>
</Properties>
</file>