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30FE6" w14:textId="5874ED44" w:rsidR="00691B30" w:rsidRPr="003E2DD9" w:rsidRDefault="003E2DD9">
      <w:pPr>
        <w:pStyle w:val="Heading1"/>
        <w:rPr>
          <w:rFonts w:ascii="Times New Roman" w:hAnsi="Times New Roman" w:cs="Times New Roman"/>
        </w:rPr>
      </w:pPr>
      <w:r w:rsidRPr="003E2DD9">
        <w:rPr>
          <w:rFonts w:ascii="Times New Roman" w:hAnsi="Times New Roman" w:cs="Times New Roman"/>
          <w:sz w:val="20"/>
        </w:rPr>
        <w:t>CARE Checklist</w:t>
      </w:r>
    </w:p>
    <w:p w14:paraId="6260EB2B" w14:textId="77777777" w:rsidR="00AE0354" w:rsidRPr="00AE0354" w:rsidRDefault="00AE0354" w:rsidP="00AE03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A" w:eastAsia="en-GB"/>
        </w:rPr>
      </w:pPr>
      <w:r w:rsidRPr="00AE0354">
        <w:rPr>
          <w:rFonts w:ascii="Times New Roman" w:eastAsia="Times New Roman" w:hAnsi="Times New Roman" w:cs="Times New Roman"/>
          <w:b/>
          <w:bCs/>
          <w:sz w:val="24"/>
          <w:szCs w:val="24"/>
          <w:lang w:val="en-UA" w:eastAsia="en-GB"/>
        </w:rPr>
        <w:t>Cerebellar functional reorganization across mandibular positions in painful temporomandibular disorder: an fMRI case report integrated with cerebellar voxel-based morphometry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1"/>
        <w:gridCol w:w="567"/>
        <w:gridCol w:w="1418"/>
        <w:gridCol w:w="1616"/>
        <w:gridCol w:w="4014"/>
      </w:tblGrid>
      <w:tr w:rsidR="00691B30" w:rsidRPr="003E2DD9" w14:paraId="72310187" w14:textId="77777777" w:rsidTr="003E2DD9">
        <w:tc>
          <w:tcPr>
            <w:tcW w:w="1242" w:type="dxa"/>
          </w:tcPr>
          <w:p w14:paraId="2C0FE1C9" w14:textId="77777777" w:rsidR="00691B30" w:rsidRPr="003E2DD9" w:rsidRDefault="003E2DD9">
            <w:pPr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  <w:sz w:val="18"/>
              </w:rPr>
              <w:t>Topic</w:t>
            </w:r>
          </w:p>
        </w:tc>
        <w:tc>
          <w:tcPr>
            <w:tcW w:w="567" w:type="dxa"/>
          </w:tcPr>
          <w:p w14:paraId="7855A9B8" w14:textId="77777777" w:rsidR="00691B30" w:rsidRPr="003E2DD9" w:rsidRDefault="003E2DD9">
            <w:pPr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  <w:sz w:val="18"/>
              </w:rPr>
              <w:t>Item</w:t>
            </w:r>
          </w:p>
        </w:tc>
        <w:tc>
          <w:tcPr>
            <w:tcW w:w="1418" w:type="dxa"/>
          </w:tcPr>
          <w:p w14:paraId="095CDF8C" w14:textId="77777777" w:rsidR="00691B30" w:rsidRPr="003E2DD9" w:rsidRDefault="003E2DD9">
            <w:pPr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  <w:sz w:val="18"/>
              </w:rPr>
              <w:t>Checklist item</w:t>
            </w:r>
          </w:p>
        </w:tc>
        <w:tc>
          <w:tcPr>
            <w:tcW w:w="1608" w:type="dxa"/>
          </w:tcPr>
          <w:p w14:paraId="4AF8C052" w14:textId="77777777" w:rsidR="00691B30" w:rsidRPr="003E2DD9" w:rsidRDefault="003E2DD9">
            <w:pPr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  <w:sz w:val="18"/>
              </w:rPr>
              <w:t>Reported on (paragraph/section)</w:t>
            </w:r>
          </w:p>
        </w:tc>
        <w:tc>
          <w:tcPr>
            <w:tcW w:w="4021" w:type="dxa"/>
          </w:tcPr>
          <w:p w14:paraId="43F6E80D" w14:textId="77777777" w:rsidR="00691B30" w:rsidRPr="003E2DD9" w:rsidRDefault="003E2DD9">
            <w:pPr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  <w:sz w:val="18"/>
              </w:rPr>
              <w:t>Status / notes</w:t>
            </w:r>
          </w:p>
        </w:tc>
      </w:tr>
      <w:tr w:rsidR="00691B30" w:rsidRPr="003E2DD9" w14:paraId="601936DB" w14:textId="77777777" w:rsidTr="003E2DD9">
        <w:tc>
          <w:tcPr>
            <w:tcW w:w="1242" w:type="dxa"/>
          </w:tcPr>
          <w:p w14:paraId="5D148AD5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Title</w:t>
            </w:r>
          </w:p>
        </w:tc>
        <w:tc>
          <w:tcPr>
            <w:tcW w:w="567" w:type="dxa"/>
          </w:tcPr>
          <w:p w14:paraId="781EF1B4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562B8EE9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The diagnosis or intervention of primary focus followed by the words “case report”.</w:t>
            </w:r>
          </w:p>
        </w:tc>
        <w:tc>
          <w:tcPr>
            <w:tcW w:w="1608" w:type="dxa"/>
          </w:tcPr>
          <w:p w14:paraId="601658AF" w14:textId="463C068D" w:rsidR="00691B30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2DD9">
              <w:rPr>
                <w:rFonts w:ascii="Times New Roman" w:hAnsi="Times New Roman" w:cs="Times New Roman"/>
              </w:rPr>
              <w:t>P1</w:t>
            </w:r>
            <w:proofErr w:type="spellEnd"/>
          </w:p>
        </w:tc>
        <w:tc>
          <w:tcPr>
            <w:tcW w:w="4021" w:type="dxa"/>
          </w:tcPr>
          <w:p w14:paraId="54551BD2" w14:textId="77777777" w:rsidR="00691B30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PARTIAL – title includes 'case report' wording; consider making primary focus explicit as diagnosis (myofascial pain disorder/TMD) rather than only 'painful TMD' phrasing.</w:t>
            </w:r>
          </w:p>
        </w:tc>
      </w:tr>
      <w:tr w:rsidR="00691B30" w:rsidRPr="003E2DD9" w14:paraId="68DBA121" w14:textId="77777777" w:rsidTr="003E2DD9">
        <w:tc>
          <w:tcPr>
            <w:tcW w:w="1242" w:type="dxa"/>
          </w:tcPr>
          <w:p w14:paraId="425A5B28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Key Words</w:t>
            </w:r>
          </w:p>
        </w:tc>
        <w:tc>
          <w:tcPr>
            <w:tcW w:w="567" w:type="dxa"/>
          </w:tcPr>
          <w:p w14:paraId="1F67E114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6F32840B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2 to 5 key words that identify diagnoses or interventions in this case report, including 'case report'.</w:t>
            </w:r>
          </w:p>
        </w:tc>
        <w:tc>
          <w:tcPr>
            <w:tcW w:w="1608" w:type="dxa"/>
          </w:tcPr>
          <w:p w14:paraId="00009AA7" w14:textId="07D42685" w:rsidR="00691B30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021" w:type="dxa"/>
          </w:tcPr>
          <w:p w14:paraId="3239A780" w14:textId="77777777" w:rsidR="00691B30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PARTIAL – 5 keywords are present but do not include the word 'case report' and CARE recommends 2–5 diagnosis/intervention keywords.</w:t>
            </w:r>
          </w:p>
        </w:tc>
      </w:tr>
      <w:tr w:rsidR="00691B30" w:rsidRPr="003E2DD9" w14:paraId="1FFEED12" w14:textId="77777777" w:rsidTr="003E2DD9">
        <w:tc>
          <w:tcPr>
            <w:tcW w:w="1242" w:type="dxa"/>
          </w:tcPr>
          <w:p w14:paraId="4CC16F7D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Abstract</w:t>
            </w:r>
          </w:p>
        </w:tc>
        <w:tc>
          <w:tcPr>
            <w:tcW w:w="567" w:type="dxa"/>
          </w:tcPr>
          <w:p w14:paraId="33DEFBF5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3a</w:t>
            </w:r>
          </w:p>
        </w:tc>
        <w:tc>
          <w:tcPr>
            <w:tcW w:w="1418" w:type="dxa"/>
          </w:tcPr>
          <w:p w14:paraId="0C74AEEA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Introduction: What is unique about this case and what does it add to the scientific literature?</w:t>
            </w:r>
          </w:p>
        </w:tc>
        <w:tc>
          <w:tcPr>
            <w:tcW w:w="1608" w:type="dxa"/>
          </w:tcPr>
          <w:p w14:paraId="7366F05E" w14:textId="3EFAE9AC" w:rsidR="00691B30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021" w:type="dxa"/>
          </w:tcPr>
          <w:p w14:paraId="4F202A2D" w14:textId="77777777" w:rsidR="00691B30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YES – states why the case is unique and what it adds (novel within-subject, state-dependent cerebellar BOLD pattern).</w:t>
            </w:r>
          </w:p>
        </w:tc>
      </w:tr>
      <w:tr w:rsidR="00691B30" w:rsidRPr="003E2DD9" w14:paraId="205A7DDC" w14:textId="77777777" w:rsidTr="003E2DD9">
        <w:tc>
          <w:tcPr>
            <w:tcW w:w="1242" w:type="dxa"/>
          </w:tcPr>
          <w:p w14:paraId="11D99486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Abstract</w:t>
            </w:r>
          </w:p>
        </w:tc>
        <w:tc>
          <w:tcPr>
            <w:tcW w:w="567" w:type="dxa"/>
          </w:tcPr>
          <w:p w14:paraId="63238902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3b</w:t>
            </w:r>
          </w:p>
        </w:tc>
        <w:tc>
          <w:tcPr>
            <w:tcW w:w="1418" w:type="dxa"/>
          </w:tcPr>
          <w:p w14:paraId="654BF1A2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Main symptoms and/or important clinical findings.</w:t>
            </w:r>
          </w:p>
        </w:tc>
        <w:tc>
          <w:tcPr>
            <w:tcW w:w="1608" w:type="dxa"/>
          </w:tcPr>
          <w:p w14:paraId="2D81C0E0" w14:textId="3A60646A" w:rsidR="00691B30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021" w:type="dxa"/>
          </w:tcPr>
          <w:p w14:paraId="65D10FDD" w14:textId="77777777" w:rsidR="00691B30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PARTIAL – main symptoms are listed (jaw tension, bruxism, chronic tinnitus), but key clinical findings/exam results and relevant negatives are not described in the abstract.</w:t>
            </w:r>
          </w:p>
        </w:tc>
      </w:tr>
      <w:tr w:rsidR="00691B30" w:rsidRPr="003E2DD9" w14:paraId="259524FD" w14:textId="77777777" w:rsidTr="003E2DD9">
        <w:tc>
          <w:tcPr>
            <w:tcW w:w="1242" w:type="dxa"/>
          </w:tcPr>
          <w:p w14:paraId="4A9B1BF7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Abstract</w:t>
            </w:r>
          </w:p>
        </w:tc>
        <w:tc>
          <w:tcPr>
            <w:tcW w:w="567" w:type="dxa"/>
          </w:tcPr>
          <w:p w14:paraId="3B8CB1AA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3c</w:t>
            </w:r>
          </w:p>
        </w:tc>
        <w:tc>
          <w:tcPr>
            <w:tcW w:w="1418" w:type="dxa"/>
          </w:tcPr>
          <w:p w14:paraId="1F88A5EB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The main diagnoses, therapeutic interventions, and outcomes.</w:t>
            </w:r>
          </w:p>
        </w:tc>
        <w:tc>
          <w:tcPr>
            <w:tcW w:w="1608" w:type="dxa"/>
          </w:tcPr>
          <w:p w14:paraId="5851F612" w14:textId="51A4D2A5" w:rsidR="00691B30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021" w:type="dxa"/>
          </w:tcPr>
          <w:p w14:paraId="5B59F83D" w14:textId="77777777" w:rsidR="00691B30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PARTIAL – diagnosis is framed as painful TMD and imaging ‘outcomes’ (activation patterns) are described; therapeutic intervention/outcome for the patient is not reported beyond experimental mandibular conditions.</w:t>
            </w:r>
          </w:p>
        </w:tc>
      </w:tr>
      <w:tr w:rsidR="00691B30" w:rsidRPr="003E2DD9" w14:paraId="0F784D24" w14:textId="77777777" w:rsidTr="003E2DD9">
        <w:tc>
          <w:tcPr>
            <w:tcW w:w="1242" w:type="dxa"/>
          </w:tcPr>
          <w:p w14:paraId="65B8B5CE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Abstract</w:t>
            </w:r>
          </w:p>
        </w:tc>
        <w:tc>
          <w:tcPr>
            <w:tcW w:w="567" w:type="dxa"/>
          </w:tcPr>
          <w:p w14:paraId="7A238D01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3d</w:t>
            </w:r>
          </w:p>
        </w:tc>
        <w:tc>
          <w:tcPr>
            <w:tcW w:w="1418" w:type="dxa"/>
          </w:tcPr>
          <w:p w14:paraId="40E55227" w14:textId="77777777" w:rsidR="00691B30" w:rsidRPr="003E2DD9" w:rsidRDefault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Conclusion—What is the main take-away lesson(s) from this case?</w:t>
            </w:r>
          </w:p>
        </w:tc>
        <w:tc>
          <w:tcPr>
            <w:tcW w:w="1608" w:type="dxa"/>
          </w:tcPr>
          <w:p w14:paraId="388D867F" w14:textId="22253643" w:rsidR="00691B30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021" w:type="dxa"/>
          </w:tcPr>
          <w:p w14:paraId="286D984B" w14:textId="77777777" w:rsidR="00691B30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YES – provides a main take-away lesson/conclusion about clinical relevance/pathophysiologic insight.</w:t>
            </w:r>
          </w:p>
        </w:tc>
      </w:tr>
      <w:tr w:rsidR="003E2DD9" w:rsidRPr="003E2DD9" w14:paraId="0D273476" w14:textId="77777777" w:rsidTr="003E2DD9">
        <w:tc>
          <w:tcPr>
            <w:tcW w:w="1242" w:type="dxa"/>
          </w:tcPr>
          <w:p w14:paraId="15341408" w14:textId="5B884780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A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Introduction</w:t>
            </w:r>
            <w:r w:rsidRPr="003E2DD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</w:t>
            </w:r>
            <w:proofErr w:type="gramStart"/>
            <w:r w:rsidRPr="003E2D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Background </w:t>
            </w:r>
            <w:r w:rsidRPr="003E2DD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</w:t>
            </w:r>
            <w:proofErr w:type="gramEnd"/>
          </w:p>
        </w:tc>
        <w:tc>
          <w:tcPr>
            <w:tcW w:w="567" w:type="dxa"/>
          </w:tcPr>
          <w:p w14:paraId="09F121FE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02B1D1C3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One or two paragraphs summarizing why this case is unique (may include references).</w:t>
            </w:r>
          </w:p>
        </w:tc>
        <w:tc>
          <w:tcPr>
            <w:tcW w:w="1608" w:type="dxa"/>
          </w:tcPr>
          <w:p w14:paraId="7AC8DA10" w14:textId="378F2946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021" w:type="dxa"/>
          </w:tcPr>
          <w:p w14:paraId="066288D0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YES – explains why the case is unique compared with existing neuroimaging literature (no prior within-subject cerebellar BOLD redistribution report across mandibular positions).</w:t>
            </w:r>
          </w:p>
        </w:tc>
      </w:tr>
      <w:tr w:rsidR="003E2DD9" w:rsidRPr="003E2DD9" w14:paraId="0278F1EC" w14:textId="77777777" w:rsidTr="003E2DD9">
        <w:tc>
          <w:tcPr>
            <w:tcW w:w="1242" w:type="dxa"/>
          </w:tcPr>
          <w:p w14:paraId="34143C61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Patient Information</w:t>
            </w:r>
          </w:p>
        </w:tc>
        <w:tc>
          <w:tcPr>
            <w:tcW w:w="567" w:type="dxa"/>
          </w:tcPr>
          <w:p w14:paraId="075D20D8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5a</w:t>
            </w:r>
          </w:p>
        </w:tc>
        <w:tc>
          <w:tcPr>
            <w:tcW w:w="1418" w:type="dxa"/>
          </w:tcPr>
          <w:p w14:paraId="1AC1BC83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De-identified patient specific information.</w:t>
            </w:r>
          </w:p>
        </w:tc>
        <w:tc>
          <w:tcPr>
            <w:tcW w:w="1608" w:type="dxa"/>
          </w:tcPr>
          <w:p w14:paraId="1569B05B" w14:textId="47168ECA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021" w:type="dxa"/>
          </w:tcPr>
          <w:p w14:paraId="129F4078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PARTIAL – age/sex and main complaint duration are provided; medical/family/psychosocial history and relevant past interventions/outcomes (if any) are not fully described in the manuscript text.</w:t>
            </w:r>
          </w:p>
        </w:tc>
      </w:tr>
      <w:tr w:rsidR="003E2DD9" w:rsidRPr="003E2DD9" w14:paraId="71D3B51F" w14:textId="77777777" w:rsidTr="003E2DD9">
        <w:tc>
          <w:tcPr>
            <w:tcW w:w="1242" w:type="dxa"/>
          </w:tcPr>
          <w:p w14:paraId="74E5924B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Patient Information</w:t>
            </w:r>
          </w:p>
        </w:tc>
        <w:tc>
          <w:tcPr>
            <w:tcW w:w="567" w:type="dxa"/>
          </w:tcPr>
          <w:p w14:paraId="262A43DB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5b</w:t>
            </w:r>
          </w:p>
        </w:tc>
        <w:tc>
          <w:tcPr>
            <w:tcW w:w="1418" w:type="dxa"/>
          </w:tcPr>
          <w:p w14:paraId="3E79F5A9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Primary concerns and symptoms of the patient.</w:t>
            </w:r>
          </w:p>
        </w:tc>
        <w:tc>
          <w:tcPr>
            <w:tcW w:w="1608" w:type="dxa"/>
          </w:tcPr>
          <w:p w14:paraId="67D22AB6" w14:textId="54124DB5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021" w:type="dxa"/>
          </w:tcPr>
          <w:p w14:paraId="04BD6B8D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YES – primary concerns/symptoms provided (jaw tension, bruxism, subjective chronic tinnitus ~2 years).</w:t>
            </w:r>
          </w:p>
        </w:tc>
      </w:tr>
      <w:tr w:rsidR="003E2DD9" w:rsidRPr="003E2DD9" w14:paraId="74AB1F07" w14:textId="77777777" w:rsidTr="003E2DD9">
        <w:tc>
          <w:tcPr>
            <w:tcW w:w="1242" w:type="dxa"/>
          </w:tcPr>
          <w:p w14:paraId="61D8493E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Patient Information</w:t>
            </w:r>
          </w:p>
        </w:tc>
        <w:tc>
          <w:tcPr>
            <w:tcW w:w="567" w:type="dxa"/>
          </w:tcPr>
          <w:p w14:paraId="417EA76A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5c</w:t>
            </w:r>
          </w:p>
        </w:tc>
        <w:tc>
          <w:tcPr>
            <w:tcW w:w="1418" w:type="dxa"/>
          </w:tcPr>
          <w:p w14:paraId="32E969D2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Medical, family, and psycho-social history including relevant genetic information.</w:t>
            </w:r>
          </w:p>
        </w:tc>
        <w:tc>
          <w:tcPr>
            <w:tcW w:w="1608" w:type="dxa"/>
          </w:tcPr>
          <w:p w14:paraId="3F8D6EBD" w14:textId="2E0B5B42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021" w:type="dxa"/>
          </w:tcPr>
          <w:p w14:paraId="2FDE0D25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NO – medical, family, and psychosocial history (and medications/genetic info if relevant) are not reported.</w:t>
            </w:r>
          </w:p>
        </w:tc>
      </w:tr>
      <w:tr w:rsidR="003E2DD9" w:rsidRPr="003E2DD9" w14:paraId="035AFED3" w14:textId="77777777" w:rsidTr="003E2DD9">
        <w:tc>
          <w:tcPr>
            <w:tcW w:w="1242" w:type="dxa"/>
          </w:tcPr>
          <w:p w14:paraId="63D24088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Patient Information</w:t>
            </w:r>
          </w:p>
        </w:tc>
        <w:tc>
          <w:tcPr>
            <w:tcW w:w="567" w:type="dxa"/>
          </w:tcPr>
          <w:p w14:paraId="14029E51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5d</w:t>
            </w:r>
          </w:p>
        </w:tc>
        <w:tc>
          <w:tcPr>
            <w:tcW w:w="1418" w:type="dxa"/>
          </w:tcPr>
          <w:p w14:paraId="43803509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Relevant past interventions with outcomes.</w:t>
            </w:r>
          </w:p>
        </w:tc>
        <w:tc>
          <w:tcPr>
            <w:tcW w:w="1608" w:type="dxa"/>
          </w:tcPr>
          <w:p w14:paraId="287F692C" w14:textId="3E5FF913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021" w:type="dxa"/>
          </w:tcPr>
          <w:p w14:paraId="3AF27ABA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PARTIAL – the manuscript describes a 'splint condition' used during fMRI; however, prior splint therapy before the study and its lack of effectiveness are not clearly described in the current manuscript text.</w:t>
            </w:r>
          </w:p>
        </w:tc>
      </w:tr>
      <w:tr w:rsidR="003E2DD9" w:rsidRPr="003E2DD9" w14:paraId="4CEB5B8D" w14:textId="77777777" w:rsidTr="003E2DD9">
        <w:tc>
          <w:tcPr>
            <w:tcW w:w="1242" w:type="dxa"/>
          </w:tcPr>
          <w:p w14:paraId="54EEA28B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Clinical Findings</w:t>
            </w:r>
          </w:p>
        </w:tc>
        <w:tc>
          <w:tcPr>
            <w:tcW w:w="567" w:type="dxa"/>
          </w:tcPr>
          <w:p w14:paraId="61DE89AF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3154DA96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Describe significant physical examination and important clinical findings.</w:t>
            </w:r>
          </w:p>
        </w:tc>
        <w:tc>
          <w:tcPr>
            <w:tcW w:w="1608" w:type="dxa"/>
          </w:tcPr>
          <w:p w14:paraId="1F52886E" w14:textId="212E6423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021" w:type="dxa"/>
          </w:tcPr>
          <w:p w14:paraId="3C48B8EE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PARTIAL – TMJ/cerebellar imaging findings are detailed, but CARE expects physical exam findings (TMJ/muscle palpation tenderness, ROM/opening in mm, clicking/locking/crepitus) and negative findings; these are not reported explicitly.</w:t>
            </w:r>
          </w:p>
        </w:tc>
      </w:tr>
      <w:tr w:rsidR="003E2DD9" w:rsidRPr="003E2DD9" w14:paraId="6E4B6A6C" w14:textId="77777777" w:rsidTr="003E2DD9">
        <w:tc>
          <w:tcPr>
            <w:tcW w:w="1242" w:type="dxa"/>
          </w:tcPr>
          <w:p w14:paraId="7C2408EF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Timeline</w:t>
            </w:r>
          </w:p>
        </w:tc>
        <w:tc>
          <w:tcPr>
            <w:tcW w:w="567" w:type="dxa"/>
          </w:tcPr>
          <w:p w14:paraId="0D77BB6D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455E0F27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Historical and current information from this episode of care organized as a timeline.</w:t>
            </w:r>
          </w:p>
        </w:tc>
        <w:tc>
          <w:tcPr>
            <w:tcW w:w="1608" w:type="dxa"/>
          </w:tcPr>
          <w:p w14:paraId="44781ABE" w14:textId="06E177AE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021" w:type="dxa"/>
          </w:tcPr>
          <w:p w14:paraId="4EA6C11E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PARTIAL – onset duration (~2 years) and visit/scan date (22 Oct 2024) are provided; an organized timeline/table and exact onset month/year and any follow-up timing are not presented.</w:t>
            </w:r>
          </w:p>
        </w:tc>
      </w:tr>
      <w:tr w:rsidR="003E2DD9" w:rsidRPr="003E2DD9" w14:paraId="756F97BF" w14:textId="77777777" w:rsidTr="003E2DD9">
        <w:tc>
          <w:tcPr>
            <w:tcW w:w="1242" w:type="dxa"/>
          </w:tcPr>
          <w:p w14:paraId="5E3E98DC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Diagnostic Assessment</w:t>
            </w:r>
          </w:p>
        </w:tc>
        <w:tc>
          <w:tcPr>
            <w:tcW w:w="567" w:type="dxa"/>
          </w:tcPr>
          <w:p w14:paraId="227B11DB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8a</w:t>
            </w:r>
          </w:p>
        </w:tc>
        <w:tc>
          <w:tcPr>
            <w:tcW w:w="1418" w:type="dxa"/>
          </w:tcPr>
          <w:p w14:paraId="6668C18B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Diagnostic testing (such as PE, laboratory testing, imaging, surveys).</w:t>
            </w:r>
          </w:p>
        </w:tc>
        <w:tc>
          <w:tcPr>
            <w:tcW w:w="1608" w:type="dxa"/>
          </w:tcPr>
          <w:p w14:paraId="5BD5DA2B" w14:textId="5D2DEDEF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021" w:type="dxa"/>
          </w:tcPr>
          <w:p w14:paraId="361F9A4F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PARTIALLY YES – diagnostic testing described for MRI/fMRI/processing (TMJ MRI implied/used in diagnosis framing, and fMRI acquisition + SUIT ROI); physical exam/laboratory/surveys are not described.</w:t>
            </w:r>
          </w:p>
        </w:tc>
      </w:tr>
      <w:tr w:rsidR="003E2DD9" w:rsidRPr="003E2DD9" w14:paraId="13148018" w14:textId="77777777" w:rsidTr="003E2DD9">
        <w:tc>
          <w:tcPr>
            <w:tcW w:w="1242" w:type="dxa"/>
          </w:tcPr>
          <w:p w14:paraId="551D6C6D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Diagnostic Assessment</w:t>
            </w:r>
          </w:p>
        </w:tc>
        <w:tc>
          <w:tcPr>
            <w:tcW w:w="567" w:type="dxa"/>
          </w:tcPr>
          <w:p w14:paraId="64D57D1E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8b</w:t>
            </w:r>
          </w:p>
        </w:tc>
        <w:tc>
          <w:tcPr>
            <w:tcW w:w="1418" w:type="dxa"/>
          </w:tcPr>
          <w:p w14:paraId="6D2DDAD6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Diagnostic challenges (such as access to testing, financial, or cultural).</w:t>
            </w:r>
          </w:p>
        </w:tc>
        <w:tc>
          <w:tcPr>
            <w:tcW w:w="1608" w:type="dxa"/>
          </w:tcPr>
          <w:p w14:paraId="13313603" w14:textId="77777777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021" w:type="dxa"/>
          </w:tcPr>
          <w:p w14:paraId="61F1C4B7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N/A – diagnostic challenges (access/financial/cultural/clinical difficulties) are not described.</w:t>
            </w:r>
          </w:p>
        </w:tc>
      </w:tr>
      <w:tr w:rsidR="003E2DD9" w:rsidRPr="003E2DD9" w14:paraId="0453D00B" w14:textId="77777777" w:rsidTr="003E2DD9">
        <w:tc>
          <w:tcPr>
            <w:tcW w:w="1242" w:type="dxa"/>
          </w:tcPr>
          <w:p w14:paraId="1482C381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Diagnostic Assessment</w:t>
            </w:r>
          </w:p>
        </w:tc>
        <w:tc>
          <w:tcPr>
            <w:tcW w:w="567" w:type="dxa"/>
          </w:tcPr>
          <w:p w14:paraId="7792FAD6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8c</w:t>
            </w:r>
          </w:p>
        </w:tc>
        <w:tc>
          <w:tcPr>
            <w:tcW w:w="1418" w:type="dxa"/>
          </w:tcPr>
          <w:p w14:paraId="5CADCED0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Diagnosis (including other diagnoses considered).</w:t>
            </w:r>
          </w:p>
        </w:tc>
        <w:tc>
          <w:tcPr>
            <w:tcW w:w="1608" w:type="dxa"/>
          </w:tcPr>
          <w:p w14:paraId="12E3F122" w14:textId="3D0AD980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021" w:type="dxa"/>
          </w:tcPr>
          <w:p w14:paraId="4DA66A96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PARTIAL – diagnosis is framed as TMD; MRI findings describe internal derangement and muscle involvement; differential diagnoses are not discussed and formal diagnostic criteria used are not stated.</w:t>
            </w:r>
          </w:p>
        </w:tc>
      </w:tr>
      <w:tr w:rsidR="003E2DD9" w:rsidRPr="003E2DD9" w14:paraId="6984D971" w14:textId="77777777" w:rsidTr="003E2DD9">
        <w:tc>
          <w:tcPr>
            <w:tcW w:w="1242" w:type="dxa"/>
          </w:tcPr>
          <w:p w14:paraId="1E60D76B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Diagnostic Assessment</w:t>
            </w:r>
          </w:p>
        </w:tc>
        <w:tc>
          <w:tcPr>
            <w:tcW w:w="567" w:type="dxa"/>
          </w:tcPr>
          <w:p w14:paraId="0434D7CD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8d</w:t>
            </w:r>
          </w:p>
        </w:tc>
        <w:tc>
          <w:tcPr>
            <w:tcW w:w="1418" w:type="dxa"/>
          </w:tcPr>
          <w:p w14:paraId="7A47823A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Prognosis where applicable.</w:t>
            </w:r>
          </w:p>
        </w:tc>
        <w:tc>
          <w:tcPr>
            <w:tcW w:w="1608" w:type="dxa"/>
          </w:tcPr>
          <w:p w14:paraId="245BD219" w14:textId="77777777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021" w:type="dxa"/>
          </w:tcPr>
          <w:p w14:paraId="7197D9A1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N/A – prognosis characteristics are not reported.</w:t>
            </w:r>
          </w:p>
        </w:tc>
      </w:tr>
      <w:tr w:rsidR="003E2DD9" w:rsidRPr="003E2DD9" w14:paraId="01A1621E" w14:textId="77777777" w:rsidTr="003E2DD9">
        <w:tc>
          <w:tcPr>
            <w:tcW w:w="1242" w:type="dxa"/>
          </w:tcPr>
          <w:p w14:paraId="2896A9E1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Therapeutic Intervention</w:t>
            </w:r>
          </w:p>
        </w:tc>
        <w:tc>
          <w:tcPr>
            <w:tcW w:w="567" w:type="dxa"/>
          </w:tcPr>
          <w:p w14:paraId="36FFF0CF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9a</w:t>
            </w:r>
          </w:p>
        </w:tc>
        <w:tc>
          <w:tcPr>
            <w:tcW w:w="1418" w:type="dxa"/>
          </w:tcPr>
          <w:p w14:paraId="13C60766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Types of therapeutic intervention (pharmacologic, surgical, preventive, self-care).</w:t>
            </w:r>
          </w:p>
        </w:tc>
        <w:tc>
          <w:tcPr>
            <w:tcW w:w="1608" w:type="dxa"/>
          </w:tcPr>
          <w:p w14:paraId="2F16917F" w14:textId="45087183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021" w:type="dxa"/>
          </w:tcPr>
          <w:p w14:paraId="0FD88CE2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N/A – no therapeutic intervention is administered for treatment purposes in the report; only experimental mandibular positioning conditions (CO, splint condition, CR) are used during fMRI.</w:t>
            </w:r>
          </w:p>
        </w:tc>
      </w:tr>
      <w:tr w:rsidR="003E2DD9" w:rsidRPr="003E2DD9" w14:paraId="065CCB43" w14:textId="77777777" w:rsidTr="003E2DD9">
        <w:tc>
          <w:tcPr>
            <w:tcW w:w="1242" w:type="dxa"/>
          </w:tcPr>
          <w:p w14:paraId="273DCC3A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Therapeutic Intervention</w:t>
            </w:r>
          </w:p>
        </w:tc>
        <w:tc>
          <w:tcPr>
            <w:tcW w:w="567" w:type="dxa"/>
          </w:tcPr>
          <w:p w14:paraId="08D090CF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9b</w:t>
            </w:r>
          </w:p>
        </w:tc>
        <w:tc>
          <w:tcPr>
            <w:tcW w:w="1418" w:type="dxa"/>
          </w:tcPr>
          <w:p w14:paraId="44501BF8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Administration of therapeutic intervention (dosage, strength, duration).</w:t>
            </w:r>
          </w:p>
        </w:tc>
        <w:tc>
          <w:tcPr>
            <w:tcW w:w="1608" w:type="dxa"/>
          </w:tcPr>
          <w:p w14:paraId="504DD538" w14:textId="77777777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021" w:type="dxa"/>
          </w:tcPr>
          <w:p w14:paraId="54F99883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N/A – no treatment administration details (dosage/strength/duration) are provided.</w:t>
            </w:r>
          </w:p>
        </w:tc>
      </w:tr>
      <w:tr w:rsidR="003E2DD9" w:rsidRPr="003E2DD9" w14:paraId="60969F1A" w14:textId="77777777" w:rsidTr="003E2DD9">
        <w:tc>
          <w:tcPr>
            <w:tcW w:w="1242" w:type="dxa"/>
          </w:tcPr>
          <w:p w14:paraId="30EE6B82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Therapeutic Intervention</w:t>
            </w:r>
          </w:p>
        </w:tc>
        <w:tc>
          <w:tcPr>
            <w:tcW w:w="567" w:type="dxa"/>
          </w:tcPr>
          <w:p w14:paraId="459F2D79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9c</w:t>
            </w:r>
          </w:p>
        </w:tc>
        <w:tc>
          <w:tcPr>
            <w:tcW w:w="1418" w:type="dxa"/>
          </w:tcPr>
          <w:p w14:paraId="06A04D3B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Changes in therapeutic intervention (with rationale).</w:t>
            </w:r>
          </w:p>
        </w:tc>
        <w:tc>
          <w:tcPr>
            <w:tcW w:w="1608" w:type="dxa"/>
          </w:tcPr>
          <w:p w14:paraId="4EBF94D8" w14:textId="77777777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021" w:type="dxa"/>
          </w:tcPr>
          <w:p w14:paraId="26BDF617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N/A – changes in therapeutic intervention (with rationale) are not reported (experimental conditions only).</w:t>
            </w:r>
          </w:p>
        </w:tc>
      </w:tr>
      <w:tr w:rsidR="003E2DD9" w:rsidRPr="003E2DD9" w14:paraId="20CD3045" w14:textId="77777777" w:rsidTr="003E2DD9">
        <w:tc>
          <w:tcPr>
            <w:tcW w:w="1242" w:type="dxa"/>
          </w:tcPr>
          <w:p w14:paraId="0D62A4FB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Follow-up and Outcomes</w:t>
            </w:r>
          </w:p>
        </w:tc>
        <w:tc>
          <w:tcPr>
            <w:tcW w:w="567" w:type="dxa"/>
          </w:tcPr>
          <w:p w14:paraId="1C5FE051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10a</w:t>
            </w:r>
          </w:p>
        </w:tc>
        <w:tc>
          <w:tcPr>
            <w:tcW w:w="1418" w:type="dxa"/>
          </w:tcPr>
          <w:p w14:paraId="252D4092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Clinician and patient-assessed outcomes (if available).</w:t>
            </w:r>
          </w:p>
        </w:tc>
        <w:tc>
          <w:tcPr>
            <w:tcW w:w="1608" w:type="dxa"/>
          </w:tcPr>
          <w:p w14:paraId="5412DCE8" w14:textId="0A442D7E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4-6</w:t>
            </w:r>
          </w:p>
        </w:tc>
        <w:tc>
          <w:tcPr>
            <w:tcW w:w="4021" w:type="dxa"/>
          </w:tcPr>
          <w:p w14:paraId="72B18F23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NO / N/A – clinician- and patient-assessed clinical outcomes are not reported; only imaging activation metrics are reported.</w:t>
            </w:r>
          </w:p>
        </w:tc>
      </w:tr>
      <w:tr w:rsidR="003E2DD9" w:rsidRPr="003E2DD9" w14:paraId="6E670197" w14:textId="77777777" w:rsidTr="003E2DD9">
        <w:tc>
          <w:tcPr>
            <w:tcW w:w="1242" w:type="dxa"/>
          </w:tcPr>
          <w:p w14:paraId="7AC198F6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 xml:space="preserve">Follow-up and </w:t>
            </w:r>
            <w:r w:rsidRPr="003E2D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Outcomes</w:t>
            </w:r>
          </w:p>
        </w:tc>
        <w:tc>
          <w:tcPr>
            <w:tcW w:w="567" w:type="dxa"/>
          </w:tcPr>
          <w:p w14:paraId="701603A9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10b</w:t>
            </w:r>
          </w:p>
        </w:tc>
        <w:tc>
          <w:tcPr>
            <w:tcW w:w="1418" w:type="dxa"/>
          </w:tcPr>
          <w:p w14:paraId="1797529F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 xml:space="preserve">Important follow-up diagnostic and </w:t>
            </w:r>
            <w:r w:rsidRPr="003E2D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other test results.</w:t>
            </w:r>
          </w:p>
        </w:tc>
        <w:tc>
          <w:tcPr>
            <w:tcW w:w="1608" w:type="dxa"/>
          </w:tcPr>
          <w:p w14:paraId="23496AB7" w14:textId="77777777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lastRenderedPageBreak/>
              <w:t>—</w:t>
            </w:r>
          </w:p>
        </w:tc>
        <w:tc>
          <w:tcPr>
            <w:tcW w:w="4021" w:type="dxa"/>
          </w:tcPr>
          <w:p w14:paraId="528FB6DC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NO / N/A – no follow-up diagnostic results after imaging are reported.</w:t>
            </w:r>
          </w:p>
        </w:tc>
      </w:tr>
      <w:tr w:rsidR="003E2DD9" w:rsidRPr="003E2DD9" w14:paraId="605DD065" w14:textId="77777777" w:rsidTr="003E2DD9">
        <w:tc>
          <w:tcPr>
            <w:tcW w:w="1242" w:type="dxa"/>
          </w:tcPr>
          <w:p w14:paraId="00B4FEBC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Follow-up and Outcomes</w:t>
            </w:r>
          </w:p>
        </w:tc>
        <w:tc>
          <w:tcPr>
            <w:tcW w:w="567" w:type="dxa"/>
          </w:tcPr>
          <w:p w14:paraId="3A9D35F5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10c</w:t>
            </w:r>
          </w:p>
        </w:tc>
        <w:tc>
          <w:tcPr>
            <w:tcW w:w="1418" w:type="dxa"/>
          </w:tcPr>
          <w:p w14:paraId="3C2BD2AB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Intervention adherence and tolerability (How was this assessed?).</w:t>
            </w:r>
          </w:p>
        </w:tc>
        <w:tc>
          <w:tcPr>
            <w:tcW w:w="1608" w:type="dxa"/>
          </w:tcPr>
          <w:p w14:paraId="783DC72E" w14:textId="77777777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021" w:type="dxa"/>
          </w:tcPr>
          <w:p w14:paraId="750F207A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NO / N/A – adherence/tolerability and tolerability assessment are not described.</w:t>
            </w:r>
          </w:p>
        </w:tc>
      </w:tr>
      <w:tr w:rsidR="003E2DD9" w:rsidRPr="003E2DD9" w14:paraId="6FD62E80" w14:textId="77777777" w:rsidTr="003E2DD9">
        <w:tc>
          <w:tcPr>
            <w:tcW w:w="1242" w:type="dxa"/>
          </w:tcPr>
          <w:p w14:paraId="0A109813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Follow-up and Outcomes</w:t>
            </w:r>
          </w:p>
        </w:tc>
        <w:tc>
          <w:tcPr>
            <w:tcW w:w="567" w:type="dxa"/>
          </w:tcPr>
          <w:p w14:paraId="39A6BB2A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10d</w:t>
            </w:r>
          </w:p>
        </w:tc>
        <w:tc>
          <w:tcPr>
            <w:tcW w:w="1418" w:type="dxa"/>
          </w:tcPr>
          <w:p w14:paraId="4C66FED1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Adverse and unanticipated events.</w:t>
            </w:r>
          </w:p>
        </w:tc>
        <w:tc>
          <w:tcPr>
            <w:tcW w:w="1608" w:type="dxa"/>
          </w:tcPr>
          <w:p w14:paraId="264A797C" w14:textId="77777777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Case presentation</w:t>
            </w:r>
          </w:p>
        </w:tc>
        <w:tc>
          <w:tcPr>
            <w:tcW w:w="4021" w:type="dxa"/>
          </w:tcPr>
          <w:p w14:paraId="1223508F" w14:textId="40E0953D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NO – adverse/unanticipated events during scanning/tasks are reported as none.</w:t>
            </w:r>
          </w:p>
        </w:tc>
      </w:tr>
      <w:tr w:rsidR="003E2DD9" w:rsidRPr="003E2DD9" w14:paraId="4C8BD104" w14:textId="77777777" w:rsidTr="003E2DD9">
        <w:tc>
          <w:tcPr>
            <w:tcW w:w="1242" w:type="dxa"/>
          </w:tcPr>
          <w:p w14:paraId="06C2D951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Discussion</w:t>
            </w:r>
          </w:p>
        </w:tc>
        <w:tc>
          <w:tcPr>
            <w:tcW w:w="567" w:type="dxa"/>
          </w:tcPr>
          <w:p w14:paraId="7C17B2CB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11a</w:t>
            </w:r>
          </w:p>
        </w:tc>
        <w:tc>
          <w:tcPr>
            <w:tcW w:w="1418" w:type="dxa"/>
          </w:tcPr>
          <w:p w14:paraId="343302B1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Scientific discussion of strengths AND limitations associated with this case report.</w:t>
            </w:r>
          </w:p>
        </w:tc>
        <w:tc>
          <w:tcPr>
            <w:tcW w:w="1608" w:type="dxa"/>
          </w:tcPr>
          <w:p w14:paraId="23FB1E56" w14:textId="58158ED8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4021" w:type="dxa"/>
          </w:tcPr>
          <w:p w14:paraId="73C7A181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YES – discusses strengths/limitations inherent to single-case design.</w:t>
            </w:r>
          </w:p>
        </w:tc>
      </w:tr>
      <w:tr w:rsidR="003E2DD9" w:rsidRPr="003E2DD9" w14:paraId="7C411CA5" w14:textId="77777777" w:rsidTr="003E2DD9">
        <w:tc>
          <w:tcPr>
            <w:tcW w:w="1242" w:type="dxa"/>
          </w:tcPr>
          <w:p w14:paraId="2ADE69BC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Discussion</w:t>
            </w:r>
          </w:p>
        </w:tc>
        <w:tc>
          <w:tcPr>
            <w:tcW w:w="567" w:type="dxa"/>
          </w:tcPr>
          <w:p w14:paraId="318B1EA0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11b</w:t>
            </w:r>
          </w:p>
        </w:tc>
        <w:tc>
          <w:tcPr>
            <w:tcW w:w="1418" w:type="dxa"/>
          </w:tcPr>
          <w:p w14:paraId="4122A4FC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Discussion of the relevant medical literature with references.</w:t>
            </w:r>
          </w:p>
        </w:tc>
        <w:tc>
          <w:tcPr>
            <w:tcW w:w="1608" w:type="dxa"/>
          </w:tcPr>
          <w:p w14:paraId="69202E9D" w14:textId="367D25CC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6-7</w:t>
            </w:r>
          </w:p>
        </w:tc>
        <w:tc>
          <w:tcPr>
            <w:tcW w:w="4021" w:type="dxa"/>
          </w:tcPr>
          <w:p w14:paraId="12A9196D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YES – provides discussion of relevant medical literature and broader context.</w:t>
            </w:r>
          </w:p>
        </w:tc>
      </w:tr>
      <w:tr w:rsidR="003E2DD9" w:rsidRPr="003E2DD9" w14:paraId="5E93FC89" w14:textId="77777777" w:rsidTr="003E2DD9">
        <w:tc>
          <w:tcPr>
            <w:tcW w:w="1242" w:type="dxa"/>
          </w:tcPr>
          <w:p w14:paraId="68F4F307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Discussion</w:t>
            </w:r>
          </w:p>
        </w:tc>
        <w:tc>
          <w:tcPr>
            <w:tcW w:w="567" w:type="dxa"/>
          </w:tcPr>
          <w:p w14:paraId="181C54F2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11c</w:t>
            </w:r>
          </w:p>
        </w:tc>
        <w:tc>
          <w:tcPr>
            <w:tcW w:w="1418" w:type="dxa"/>
          </w:tcPr>
          <w:p w14:paraId="11F395FE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Scientific rationale for conclusions (including assessment of possible causes).</w:t>
            </w:r>
          </w:p>
        </w:tc>
        <w:tc>
          <w:tcPr>
            <w:tcW w:w="1608" w:type="dxa"/>
          </w:tcPr>
          <w:p w14:paraId="48CDEF17" w14:textId="56B05B28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6-7</w:t>
            </w:r>
          </w:p>
        </w:tc>
        <w:tc>
          <w:tcPr>
            <w:tcW w:w="4021" w:type="dxa"/>
          </w:tcPr>
          <w:p w14:paraId="1F5A1994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YES – provides rationale linking cerebellar involvement to the observed condition-dependent redistribution.</w:t>
            </w:r>
          </w:p>
        </w:tc>
      </w:tr>
      <w:tr w:rsidR="003E2DD9" w:rsidRPr="003E2DD9" w14:paraId="4AF03B5E" w14:textId="77777777" w:rsidTr="003E2DD9">
        <w:tc>
          <w:tcPr>
            <w:tcW w:w="1242" w:type="dxa"/>
          </w:tcPr>
          <w:p w14:paraId="6E4BEF54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Discussion</w:t>
            </w:r>
          </w:p>
        </w:tc>
        <w:tc>
          <w:tcPr>
            <w:tcW w:w="567" w:type="dxa"/>
          </w:tcPr>
          <w:p w14:paraId="7229685E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11d</w:t>
            </w:r>
          </w:p>
        </w:tc>
        <w:tc>
          <w:tcPr>
            <w:tcW w:w="1418" w:type="dxa"/>
          </w:tcPr>
          <w:p w14:paraId="3995CBEB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Primary take-away lessons (without references) in a one-paragraph conclusion.</w:t>
            </w:r>
          </w:p>
        </w:tc>
        <w:tc>
          <w:tcPr>
            <w:tcW w:w="1608" w:type="dxa"/>
          </w:tcPr>
          <w:p w14:paraId="42BCD442" w14:textId="674AC66E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6-7</w:t>
            </w:r>
          </w:p>
        </w:tc>
        <w:tc>
          <w:tcPr>
            <w:tcW w:w="4021" w:type="dxa"/>
          </w:tcPr>
          <w:p w14:paraId="6127B24E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YES – provides a clear primary take-away about condition-dependent cerebellar reactivity in TMD (without therapy claims).</w:t>
            </w:r>
          </w:p>
        </w:tc>
      </w:tr>
      <w:tr w:rsidR="003E2DD9" w:rsidRPr="003E2DD9" w14:paraId="4A220FAC" w14:textId="77777777" w:rsidTr="003E2DD9">
        <w:tc>
          <w:tcPr>
            <w:tcW w:w="1242" w:type="dxa"/>
          </w:tcPr>
          <w:p w14:paraId="7D22679A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Patient Perspective</w:t>
            </w:r>
          </w:p>
        </w:tc>
        <w:tc>
          <w:tcPr>
            <w:tcW w:w="567" w:type="dxa"/>
          </w:tcPr>
          <w:p w14:paraId="2BED72B6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8" w:type="dxa"/>
          </w:tcPr>
          <w:p w14:paraId="4F567C05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Patient should share their perspective in 1–2 paragraphs.</w:t>
            </w:r>
          </w:p>
        </w:tc>
        <w:tc>
          <w:tcPr>
            <w:tcW w:w="1608" w:type="dxa"/>
          </w:tcPr>
          <w:p w14:paraId="43E0A5BB" w14:textId="77777777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2DD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021" w:type="dxa"/>
          </w:tcPr>
          <w:p w14:paraId="1C42CF94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NO (currently) – patient perspective is not reported in the manuscript text; can be added based on patient statements about symptom impact and experience of tasks.</w:t>
            </w:r>
          </w:p>
        </w:tc>
      </w:tr>
      <w:tr w:rsidR="003E2DD9" w:rsidRPr="003E2DD9" w14:paraId="31DD98E1" w14:textId="77777777" w:rsidTr="003E2DD9">
        <w:tc>
          <w:tcPr>
            <w:tcW w:w="1242" w:type="dxa"/>
          </w:tcPr>
          <w:p w14:paraId="17C00816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Informed Consent</w:t>
            </w:r>
          </w:p>
        </w:tc>
        <w:tc>
          <w:tcPr>
            <w:tcW w:w="567" w:type="dxa"/>
          </w:tcPr>
          <w:p w14:paraId="3D02FC39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</w:tcPr>
          <w:p w14:paraId="3692F471" w14:textId="77777777" w:rsidR="003E2DD9" w:rsidRPr="003E2DD9" w:rsidRDefault="003E2DD9" w:rsidP="003E2D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2DD9">
              <w:rPr>
                <w:rFonts w:ascii="Times New Roman" w:hAnsi="Times New Roman" w:cs="Times New Roman"/>
                <w:sz w:val="18"/>
                <w:szCs w:val="18"/>
              </w:rPr>
              <w:t>Did the patient give informed consent?</w:t>
            </w:r>
          </w:p>
        </w:tc>
        <w:tc>
          <w:tcPr>
            <w:tcW w:w="1608" w:type="dxa"/>
          </w:tcPr>
          <w:p w14:paraId="3EB875CF" w14:textId="7893A7D3" w:rsidR="003E2DD9" w:rsidRPr="003E2DD9" w:rsidRDefault="003E2DD9" w:rsidP="003E2DD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2DD9">
              <w:rPr>
                <w:rFonts w:ascii="Times New Roman" w:hAnsi="Times New Roman" w:cs="Times New Roman"/>
              </w:rPr>
              <w:t>P</w:t>
            </w:r>
            <w:r w:rsidRPr="003E2DD9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4021" w:type="dxa"/>
          </w:tcPr>
          <w:p w14:paraId="458C491C" w14:textId="77777777" w:rsidR="003E2DD9" w:rsidRPr="003E2DD9" w:rsidRDefault="003E2DD9" w:rsidP="003E2DD9">
            <w:pPr>
              <w:jc w:val="both"/>
              <w:rPr>
                <w:rFonts w:ascii="Times New Roman" w:hAnsi="Times New Roman" w:cs="Times New Roman"/>
              </w:rPr>
            </w:pPr>
            <w:r w:rsidRPr="003E2DD9">
              <w:rPr>
                <w:rFonts w:ascii="Times New Roman" w:hAnsi="Times New Roman" w:cs="Times New Roman"/>
              </w:rPr>
              <w:t>YES – informed consent for publication and imaging analysis is stated in the manuscript (Declaration of Helsinki; institutional approval; consent obtained).</w:t>
            </w:r>
          </w:p>
        </w:tc>
      </w:tr>
    </w:tbl>
    <w:p w14:paraId="1D3EC42F" w14:textId="539A54A5" w:rsidR="00691B30" w:rsidRPr="003E2DD9" w:rsidRDefault="003E2DD9">
      <w:pPr>
        <w:rPr>
          <w:rFonts w:ascii="Times New Roman" w:hAnsi="Times New Roman" w:cs="Times New Roman"/>
        </w:rPr>
      </w:pPr>
      <w:r w:rsidRPr="003E2DD9">
        <w:rPr>
          <w:rFonts w:ascii="Times New Roman" w:hAnsi="Times New Roman" w:cs="Times New Roman"/>
        </w:rPr>
        <w:br/>
      </w:r>
    </w:p>
    <w:sectPr w:rsidR="00691B30" w:rsidRPr="003E2DD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9361576">
    <w:abstractNumId w:val="8"/>
  </w:num>
  <w:num w:numId="2" w16cid:durableId="1351950928">
    <w:abstractNumId w:val="6"/>
  </w:num>
  <w:num w:numId="3" w16cid:durableId="1260212743">
    <w:abstractNumId w:val="5"/>
  </w:num>
  <w:num w:numId="4" w16cid:durableId="2021274433">
    <w:abstractNumId w:val="4"/>
  </w:num>
  <w:num w:numId="5" w16cid:durableId="23286526">
    <w:abstractNumId w:val="7"/>
  </w:num>
  <w:num w:numId="6" w16cid:durableId="1878076764">
    <w:abstractNumId w:val="3"/>
  </w:num>
  <w:num w:numId="7" w16cid:durableId="253323063">
    <w:abstractNumId w:val="2"/>
  </w:num>
  <w:num w:numId="8" w16cid:durableId="494540626">
    <w:abstractNumId w:val="1"/>
  </w:num>
  <w:num w:numId="9" w16cid:durableId="43097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2DD9"/>
    <w:rsid w:val="00691B30"/>
    <w:rsid w:val="00AA1D8D"/>
    <w:rsid w:val="00AE035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C914DF2"/>
  <w14:defaultImageDpi w14:val="300"/>
  <w15:docId w15:val="{3E559372-5CEC-6A4B-89D8-4F0E7789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Vasil Pehnyo</cp:lastModifiedBy>
  <cp:revision>3</cp:revision>
  <dcterms:created xsi:type="dcterms:W3CDTF">2013-12-23T23:15:00Z</dcterms:created>
  <dcterms:modified xsi:type="dcterms:W3CDTF">2026-03-20T09:36:00Z</dcterms:modified>
  <cp:category/>
</cp:coreProperties>
</file>