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98AAB" w14:textId="77777777" w:rsidR="00E56DD7" w:rsidRPr="00492F90" w:rsidRDefault="00E56DD7" w:rsidP="00E56DD7">
      <w:pPr>
        <w:widowControl w:val="0"/>
        <w:wordWrap w:val="0"/>
        <w:autoSpaceDE w:val="0"/>
        <w:autoSpaceDN w:val="0"/>
        <w:spacing w:line="480" w:lineRule="auto"/>
        <w:jc w:val="both"/>
        <w:rPr>
          <w:rFonts w:ascii="Times New Roman" w:eastAsia="Malgun Gothic" w:hAnsi="Times New Roman" w:cs="Times New Roman"/>
          <w:b/>
          <w:bCs/>
          <w:color w:val="000000"/>
          <w:sz w:val="22"/>
          <w:szCs w:val="22"/>
          <w14:ligatures w14:val="none"/>
        </w:rPr>
      </w:pPr>
      <w:r w:rsidRPr="00E56DD7">
        <w:rPr>
          <w:rFonts w:ascii="Times New Roman" w:eastAsia="Malgun Gothic" w:hAnsi="Times New Roman" w:cs="Times New Roman"/>
          <w:b/>
          <w:bCs/>
          <w:color w:val="000000"/>
          <w:sz w:val="22"/>
          <w:szCs w:val="22"/>
          <w14:ligatures w14:val="none"/>
        </w:rPr>
        <w:t>Supplementary Information</w:t>
      </w:r>
    </w:p>
    <w:p w14:paraId="3B5B5F68" w14:textId="08221DE1" w:rsidR="00E56DD7" w:rsidRPr="00E56DD7" w:rsidRDefault="00E56DD7" w:rsidP="00E56DD7">
      <w:pPr>
        <w:widowControl w:val="0"/>
        <w:wordWrap w:val="0"/>
        <w:autoSpaceDE w:val="0"/>
        <w:autoSpaceDN w:val="0"/>
        <w:spacing w:line="480" w:lineRule="auto"/>
        <w:jc w:val="both"/>
        <w:rPr>
          <w:rFonts w:ascii="Times New Roman" w:eastAsia="Malgun Gothic" w:hAnsi="Times New Roman" w:cs="Times New Roman"/>
          <w:color w:val="000000"/>
          <w:sz w:val="22"/>
          <w:szCs w:val="22"/>
          <w14:ligatures w14:val="none"/>
        </w:rPr>
      </w:pPr>
      <w:r w:rsidRPr="00492F90">
        <w:rPr>
          <w:rFonts w:ascii="Times New Roman" w:eastAsia="Malgun Gothic" w:hAnsi="Times New Roman" w:cs="Times New Roman"/>
          <w:b/>
          <w:bCs/>
          <w:color w:val="000000"/>
          <w:sz w:val="22"/>
          <w:szCs w:val="22"/>
          <w14:ligatures w14:val="none"/>
        </w:rPr>
        <w:t>Fig. S1</w:t>
      </w:r>
      <w:r w:rsidRPr="00E56DD7">
        <w:rPr>
          <w:rFonts w:ascii="Times New Roman" w:eastAsia="Malgun Gothic" w:hAnsi="Times New Roman" w:cs="Times New Roman"/>
          <w:color w:val="000000"/>
          <w:sz w:val="22"/>
          <w:szCs w:val="22"/>
          <w14:ligatures w14:val="none"/>
        </w:rPr>
        <w:t xml:space="preserve"> ACLY and FASN expression in residual tumors. Expression according to recurrence in patients with </w:t>
      </w:r>
      <w:r w:rsidRPr="00492F90">
        <w:rPr>
          <w:rFonts w:ascii="Times New Roman" w:eastAsia="Malgun Gothic" w:hAnsi="Times New Roman" w:cs="Times New Roman"/>
          <w:b/>
          <w:bCs/>
          <w:color w:val="000000"/>
          <w:sz w:val="22"/>
          <w:szCs w:val="22"/>
          <w14:ligatures w14:val="none"/>
        </w:rPr>
        <w:t>(A)</w:t>
      </w:r>
      <w:r w:rsidRPr="00E56DD7">
        <w:rPr>
          <w:rFonts w:ascii="Times New Roman" w:eastAsia="Malgun Gothic" w:hAnsi="Times New Roman" w:cs="Times New Roman"/>
          <w:color w:val="000000"/>
          <w:sz w:val="22"/>
          <w:szCs w:val="22"/>
          <w14:ligatures w14:val="none"/>
        </w:rPr>
        <w:t xml:space="preserve"> HER2+ and </w:t>
      </w:r>
      <w:r w:rsidRPr="00492F90">
        <w:rPr>
          <w:rFonts w:ascii="Times New Roman" w:eastAsia="Malgun Gothic" w:hAnsi="Times New Roman" w:cs="Times New Roman"/>
          <w:b/>
          <w:bCs/>
          <w:color w:val="000000"/>
          <w:sz w:val="22"/>
          <w:szCs w:val="22"/>
          <w14:ligatures w14:val="none"/>
        </w:rPr>
        <w:t>(B)</w:t>
      </w:r>
      <w:r w:rsidRPr="00E56DD7">
        <w:rPr>
          <w:rFonts w:ascii="Times New Roman" w:eastAsia="Malgun Gothic" w:hAnsi="Times New Roman" w:cs="Times New Roman"/>
          <w:color w:val="000000"/>
          <w:sz w:val="22"/>
          <w:szCs w:val="22"/>
          <w14:ligatures w14:val="none"/>
        </w:rPr>
        <w:t xml:space="preserve"> triple-negative breast cancer (TNBC). The difference was not statistically significant.</w:t>
      </w:r>
      <w:r w:rsidRPr="00E56DD7">
        <w:rPr>
          <w:rFonts w:ascii="Calibri" w:eastAsia="Malgun Gothic" w:hAnsi="Calibri" w:cs="Times New Roman"/>
          <w:sz w:val="20"/>
          <w:szCs w:val="22"/>
          <w14:ligatures w14:val="none"/>
        </w:rPr>
        <w:t xml:space="preserve"> </w:t>
      </w:r>
      <w:r w:rsidRPr="00E56DD7">
        <w:rPr>
          <w:rFonts w:ascii="Times New Roman" w:eastAsia="Malgun Gothic" w:hAnsi="Times New Roman" w:cs="Times New Roman"/>
          <w:color w:val="000000"/>
          <w:sz w:val="22"/>
          <w:szCs w:val="22"/>
          <w14:ligatures w14:val="none"/>
        </w:rPr>
        <w:t>ACLY, ATP citrate lyase; FASN, fatty acid synthase;</w:t>
      </w:r>
      <w:r w:rsidRPr="00E56DD7">
        <w:rPr>
          <w:rFonts w:ascii="Calibri" w:eastAsia="Malgun Gothic" w:hAnsi="Calibri" w:cs="Times New Roman"/>
          <w:sz w:val="20"/>
          <w:szCs w:val="22"/>
          <w14:ligatures w14:val="none"/>
        </w:rPr>
        <w:t xml:space="preserve"> </w:t>
      </w:r>
      <w:r w:rsidRPr="00E56DD7">
        <w:rPr>
          <w:rFonts w:ascii="Times New Roman" w:eastAsia="Malgun Gothic" w:hAnsi="Times New Roman" w:cs="Times New Roman"/>
          <w:color w:val="000000"/>
          <w:sz w:val="22"/>
          <w:szCs w:val="22"/>
          <w14:ligatures w14:val="none"/>
        </w:rPr>
        <w:t>HER2+, human epidermal growth factor receptor 2 positive.</w:t>
      </w:r>
    </w:p>
    <w:p w14:paraId="3B67E73B" w14:textId="1B881123" w:rsidR="00E56DD7" w:rsidRPr="00E56DD7" w:rsidRDefault="00E56DD7" w:rsidP="00E56DD7">
      <w:pPr>
        <w:widowControl w:val="0"/>
        <w:wordWrap w:val="0"/>
        <w:autoSpaceDE w:val="0"/>
        <w:autoSpaceDN w:val="0"/>
        <w:spacing w:line="480" w:lineRule="auto"/>
        <w:jc w:val="both"/>
        <w:rPr>
          <w:rFonts w:ascii="Times New Roman" w:eastAsia="Malgun Gothic" w:hAnsi="Times New Roman" w:cs="Times New Roman"/>
          <w:color w:val="000000"/>
          <w:sz w:val="22"/>
          <w:szCs w:val="22"/>
          <w14:ligatures w14:val="none"/>
        </w:rPr>
      </w:pPr>
      <w:r w:rsidRPr="00492F90">
        <w:rPr>
          <w:rFonts w:ascii="Times New Roman" w:eastAsia="Malgun Gothic" w:hAnsi="Times New Roman" w:cs="Times New Roman"/>
          <w:b/>
          <w:bCs/>
          <w:color w:val="000000"/>
          <w:sz w:val="22"/>
          <w:szCs w:val="22"/>
          <w14:ligatures w14:val="none"/>
        </w:rPr>
        <w:t>Fig. S2</w:t>
      </w:r>
      <w:r w:rsidRPr="00E56DD7">
        <w:rPr>
          <w:rFonts w:ascii="Times New Roman" w:eastAsia="Malgun Gothic" w:hAnsi="Times New Roman" w:cs="Times New Roman"/>
          <w:color w:val="000000"/>
          <w:sz w:val="22"/>
          <w:szCs w:val="22"/>
          <w14:ligatures w14:val="none"/>
        </w:rPr>
        <w:t xml:space="preserve"> ACLY translocation in MCF7 cells and basal expression check between parent and hormone deprivation cells. </w:t>
      </w:r>
      <w:r w:rsidRPr="00492F90">
        <w:rPr>
          <w:rFonts w:ascii="Times New Roman" w:eastAsia="Malgun Gothic" w:hAnsi="Times New Roman" w:cs="Times New Roman"/>
          <w:b/>
          <w:bCs/>
          <w:color w:val="000000"/>
          <w:sz w:val="22"/>
          <w:szCs w:val="22"/>
          <w14:ligatures w14:val="none"/>
        </w:rPr>
        <w:t>(A)</w:t>
      </w:r>
      <w:r w:rsidRPr="00E56DD7">
        <w:rPr>
          <w:rFonts w:ascii="Times New Roman" w:eastAsia="Malgun Gothic" w:hAnsi="Times New Roman" w:cs="Times New Roman"/>
          <w:color w:val="000000"/>
          <w:sz w:val="22"/>
          <w:szCs w:val="22"/>
          <w14:ligatures w14:val="none"/>
        </w:rPr>
        <w:t xml:space="preserve"> ACLY was suppressed using two siRNAs targeting the citrate binding site in MCF7 cells, and a western blot assay was performed with c-MYC, FASN, ACLY, and β-actin antibodies. </w:t>
      </w:r>
      <w:r w:rsidRPr="00492F90">
        <w:rPr>
          <w:rFonts w:ascii="Times New Roman" w:eastAsia="Malgun Gothic" w:hAnsi="Times New Roman" w:cs="Times New Roman"/>
          <w:b/>
          <w:bCs/>
          <w:color w:val="000000"/>
          <w:sz w:val="22"/>
          <w:szCs w:val="22"/>
          <w14:ligatures w14:val="none"/>
        </w:rPr>
        <w:t>(B)</w:t>
      </w:r>
      <w:r w:rsidRPr="00E56DD7">
        <w:rPr>
          <w:rFonts w:ascii="Times New Roman" w:eastAsia="Malgun Gothic" w:hAnsi="Times New Roman" w:cs="Times New Roman"/>
          <w:color w:val="000000"/>
          <w:sz w:val="22"/>
          <w:szCs w:val="22"/>
          <w14:ligatures w14:val="none"/>
        </w:rPr>
        <w:t xml:space="preserve"> MCF7 cells were separated into the cytosol and nucleus, and western blot assays were performed with c-MYC, ACLY, topo-1, and ɑ-tubulin antibodies. The right panel is the bar graph of the western blot data. </w:t>
      </w:r>
      <w:r w:rsidRPr="00492F90">
        <w:rPr>
          <w:rFonts w:ascii="Times New Roman" w:eastAsia="Malgun Gothic" w:hAnsi="Times New Roman" w:cs="Times New Roman"/>
          <w:b/>
          <w:bCs/>
          <w:color w:val="000000"/>
          <w:sz w:val="22"/>
          <w:szCs w:val="22"/>
          <w14:ligatures w14:val="none"/>
        </w:rPr>
        <w:t>(C)</w:t>
      </w:r>
      <w:r w:rsidRPr="00E56DD7">
        <w:rPr>
          <w:rFonts w:ascii="Times New Roman" w:eastAsia="Malgun Gothic" w:hAnsi="Times New Roman" w:cs="Times New Roman"/>
          <w:color w:val="000000"/>
          <w:sz w:val="22"/>
          <w:szCs w:val="22"/>
          <w14:ligatures w14:val="none"/>
        </w:rPr>
        <w:t xml:space="preserve"> The hormone resistance of MCF7-LTED cells was confirmed by determining cell viability following estradiol treatment. </w:t>
      </w:r>
      <w:r w:rsidRPr="00492F90">
        <w:rPr>
          <w:rFonts w:ascii="Times New Roman" w:eastAsia="Malgun Gothic" w:hAnsi="Times New Roman" w:cs="Times New Roman"/>
          <w:b/>
          <w:bCs/>
          <w:color w:val="000000"/>
          <w:sz w:val="22"/>
          <w:szCs w:val="22"/>
          <w14:ligatures w14:val="none"/>
        </w:rPr>
        <w:t>(D)</w:t>
      </w:r>
      <w:r w:rsidRPr="00E56DD7">
        <w:rPr>
          <w:rFonts w:ascii="Times New Roman" w:eastAsia="Malgun Gothic" w:hAnsi="Times New Roman" w:cs="Times New Roman"/>
          <w:color w:val="000000"/>
          <w:sz w:val="22"/>
          <w:szCs w:val="22"/>
          <w14:ligatures w14:val="none"/>
        </w:rPr>
        <w:t xml:space="preserve"> The qRT-PCR was performed with </w:t>
      </w:r>
      <w:r w:rsidRPr="00E56DD7">
        <w:rPr>
          <w:rFonts w:ascii="Times New Roman" w:eastAsia="Malgun Gothic" w:hAnsi="Times New Roman" w:cs="Times New Roman"/>
          <w:i/>
          <w:iCs/>
          <w:color w:val="000000"/>
          <w:sz w:val="22"/>
          <w:szCs w:val="22"/>
          <w14:ligatures w14:val="none"/>
        </w:rPr>
        <w:t>MYC</w:t>
      </w:r>
      <w:r w:rsidRPr="00E56DD7">
        <w:rPr>
          <w:rFonts w:ascii="Times New Roman" w:eastAsia="Malgun Gothic" w:hAnsi="Times New Roman" w:cs="Times New Roman"/>
          <w:color w:val="000000"/>
          <w:sz w:val="22"/>
          <w:szCs w:val="22"/>
          <w14:ligatures w14:val="none"/>
        </w:rPr>
        <w:t xml:space="preserve">, </w:t>
      </w:r>
      <w:r w:rsidRPr="00E56DD7">
        <w:rPr>
          <w:rFonts w:ascii="Times New Roman" w:eastAsia="Malgun Gothic" w:hAnsi="Times New Roman" w:cs="Times New Roman"/>
          <w:i/>
          <w:iCs/>
          <w:color w:val="000000"/>
          <w:sz w:val="22"/>
          <w:szCs w:val="22"/>
          <w14:ligatures w14:val="none"/>
        </w:rPr>
        <w:t>CPT1A</w:t>
      </w:r>
      <w:r w:rsidRPr="00E56DD7">
        <w:rPr>
          <w:rFonts w:ascii="Times New Roman" w:eastAsia="Malgun Gothic" w:hAnsi="Times New Roman" w:cs="Times New Roman"/>
          <w:color w:val="000000"/>
          <w:sz w:val="22"/>
          <w:szCs w:val="22"/>
          <w14:ligatures w14:val="none"/>
        </w:rPr>
        <w:t xml:space="preserve">, </w:t>
      </w:r>
      <w:r w:rsidRPr="00E56DD7">
        <w:rPr>
          <w:rFonts w:ascii="Times New Roman" w:eastAsia="Malgun Gothic" w:hAnsi="Times New Roman" w:cs="Times New Roman"/>
          <w:i/>
          <w:iCs/>
          <w:color w:val="000000"/>
          <w:sz w:val="22"/>
          <w:szCs w:val="22"/>
          <w14:ligatures w14:val="none"/>
        </w:rPr>
        <w:t>FASN</w:t>
      </w:r>
      <w:r w:rsidRPr="00E56DD7">
        <w:rPr>
          <w:rFonts w:ascii="Times New Roman" w:eastAsia="Malgun Gothic" w:hAnsi="Times New Roman" w:cs="Times New Roman"/>
          <w:color w:val="000000"/>
          <w:sz w:val="22"/>
          <w:szCs w:val="22"/>
          <w14:ligatures w14:val="none"/>
        </w:rPr>
        <w:t xml:space="preserve">, and </w:t>
      </w:r>
      <w:r w:rsidRPr="00E56DD7">
        <w:rPr>
          <w:rFonts w:ascii="Times New Roman" w:eastAsia="Malgun Gothic" w:hAnsi="Times New Roman" w:cs="Times New Roman"/>
          <w:i/>
          <w:iCs/>
          <w:color w:val="000000"/>
          <w:sz w:val="22"/>
          <w:szCs w:val="22"/>
          <w14:ligatures w14:val="none"/>
        </w:rPr>
        <w:t>ACLY</w:t>
      </w:r>
      <w:r w:rsidRPr="00E56DD7">
        <w:rPr>
          <w:rFonts w:ascii="Times New Roman" w:eastAsia="Malgun Gothic" w:hAnsi="Times New Roman" w:cs="Times New Roman"/>
          <w:color w:val="000000"/>
          <w:sz w:val="22"/>
          <w:szCs w:val="22"/>
          <w14:ligatures w14:val="none"/>
        </w:rPr>
        <w:t xml:space="preserve"> primers in MCF7-parent and Let</w:t>
      </w:r>
      <w:r w:rsidRPr="00E56DD7">
        <w:rPr>
          <w:rFonts w:ascii="Times New Roman" w:eastAsia="Malgun Gothic" w:hAnsi="Times New Roman" w:cs="Times New Roman"/>
          <w:color w:val="000000"/>
          <w:sz w:val="22"/>
          <w:szCs w:val="22"/>
          <w:vertAlign w:val="superscript"/>
          <w14:ligatures w14:val="none"/>
        </w:rPr>
        <w:t xml:space="preserve">R </w:t>
      </w:r>
      <w:r w:rsidRPr="00E56DD7">
        <w:rPr>
          <w:rFonts w:ascii="Times New Roman" w:eastAsia="Malgun Gothic" w:hAnsi="Times New Roman" w:cs="Times New Roman"/>
          <w:color w:val="000000"/>
          <w:sz w:val="22"/>
          <w:szCs w:val="22"/>
          <w14:ligatures w14:val="none"/>
        </w:rPr>
        <w:t xml:space="preserve">cells. The statistical significance of the difference was analyzed using the student’s t-test (*p &lt; 0.05 and ***p &lt; 0.001). </w:t>
      </w:r>
      <w:r w:rsidRPr="00492F90">
        <w:rPr>
          <w:rFonts w:ascii="Times New Roman" w:eastAsia="Malgun Gothic" w:hAnsi="Times New Roman" w:cs="Times New Roman"/>
          <w:b/>
          <w:bCs/>
          <w:color w:val="000000"/>
          <w:sz w:val="22"/>
          <w:szCs w:val="22"/>
          <w14:ligatures w14:val="none"/>
        </w:rPr>
        <w:t>(E)</w:t>
      </w:r>
      <w:r w:rsidRPr="00E56DD7">
        <w:rPr>
          <w:rFonts w:ascii="Times New Roman" w:eastAsia="Malgun Gothic" w:hAnsi="Times New Roman" w:cs="Times New Roman"/>
          <w:color w:val="000000"/>
          <w:sz w:val="22"/>
          <w:szCs w:val="22"/>
          <w14:ligatures w14:val="none"/>
        </w:rPr>
        <w:t xml:space="preserve"> The drug resistance of MCF7-Let</w:t>
      </w:r>
      <w:r w:rsidRPr="00E56DD7">
        <w:rPr>
          <w:rFonts w:ascii="Times New Roman" w:eastAsia="Malgun Gothic" w:hAnsi="Times New Roman" w:cs="Times New Roman"/>
          <w:color w:val="000000"/>
          <w:sz w:val="22"/>
          <w:szCs w:val="22"/>
          <w:vertAlign w:val="superscript"/>
          <w14:ligatures w14:val="none"/>
        </w:rPr>
        <w:t>R</w:t>
      </w:r>
      <w:r w:rsidRPr="00E56DD7">
        <w:rPr>
          <w:rFonts w:ascii="Times New Roman" w:eastAsia="Malgun Gothic" w:hAnsi="Times New Roman" w:cs="Times New Roman"/>
          <w:color w:val="000000"/>
          <w:sz w:val="22"/>
          <w:szCs w:val="22"/>
          <w14:ligatures w14:val="none"/>
        </w:rPr>
        <w:t xml:space="preserve"> cells was confirmed by determining the cell viability after 10 µM letrozole treatment. The statistical significance of the difference was analyzed using the student’s t-test (***p &lt; 0.001). </w:t>
      </w:r>
      <w:r w:rsidRPr="00492F90">
        <w:rPr>
          <w:rFonts w:ascii="Times New Roman" w:eastAsia="Malgun Gothic" w:hAnsi="Times New Roman" w:cs="Times New Roman"/>
          <w:b/>
          <w:bCs/>
          <w:color w:val="000000"/>
          <w:sz w:val="22"/>
          <w:szCs w:val="22"/>
          <w14:ligatures w14:val="none"/>
        </w:rPr>
        <w:t>(F)</w:t>
      </w:r>
      <w:r w:rsidRPr="00E56DD7">
        <w:rPr>
          <w:rFonts w:ascii="Times New Roman" w:eastAsia="Malgun Gothic" w:hAnsi="Times New Roman" w:cs="Times New Roman"/>
          <w:color w:val="000000"/>
          <w:sz w:val="22"/>
          <w:szCs w:val="22"/>
          <w14:ligatures w14:val="none"/>
        </w:rPr>
        <w:t xml:space="preserve"> ACLY was suppressed using #1 siRNAs in MCF7-Let</w:t>
      </w:r>
      <w:r w:rsidRPr="00E56DD7">
        <w:rPr>
          <w:rFonts w:ascii="Times New Roman" w:eastAsia="Malgun Gothic" w:hAnsi="Times New Roman" w:cs="Times New Roman"/>
          <w:color w:val="000000"/>
          <w:sz w:val="22"/>
          <w:szCs w:val="22"/>
          <w:vertAlign w:val="superscript"/>
          <w14:ligatures w14:val="none"/>
        </w:rPr>
        <w:t>R</w:t>
      </w:r>
      <w:r w:rsidRPr="00E56DD7">
        <w:rPr>
          <w:rFonts w:ascii="Times New Roman" w:eastAsia="Malgun Gothic" w:hAnsi="Times New Roman" w:cs="Times New Roman"/>
          <w:color w:val="000000"/>
          <w:sz w:val="22"/>
          <w:szCs w:val="22"/>
          <w14:ligatures w14:val="none"/>
        </w:rPr>
        <w:t xml:space="preserve"> cells, and a western blot assay was performed with c-MYC, FASN, ACLY, and β-actin antibodies. </w:t>
      </w:r>
      <w:r w:rsidRPr="00492F90">
        <w:rPr>
          <w:rFonts w:ascii="Times New Roman" w:eastAsia="Malgun Gothic" w:hAnsi="Times New Roman" w:cs="Times New Roman"/>
          <w:b/>
          <w:bCs/>
          <w:color w:val="000000"/>
          <w:sz w:val="22"/>
          <w:szCs w:val="22"/>
          <w14:ligatures w14:val="none"/>
        </w:rPr>
        <w:t>(G)</w:t>
      </w:r>
      <w:r w:rsidRPr="00E56DD7">
        <w:rPr>
          <w:rFonts w:ascii="Times New Roman" w:eastAsia="Malgun Gothic" w:hAnsi="Times New Roman" w:cs="Times New Roman"/>
          <w:color w:val="000000"/>
          <w:sz w:val="22"/>
          <w:szCs w:val="22"/>
          <w14:ligatures w14:val="none"/>
        </w:rPr>
        <w:t xml:space="preserve"> The mitochondrial oxidative respiration was identified in MCF7-Parent and -LTED cells, T47D-Parent and -LTED, and MCF7-parent and -Let</w:t>
      </w:r>
      <w:r w:rsidRPr="00E56DD7">
        <w:rPr>
          <w:rFonts w:ascii="Times New Roman" w:eastAsia="Malgun Gothic" w:hAnsi="Times New Roman" w:cs="Times New Roman"/>
          <w:color w:val="000000"/>
          <w:sz w:val="22"/>
          <w:szCs w:val="22"/>
          <w:vertAlign w:val="superscript"/>
          <w14:ligatures w14:val="none"/>
        </w:rPr>
        <w:t>R</w:t>
      </w:r>
      <w:r w:rsidRPr="00E56DD7">
        <w:rPr>
          <w:rFonts w:ascii="Times New Roman" w:eastAsia="Malgun Gothic" w:hAnsi="Times New Roman" w:cs="Times New Roman"/>
          <w:color w:val="000000"/>
          <w:sz w:val="22"/>
          <w:szCs w:val="22"/>
          <w14:ligatures w14:val="none"/>
        </w:rPr>
        <w:t xml:space="preserve"> cells.</w:t>
      </w:r>
      <w:r w:rsidRPr="00E56DD7">
        <w:rPr>
          <w:rFonts w:ascii="Calibri" w:eastAsia="Malgun Gothic" w:hAnsi="Calibri" w:cs="Times New Roman"/>
          <w:sz w:val="20"/>
          <w:szCs w:val="22"/>
          <w14:ligatures w14:val="none"/>
        </w:rPr>
        <w:t xml:space="preserve"> </w:t>
      </w:r>
      <w:r w:rsidRPr="00E56DD7">
        <w:rPr>
          <w:rFonts w:ascii="Times New Roman" w:eastAsia="Malgun Gothic" w:hAnsi="Times New Roman" w:cs="Times New Roman"/>
          <w:color w:val="000000"/>
          <w:sz w:val="22"/>
          <w:szCs w:val="22"/>
          <w14:ligatures w14:val="none"/>
        </w:rPr>
        <w:t>ACLY, ATP citrate lyase; siRNA, small interfering RNA; MYC, myelocytomatosis oncogene; c-MYC; cellular MYC;</w:t>
      </w:r>
      <w:r w:rsidRPr="00E56DD7">
        <w:rPr>
          <w:rFonts w:ascii="Calibri" w:eastAsia="Malgun Gothic" w:hAnsi="Calibri" w:cs="Times New Roman"/>
          <w:sz w:val="20"/>
          <w:szCs w:val="22"/>
          <w14:ligatures w14:val="none"/>
        </w:rPr>
        <w:t xml:space="preserve"> </w:t>
      </w:r>
      <w:r w:rsidRPr="00E56DD7">
        <w:rPr>
          <w:rFonts w:ascii="Times New Roman" w:eastAsia="Malgun Gothic" w:hAnsi="Times New Roman" w:cs="Times New Roman"/>
          <w:color w:val="000000"/>
          <w:sz w:val="22"/>
          <w:szCs w:val="22"/>
          <w14:ligatures w14:val="none"/>
        </w:rPr>
        <w:t>FASN, fatty acid synthase; topo-1,</w:t>
      </w:r>
      <w:r w:rsidRPr="00E56DD7">
        <w:rPr>
          <w:rFonts w:ascii="Calibri" w:eastAsia="Malgun Gothic" w:hAnsi="Calibri" w:cs="Times New Roman"/>
          <w:sz w:val="20"/>
          <w:szCs w:val="22"/>
          <w14:ligatures w14:val="none"/>
        </w:rPr>
        <w:t xml:space="preserve"> </w:t>
      </w:r>
      <w:r w:rsidRPr="00E56DD7">
        <w:rPr>
          <w:rFonts w:ascii="Times New Roman" w:eastAsia="Malgun Gothic" w:hAnsi="Times New Roman" w:cs="Times New Roman"/>
          <w:color w:val="000000"/>
          <w:sz w:val="22"/>
          <w:szCs w:val="22"/>
          <w14:ligatures w14:val="none"/>
        </w:rPr>
        <w:t>type I topoisomerase;</w:t>
      </w:r>
      <w:r w:rsidRPr="00E56DD7">
        <w:rPr>
          <w:rFonts w:ascii="Calibri" w:eastAsia="Malgun Gothic" w:hAnsi="Calibri" w:cs="Times New Roman"/>
          <w:sz w:val="20"/>
          <w:szCs w:val="22"/>
          <w14:ligatures w14:val="none"/>
        </w:rPr>
        <w:t xml:space="preserve"> </w:t>
      </w:r>
      <w:r w:rsidRPr="00E56DD7">
        <w:rPr>
          <w:rFonts w:ascii="Times New Roman" w:eastAsia="Malgun Gothic" w:hAnsi="Times New Roman" w:cs="Times New Roman"/>
          <w:color w:val="000000"/>
          <w:sz w:val="22"/>
          <w:szCs w:val="22"/>
          <w14:ligatures w14:val="none"/>
        </w:rPr>
        <w:t>qRT-PCR, quantitative reverse transcription polymerase chain reaction; CPT1A, carnitine palmitoyltransferase 1A; Let</w:t>
      </w:r>
      <w:r w:rsidRPr="00E56DD7">
        <w:rPr>
          <w:rFonts w:ascii="Times New Roman" w:eastAsia="Malgun Gothic" w:hAnsi="Times New Roman" w:cs="Times New Roman"/>
          <w:color w:val="000000"/>
          <w:sz w:val="22"/>
          <w:szCs w:val="22"/>
          <w:vertAlign w:val="superscript"/>
          <w14:ligatures w14:val="none"/>
        </w:rPr>
        <w:t>R</w:t>
      </w:r>
      <w:r w:rsidRPr="00E56DD7">
        <w:rPr>
          <w:rFonts w:ascii="Times New Roman" w:eastAsia="Malgun Gothic" w:hAnsi="Times New Roman" w:cs="Times New Roman"/>
          <w:color w:val="000000"/>
          <w:sz w:val="22"/>
          <w:szCs w:val="22"/>
          <w14:ligatures w14:val="none"/>
        </w:rPr>
        <w:t>, letrozole-resistant;</w:t>
      </w:r>
      <w:r w:rsidRPr="00E56DD7">
        <w:rPr>
          <w:rFonts w:ascii="Calibri" w:eastAsia="Malgun Gothic" w:hAnsi="Calibri" w:cs="Times New Roman"/>
          <w:sz w:val="20"/>
          <w:szCs w:val="22"/>
          <w14:ligatures w14:val="none"/>
        </w:rPr>
        <w:t xml:space="preserve"> </w:t>
      </w:r>
      <w:r w:rsidRPr="00E56DD7">
        <w:rPr>
          <w:rFonts w:ascii="Times New Roman" w:eastAsia="Malgun Gothic" w:hAnsi="Times New Roman" w:cs="Times New Roman"/>
          <w:color w:val="000000"/>
          <w:sz w:val="22"/>
          <w:szCs w:val="22"/>
          <w14:ligatures w14:val="none"/>
        </w:rPr>
        <w:t>LTED, long-term estrogen deprivation.</w:t>
      </w:r>
    </w:p>
    <w:p w14:paraId="5E638F55" w14:textId="5A9319AA" w:rsidR="00E56DD7" w:rsidRPr="00E56DD7" w:rsidRDefault="00E56DD7" w:rsidP="00E56DD7">
      <w:pPr>
        <w:widowControl w:val="0"/>
        <w:wordWrap w:val="0"/>
        <w:autoSpaceDE w:val="0"/>
        <w:autoSpaceDN w:val="0"/>
        <w:spacing w:line="480" w:lineRule="auto"/>
        <w:jc w:val="both"/>
        <w:rPr>
          <w:rFonts w:ascii="Times New Roman" w:eastAsia="Malgun Gothic" w:hAnsi="Times New Roman" w:cs="Times New Roman"/>
          <w:color w:val="000000"/>
          <w:sz w:val="22"/>
          <w:szCs w:val="22"/>
          <w14:ligatures w14:val="none"/>
        </w:rPr>
      </w:pPr>
      <w:r w:rsidRPr="00492F90">
        <w:rPr>
          <w:rFonts w:ascii="Times New Roman" w:eastAsia="Malgun Gothic" w:hAnsi="Times New Roman" w:cs="Times New Roman"/>
          <w:b/>
          <w:bCs/>
          <w:color w:val="000000"/>
          <w:sz w:val="22"/>
          <w:szCs w:val="22"/>
          <w14:ligatures w14:val="none"/>
        </w:rPr>
        <w:t>Fig. S3</w:t>
      </w:r>
      <w:r w:rsidRPr="00E56DD7">
        <w:rPr>
          <w:rFonts w:ascii="Times New Roman" w:eastAsia="Malgun Gothic" w:hAnsi="Times New Roman" w:cs="Times New Roman"/>
          <w:color w:val="000000"/>
          <w:sz w:val="22"/>
          <w:szCs w:val="22"/>
          <w14:ligatures w14:val="none"/>
        </w:rPr>
        <w:t xml:space="preserve"> Molecular interactions affected mitochondrial oxidative respiration and metabolites, and NDI has a synergistic effects with etomoxir. </w:t>
      </w:r>
      <w:r w:rsidRPr="00492F90">
        <w:rPr>
          <w:rFonts w:ascii="Times New Roman" w:eastAsia="Malgun Gothic" w:hAnsi="Times New Roman" w:cs="Times New Roman"/>
          <w:b/>
          <w:bCs/>
          <w:color w:val="000000"/>
          <w:sz w:val="22"/>
          <w:szCs w:val="22"/>
          <w14:ligatures w14:val="none"/>
        </w:rPr>
        <w:t>(A)</w:t>
      </w:r>
      <w:r w:rsidRPr="00E56DD7">
        <w:rPr>
          <w:rFonts w:ascii="Times New Roman" w:eastAsia="Malgun Gothic" w:hAnsi="Times New Roman" w:cs="Times New Roman"/>
          <w:color w:val="000000"/>
          <w:sz w:val="22"/>
          <w:szCs w:val="22"/>
          <w14:ligatures w14:val="none"/>
        </w:rPr>
        <w:t xml:space="preserve"> siNC and siACLY were transfected, and mitochondrial oxidative respiration was identified in MCF7 and MCF7-LTED cells. pcDNA3.0 and ACLY WT plasmids were </w:t>
      </w:r>
      <w:r w:rsidRPr="00E56DD7">
        <w:rPr>
          <w:rFonts w:ascii="Times New Roman" w:eastAsia="Malgun Gothic" w:hAnsi="Times New Roman" w:cs="Times New Roman"/>
          <w:color w:val="000000"/>
          <w:sz w:val="22"/>
          <w:szCs w:val="22"/>
          <w14:ligatures w14:val="none"/>
        </w:rPr>
        <w:lastRenderedPageBreak/>
        <w:t xml:space="preserve">transfected into MCF7 cells, and a mitochondria oxidative respiration assay was performed. </w:t>
      </w:r>
      <w:r w:rsidRPr="00492F90">
        <w:rPr>
          <w:rFonts w:ascii="Times New Roman" w:eastAsia="Malgun Gothic" w:hAnsi="Times New Roman" w:cs="Times New Roman"/>
          <w:b/>
          <w:bCs/>
          <w:color w:val="000000"/>
          <w:sz w:val="22"/>
          <w:szCs w:val="22"/>
          <w14:ligatures w14:val="none"/>
        </w:rPr>
        <w:t>(B)</w:t>
      </w:r>
      <w:r w:rsidRPr="00E56DD7">
        <w:rPr>
          <w:rFonts w:ascii="Times New Roman" w:eastAsia="Malgun Gothic" w:hAnsi="Times New Roman" w:cs="Times New Roman"/>
          <w:color w:val="000000"/>
          <w:sz w:val="22"/>
          <w:szCs w:val="22"/>
          <w14:ligatures w14:val="none"/>
        </w:rPr>
        <w:t xml:space="preserve"> Metabolites in glycolysis, TCA cycle, and pentose phosphate were measured in MCF7 parent and LTED cells. </w:t>
      </w:r>
      <w:r w:rsidRPr="00492F90">
        <w:rPr>
          <w:rFonts w:ascii="Times New Roman" w:eastAsia="Malgun Gothic" w:hAnsi="Times New Roman" w:cs="Times New Roman"/>
          <w:b/>
          <w:bCs/>
          <w:color w:val="000000"/>
          <w:sz w:val="22"/>
          <w:szCs w:val="22"/>
          <w14:ligatures w14:val="none"/>
        </w:rPr>
        <w:t>(C)</w:t>
      </w:r>
      <w:r w:rsidRPr="00E56DD7">
        <w:rPr>
          <w:rFonts w:ascii="Times New Roman" w:eastAsia="Malgun Gothic" w:hAnsi="Times New Roman" w:cs="Times New Roman"/>
          <w:color w:val="000000"/>
          <w:sz w:val="22"/>
          <w:szCs w:val="22"/>
          <w14:ligatures w14:val="none"/>
        </w:rPr>
        <w:t xml:space="preserve"> Protein transfection in the FAO assay of Fig. 4E was confirmed using western blot assay. </w:t>
      </w:r>
      <w:r w:rsidRPr="00492F90">
        <w:rPr>
          <w:rFonts w:ascii="Times New Roman" w:eastAsia="Malgun Gothic" w:hAnsi="Times New Roman" w:cs="Times New Roman"/>
          <w:b/>
          <w:bCs/>
          <w:color w:val="000000"/>
          <w:sz w:val="22"/>
          <w:szCs w:val="22"/>
          <w14:ligatures w14:val="none"/>
        </w:rPr>
        <w:t>(D)</w:t>
      </w:r>
      <w:r w:rsidRPr="00E56DD7">
        <w:rPr>
          <w:rFonts w:ascii="Times New Roman" w:eastAsia="Malgun Gothic" w:hAnsi="Times New Roman" w:cs="Times New Roman"/>
          <w:color w:val="000000"/>
          <w:sz w:val="22"/>
          <w:szCs w:val="22"/>
          <w14:ligatures w14:val="none"/>
        </w:rPr>
        <w:t xml:space="preserve"> The cytotoxicity assays were performed following treatment with two known ACLY inhibitors, SB-204990 and ETC-1002 (bempedoic acid) for 24 h, in MCF7 parent and LTED cells. </w:t>
      </w:r>
      <w:r w:rsidRPr="00492F90">
        <w:rPr>
          <w:rFonts w:ascii="Times New Roman" w:eastAsia="Malgun Gothic" w:hAnsi="Times New Roman" w:cs="Times New Roman"/>
          <w:b/>
          <w:bCs/>
          <w:color w:val="000000"/>
          <w:sz w:val="22"/>
          <w:szCs w:val="22"/>
          <w14:ligatures w14:val="none"/>
        </w:rPr>
        <w:t>(E)</w:t>
      </w:r>
      <w:r w:rsidRPr="00E56DD7">
        <w:rPr>
          <w:rFonts w:ascii="Times New Roman" w:eastAsia="Malgun Gothic" w:hAnsi="Times New Roman" w:cs="Times New Roman"/>
          <w:color w:val="000000"/>
          <w:sz w:val="22"/>
          <w:szCs w:val="22"/>
          <w14:ligatures w14:val="none"/>
        </w:rPr>
        <w:t xml:space="preserve"> The effect of NDI in MCF7-parent and LTED cells was confirmed at a drug concentration of 5 µM in a time-dependent manner. </w:t>
      </w:r>
      <w:r w:rsidRPr="00492F90">
        <w:rPr>
          <w:rFonts w:ascii="Times New Roman" w:eastAsia="Malgun Gothic" w:hAnsi="Times New Roman" w:cs="Times New Roman"/>
          <w:b/>
          <w:bCs/>
          <w:color w:val="000000"/>
          <w:sz w:val="22"/>
          <w:szCs w:val="22"/>
          <w14:ligatures w14:val="none"/>
        </w:rPr>
        <w:t>(F)</w:t>
      </w:r>
      <w:r w:rsidRPr="00E56DD7">
        <w:rPr>
          <w:rFonts w:ascii="Times New Roman" w:eastAsia="Malgun Gothic" w:hAnsi="Times New Roman" w:cs="Times New Roman"/>
          <w:color w:val="000000"/>
          <w:sz w:val="22"/>
          <w:szCs w:val="22"/>
          <w14:ligatures w14:val="none"/>
        </w:rPr>
        <w:t xml:space="preserve"> MCF7 LTED cells were treated with NDI, and a western blot assay was performed with p-c-MYC (S32), p-ACLY (S455), ACLY, and β-actin antibodies. The bands were calculated per β-actin protein amount and are shown in bar graphs (Right panels). </w:t>
      </w:r>
      <w:r w:rsidRPr="00492F90">
        <w:rPr>
          <w:rFonts w:ascii="Times New Roman" w:eastAsia="Malgun Gothic" w:hAnsi="Times New Roman" w:cs="Times New Roman"/>
          <w:b/>
          <w:bCs/>
          <w:color w:val="000000"/>
          <w:sz w:val="22"/>
          <w:szCs w:val="22"/>
          <w14:ligatures w14:val="none"/>
        </w:rPr>
        <w:t>(G)</w:t>
      </w:r>
      <w:r w:rsidRPr="00E56DD7">
        <w:rPr>
          <w:rFonts w:ascii="Times New Roman" w:eastAsia="Malgun Gothic" w:hAnsi="Times New Roman" w:cs="Times New Roman"/>
          <w:color w:val="000000"/>
          <w:sz w:val="22"/>
          <w:szCs w:val="22"/>
          <w14:ligatures w14:val="none"/>
        </w:rPr>
        <w:t xml:space="preserve"> MCF7-Let</w:t>
      </w:r>
      <w:r w:rsidRPr="00E56DD7">
        <w:rPr>
          <w:rFonts w:ascii="Times New Roman" w:eastAsia="Malgun Gothic" w:hAnsi="Times New Roman" w:cs="Times New Roman"/>
          <w:color w:val="000000"/>
          <w:sz w:val="22"/>
          <w:szCs w:val="22"/>
          <w:vertAlign w:val="superscript"/>
          <w14:ligatures w14:val="none"/>
        </w:rPr>
        <w:t>R</w:t>
      </w:r>
      <w:r w:rsidRPr="00E56DD7">
        <w:rPr>
          <w:rFonts w:ascii="Times New Roman" w:eastAsia="Malgun Gothic" w:hAnsi="Times New Roman" w:cs="Times New Roman"/>
          <w:color w:val="000000"/>
          <w:sz w:val="22"/>
          <w:szCs w:val="22"/>
          <w14:ligatures w14:val="none"/>
        </w:rPr>
        <w:t xml:space="preserve"> cells were treated with NDI and Eto to identify the synergistic effect. The combination index was calculated using Calcusyn software (Right panel). NDI, NDI-091143; Eto, etomoxir; ACLY, ATP citrate lyase; LTED, long-term estrogen deprivation; WT, wild-type; TCA, tricarboxylic acid; FAO, fatty acid oxidation; MYC, myelocytomatosis oncogene; c-MYC; cellular MYC; p-c-MYC, phosphorylated c-MYC; MCF7-Let</w:t>
      </w:r>
      <w:r w:rsidRPr="00492F90">
        <w:rPr>
          <w:rFonts w:ascii="Times New Roman" w:eastAsia="Malgun Gothic" w:hAnsi="Times New Roman" w:cs="Times New Roman"/>
          <w:color w:val="000000"/>
          <w:sz w:val="22"/>
          <w:szCs w:val="22"/>
          <w:vertAlign w:val="superscript"/>
          <w14:ligatures w14:val="none"/>
        </w:rPr>
        <w:t>R</w:t>
      </w:r>
      <w:r w:rsidRPr="00E56DD7">
        <w:rPr>
          <w:rFonts w:ascii="Times New Roman" w:eastAsia="Malgun Gothic" w:hAnsi="Times New Roman" w:cs="Times New Roman"/>
          <w:color w:val="000000"/>
          <w:sz w:val="22"/>
          <w:szCs w:val="22"/>
          <w14:ligatures w14:val="none"/>
        </w:rPr>
        <w:t>, letrozole-resistant MCF7 cell line, si, small interfering.</w:t>
      </w:r>
    </w:p>
    <w:p w14:paraId="300C4AAC" w14:textId="2E2703CD" w:rsidR="00D42C36" w:rsidRDefault="00D42C36"/>
    <w:sectPr w:rsidR="00D42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DD7"/>
    <w:rsid w:val="00062DA2"/>
    <w:rsid w:val="00093E6D"/>
    <w:rsid w:val="000A3C41"/>
    <w:rsid w:val="000B0655"/>
    <w:rsid w:val="000B772F"/>
    <w:rsid w:val="001007BE"/>
    <w:rsid w:val="00116479"/>
    <w:rsid w:val="001524A9"/>
    <w:rsid w:val="001558EA"/>
    <w:rsid w:val="001818B2"/>
    <w:rsid w:val="001F4189"/>
    <w:rsid w:val="00224492"/>
    <w:rsid w:val="00226302"/>
    <w:rsid w:val="002945A7"/>
    <w:rsid w:val="0029639E"/>
    <w:rsid w:val="002E5B59"/>
    <w:rsid w:val="00316EFE"/>
    <w:rsid w:val="00370353"/>
    <w:rsid w:val="00373910"/>
    <w:rsid w:val="00393DF8"/>
    <w:rsid w:val="00397EDF"/>
    <w:rsid w:val="003A7D52"/>
    <w:rsid w:val="003F56FE"/>
    <w:rsid w:val="00413E34"/>
    <w:rsid w:val="00416386"/>
    <w:rsid w:val="00432D0A"/>
    <w:rsid w:val="00456F67"/>
    <w:rsid w:val="00467166"/>
    <w:rsid w:val="00492F90"/>
    <w:rsid w:val="004A4D1A"/>
    <w:rsid w:val="004C41B2"/>
    <w:rsid w:val="004D024C"/>
    <w:rsid w:val="00520BAC"/>
    <w:rsid w:val="005616AF"/>
    <w:rsid w:val="00572412"/>
    <w:rsid w:val="0059019D"/>
    <w:rsid w:val="00596962"/>
    <w:rsid w:val="005E4DFB"/>
    <w:rsid w:val="00642B3F"/>
    <w:rsid w:val="00643B9E"/>
    <w:rsid w:val="00646E18"/>
    <w:rsid w:val="006E1DBD"/>
    <w:rsid w:val="0071228B"/>
    <w:rsid w:val="00721553"/>
    <w:rsid w:val="00724C4B"/>
    <w:rsid w:val="0077453A"/>
    <w:rsid w:val="00780F14"/>
    <w:rsid w:val="007D036C"/>
    <w:rsid w:val="007E60A1"/>
    <w:rsid w:val="007F5357"/>
    <w:rsid w:val="008006AC"/>
    <w:rsid w:val="00801551"/>
    <w:rsid w:val="008152B7"/>
    <w:rsid w:val="008234D0"/>
    <w:rsid w:val="00831CCC"/>
    <w:rsid w:val="008B52F6"/>
    <w:rsid w:val="008B6089"/>
    <w:rsid w:val="00975447"/>
    <w:rsid w:val="00A0164A"/>
    <w:rsid w:val="00A324E7"/>
    <w:rsid w:val="00A356A3"/>
    <w:rsid w:val="00A35C8F"/>
    <w:rsid w:val="00A84F48"/>
    <w:rsid w:val="00AA4360"/>
    <w:rsid w:val="00AE3F59"/>
    <w:rsid w:val="00B1102A"/>
    <w:rsid w:val="00BC3C4F"/>
    <w:rsid w:val="00BE5EFE"/>
    <w:rsid w:val="00C14AEB"/>
    <w:rsid w:val="00C33832"/>
    <w:rsid w:val="00C62676"/>
    <w:rsid w:val="00C926BE"/>
    <w:rsid w:val="00CD3D55"/>
    <w:rsid w:val="00CE04FD"/>
    <w:rsid w:val="00CE66F3"/>
    <w:rsid w:val="00CF417F"/>
    <w:rsid w:val="00CF5C44"/>
    <w:rsid w:val="00D42C36"/>
    <w:rsid w:val="00D4548D"/>
    <w:rsid w:val="00D578A8"/>
    <w:rsid w:val="00D73197"/>
    <w:rsid w:val="00DB574B"/>
    <w:rsid w:val="00DC214C"/>
    <w:rsid w:val="00E16139"/>
    <w:rsid w:val="00E26042"/>
    <w:rsid w:val="00E55168"/>
    <w:rsid w:val="00E56DD7"/>
    <w:rsid w:val="00E8748E"/>
    <w:rsid w:val="00EB60E0"/>
    <w:rsid w:val="00ED7966"/>
    <w:rsid w:val="00F00368"/>
    <w:rsid w:val="00F23572"/>
    <w:rsid w:val="00F2488C"/>
    <w:rsid w:val="00F5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DAEC93"/>
  <w15:chartTrackingRefBased/>
  <w15:docId w15:val="{F2C827A7-5D52-AA42-BB73-D49B1982E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6D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6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D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6D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6D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6D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6D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D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6D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D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6D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6D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6D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6D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6D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6D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D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6D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6D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6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D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6D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6D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6D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6D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6D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6D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6D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6DD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nhideWhenUsed/>
    <w:qFormat/>
    <w:rsid w:val="00E56DD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E56DD7"/>
    <w:pPr>
      <w:widowControl w:val="0"/>
      <w:wordWrap w:val="0"/>
      <w:autoSpaceDE w:val="0"/>
      <w:autoSpaceDN w:val="0"/>
      <w:spacing w:line="240" w:lineRule="auto"/>
      <w:jc w:val="both"/>
    </w:pPr>
    <w:rPr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qFormat/>
    <w:rsid w:val="00E56DD7"/>
    <w:rPr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492F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9F76C80-6167-A943-BE6B-72EF9367D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547</Words>
  <Characters>3122</Characters>
  <Application>Microsoft Office Word</Application>
  <DocSecurity>0</DocSecurity>
  <Lines>26</Lines>
  <Paragraphs>7</Paragraphs>
  <ScaleCrop>false</ScaleCrop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Ju-Ha Kim</dc:creator>
  <cp:keywords/>
  <dc:description/>
  <cp:lastModifiedBy>Ju-Ha Kim</cp:lastModifiedBy>
  <cp:revision>3</cp:revision>
  <dcterms:created xsi:type="dcterms:W3CDTF">2025-03-13T21:45:00Z</dcterms:created>
  <dcterms:modified xsi:type="dcterms:W3CDTF">2025-03-13T21:45:00Z</dcterms:modified>
</cp:coreProperties>
</file>