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highlight w:val="none"/>
          <w:lang w:val="en-US" w:eastAsia="zh-CN"/>
        </w:rPr>
      </w:pPr>
      <w:bookmarkStart w:id="0" w:name="OLE_LINK1"/>
      <w:r>
        <w:rPr>
          <w:rFonts w:hint="eastAsia" w:ascii="Times New Roman" w:hAnsi="Times New Roman" w:cs="Times New Roman"/>
          <w:b/>
          <w:bCs/>
          <w:sz w:val="24"/>
          <w:szCs w:val="24"/>
          <w:highlight w:val="none"/>
          <w:lang w:val="en-US" w:eastAsia="zh-CN"/>
        </w:rPr>
        <w:t>Supplementary Legends</w:t>
      </w:r>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bookmarkStart w:id="2" w:name="_GoBack"/>
      <w:bookmarkEnd w:id="2"/>
      <w:r>
        <w:rPr>
          <w:rFonts w:hint="default" w:ascii="Times New Roman" w:hAnsi="Times New Roman" w:cs="Times New Roman"/>
          <w:sz w:val="24"/>
          <w:szCs w:val="24"/>
          <w:highlight w:val="none"/>
        </w:rPr>
        <w:t xml:space="preserve">Supplementary </w:t>
      </w:r>
      <w:r>
        <w:rPr>
          <w:rFonts w:hint="default" w:ascii="Times New Roman" w:hAnsi="Times New Roman" w:cs="Times New Roman"/>
          <w:sz w:val="24"/>
          <w:szCs w:val="24"/>
          <w:highlight w:val="none"/>
          <w:lang w:val="en-US" w:eastAsia="zh-CN"/>
        </w:rPr>
        <w:t>F</w:t>
      </w:r>
      <w:r>
        <w:rPr>
          <w:rFonts w:hint="default" w:ascii="Times New Roman" w:hAnsi="Times New Roman" w:cs="Times New Roman"/>
          <w:sz w:val="24"/>
          <w:szCs w:val="24"/>
          <w:highlight w:val="none"/>
        </w:rPr>
        <w:t xml:space="preserve">igure 1. Analysis of SC of amyloid protiens with high background abundance. </w:t>
      </w:r>
      <w:r>
        <w:rPr>
          <w:rFonts w:hint="default" w:ascii="Times New Roman" w:hAnsi="Times New Roman" w:cs="Times New Roman"/>
          <w:b/>
          <w:bCs/>
          <w:sz w:val="24"/>
          <w:szCs w:val="24"/>
          <w:highlight w:val="none"/>
        </w:rPr>
        <w:t>a, c, e.</w:t>
      </w:r>
      <w:r>
        <w:rPr>
          <w:rFonts w:hint="default" w:ascii="Times New Roman" w:hAnsi="Times New Roman" w:cs="Times New Roman"/>
          <w:sz w:val="24"/>
          <w:szCs w:val="24"/>
          <w:highlight w:val="none"/>
        </w:rPr>
        <w:t xml:space="preserve"> Scatter plot of normalized SC of FIBA (</w:t>
      </w:r>
      <w:r>
        <w:rPr>
          <w:rFonts w:hint="default" w:ascii="Times New Roman" w:hAnsi="Times New Roman" w:cs="Times New Roman"/>
          <w:b/>
          <w:bCs/>
          <w:sz w:val="24"/>
          <w:szCs w:val="24"/>
          <w:highlight w:val="none"/>
        </w:rPr>
        <w:t>a</w:t>
      </w:r>
      <w:r>
        <w:rPr>
          <w:rFonts w:hint="default" w:ascii="Times New Roman" w:hAnsi="Times New Roman" w:cs="Times New Roman"/>
          <w:sz w:val="24"/>
          <w:szCs w:val="24"/>
          <w:highlight w:val="none"/>
        </w:rPr>
        <w:t>), APOA1 (</w:t>
      </w:r>
      <w:r>
        <w:rPr>
          <w:rFonts w:hint="default" w:ascii="Times New Roman" w:hAnsi="Times New Roman" w:cs="Times New Roman"/>
          <w:b/>
          <w:bCs/>
          <w:sz w:val="24"/>
          <w:szCs w:val="24"/>
          <w:highlight w:val="none"/>
        </w:rPr>
        <w:t>c</w:t>
      </w:r>
      <w:r>
        <w:rPr>
          <w:rFonts w:hint="default" w:ascii="Times New Roman" w:hAnsi="Times New Roman" w:cs="Times New Roman"/>
          <w:sz w:val="24"/>
          <w:szCs w:val="24"/>
          <w:highlight w:val="none"/>
        </w:rPr>
        <w:t>), or GELS (</w:t>
      </w:r>
      <w:r>
        <w:rPr>
          <w:rFonts w:hint="default" w:ascii="Times New Roman" w:hAnsi="Times New Roman" w:cs="Times New Roman"/>
          <w:b/>
          <w:bCs/>
          <w:sz w:val="24"/>
          <w:szCs w:val="24"/>
          <w:highlight w:val="none"/>
        </w:rPr>
        <w:t>e</w:t>
      </w:r>
      <w:r>
        <w:rPr>
          <w:rFonts w:hint="default" w:ascii="Times New Roman" w:hAnsi="Times New Roman" w:cs="Times New Roman"/>
          <w:sz w:val="24"/>
          <w:szCs w:val="24"/>
          <w:highlight w:val="none"/>
        </w:rPr>
        <w:t xml:space="preserve">) in its related and unrelated subtypes. All the three proteins show high abundance in background in their unrelated subtypes, but with a much higher abundance in they related subtype. </w:t>
      </w:r>
      <w:r>
        <w:rPr>
          <w:rFonts w:hint="default" w:ascii="Times New Roman" w:hAnsi="Times New Roman" w:cs="Times New Roman"/>
          <w:b/>
          <w:bCs/>
          <w:sz w:val="24"/>
          <w:szCs w:val="24"/>
          <w:highlight w:val="none"/>
        </w:rPr>
        <w:t>b, d, f.</w:t>
      </w:r>
      <w:r>
        <w:rPr>
          <w:rFonts w:hint="default" w:ascii="Times New Roman" w:hAnsi="Times New Roman" w:cs="Times New Roman"/>
          <w:sz w:val="24"/>
          <w:szCs w:val="24"/>
          <w:highlight w:val="none"/>
        </w:rPr>
        <w:t xml:space="preserve"> The normalized SC of FIBA (</w:t>
      </w:r>
      <w:r>
        <w:rPr>
          <w:rFonts w:hint="default" w:ascii="Times New Roman" w:hAnsi="Times New Roman" w:cs="Times New Roman"/>
          <w:b/>
          <w:bCs/>
          <w:sz w:val="24"/>
          <w:szCs w:val="24"/>
          <w:highlight w:val="none"/>
        </w:rPr>
        <w:t>b</w:t>
      </w:r>
      <w:r>
        <w:rPr>
          <w:rFonts w:hint="default" w:ascii="Times New Roman" w:hAnsi="Times New Roman" w:cs="Times New Roman"/>
          <w:sz w:val="24"/>
          <w:szCs w:val="24"/>
          <w:highlight w:val="none"/>
        </w:rPr>
        <w:t>), APOA1 (</w:t>
      </w:r>
      <w:r>
        <w:rPr>
          <w:rFonts w:hint="default" w:ascii="Times New Roman" w:hAnsi="Times New Roman" w:cs="Times New Roman"/>
          <w:b/>
          <w:bCs/>
          <w:sz w:val="24"/>
          <w:szCs w:val="24"/>
          <w:highlight w:val="none"/>
        </w:rPr>
        <w:t>d</w:t>
      </w:r>
      <w:r>
        <w:rPr>
          <w:rFonts w:hint="default" w:ascii="Times New Roman" w:hAnsi="Times New Roman" w:cs="Times New Roman"/>
          <w:sz w:val="24"/>
          <w:szCs w:val="24"/>
          <w:highlight w:val="none"/>
        </w:rPr>
        <w:t>), or GELS (</w:t>
      </w:r>
      <w:r>
        <w:rPr>
          <w:rFonts w:hint="default" w:ascii="Times New Roman" w:hAnsi="Times New Roman" w:cs="Times New Roman"/>
          <w:b/>
          <w:bCs/>
          <w:sz w:val="24"/>
          <w:szCs w:val="24"/>
          <w:highlight w:val="none"/>
        </w:rPr>
        <w:t>f</w:t>
      </w:r>
      <w:r>
        <w:rPr>
          <w:rFonts w:hint="default" w:ascii="Times New Roman" w:hAnsi="Times New Roman" w:cs="Times New Roman"/>
          <w:sz w:val="24"/>
          <w:szCs w:val="24"/>
          <w:highlight w:val="none"/>
        </w:rPr>
        <w:t>) is subtracted by subtype protein in each case, the value is compared between its related and unrelated subtypes. All the three proteins show interfere in identification of subtype of several their unrelated cases that have a higher SC than pathogenic protein (Typer). Median with interquartile range of the data is plotted.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 xml:space="preserve">Supplementary </w:t>
      </w:r>
      <w:r>
        <w:rPr>
          <w:rFonts w:hint="default" w:ascii="Times New Roman" w:hAnsi="Times New Roman" w:cs="Times New Roman"/>
          <w:sz w:val="24"/>
          <w:szCs w:val="24"/>
          <w:highlight w:val="none"/>
          <w:lang w:val="en-US" w:eastAsia="zh-CN"/>
        </w:rPr>
        <w:t>F</w:t>
      </w:r>
      <w:r>
        <w:rPr>
          <w:rFonts w:hint="default" w:ascii="Times New Roman" w:hAnsi="Times New Roman" w:cs="Times New Roman"/>
          <w:sz w:val="24"/>
          <w:szCs w:val="24"/>
          <w:highlight w:val="none"/>
        </w:rPr>
        <w:t xml:space="preserve">igure 2. Analysis of S-score of typical amyloid protiens with relatively clean background. </w:t>
      </w:r>
      <w:r>
        <w:rPr>
          <w:rFonts w:hint="default" w:ascii="Times New Roman" w:hAnsi="Times New Roman" w:cs="Times New Roman"/>
          <w:b/>
          <w:bCs/>
          <w:sz w:val="24"/>
          <w:szCs w:val="24"/>
          <w:highlight w:val="none"/>
        </w:rPr>
        <w:t>a-c.</w:t>
      </w:r>
      <w:r>
        <w:rPr>
          <w:rFonts w:hint="default" w:ascii="Times New Roman" w:hAnsi="Times New Roman" w:cs="Times New Roman"/>
          <w:sz w:val="24"/>
          <w:szCs w:val="24"/>
          <w:highlight w:val="none"/>
        </w:rPr>
        <w:t xml:space="preserve"> Comparison of S-score of SAA1 (</w:t>
      </w:r>
      <w:r>
        <w:rPr>
          <w:rFonts w:hint="default" w:ascii="Times New Roman" w:hAnsi="Times New Roman" w:cs="Times New Roman"/>
          <w:b/>
          <w:bCs/>
          <w:sz w:val="24"/>
          <w:szCs w:val="24"/>
          <w:highlight w:val="none"/>
        </w:rPr>
        <w:t>a</w:t>
      </w:r>
      <w:r>
        <w:rPr>
          <w:rFonts w:hint="default" w:ascii="Times New Roman" w:hAnsi="Times New Roman" w:cs="Times New Roman"/>
          <w:sz w:val="24"/>
          <w:szCs w:val="24"/>
          <w:highlight w:val="none"/>
        </w:rPr>
        <w:t>), TTHY (</w:t>
      </w:r>
      <w:r>
        <w:rPr>
          <w:rFonts w:hint="default" w:ascii="Times New Roman" w:hAnsi="Times New Roman" w:cs="Times New Roman"/>
          <w:b/>
          <w:bCs/>
          <w:sz w:val="24"/>
          <w:szCs w:val="24"/>
          <w:highlight w:val="none"/>
        </w:rPr>
        <w:t>b</w:t>
      </w:r>
      <w:r>
        <w:rPr>
          <w:rFonts w:hint="default" w:ascii="Times New Roman" w:hAnsi="Times New Roman" w:cs="Times New Roman"/>
          <w:sz w:val="24"/>
          <w:szCs w:val="24"/>
          <w:highlight w:val="none"/>
        </w:rPr>
        <w:t>) or LYSC (</w:t>
      </w:r>
      <w:r>
        <w:rPr>
          <w:rFonts w:hint="default" w:ascii="Times New Roman" w:hAnsi="Times New Roman" w:cs="Times New Roman"/>
          <w:b/>
          <w:bCs/>
          <w:sz w:val="24"/>
          <w:szCs w:val="24"/>
          <w:highlight w:val="none"/>
        </w:rPr>
        <w:t>c</w:t>
      </w:r>
      <w:r>
        <w:rPr>
          <w:rFonts w:hint="default" w:ascii="Times New Roman" w:hAnsi="Times New Roman" w:cs="Times New Roman"/>
          <w:sz w:val="24"/>
          <w:szCs w:val="24"/>
          <w:highlight w:val="none"/>
        </w:rPr>
        <w:t xml:space="preserve">) in the amyloid protein related and unrelated subtypes. Median </w:t>
      </w:r>
      <w:bookmarkStart w:id="1" w:name="OLE_LINK245"/>
      <w:r>
        <w:rPr>
          <w:rFonts w:hint="default" w:ascii="Times New Roman" w:hAnsi="Times New Roman" w:cs="Times New Roman"/>
          <w:sz w:val="24"/>
          <w:szCs w:val="24"/>
          <w:highlight w:val="none"/>
        </w:rPr>
        <w:t>with interquartile range</w:t>
      </w:r>
      <w:bookmarkEnd w:id="1"/>
      <w:r>
        <w:rPr>
          <w:rFonts w:hint="default" w:ascii="Times New Roman" w:hAnsi="Times New Roman" w:cs="Times New Roman"/>
          <w:sz w:val="24"/>
          <w:szCs w:val="24"/>
          <w:highlight w:val="none"/>
        </w:rPr>
        <w:t xml:space="preserve"> of the data is plotted.</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Supplementary Table 1. Normalized SC of amyloid proteins of validation specimens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Supplementary Table 2. S-score calculation in validation set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Supplementary Table 3. λ-κ calculation of immunoglobulin related amyloidosis in validation set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Supplementary Table 4. H-score calculation of immunoglobulin related amyloidosis in validation set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42269F"/>
    <w:rsid w:val="0142269F"/>
    <w:rsid w:val="160D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2021-10-08T01:30:00Z</dcterms:created>
  <dc:creator>lihua</dc:creator>
  <cp:lastModifiedBy>lihua</cp:lastModifiedBy>
  <dcterms:modified xsi:type="dcterms:W3CDTF">2021-10-09T02:56:45Z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