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0ED2C8" w14:textId="0DBE557E" w:rsidR="0003040A" w:rsidRDefault="0003040A" w:rsidP="0003040A">
      <w:pPr>
        <w:adjustRightInd w:val="0"/>
        <w:snapToGrid w:val="0"/>
        <w:spacing w:line="480" w:lineRule="auto"/>
        <w:rPr>
          <w:rFonts w:ascii="Times" w:eastAsia="Times" w:hAnsi="Times" w:cs="Times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C26CA68" wp14:editId="59E27280">
            <wp:simplePos x="0" y="0"/>
            <wp:positionH relativeFrom="margin">
              <wp:align>left</wp:align>
            </wp:positionH>
            <wp:positionV relativeFrom="paragraph">
              <wp:posOffset>74930</wp:posOffset>
            </wp:positionV>
            <wp:extent cx="5264785" cy="6677660"/>
            <wp:effectExtent l="0" t="0" r="0" b="889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667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749F1">
        <w:rPr>
          <w:rFonts w:ascii="Times" w:eastAsia="Times" w:hAnsi="Times" w:cs="Times"/>
          <w:b/>
          <w:sz w:val="22"/>
          <w:szCs w:val="22"/>
        </w:rPr>
        <w:t xml:space="preserve">Figure S1. </w:t>
      </w:r>
      <w:r w:rsidRPr="006749F1">
        <w:rPr>
          <w:rFonts w:ascii="Times" w:eastAsia="Times" w:hAnsi="Times" w:cs="Times"/>
          <w:sz w:val="22"/>
          <w:szCs w:val="22"/>
        </w:rPr>
        <w:t xml:space="preserve">Boxplot showing the concentration of inflammatory cytokines in hippocampal tissues (left panel) and serum samples (right panel). </w:t>
      </w:r>
      <w:r w:rsidRPr="006749F1">
        <w:rPr>
          <w:rFonts w:ascii="Times New Roman" w:eastAsia="Times" w:hAnsi="Times New Roman" w:cs="Times New Roman"/>
          <w:sz w:val="22"/>
          <w:szCs w:val="22"/>
        </w:rPr>
        <w:t>The asterisks indicate as follows: ns, p &gt;</w:t>
      </w:r>
      <w:r w:rsidRPr="006749F1">
        <w:rPr>
          <w:rFonts w:ascii="Times New Roman" w:eastAsia="Times New Roman" w:hAnsi="Times New Roman" w:cs="Times New Roman"/>
          <w:sz w:val="22"/>
          <w:szCs w:val="22"/>
        </w:rPr>
        <w:t> </w:t>
      </w:r>
      <w:r w:rsidRPr="006749F1">
        <w:rPr>
          <w:rFonts w:ascii="Times New Roman" w:eastAsia="Times" w:hAnsi="Times New Roman" w:cs="Times New Roman"/>
          <w:sz w:val="22"/>
          <w:szCs w:val="22"/>
        </w:rPr>
        <w:t>0.05; *, p ≤ 0.05; **, p ≤ 0.01; ***, p ≤ 0.001; ****, p ≤0.0001 (</w:t>
      </w:r>
      <w:r w:rsidRPr="006749F1">
        <w:rPr>
          <w:rFonts w:ascii="Times New Roman" w:eastAsia="Times" w:hAnsi="Times New Roman" w:cs="Times New Roman"/>
          <w:i/>
          <w:sz w:val="22"/>
          <w:szCs w:val="22"/>
        </w:rPr>
        <w:t>t</w:t>
      </w:r>
      <w:r w:rsidRPr="006749F1">
        <w:rPr>
          <w:rFonts w:ascii="Times New Roman" w:eastAsia="Times" w:hAnsi="Times New Roman" w:cs="Times New Roman"/>
          <w:sz w:val="22"/>
          <w:szCs w:val="22"/>
        </w:rPr>
        <w:t>-test).</w:t>
      </w:r>
    </w:p>
    <w:p w14:paraId="55D3E0B6" w14:textId="77777777" w:rsidR="0003040A" w:rsidRDefault="0003040A">
      <w:pPr>
        <w:sectPr w:rsidR="0003040A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EB1BFF8" w14:textId="005CBD00" w:rsidR="0003040A" w:rsidRDefault="0003040A" w:rsidP="00F10254">
      <w:pPr>
        <w:spacing w:line="480" w:lineRule="auto"/>
        <w:rPr>
          <w:rFonts w:ascii="Times" w:eastAsia="Times" w:hAnsi="Times" w:cs="Times"/>
          <w:sz w:val="22"/>
          <w:szCs w:val="22"/>
        </w:rPr>
        <w:sectPr w:rsidR="0003040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749F1">
        <w:rPr>
          <w:rFonts w:ascii="Times" w:eastAsia="Times" w:hAnsi="Times" w:cs="Times"/>
          <w:noProof/>
          <w:sz w:val="22"/>
          <w:szCs w:val="22"/>
          <w:lang w:eastAsia="zh-CN"/>
        </w:rPr>
        <w:lastRenderedPageBreak/>
        <w:drawing>
          <wp:anchor distT="0" distB="0" distL="114300" distR="114300" simplePos="0" relativeHeight="251663360" behindDoc="0" locked="0" layoutInCell="1" allowOverlap="1" wp14:anchorId="5D4DD5D2" wp14:editId="4CF8D052">
            <wp:simplePos x="0" y="0"/>
            <wp:positionH relativeFrom="margin">
              <wp:align>center</wp:align>
            </wp:positionH>
            <wp:positionV relativeFrom="paragraph">
              <wp:posOffset>171450</wp:posOffset>
            </wp:positionV>
            <wp:extent cx="2514600" cy="3238500"/>
            <wp:effectExtent l="0" t="0" r="0" b="0"/>
            <wp:wrapTopAndBottom/>
            <wp:docPr id="64" name="image2.png" descr="Chart, box and whisker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2.png" descr="Chart, box and whisker chart&#10;&#10;Description automatically generated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3238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6749F1">
        <w:rPr>
          <w:rFonts w:ascii="Times" w:eastAsia="Times" w:hAnsi="Times" w:cs="Times"/>
          <w:b/>
          <w:sz w:val="22"/>
          <w:szCs w:val="22"/>
        </w:rPr>
        <w:t>Figure S2</w:t>
      </w:r>
      <w:r w:rsidRPr="006749F1">
        <w:rPr>
          <w:rFonts w:ascii="Times" w:eastAsia="Times" w:hAnsi="Times" w:cs="Times"/>
          <w:sz w:val="22"/>
          <w:szCs w:val="22"/>
        </w:rPr>
        <w:t>. Box plot illustrating the log-ratios of SD:FH-associated species in experimental groups, where the asterisks indicate as follows: ns, p &gt;</w:t>
      </w:r>
      <w:r w:rsidRPr="006749F1">
        <w:rPr>
          <w:rFonts w:ascii="Times New Roman" w:eastAsia="Times New Roman" w:hAnsi="Times New Roman" w:cs="Times New Roman"/>
          <w:sz w:val="22"/>
          <w:szCs w:val="22"/>
        </w:rPr>
        <w:t> </w:t>
      </w:r>
      <w:r w:rsidRPr="006749F1">
        <w:rPr>
          <w:rFonts w:ascii="Times" w:eastAsia="Times" w:hAnsi="Times" w:cs="Times"/>
          <w:sz w:val="22"/>
          <w:szCs w:val="22"/>
        </w:rPr>
        <w:t>0.05; *, p ≤ 0.05; **, p ≤ 0.01; ***, p ≤ 0.001; ****, p ≤ 0.0001 (Mann-Whitney Wilcoxon test).</w:t>
      </w:r>
    </w:p>
    <w:p w14:paraId="31D31F29" w14:textId="2A9BF71E" w:rsidR="0003040A" w:rsidRDefault="001D63F3" w:rsidP="003D0E5E">
      <w:pPr>
        <w:adjustRightInd w:val="0"/>
        <w:snapToGrid w:val="0"/>
        <w:spacing w:line="480" w:lineRule="auto"/>
        <w:rPr>
          <w:rFonts w:ascii="Times" w:eastAsia="Times" w:hAnsi="Times" w:cs="Times"/>
          <w:sz w:val="22"/>
          <w:szCs w:val="22"/>
        </w:rPr>
        <w:sectPr w:rsidR="0003040A" w:rsidSect="006E302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D63F3">
        <w:rPr>
          <w:rFonts w:ascii="Times" w:eastAsia="Times" w:hAnsi="Times" w:cs="Times"/>
          <w:noProof/>
          <w:sz w:val="22"/>
          <w:szCs w:val="22"/>
          <w:lang w:eastAsia="zh-CN"/>
        </w:rPr>
        <w:lastRenderedPageBreak/>
        <w:drawing>
          <wp:inline distT="0" distB="0" distL="0" distR="0" wp14:anchorId="1CD3E72C" wp14:editId="50FC8339">
            <wp:extent cx="5274310" cy="3384550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3040A" w:rsidRPr="006749F1">
        <w:rPr>
          <w:rFonts w:ascii="Times" w:eastAsia="Times" w:hAnsi="Times" w:cs="Times"/>
          <w:b/>
          <w:sz w:val="22"/>
          <w:szCs w:val="22"/>
        </w:rPr>
        <w:t>Figure S3</w:t>
      </w:r>
      <w:r w:rsidR="0003040A" w:rsidRPr="006749F1">
        <w:rPr>
          <w:rFonts w:ascii="Times" w:eastAsia="Times" w:hAnsi="Times" w:cs="Times"/>
          <w:sz w:val="22"/>
          <w:szCs w:val="22"/>
        </w:rPr>
        <w:t xml:space="preserve">. Quantitative analysis of gut functional diversity and abundance in terms of </w:t>
      </w:r>
      <w:proofErr w:type="spellStart"/>
      <w:r w:rsidR="0003040A" w:rsidRPr="006749F1">
        <w:rPr>
          <w:rFonts w:ascii="Times" w:eastAsia="Times" w:hAnsi="Times" w:cs="Times"/>
          <w:sz w:val="22"/>
          <w:szCs w:val="22"/>
        </w:rPr>
        <w:t>MetaCyc</w:t>
      </w:r>
      <w:proofErr w:type="spellEnd"/>
      <w:r w:rsidR="0003040A" w:rsidRPr="006749F1">
        <w:rPr>
          <w:rFonts w:ascii="Times" w:eastAsia="Times" w:hAnsi="Times" w:cs="Times"/>
          <w:sz w:val="22"/>
          <w:szCs w:val="22"/>
        </w:rPr>
        <w:t xml:space="preserve"> pathways. (</w:t>
      </w:r>
      <w:r w:rsidR="0014594B">
        <w:rPr>
          <w:rFonts w:ascii="Times" w:eastAsia="Times" w:hAnsi="Times" w:cs="Times"/>
          <w:b/>
          <w:sz w:val="22"/>
          <w:szCs w:val="22"/>
        </w:rPr>
        <w:t>a</w:t>
      </w:r>
      <w:r w:rsidR="0003040A" w:rsidRPr="006749F1">
        <w:rPr>
          <w:rFonts w:ascii="Times" w:eastAsia="Times" w:hAnsi="Times" w:cs="Times"/>
          <w:sz w:val="22"/>
          <w:szCs w:val="22"/>
        </w:rPr>
        <w:t xml:space="preserve">) DEICODE (robust Aitchison PCA) generated biplot of </w:t>
      </w:r>
      <w:proofErr w:type="spellStart"/>
      <w:r w:rsidR="0003040A" w:rsidRPr="006749F1">
        <w:rPr>
          <w:rFonts w:ascii="Times" w:eastAsia="Times" w:hAnsi="Times" w:cs="Times"/>
          <w:sz w:val="22"/>
          <w:szCs w:val="22"/>
        </w:rPr>
        <w:t>MetaCyc</w:t>
      </w:r>
      <w:proofErr w:type="spellEnd"/>
      <w:r w:rsidR="0003040A" w:rsidRPr="006749F1">
        <w:rPr>
          <w:rFonts w:ascii="Times" w:eastAsia="Times" w:hAnsi="Times" w:cs="Times"/>
          <w:sz w:val="22"/>
          <w:szCs w:val="22"/>
        </w:rPr>
        <w:t xml:space="preserve"> pathways. CARBPSYN-RXN, </w:t>
      </w:r>
      <w:r w:rsidR="0003040A" w:rsidRPr="006749F1">
        <w:rPr>
          <w:rFonts w:ascii="Times" w:eastAsia="Times" w:hAnsi="Times" w:cs="Times"/>
          <w:i/>
          <w:sz w:val="22"/>
          <w:szCs w:val="22"/>
        </w:rPr>
        <w:t>carbamoyl phosphate synthesis</w:t>
      </w:r>
      <w:r w:rsidR="0003040A" w:rsidRPr="006749F1">
        <w:rPr>
          <w:rFonts w:ascii="Times" w:eastAsia="Times" w:hAnsi="Times" w:cs="Times"/>
          <w:sz w:val="22"/>
          <w:szCs w:val="22"/>
        </w:rPr>
        <w:t xml:space="preserve">; CITRULBIO-PWY, </w:t>
      </w:r>
      <w:r w:rsidR="0003040A" w:rsidRPr="006749F1">
        <w:rPr>
          <w:rFonts w:ascii="Times" w:eastAsia="Times" w:hAnsi="Times" w:cs="Times"/>
          <w:i/>
          <w:sz w:val="22"/>
          <w:szCs w:val="22"/>
        </w:rPr>
        <w:t>L-citrulline biosynthesis</w:t>
      </w:r>
      <w:r w:rsidR="0003040A" w:rsidRPr="006749F1">
        <w:rPr>
          <w:rFonts w:ascii="Times" w:eastAsia="Times" w:hAnsi="Times" w:cs="Times"/>
          <w:sz w:val="22"/>
          <w:szCs w:val="22"/>
        </w:rPr>
        <w:t xml:space="preserve">; CITRULLINE-DEG-PWY, </w:t>
      </w:r>
      <w:r w:rsidR="0003040A" w:rsidRPr="006749F1">
        <w:rPr>
          <w:rFonts w:ascii="Times" w:eastAsia="Times" w:hAnsi="Times" w:cs="Times"/>
          <w:i/>
          <w:sz w:val="22"/>
          <w:szCs w:val="22"/>
        </w:rPr>
        <w:t>L-citrulline degradation</w:t>
      </w:r>
      <w:r w:rsidR="0003040A" w:rsidRPr="006749F1">
        <w:rPr>
          <w:rFonts w:ascii="Times" w:eastAsia="Times" w:hAnsi="Times" w:cs="Times"/>
          <w:sz w:val="22"/>
          <w:szCs w:val="22"/>
        </w:rPr>
        <w:t xml:space="preserve">; PWY-4981, </w:t>
      </w:r>
      <w:r w:rsidR="0003040A" w:rsidRPr="006749F1">
        <w:rPr>
          <w:rFonts w:ascii="Times" w:eastAsia="Times" w:hAnsi="Times" w:cs="Times"/>
          <w:i/>
          <w:sz w:val="22"/>
          <w:szCs w:val="22"/>
        </w:rPr>
        <w:t>L-proline biosynthesis II (from arginine)</w:t>
      </w:r>
      <w:r w:rsidR="0003040A" w:rsidRPr="006749F1">
        <w:rPr>
          <w:rFonts w:ascii="Times" w:eastAsia="Times" w:hAnsi="Times" w:cs="Times"/>
          <w:sz w:val="22"/>
          <w:szCs w:val="22"/>
        </w:rPr>
        <w:t xml:space="preserve">; PWY-4984, </w:t>
      </w:r>
      <w:r w:rsidR="0003040A" w:rsidRPr="006749F1">
        <w:rPr>
          <w:rFonts w:ascii="Times" w:eastAsia="Times" w:hAnsi="Times" w:cs="Times"/>
          <w:i/>
          <w:sz w:val="22"/>
          <w:szCs w:val="22"/>
        </w:rPr>
        <w:t>urea cycle</w:t>
      </w:r>
      <w:r w:rsidR="0003040A" w:rsidRPr="006749F1">
        <w:rPr>
          <w:rFonts w:ascii="Times" w:eastAsia="Times" w:hAnsi="Times" w:cs="Times"/>
          <w:sz w:val="22"/>
          <w:szCs w:val="22"/>
        </w:rPr>
        <w:t xml:space="preserve">; PWY-6416, </w:t>
      </w:r>
      <w:r w:rsidR="0003040A" w:rsidRPr="006749F1">
        <w:rPr>
          <w:rFonts w:ascii="Times" w:eastAsia="Times" w:hAnsi="Times" w:cs="Times"/>
          <w:i/>
          <w:sz w:val="22"/>
          <w:szCs w:val="22"/>
        </w:rPr>
        <w:t>quinate degradation II</w:t>
      </w:r>
      <w:r w:rsidR="0003040A" w:rsidRPr="006749F1">
        <w:rPr>
          <w:rFonts w:ascii="Times" w:eastAsia="Times" w:hAnsi="Times" w:cs="Times"/>
          <w:sz w:val="22"/>
          <w:szCs w:val="22"/>
        </w:rPr>
        <w:t xml:space="preserve">; PWY-6707, </w:t>
      </w:r>
      <w:r w:rsidR="0003040A" w:rsidRPr="006749F1">
        <w:rPr>
          <w:rFonts w:ascii="Times" w:eastAsia="Times" w:hAnsi="Times" w:cs="Times"/>
          <w:i/>
          <w:sz w:val="22"/>
          <w:szCs w:val="22"/>
        </w:rPr>
        <w:t>gallate biosynthesis</w:t>
      </w:r>
      <w:r w:rsidR="0003040A" w:rsidRPr="006749F1">
        <w:rPr>
          <w:rFonts w:ascii="Times" w:eastAsia="Times" w:hAnsi="Times" w:cs="Times"/>
          <w:sz w:val="22"/>
          <w:szCs w:val="22"/>
        </w:rPr>
        <w:t>;</w:t>
      </w:r>
      <w:r w:rsidR="0003040A" w:rsidRPr="006749F1">
        <w:rPr>
          <w:rFonts w:ascii="Times" w:eastAsia="Times" w:hAnsi="Times" w:cs="Times"/>
          <w:i/>
          <w:sz w:val="22"/>
          <w:szCs w:val="22"/>
        </w:rPr>
        <w:t xml:space="preserve"> </w:t>
      </w:r>
      <w:r w:rsidR="0003040A" w:rsidRPr="006749F1">
        <w:rPr>
          <w:rFonts w:ascii="Times" w:eastAsia="Times" w:hAnsi="Times" w:cs="Times"/>
          <w:sz w:val="22"/>
          <w:szCs w:val="22"/>
        </w:rPr>
        <w:t xml:space="preserve">and QUINATEDEG-PWY, </w:t>
      </w:r>
      <w:r w:rsidR="0003040A" w:rsidRPr="006749F1">
        <w:rPr>
          <w:rFonts w:ascii="Times" w:eastAsia="Times" w:hAnsi="Times" w:cs="Times"/>
          <w:i/>
          <w:sz w:val="22"/>
          <w:szCs w:val="22"/>
        </w:rPr>
        <w:t>quinate degradation.</w:t>
      </w:r>
      <w:r w:rsidR="0003040A" w:rsidRPr="006749F1">
        <w:rPr>
          <w:rFonts w:ascii="Times" w:eastAsia="Times" w:hAnsi="Times" w:cs="Times"/>
          <w:sz w:val="22"/>
          <w:szCs w:val="22"/>
        </w:rPr>
        <w:t xml:space="preserve"> (</w:t>
      </w:r>
      <w:r w:rsidR="0014594B">
        <w:rPr>
          <w:rFonts w:ascii="Times" w:eastAsia="Times" w:hAnsi="Times" w:cs="Times"/>
          <w:b/>
          <w:sz w:val="22"/>
          <w:szCs w:val="22"/>
        </w:rPr>
        <w:t>b</w:t>
      </w:r>
      <w:r w:rsidR="0003040A" w:rsidRPr="006749F1">
        <w:rPr>
          <w:rFonts w:ascii="Times" w:eastAsia="Times" w:hAnsi="Times" w:cs="Times"/>
          <w:sz w:val="22"/>
          <w:szCs w:val="22"/>
        </w:rPr>
        <w:t xml:space="preserve">) Mantel scatter plot between the </w:t>
      </w:r>
      <w:proofErr w:type="spellStart"/>
      <w:r w:rsidR="0003040A" w:rsidRPr="006749F1">
        <w:rPr>
          <w:rFonts w:ascii="Times" w:eastAsia="Times" w:hAnsi="Times" w:cs="Times"/>
          <w:sz w:val="22"/>
          <w:szCs w:val="22"/>
        </w:rPr>
        <w:t>MetaCyc</w:t>
      </w:r>
      <w:proofErr w:type="spellEnd"/>
      <w:r w:rsidR="0003040A" w:rsidRPr="006749F1">
        <w:rPr>
          <w:rFonts w:ascii="Times" w:eastAsia="Times" w:hAnsi="Times" w:cs="Times"/>
          <w:sz w:val="22"/>
          <w:szCs w:val="22"/>
        </w:rPr>
        <w:t>-mapped enzymatic reactions and pathway assignments of robust-PCA-based distance matrices. (</w:t>
      </w:r>
      <w:r w:rsidR="0014594B">
        <w:rPr>
          <w:rFonts w:ascii="Times" w:eastAsia="Times" w:hAnsi="Times" w:cs="Times"/>
          <w:b/>
          <w:sz w:val="22"/>
          <w:szCs w:val="22"/>
        </w:rPr>
        <w:t>c</w:t>
      </w:r>
      <w:r w:rsidR="0003040A" w:rsidRPr="006749F1">
        <w:rPr>
          <w:rFonts w:ascii="Times" w:eastAsia="Times" w:hAnsi="Times" w:cs="Times"/>
          <w:sz w:val="22"/>
          <w:szCs w:val="22"/>
        </w:rPr>
        <w:t xml:space="preserve">) ANCOM-BC model-derived pairwise differential </w:t>
      </w:r>
      <w:r w:rsidR="0003040A">
        <w:rPr>
          <w:rFonts w:ascii="Times" w:eastAsia="Times" w:hAnsi="Times" w:cs="Times"/>
          <w:sz w:val="22"/>
          <w:szCs w:val="22"/>
        </w:rPr>
        <w:t>proportion</w:t>
      </w:r>
      <w:r w:rsidR="0003040A" w:rsidRPr="006749F1">
        <w:rPr>
          <w:rFonts w:ascii="Times" w:eastAsia="Times" w:hAnsi="Times" w:cs="Times"/>
          <w:sz w:val="22"/>
          <w:szCs w:val="22"/>
        </w:rPr>
        <w:t xml:space="preserve"> analysis on metabolic pathways stratified by control and FMT groups, where the data is represented by effect size (log</w:t>
      </w:r>
      <w:r w:rsidR="0003040A" w:rsidRPr="006749F1">
        <w:rPr>
          <w:rFonts w:ascii="Times" w:eastAsia="Times" w:hAnsi="Times" w:cs="Times"/>
          <w:sz w:val="22"/>
          <w:szCs w:val="22"/>
          <w:vertAlign w:val="subscript"/>
        </w:rPr>
        <w:t>2</w:t>
      </w:r>
      <w:r w:rsidR="0003040A" w:rsidRPr="006749F1">
        <w:rPr>
          <w:rFonts w:ascii="Times" w:eastAsia="Times" w:hAnsi="Times" w:cs="Times"/>
          <w:sz w:val="22"/>
          <w:szCs w:val="22"/>
        </w:rPr>
        <w:t>(fold change)) and 95% confidence interval bars (two-sided; Bonferroni adjusted). Diamonds on top of some bars indicate structural zeros. All effect sizes with adjusted p</w:t>
      </w:r>
      <w:r w:rsidR="0003040A" w:rsidRPr="006749F1">
        <w:rPr>
          <w:rFonts w:ascii="Times New Roman" w:eastAsia="Times New Roman" w:hAnsi="Times New Roman" w:cs="Times New Roman"/>
          <w:sz w:val="22"/>
          <w:szCs w:val="22"/>
        </w:rPr>
        <w:t> </w:t>
      </w:r>
      <w:r w:rsidR="0003040A" w:rsidRPr="006749F1">
        <w:rPr>
          <w:rFonts w:ascii="Times" w:eastAsia="Times" w:hAnsi="Times" w:cs="Times"/>
          <w:sz w:val="22"/>
          <w:szCs w:val="22"/>
        </w:rPr>
        <w:t>&lt;</w:t>
      </w:r>
      <w:r w:rsidR="0003040A" w:rsidRPr="006749F1">
        <w:rPr>
          <w:rFonts w:ascii="Times New Roman" w:eastAsia="Times New Roman" w:hAnsi="Times New Roman" w:cs="Times New Roman"/>
          <w:sz w:val="22"/>
          <w:szCs w:val="22"/>
        </w:rPr>
        <w:t> </w:t>
      </w:r>
      <w:r w:rsidR="0003040A" w:rsidRPr="006749F1">
        <w:rPr>
          <w:rFonts w:ascii="Times" w:eastAsia="Times" w:hAnsi="Times" w:cs="Times"/>
          <w:sz w:val="22"/>
          <w:szCs w:val="22"/>
        </w:rPr>
        <w:t>0.05 are indicated as follows: *, significant at 5% level of significance; **, significant at 1% level of significance; ***, significant at 0.1% level of significance.</w:t>
      </w:r>
    </w:p>
    <w:p w14:paraId="2FD5C49C" w14:textId="6A901AAF" w:rsidR="006E3021" w:rsidRPr="006749F1" w:rsidRDefault="001D63F3" w:rsidP="001D63F3">
      <w:pPr>
        <w:spacing w:line="480" w:lineRule="auto"/>
        <w:rPr>
          <w:rFonts w:ascii="Times" w:eastAsia="Times" w:hAnsi="Times" w:cs="Times"/>
          <w:sz w:val="22"/>
          <w:szCs w:val="22"/>
        </w:rPr>
      </w:pPr>
      <w:r w:rsidRPr="001D63F3"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71D4A2E5" wp14:editId="02480F9D">
            <wp:simplePos x="0" y="0"/>
            <wp:positionH relativeFrom="column">
              <wp:posOffset>0</wp:posOffset>
            </wp:positionH>
            <wp:positionV relativeFrom="paragraph">
              <wp:posOffset>47625</wp:posOffset>
            </wp:positionV>
            <wp:extent cx="8863330" cy="3469005"/>
            <wp:effectExtent l="0" t="0" r="0" b="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469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E3021" w:rsidRPr="006749F1">
        <w:rPr>
          <w:rFonts w:ascii="Times" w:eastAsia="Times" w:hAnsi="Times" w:cs="Times"/>
          <w:b/>
          <w:sz w:val="22"/>
          <w:szCs w:val="22"/>
        </w:rPr>
        <w:t>Figure S4.</w:t>
      </w:r>
      <w:r w:rsidR="006E3021" w:rsidRPr="006749F1">
        <w:rPr>
          <w:rFonts w:ascii="Times" w:eastAsia="Times" w:hAnsi="Times" w:cs="Times"/>
          <w:sz w:val="22"/>
          <w:szCs w:val="22"/>
        </w:rPr>
        <w:t xml:space="preserve"> DEICODE-generated biplots of metabolomics in serum (</w:t>
      </w:r>
      <w:r w:rsidR="0014594B" w:rsidRPr="0014594B">
        <w:rPr>
          <w:rFonts w:ascii="Times" w:eastAsia="Times" w:hAnsi="Times" w:cs="Times"/>
          <w:b/>
          <w:sz w:val="22"/>
          <w:szCs w:val="22"/>
        </w:rPr>
        <w:t>a</w:t>
      </w:r>
      <w:r w:rsidR="006E3021" w:rsidRPr="006749F1">
        <w:rPr>
          <w:rFonts w:ascii="Times" w:eastAsia="Times" w:hAnsi="Times" w:cs="Times"/>
          <w:sz w:val="22"/>
          <w:szCs w:val="22"/>
        </w:rPr>
        <w:t>) and hippocampus (</w:t>
      </w:r>
      <w:r w:rsidR="0014594B" w:rsidRPr="0014594B">
        <w:rPr>
          <w:rFonts w:ascii="Times" w:eastAsia="Times" w:hAnsi="Times" w:cs="Times"/>
          <w:b/>
          <w:sz w:val="22"/>
          <w:szCs w:val="22"/>
        </w:rPr>
        <w:t>b</w:t>
      </w:r>
      <w:r w:rsidR="006E3021" w:rsidRPr="006749F1">
        <w:rPr>
          <w:rFonts w:ascii="Times" w:eastAsia="Times" w:hAnsi="Times" w:cs="Times"/>
          <w:sz w:val="22"/>
          <w:szCs w:val="22"/>
        </w:rPr>
        <w:t xml:space="preserve">). </w:t>
      </w:r>
      <w:r w:rsidR="006E3021" w:rsidRPr="006749F1">
        <w:rPr>
          <w:rFonts w:ascii="Times" w:eastAsiaTheme="minorEastAsia" w:hAnsi="Times" w:cs="Times" w:hint="eastAsia"/>
          <w:sz w:val="22"/>
          <w:szCs w:val="22"/>
          <w:lang w:eastAsia="zh-CN"/>
        </w:rPr>
        <w:t>T</w:t>
      </w:r>
      <w:r w:rsidR="006E3021" w:rsidRPr="006749F1">
        <w:rPr>
          <w:rFonts w:ascii="Times" w:eastAsia="Times" w:hAnsi="Times" w:cs="Times"/>
          <w:sz w:val="22"/>
          <w:szCs w:val="22"/>
        </w:rPr>
        <w:t xml:space="preserve">he data points represented individual rats and were colored by group. Metabolites driving the ordination space were exemplified by the vectors. </w:t>
      </w:r>
    </w:p>
    <w:p w14:paraId="39A0DE03" w14:textId="77777777" w:rsidR="006E3021" w:rsidRDefault="006E3021" w:rsidP="0003040A">
      <w:pPr>
        <w:spacing w:line="480" w:lineRule="auto"/>
        <w:sectPr w:rsidR="006E3021" w:rsidSect="006E302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AC5B037" w14:textId="6E8A7AC6" w:rsidR="006E3021" w:rsidRPr="006749F1" w:rsidRDefault="0014594B" w:rsidP="006E3021">
      <w:pPr>
        <w:adjustRightInd w:val="0"/>
        <w:snapToGrid w:val="0"/>
        <w:spacing w:line="480" w:lineRule="auto"/>
        <w:rPr>
          <w:rFonts w:ascii="Times" w:eastAsia="Times" w:hAnsi="Times" w:cs="Times"/>
          <w:sz w:val="22"/>
          <w:szCs w:val="22"/>
        </w:rPr>
      </w:pPr>
      <w:r>
        <w:rPr>
          <w:rFonts w:ascii="Times" w:eastAsia="Times" w:hAnsi="Times" w:cs="Times"/>
          <w:b/>
          <w:noProof/>
          <w:sz w:val="22"/>
          <w:szCs w:val="22"/>
        </w:rPr>
        <w:lastRenderedPageBreak/>
        <w:drawing>
          <wp:anchor distT="0" distB="0" distL="114300" distR="114300" simplePos="0" relativeHeight="251667456" behindDoc="0" locked="0" layoutInCell="1" allowOverlap="1" wp14:anchorId="0BA1EB4C" wp14:editId="6B27CFAA">
            <wp:simplePos x="0" y="0"/>
            <wp:positionH relativeFrom="column">
              <wp:posOffset>266700</wp:posOffset>
            </wp:positionH>
            <wp:positionV relativeFrom="paragraph">
              <wp:posOffset>4381500</wp:posOffset>
            </wp:positionV>
            <wp:extent cx="4210050" cy="4110990"/>
            <wp:effectExtent l="0" t="0" r="0" b="3810"/>
            <wp:wrapTopAndBottom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411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" w:eastAsia="Times" w:hAnsi="Times" w:cs="Times"/>
          <w:b/>
          <w:noProof/>
          <w:sz w:val="22"/>
          <w:szCs w:val="22"/>
        </w:rPr>
        <w:drawing>
          <wp:anchor distT="0" distB="0" distL="114300" distR="114300" simplePos="0" relativeHeight="251666432" behindDoc="0" locked="0" layoutInCell="1" allowOverlap="1" wp14:anchorId="0F32DEA8" wp14:editId="05CF62DB">
            <wp:simplePos x="0" y="0"/>
            <wp:positionH relativeFrom="margin">
              <wp:align>left</wp:align>
            </wp:positionH>
            <wp:positionV relativeFrom="paragraph">
              <wp:posOffset>38100</wp:posOffset>
            </wp:positionV>
            <wp:extent cx="4457700" cy="4271645"/>
            <wp:effectExtent l="0" t="0" r="0" b="0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365" cy="4281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3021" w:rsidRPr="006749F1">
        <w:rPr>
          <w:rFonts w:ascii="Times" w:eastAsia="Times" w:hAnsi="Times" w:cs="Times"/>
          <w:b/>
          <w:sz w:val="22"/>
          <w:szCs w:val="22"/>
        </w:rPr>
        <w:t>Figure S5</w:t>
      </w:r>
      <w:r w:rsidR="006E3021" w:rsidRPr="006749F1">
        <w:rPr>
          <w:rFonts w:ascii="Times" w:eastAsia="Times" w:hAnsi="Times" w:cs="Times"/>
          <w:sz w:val="22"/>
          <w:szCs w:val="22"/>
        </w:rPr>
        <w:t>. Correlation heatmaps of serum metabolites (</w:t>
      </w:r>
      <w:r w:rsidRPr="0014594B">
        <w:rPr>
          <w:rFonts w:ascii="Times" w:eastAsia="Times" w:hAnsi="Times" w:cs="Times"/>
          <w:b/>
          <w:sz w:val="22"/>
          <w:szCs w:val="22"/>
        </w:rPr>
        <w:t>a</w:t>
      </w:r>
      <w:r w:rsidR="006E3021" w:rsidRPr="006749F1">
        <w:rPr>
          <w:rFonts w:ascii="Times" w:eastAsia="Times" w:hAnsi="Times" w:cs="Times"/>
          <w:sz w:val="22"/>
          <w:szCs w:val="22"/>
        </w:rPr>
        <w:t>) and hippocampal metabolites (</w:t>
      </w:r>
      <w:r w:rsidRPr="0014594B">
        <w:rPr>
          <w:rFonts w:ascii="Times" w:eastAsia="Times" w:hAnsi="Times" w:cs="Times"/>
          <w:b/>
          <w:sz w:val="22"/>
          <w:szCs w:val="22"/>
        </w:rPr>
        <w:t>b</w:t>
      </w:r>
      <w:r w:rsidR="006E3021" w:rsidRPr="006749F1">
        <w:rPr>
          <w:rFonts w:ascii="Times" w:eastAsia="Times" w:hAnsi="Times" w:cs="Times"/>
          <w:sz w:val="22"/>
          <w:szCs w:val="22"/>
        </w:rPr>
        <w:t xml:space="preserve">). </w:t>
      </w:r>
      <w:r w:rsidR="006E3021" w:rsidRPr="006749F1">
        <w:rPr>
          <w:rFonts w:ascii="Times" w:eastAsia="Times" w:hAnsi="Times" w:cs="Times"/>
          <w:sz w:val="22"/>
          <w:szCs w:val="22"/>
        </w:rPr>
        <w:lastRenderedPageBreak/>
        <w:t>Blue color indicates positively significant association, red color indicates negatively significant association, white colored cells are the insignificant correlations (p&gt;0.05).</w:t>
      </w:r>
    </w:p>
    <w:p w14:paraId="764FBAD3" w14:textId="26BF8B34" w:rsidR="006E3021" w:rsidRDefault="006E3021" w:rsidP="0003040A">
      <w:pPr>
        <w:spacing w:line="480" w:lineRule="auto"/>
      </w:pPr>
    </w:p>
    <w:p w14:paraId="79716E9C" w14:textId="5194E0E9" w:rsidR="006E3021" w:rsidRDefault="00F10254" w:rsidP="0003040A">
      <w:pPr>
        <w:spacing w:line="480" w:lineRule="auto"/>
      </w:pPr>
      <w:r w:rsidRPr="006749F1">
        <w:rPr>
          <w:rFonts w:ascii="Times" w:eastAsia="Times" w:hAnsi="Times" w:cs="Times"/>
          <w:noProof/>
          <w:sz w:val="22"/>
          <w:szCs w:val="22"/>
          <w:lang w:eastAsia="zh-CN"/>
        </w:rPr>
        <w:drawing>
          <wp:anchor distT="0" distB="0" distL="114300" distR="114300" simplePos="0" relativeHeight="251662336" behindDoc="0" locked="0" layoutInCell="1" allowOverlap="1" wp14:anchorId="2BAF9FA3" wp14:editId="0773CE1B">
            <wp:simplePos x="0" y="0"/>
            <wp:positionH relativeFrom="margin">
              <wp:posOffset>1009650</wp:posOffset>
            </wp:positionH>
            <wp:positionV relativeFrom="paragraph">
              <wp:posOffset>452755</wp:posOffset>
            </wp:positionV>
            <wp:extent cx="2846705" cy="3455670"/>
            <wp:effectExtent l="0" t="0" r="0" b="0"/>
            <wp:wrapTopAndBottom/>
            <wp:docPr id="9" name="图片 9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hart, box and whisker chart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6705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55B67F" w14:textId="36E292FC" w:rsidR="006E3021" w:rsidRDefault="006E3021" w:rsidP="006E3021">
      <w:pPr>
        <w:adjustRightInd w:val="0"/>
        <w:snapToGrid w:val="0"/>
        <w:spacing w:line="480" w:lineRule="auto"/>
        <w:rPr>
          <w:rFonts w:ascii="Times" w:eastAsia="Times" w:hAnsi="Times" w:cs="Times"/>
          <w:sz w:val="22"/>
          <w:szCs w:val="22"/>
        </w:rPr>
      </w:pPr>
      <w:r w:rsidRPr="006749F1">
        <w:rPr>
          <w:rFonts w:ascii="Times" w:eastAsia="Times" w:hAnsi="Times" w:cs="Times"/>
          <w:b/>
          <w:sz w:val="22"/>
          <w:szCs w:val="22"/>
        </w:rPr>
        <w:t>Figure S6</w:t>
      </w:r>
      <w:r w:rsidRPr="006749F1">
        <w:rPr>
          <w:rFonts w:ascii="Times" w:eastAsia="Times" w:hAnsi="Times" w:cs="Times"/>
          <w:sz w:val="22"/>
          <w:szCs w:val="22"/>
        </w:rPr>
        <w:t>. Boxplot showing the log-ratio of serine to N-</w:t>
      </w:r>
      <w:proofErr w:type="spellStart"/>
      <w:r w:rsidRPr="006749F1">
        <w:rPr>
          <w:rFonts w:ascii="Times" w:eastAsia="Times" w:hAnsi="Times" w:cs="Times"/>
          <w:sz w:val="22"/>
          <w:szCs w:val="22"/>
        </w:rPr>
        <w:t>acteyl</w:t>
      </w:r>
      <w:proofErr w:type="spellEnd"/>
      <w:r w:rsidRPr="006749F1">
        <w:rPr>
          <w:rFonts w:ascii="Times" w:eastAsia="Times" w:hAnsi="Times" w:cs="Times"/>
          <w:sz w:val="22"/>
          <w:szCs w:val="22"/>
        </w:rPr>
        <w:t>-aspartate in hippocampal metabolomics. The asterisks indicate as follows: ns, p &gt;</w:t>
      </w:r>
      <w:r w:rsidRPr="006749F1">
        <w:rPr>
          <w:rFonts w:ascii="Times New Roman" w:eastAsia="Times New Roman" w:hAnsi="Times New Roman" w:cs="Times New Roman"/>
          <w:sz w:val="22"/>
          <w:szCs w:val="22"/>
        </w:rPr>
        <w:t> </w:t>
      </w:r>
      <w:r w:rsidRPr="006749F1">
        <w:rPr>
          <w:rFonts w:ascii="Times" w:eastAsia="Times" w:hAnsi="Times" w:cs="Times"/>
          <w:sz w:val="22"/>
          <w:szCs w:val="22"/>
        </w:rPr>
        <w:t xml:space="preserve">0.05; *, p ≤ 0.05; **, p ≤ 0.01; ***, p ≤ 0.001; ****, p ≤ 0.0001 (Wilcoxon-test). </w:t>
      </w:r>
    </w:p>
    <w:p w14:paraId="5F4D7CA2" w14:textId="77777777" w:rsidR="007C24C4" w:rsidRDefault="007C24C4" w:rsidP="0003040A">
      <w:pPr>
        <w:spacing w:line="480" w:lineRule="auto"/>
        <w:sectPr w:rsidR="007C24C4" w:rsidSect="006E302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FA101C0" w14:textId="57852289" w:rsidR="007C24C4" w:rsidRDefault="0014594B" w:rsidP="0003040A">
      <w:pPr>
        <w:spacing w:line="480" w:lineRule="auto"/>
      </w:pPr>
      <w:r>
        <w:rPr>
          <w:rFonts w:ascii="Times" w:eastAsia="Times" w:hAnsi="Times" w:cs="Times"/>
          <w:b/>
          <w:noProof/>
          <w:sz w:val="22"/>
          <w:szCs w:val="22"/>
        </w:rPr>
        <w:lastRenderedPageBreak/>
        <w:drawing>
          <wp:anchor distT="0" distB="0" distL="114300" distR="114300" simplePos="0" relativeHeight="251668480" behindDoc="0" locked="0" layoutInCell="1" allowOverlap="1" wp14:anchorId="05892453" wp14:editId="7496BEE3">
            <wp:simplePos x="0" y="0"/>
            <wp:positionH relativeFrom="margin">
              <wp:posOffset>-228600</wp:posOffset>
            </wp:positionH>
            <wp:positionV relativeFrom="paragraph">
              <wp:posOffset>9525</wp:posOffset>
            </wp:positionV>
            <wp:extent cx="5791835" cy="6305550"/>
            <wp:effectExtent l="0" t="0" r="0" b="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835" cy="630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24C4" w:rsidRPr="006749F1">
        <w:rPr>
          <w:rFonts w:ascii="Times" w:eastAsia="Times" w:hAnsi="Times" w:cs="Times"/>
          <w:b/>
          <w:sz w:val="22"/>
          <w:szCs w:val="22"/>
        </w:rPr>
        <w:t>Figure S7.</w:t>
      </w:r>
      <w:r w:rsidR="007C24C4" w:rsidRPr="006749F1">
        <w:rPr>
          <w:rFonts w:ascii="Times" w:eastAsia="Times" w:hAnsi="Times" w:cs="Times"/>
          <w:sz w:val="22"/>
          <w:szCs w:val="22"/>
        </w:rPr>
        <w:t xml:space="preserve"> Microbe-metabolite co-occurrences amongst the group-associated features Clustered heatmap showing the log conditional probabilities between microbial species or functions and metabolites present in the serum along with convergence summary of the models. </w:t>
      </w:r>
      <w:bookmarkStart w:id="0" w:name="_GoBack"/>
      <w:bookmarkEnd w:id="0"/>
    </w:p>
    <w:sectPr w:rsidR="007C24C4" w:rsidSect="006E30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DDCB07" w14:textId="77777777" w:rsidR="004E29C8" w:rsidRDefault="004E29C8" w:rsidP="0003040A">
      <w:r>
        <w:separator/>
      </w:r>
    </w:p>
  </w:endnote>
  <w:endnote w:type="continuationSeparator" w:id="0">
    <w:p w14:paraId="47C931E7" w14:textId="77777777" w:rsidR="004E29C8" w:rsidRDefault="004E29C8" w:rsidP="000304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숁డĀ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14028190"/>
      <w:docPartObj>
        <w:docPartGallery w:val="Page Numbers (Bottom of Page)"/>
        <w:docPartUnique/>
      </w:docPartObj>
    </w:sdtPr>
    <w:sdtEndPr/>
    <w:sdtContent>
      <w:p w14:paraId="1D1753EF" w14:textId="2F543334" w:rsidR="007E24C9" w:rsidRDefault="007E24C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2CCA6469" w14:textId="77777777" w:rsidR="007E24C9" w:rsidRDefault="007E24C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86DF94" w14:textId="77777777" w:rsidR="004E29C8" w:rsidRDefault="004E29C8" w:rsidP="0003040A">
      <w:r>
        <w:separator/>
      </w:r>
    </w:p>
  </w:footnote>
  <w:footnote w:type="continuationSeparator" w:id="0">
    <w:p w14:paraId="5DCC00DC" w14:textId="77777777" w:rsidR="004E29C8" w:rsidRDefault="004E29C8" w:rsidP="000304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119"/>
    <w:rsid w:val="0003040A"/>
    <w:rsid w:val="000D6119"/>
    <w:rsid w:val="0014594B"/>
    <w:rsid w:val="001D63F3"/>
    <w:rsid w:val="003D0E5E"/>
    <w:rsid w:val="004E29C8"/>
    <w:rsid w:val="006E3021"/>
    <w:rsid w:val="007936AA"/>
    <w:rsid w:val="007C24C4"/>
    <w:rsid w:val="007E24C9"/>
    <w:rsid w:val="007F10AC"/>
    <w:rsid w:val="00AE7BC8"/>
    <w:rsid w:val="00BC4FAF"/>
    <w:rsid w:val="00E11E6C"/>
    <w:rsid w:val="00E974DB"/>
    <w:rsid w:val="00F10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2205BF"/>
  <w15:chartTrackingRefBased/>
  <w15:docId w15:val="{0F4ED57B-376D-44F6-BD7F-FC85760F7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3040A"/>
    <w:pPr>
      <w:widowControl w:val="0"/>
      <w:jc w:val="both"/>
    </w:pPr>
    <w:rPr>
      <w:rFonts w:ascii="等线" w:eastAsia="等线" w:hAnsi="等线" w:cs="等线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04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04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04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04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7</Pages>
  <Words>396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dcterms:created xsi:type="dcterms:W3CDTF">2021-09-15T08:54:00Z</dcterms:created>
  <dcterms:modified xsi:type="dcterms:W3CDTF">2021-09-18T09:04:00Z</dcterms:modified>
</cp:coreProperties>
</file>