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A2" w:rsidRDefault="00A94FA2" w:rsidP="00A94FA2">
      <w:pPr>
        <w:spacing w:line="480" w:lineRule="auto"/>
        <w:jc w:val="both"/>
        <w:rPr>
          <w:b/>
        </w:rPr>
      </w:pPr>
      <w:r>
        <w:rPr>
          <w:b/>
        </w:rPr>
        <w:t>Supplemental Tables 1 and 2</w:t>
      </w:r>
    </w:p>
    <w:p w:rsidR="00A94FA2" w:rsidRPr="00D930D3" w:rsidRDefault="00337E32" w:rsidP="00A94FA2">
      <w:pPr>
        <w:spacing w:line="480" w:lineRule="auto"/>
        <w:jc w:val="both"/>
      </w:pPr>
      <w:r>
        <w:rPr>
          <w:b/>
        </w:rPr>
        <w:t xml:space="preserve">Suppl. </w:t>
      </w:r>
      <w:r w:rsidR="00A94FA2" w:rsidRPr="00D930D3">
        <w:rPr>
          <w:b/>
        </w:rPr>
        <w:t>Table 1</w:t>
      </w:r>
      <w:r w:rsidR="00A94FA2" w:rsidRPr="00D930D3">
        <w:t xml:space="preserve">: Samples analyzed in this study with respective </w:t>
      </w:r>
      <w:r w:rsidR="00A94FA2">
        <w:t>crown-to-rump length (</w:t>
      </w:r>
      <w:r w:rsidR="00A94FA2" w:rsidRPr="00D930D3">
        <w:t>CRL</w:t>
      </w:r>
      <w:r w:rsidR="00A94FA2">
        <w:t>)</w:t>
      </w:r>
      <w:r w:rsidR="00A94FA2" w:rsidRPr="00D930D3">
        <w:t xml:space="preserve"> and estimated age.</w:t>
      </w:r>
    </w:p>
    <w:tbl>
      <w:tblPr>
        <w:tblW w:w="99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9"/>
        <w:gridCol w:w="2736"/>
        <w:gridCol w:w="4079"/>
      </w:tblGrid>
      <w:tr w:rsidR="00A94FA2" w:rsidRPr="00D930D3" w:rsidTr="009A022A">
        <w:trPr>
          <w:trHeight w:val="293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Estimated age (days)</w:t>
            </w:r>
          </w:p>
        </w:tc>
        <w:tc>
          <w:tcPr>
            <w:tcW w:w="27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Sample number</w:t>
            </w:r>
          </w:p>
        </w:tc>
        <w:tc>
          <w:tcPr>
            <w:tcW w:w="4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CRL (cm)</w:t>
            </w:r>
          </w:p>
        </w:tc>
      </w:tr>
      <w:tr w:rsidR="00A94FA2" w:rsidRPr="00D930D3" w:rsidTr="009A022A">
        <w:trPr>
          <w:trHeight w:val="293"/>
        </w:trPr>
        <w:tc>
          <w:tcPr>
            <w:tcW w:w="3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45-46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2</w:t>
            </w:r>
          </w:p>
        </w:tc>
        <w:tc>
          <w:tcPr>
            <w:tcW w:w="40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2.5, 3.0 (male)</w:t>
            </w:r>
          </w:p>
        </w:tc>
      </w:tr>
      <w:tr w:rsidR="00A94FA2" w:rsidRPr="00D930D3" w:rsidTr="009A022A">
        <w:trPr>
          <w:trHeight w:val="293"/>
        </w:trPr>
        <w:tc>
          <w:tcPr>
            <w:tcW w:w="3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60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2</w:t>
            </w:r>
          </w:p>
        </w:tc>
        <w:tc>
          <w:tcPr>
            <w:tcW w:w="40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6.0, 6.5</w:t>
            </w:r>
            <w:r>
              <w:t xml:space="preserve"> (female)</w:t>
            </w:r>
          </w:p>
        </w:tc>
      </w:tr>
      <w:tr w:rsidR="00A94FA2" w:rsidRPr="00D930D3" w:rsidTr="009A022A">
        <w:trPr>
          <w:trHeight w:val="293"/>
        </w:trPr>
        <w:tc>
          <w:tcPr>
            <w:tcW w:w="3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70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2</w:t>
            </w:r>
          </w:p>
        </w:tc>
        <w:tc>
          <w:tcPr>
            <w:tcW w:w="40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9.0, 9.5</w:t>
            </w:r>
            <w:r>
              <w:t xml:space="preserve"> (female)</w:t>
            </w:r>
          </w:p>
        </w:tc>
      </w:tr>
      <w:tr w:rsidR="00A94FA2" w:rsidRPr="00D930D3" w:rsidTr="009A022A">
        <w:trPr>
          <w:trHeight w:val="293"/>
        </w:trPr>
        <w:tc>
          <w:tcPr>
            <w:tcW w:w="3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90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5</w:t>
            </w:r>
          </w:p>
        </w:tc>
        <w:tc>
          <w:tcPr>
            <w:tcW w:w="40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15.5, 16.0, 16.5, 17.5, 17.8</w:t>
            </w:r>
            <w:r>
              <w:t xml:space="preserve"> (female)</w:t>
            </w:r>
          </w:p>
        </w:tc>
      </w:tr>
      <w:tr w:rsidR="00A94FA2" w:rsidRPr="00D930D3" w:rsidTr="009A022A">
        <w:trPr>
          <w:trHeight w:val="293"/>
        </w:trPr>
        <w:tc>
          <w:tcPr>
            <w:tcW w:w="3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120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3</w:t>
            </w:r>
          </w:p>
        </w:tc>
        <w:tc>
          <w:tcPr>
            <w:tcW w:w="40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24.1, 27.9, 30.5</w:t>
            </w:r>
            <w:r>
              <w:t xml:space="preserve"> (female)</w:t>
            </w:r>
          </w:p>
        </w:tc>
      </w:tr>
      <w:tr w:rsidR="00A94FA2" w:rsidRPr="00D930D3" w:rsidTr="009A022A">
        <w:trPr>
          <w:trHeight w:val="293"/>
        </w:trPr>
        <w:tc>
          <w:tcPr>
            <w:tcW w:w="3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140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2</w:t>
            </w:r>
          </w:p>
        </w:tc>
        <w:tc>
          <w:tcPr>
            <w:tcW w:w="40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33.0, 36.0</w:t>
            </w:r>
            <w:r>
              <w:t xml:space="preserve"> (female)</w:t>
            </w:r>
          </w:p>
        </w:tc>
      </w:tr>
    </w:tbl>
    <w:p w:rsidR="00337E32" w:rsidRDefault="00337E32" w:rsidP="00A94FA2">
      <w:pPr>
        <w:spacing w:line="480" w:lineRule="auto"/>
        <w:jc w:val="both"/>
        <w:rPr>
          <w:b/>
        </w:rPr>
      </w:pPr>
    </w:p>
    <w:p w:rsidR="00337E32" w:rsidRDefault="00337E3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94FA2" w:rsidRPr="00D930D3" w:rsidRDefault="00337E32" w:rsidP="00A94FA2">
      <w:pPr>
        <w:spacing w:line="480" w:lineRule="auto"/>
        <w:jc w:val="both"/>
      </w:pPr>
      <w:r>
        <w:rPr>
          <w:b/>
        </w:rPr>
        <w:lastRenderedPageBreak/>
        <w:t xml:space="preserve">Suppl. </w:t>
      </w:r>
      <w:bookmarkStart w:id="0" w:name="_GoBack"/>
      <w:bookmarkEnd w:id="0"/>
      <w:r w:rsidR="00A94FA2" w:rsidRPr="00D930D3">
        <w:rPr>
          <w:b/>
        </w:rPr>
        <w:t xml:space="preserve">Table 2: </w:t>
      </w:r>
      <w:r w:rsidR="00A94FA2" w:rsidRPr="00D930D3">
        <w:t>Primary and secondary antibodies used</w:t>
      </w:r>
      <w:r w:rsidR="00A94FA2">
        <w:t>.</w:t>
      </w:r>
    </w:p>
    <w:tbl>
      <w:tblPr>
        <w:tblW w:w="100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2400"/>
        <w:gridCol w:w="2160"/>
        <w:gridCol w:w="1845"/>
      </w:tblGrid>
      <w:tr w:rsidR="00A94FA2" w:rsidRPr="00D930D3" w:rsidTr="009A022A">
        <w:trPr>
          <w:trHeight w:val="285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Primary Antibodies</w:t>
            </w:r>
          </w:p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Manufacturer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Catalog number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Dilution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Goat anti-OCT-3/4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Novus Biologicals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AF1759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1:100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Goat anti-SOX17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R&amp;D Systems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AF1924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1:500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Rat anti-PRDM1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Invitrogen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14-5963-80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1:50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Goat anti-TFAP2C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R&amp;D Systems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AF5059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1:500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Rabbit anti-DDX4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Abcam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AB13840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1:500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Rabbit anti-DAZL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Abcam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AB34139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1:500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Mouse anti-CD9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Invitrogen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MA1-19301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1:200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Rabbit anti-</w:t>
            </w:r>
            <w:proofErr w:type="spellStart"/>
            <w:r w:rsidRPr="00D930D3">
              <w:t>cKIT</w:t>
            </w:r>
            <w:proofErr w:type="spellEnd"/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Invitrogen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PA5-14694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1:100</w:t>
            </w:r>
          </w:p>
        </w:tc>
      </w:tr>
      <w:tr w:rsidR="00A94FA2" w:rsidRPr="00D930D3" w:rsidTr="009A022A">
        <w:trPr>
          <w:trHeight w:val="285"/>
        </w:trPr>
        <w:tc>
          <w:tcPr>
            <w:tcW w:w="100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 xml:space="preserve"> 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Secondary antibodies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Manufacturer</w:t>
            </w:r>
          </w:p>
        </w:tc>
        <w:tc>
          <w:tcPr>
            <w:tcW w:w="21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Catalog number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/>
              </w:rPr>
              <w:t>Dilution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 xml:space="preserve">Donkey anti-rat </w:t>
            </w:r>
            <w:proofErr w:type="spellStart"/>
            <w:r w:rsidRPr="00D930D3">
              <w:t>AlexaFluor</w:t>
            </w:r>
            <w:proofErr w:type="spellEnd"/>
            <w:r w:rsidRPr="00D930D3">
              <w:t xml:space="preserve"> 488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Invitrogen</w:t>
            </w:r>
          </w:p>
        </w:tc>
        <w:tc>
          <w:tcPr>
            <w:tcW w:w="21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A21208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</w:pPr>
            <w:r w:rsidRPr="00D930D3">
              <w:t>1:500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 xml:space="preserve">Donkey anti-rabbit </w:t>
            </w:r>
            <w:proofErr w:type="spellStart"/>
            <w:r w:rsidRPr="00D930D3">
              <w:t>AlexaFluor</w:t>
            </w:r>
            <w:proofErr w:type="spellEnd"/>
            <w:r w:rsidRPr="00D930D3">
              <w:t xml:space="preserve"> 488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Invitrogen</w:t>
            </w:r>
          </w:p>
        </w:tc>
        <w:tc>
          <w:tcPr>
            <w:tcW w:w="21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A21206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1:500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 xml:space="preserve">Donkey anti-goat </w:t>
            </w:r>
            <w:proofErr w:type="spellStart"/>
            <w:r w:rsidRPr="00D930D3">
              <w:t>AlexaFluor</w:t>
            </w:r>
            <w:proofErr w:type="spellEnd"/>
            <w:r w:rsidRPr="00D930D3">
              <w:t xml:space="preserve"> 568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Invitrogen</w:t>
            </w:r>
          </w:p>
        </w:tc>
        <w:tc>
          <w:tcPr>
            <w:tcW w:w="21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A11057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1:500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rPr>
                <w:bCs/>
              </w:rPr>
              <w:t>Rat anti-mouse PE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BD Pharmingen</w:t>
            </w:r>
          </w:p>
        </w:tc>
        <w:tc>
          <w:tcPr>
            <w:tcW w:w="21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Cs/>
              </w:rPr>
            </w:pPr>
            <w:r w:rsidRPr="00D930D3">
              <w:rPr>
                <w:bCs/>
              </w:rPr>
              <w:t>559940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Cs/>
              </w:rPr>
            </w:pPr>
            <w:r w:rsidRPr="00D930D3">
              <w:rPr>
                <w:bCs/>
              </w:rPr>
              <w:t>1:50</w:t>
            </w:r>
          </w:p>
        </w:tc>
      </w:tr>
      <w:tr w:rsidR="00A94FA2" w:rsidRPr="00D930D3" w:rsidTr="009A022A">
        <w:trPr>
          <w:trHeight w:val="285"/>
        </w:trPr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Cs/>
              </w:rPr>
            </w:pPr>
            <w:r w:rsidRPr="00D930D3">
              <w:t xml:space="preserve">Donkey anti-goat </w:t>
            </w:r>
            <w:proofErr w:type="spellStart"/>
            <w:r w:rsidRPr="00D930D3">
              <w:t>AlexaFluor</w:t>
            </w:r>
            <w:proofErr w:type="spellEnd"/>
            <w:r w:rsidRPr="00D930D3">
              <w:t xml:space="preserve"> 647</w:t>
            </w:r>
          </w:p>
        </w:tc>
        <w:tc>
          <w:tcPr>
            <w:tcW w:w="24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Invitrogen</w:t>
            </w:r>
          </w:p>
        </w:tc>
        <w:tc>
          <w:tcPr>
            <w:tcW w:w="21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A21447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4FA2" w:rsidRPr="00D930D3" w:rsidRDefault="00A94FA2" w:rsidP="009A022A">
            <w:pPr>
              <w:spacing w:line="480" w:lineRule="auto"/>
              <w:jc w:val="both"/>
              <w:rPr>
                <w:b/>
              </w:rPr>
            </w:pPr>
            <w:r w:rsidRPr="00D930D3">
              <w:t>1:500</w:t>
            </w:r>
          </w:p>
        </w:tc>
      </w:tr>
    </w:tbl>
    <w:p w:rsidR="00A94FA2" w:rsidRPr="00D930D3" w:rsidRDefault="00A94FA2" w:rsidP="00A94FA2">
      <w:pPr>
        <w:spacing w:line="480" w:lineRule="auto"/>
        <w:jc w:val="both"/>
      </w:pPr>
    </w:p>
    <w:p w:rsidR="00274F2C" w:rsidRDefault="00337E32"/>
    <w:sectPr w:rsidR="00274F2C" w:rsidSect="006D7668">
      <w:footerReference w:type="default" r:id="rId4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479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D05" w:rsidRDefault="00337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1D05" w:rsidRDefault="00337E3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2"/>
    <w:rsid w:val="001F33EC"/>
    <w:rsid w:val="00337E32"/>
    <w:rsid w:val="00364A47"/>
    <w:rsid w:val="006F009E"/>
    <w:rsid w:val="00A94FA2"/>
    <w:rsid w:val="00B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519C"/>
  <w15:chartTrackingRefBased/>
  <w15:docId w15:val="{B12FD1FD-8010-46D8-98DC-C5DFBF33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4F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FA2"/>
    <w:rPr>
      <w:rFonts w:ascii="Arial" w:eastAsia="Arial" w:hAnsi="Arial" w:cs="Arial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A9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Denicol</dc:creator>
  <cp:keywords/>
  <dc:description/>
  <cp:lastModifiedBy>Anna Carolina Denicol</cp:lastModifiedBy>
  <cp:revision>3</cp:revision>
  <dcterms:created xsi:type="dcterms:W3CDTF">2026-03-19T01:03:00Z</dcterms:created>
  <dcterms:modified xsi:type="dcterms:W3CDTF">2026-03-19T01:04:00Z</dcterms:modified>
</cp:coreProperties>
</file>