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F15B" w14:textId="77777777" w:rsidR="00F93402" w:rsidRPr="00F93402" w:rsidRDefault="00F93402" w:rsidP="00F93402">
      <w:pPr>
        <w:pStyle w:val="1"/>
        <w:spacing w:line="360" w:lineRule="auto"/>
        <w:jc w:val="center"/>
        <w:rPr>
          <w:rFonts w:ascii="Calibri" w:hAnsi="Calibri" w:cs="Calibri"/>
          <w:color w:val="000000" w:themeColor="text1"/>
          <w:lang w:bidi="he-IL"/>
        </w:rPr>
      </w:pPr>
      <w:r w:rsidRPr="00F93402">
        <w:rPr>
          <w:rFonts w:ascii="Calibri" w:hAnsi="Calibri" w:cs="Calibri"/>
          <w:color w:val="000000" w:themeColor="text1"/>
          <w:lang w:bidi="he-IL"/>
        </w:rPr>
        <w:t>Supplementary Table S1B. Distribution of Primary Cancer Types by Pain Etiology Group</w:t>
      </w:r>
    </w:p>
    <w:p w14:paraId="3386EBA1" w14:textId="77777777" w:rsidR="00F93402" w:rsidRPr="00F93402" w:rsidRDefault="00F93402" w:rsidP="00F93402">
      <w:pPr>
        <w:pStyle w:val="1"/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u w:val="single"/>
          <w:lang w:bidi="he-IL"/>
        </w:rPr>
        <w:t>Description</w:t>
      </w: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: This table illustrates the distribution of primary oncological diagnoses across three distinct pain etiology groups. The data provides a breakdown of how the source of pain (etiology) varies among different cancer types within the study population.</w:t>
      </w:r>
    </w:p>
    <w:p w14:paraId="5A0A427A" w14:textId="77777777" w:rsidR="00F93402" w:rsidRPr="00F93402" w:rsidRDefault="00F93402" w:rsidP="00F93402">
      <w:pPr>
        <w:pStyle w:val="1"/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Pain Etiology Definitions:</w:t>
      </w:r>
    </w:p>
    <w:p w14:paraId="56A51BA2" w14:textId="77777777" w:rsidR="00F93402" w:rsidRPr="00F93402" w:rsidRDefault="00F93402" w:rsidP="00F93402">
      <w:pPr>
        <w:pStyle w:val="1"/>
        <w:numPr>
          <w:ilvl w:val="0"/>
          <w:numId w:val="10"/>
        </w:numPr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Treatment-Related Pain: Pain directly resulting from oncological interventions, including surgical procedures, chemotherapy-induced toxicities (e.g., peripheral neuropathy), or radiation-induced injuries.</w:t>
      </w:r>
    </w:p>
    <w:p w14:paraId="17220379" w14:textId="77777777" w:rsidR="00F93402" w:rsidRPr="00F93402" w:rsidRDefault="00F93402" w:rsidP="00F93402">
      <w:pPr>
        <w:pStyle w:val="1"/>
        <w:numPr>
          <w:ilvl w:val="0"/>
          <w:numId w:val="10"/>
        </w:numPr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Cancer-Related Pain: Pain caused directly by the malignancy, such as tumor infiltration into tissues, bone metastases, or nerve compression by the primary tumor.</w:t>
      </w:r>
    </w:p>
    <w:p w14:paraId="0EEC08D5" w14:textId="77777777" w:rsidR="00F93402" w:rsidRPr="00F93402" w:rsidRDefault="00F93402" w:rsidP="00F93402">
      <w:pPr>
        <w:pStyle w:val="1"/>
        <w:numPr>
          <w:ilvl w:val="0"/>
          <w:numId w:val="10"/>
        </w:numPr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Non-Cancer Related / Mixed: Pain attributed to mechanisms unrelated to the oncologic diagnosis (e.g., pre-existing chronic pain, osteoarthritis) or cases involving multifactorial/combined mechanisms where a single primary source could not be isolated.</w:t>
      </w:r>
    </w:p>
    <w:p w14:paraId="5F36E749" w14:textId="77777777" w:rsidR="001628E1" w:rsidRDefault="001628E1" w:rsidP="00F93402">
      <w:pPr>
        <w:pStyle w:val="1"/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</w:p>
    <w:p w14:paraId="101B9EFC" w14:textId="7973815E" w:rsidR="00F93402" w:rsidRPr="00F93402" w:rsidRDefault="00F93402" w:rsidP="00F93402">
      <w:pPr>
        <w:pStyle w:val="1"/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lastRenderedPageBreak/>
        <w:t>Table Legend &amp; Notes:</w:t>
      </w:r>
    </w:p>
    <w:p w14:paraId="0EAEE797" w14:textId="4192FF15" w:rsidR="00F93402" w:rsidRPr="00F93402" w:rsidRDefault="00F93402" w:rsidP="00F93402">
      <w:pPr>
        <w:pStyle w:val="1"/>
        <w:numPr>
          <w:ilvl w:val="0"/>
          <w:numId w:val="11"/>
        </w:numPr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Data Format: Values are presented as n, representing the frequency</w:t>
      </w:r>
      <w:r w:rsidR="001628E1">
        <w:rPr>
          <w:rFonts w:ascii="Calibri" w:hAnsi="Calibri" w:cs="Calibri"/>
          <w:b w:val="0"/>
          <w:bCs w:val="0"/>
          <w:color w:val="000000" w:themeColor="text1"/>
          <w:lang w:bidi="he-IL"/>
        </w:rPr>
        <w:t xml:space="preserve"> </w:t>
      </w: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of patients within each cancer category.</w:t>
      </w:r>
    </w:p>
    <w:p w14:paraId="68E89B3A" w14:textId="012F85B1" w:rsidR="00A952E3" w:rsidRPr="001628E1" w:rsidRDefault="00F93402" w:rsidP="001628E1">
      <w:pPr>
        <w:pStyle w:val="1"/>
        <w:numPr>
          <w:ilvl w:val="0"/>
          <w:numId w:val="11"/>
        </w:numPr>
        <w:spacing w:line="360" w:lineRule="auto"/>
        <w:rPr>
          <w:rFonts w:ascii="Calibri" w:hAnsi="Calibri" w:cs="Calibri"/>
          <w:b w:val="0"/>
          <w:bCs w:val="0"/>
          <w:color w:val="000000" w:themeColor="text1"/>
          <w:lang w:bidi="he-IL"/>
        </w:rPr>
      </w:pPr>
      <w:r w:rsidRPr="00F93402">
        <w:rPr>
          <w:rFonts w:ascii="Calibri" w:hAnsi="Calibri" w:cs="Calibri"/>
          <w:b w:val="0"/>
          <w:bCs w:val="0"/>
          <w:color w:val="000000" w:themeColor="text1"/>
          <w:lang w:bidi="he-IL"/>
        </w:rPr>
        <w:t>Population Note: While the total study population consists of 622 patients, the total number of diagnoses in this table is 633. This discrepancy is due to a subset of patients presenting with multiple primary malignancies or overlapping cancer types.</w:t>
      </w:r>
    </w:p>
    <w:sectPr w:rsidR="00A952E3" w:rsidRPr="001628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44354A"/>
    <w:multiLevelType w:val="multilevel"/>
    <w:tmpl w:val="40A2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E0E7D"/>
    <w:multiLevelType w:val="multilevel"/>
    <w:tmpl w:val="FD2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582481">
    <w:abstractNumId w:val="8"/>
  </w:num>
  <w:num w:numId="2" w16cid:durableId="1707413417">
    <w:abstractNumId w:val="6"/>
  </w:num>
  <w:num w:numId="3" w16cid:durableId="1824353804">
    <w:abstractNumId w:val="5"/>
  </w:num>
  <w:num w:numId="4" w16cid:durableId="434442873">
    <w:abstractNumId w:val="4"/>
  </w:num>
  <w:num w:numId="5" w16cid:durableId="38870816">
    <w:abstractNumId w:val="7"/>
  </w:num>
  <w:num w:numId="6" w16cid:durableId="1838030994">
    <w:abstractNumId w:val="3"/>
  </w:num>
  <w:num w:numId="7" w16cid:durableId="223874059">
    <w:abstractNumId w:val="2"/>
  </w:num>
  <w:num w:numId="8" w16cid:durableId="693002414">
    <w:abstractNumId w:val="1"/>
  </w:num>
  <w:num w:numId="9" w16cid:durableId="813524774">
    <w:abstractNumId w:val="0"/>
  </w:num>
  <w:num w:numId="10" w16cid:durableId="545995904">
    <w:abstractNumId w:val="10"/>
  </w:num>
  <w:num w:numId="11" w16cid:durableId="959921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8E1"/>
    <w:rsid w:val="0029639D"/>
    <w:rsid w:val="002C319C"/>
    <w:rsid w:val="00326F90"/>
    <w:rsid w:val="004F506B"/>
    <w:rsid w:val="00A952E3"/>
    <w:rsid w:val="00AA1D8D"/>
    <w:rsid w:val="00AF41AC"/>
    <w:rsid w:val="00B47730"/>
    <w:rsid w:val="00C16075"/>
    <w:rsid w:val="00CB0664"/>
    <w:rsid w:val="00E3574D"/>
    <w:rsid w:val="00E97F8F"/>
    <w:rsid w:val="00F934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225F1F"/>
  <w14:defaultImageDpi w14:val="300"/>
  <w15:docId w15:val="{6D739CBB-F8D1-4FA4-A35F-EF040D03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כותרת 1 תו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כותרת 2 תו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כותרת משנה תו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גוף טקסט תו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טקסט מאקרו תו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ציטוט תו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כותרת 4 תו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ציטוט חזק תו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229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רותם עגור</cp:lastModifiedBy>
  <cp:revision>3</cp:revision>
  <dcterms:created xsi:type="dcterms:W3CDTF">2026-03-19T15:34:00Z</dcterms:created>
  <dcterms:modified xsi:type="dcterms:W3CDTF">2026-03-19T16:10:00Z</dcterms:modified>
  <cp:category/>
</cp:coreProperties>
</file>