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490282" w14:textId="6395A98D" w:rsidR="00183E5D" w:rsidRPr="00183E5D" w:rsidRDefault="00183E5D" w:rsidP="00386E29">
      <w:pPr>
        <w:spacing w:line="360" w:lineRule="auto"/>
        <w:jc w:val="both"/>
        <w:rPr>
          <w:b/>
          <w:bCs/>
          <w:sz w:val="22"/>
          <w:szCs w:val="22"/>
        </w:rPr>
      </w:pPr>
      <w:r w:rsidRPr="00183E5D">
        <w:rPr>
          <w:b/>
          <w:bCs/>
          <w:sz w:val="22"/>
          <w:szCs w:val="22"/>
        </w:rPr>
        <w:t>Supplementary Table S3A footnote</w:t>
      </w:r>
    </w:p>
    <w:p w14:paraId="18F2380E" w14:textId="77777777" w:rsidR="00183E5D" w:rsidRPr="00183E5D" w:rsidRDefault="00183E5D" w:rsidP="00183E5D">
      <w:pPr>
        <w:spacing w:line="360" w:lineRule="auto"/>
        <w:jc w:val="both"/>
        <w:rPr>
          <w:sz w:val="22"/>
          <w:szCs w:val="22"/>
        </w:rPr>
      </w:pPr>
      <w:r w:rsidRPr="00183E5D">
        <w:rPr>
          <w:sz w:val="22"/>
          <w:szCs w:val="22"/>
        </w:rPr>
        <w:t>Multivariable logistic regression with treatment-related pain (TRP) as the binary outcome (yes/no). The comparison group comprised patients with tumor-related pain (cancer-related non-treatment pain only). The primary model excluded cancer-directed treatment exposure variables (surgery, radiotherapy, systemic therapy) to reduce incorporation bias. Pain mechanism was entered as an indicator-coded categorical variable with mixed pain as the reference category (nociceptive vs mixed; neuropathic vs mixed). Reference categories: male sex; pain duration ≤6 months; no peripheral neuropathy; breast cancer (primary cancer type). The heterogeneous “Other” pain mechanism category was excluded; complete-case analytic N=453. Results are reported as adjusted odds ratios (aORs) with 95% confidence intervals.</w:t>
      </w:r>
    </w:p>
    <w:p w14:paraId="542AF028" w14:textId="4E422104" w:rsidR="00183E5D" w:rsidRPr="00183E5D" w:rsidRDefault="00183E5D" w:rsidP="00183E5D">
      <w:pPr>
        <w:spacing w:line="360" w:lineRule="auto"/>
        <w:jc w:val="both"/>
        <w:rPr>
          <w:b/>
          <w:bCs/>
          <w:sz w:val="22"/>
          <w:szCs w:val="22"/>
        </w:rPr>
      </w:pPr>
      <w:r w:rsidRPr="00183E5D">
        <w:rPr>
          <w:b/>
          <w:bCs/>
          <w:sz w:val="22"/>
          <w:szCs w:val="22"/>
        </w:rPr>
        <w:t>Supplementary Table S3B footnote</w:t>
      </w:r>
    </w:p>
    <w:p w14:paraId="0E4C01A1" w14:textId="77777777" w:rsidR="00183E5D" w:rsidRPr="00183E5D" w:rsidRDefault="00183E5D" w:rsidP="00183E5D">
      <w:pPr>
        <w:spacing w:line="360" w:lineRule="auto"/>
        <w:jc w:val="both"/>
        <w:rPr>
          <w:sz w:val="22"/>
          <w:szCs w:val="22"/>
        </w:rPr>
      </w:pPr>
      <w:r w:rsidRPr="00183E5D">
        <w:rPr>
          <w:sz w:val="22"/>
          <w:szCs w:val="22"/>
        </w:rPr>
        <w:t>Model specification as in Table S3A, with additional covariates for prior cancer-directed treatment exposures (surgery, radiotherapy, and systemic therapy). Pain mechanism reference category was mixed pain (nociceptive vs mixed; neuropathic vs mixed). Reference categories: male sex; pain duration ≤6 months; no peripheral neuropathy; no exposure to each treatment modality (for treatment-exposure variables); breast cancer (primary cancer type). The heterogeneous “Other” pain mechanism category was excluded; complete-case analytic N=453. Results are reported as adjusted odds ratios (aORs) with 95% confidence intervals.</w:t>
      </w:r>
    </w:p>
    <w:p w14:paraId="40C3000C" w14:textId="77777777" w:rsidR="00C6744B" w:rsidRPr="00183E5D" w:rsidRDefault="00C6744B" w:rsidP="00183E5D">
      <w:pPr>
        <w:spacing w:line="360" w:lineRule="auto"/>
        <w:jc w:val="both"/>
        <w:rPr>
          <w:sz w:val="22"/>
          <w:szCs w:val="22"/>
        </w:rPr>
      </w:pPr>
    </w:p>
    <w:sectPr w:rsidR="00C6744B" w:rsidRPr="00183E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D74"/>
    <w:rsid w:val="000072C6"/>
    <w:rsid w:val="0006032B"/>
    <w:rsid w:val="00183E5D"/>
    <w:rsid w:val="0024054F"/>
    <w:rsid w:val="00386E29"/>
    <w:rsid w:val="004C11C2"/>
    <w:rsid w:val="00554E68"/>
    <w:rsid w:val="008A55A7"/>
    <w:rsid w:val="008C24DD"/>
    <w:rsid w:val="0090308F"/>
    <w:rsid w:val="009A2999"/>
    <w:rsid w:val="00A6239C"/>
    <w:rsid w:val="00BA544C"/>
    <w:rsid w:val="00BE1082"/>
    <w:rsid w:val="00C6744B"/>
    <w:rsid w:val="00C908EB"/>
    <w:rsid w:val="00D91D74"/>
    <w:rsid w:val="00DC748B"/>
    <w:rsid w:val="00E71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473047"/>
  <w15:chartTrackingRefBased/>
  <w15:docId w15:val="{3A53DE1B-D078-4727-827F-4B1B7C0E1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91D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91D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91D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91D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91D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91D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91D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91D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91D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1D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91D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91D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91D7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91D7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91D7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91D7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91D7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91D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91D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1D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91D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91D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91D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91D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91D7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1D7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1D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1D7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91D7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223</Words>
  <Characters>1273</Characters>
  <Application>Microsoft Office Word</Application>
  <DocSecurity>0</DocSecurity>
  <Lines>10</Lines>
  <Paragraphs>2</Paragraphs>
  <ScaleCrop>false</ScaleCrop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 Hochberg Ltd</dc:creator>
  <cp:keywords/>
  <dc:description/>
  <cp:lastModifiedBy>Uri Hochberg Ltd</cp:lastModifiedBy>
  <cp:revision>7</cp:revision>
  <dcterms:created xsi:type="dcterms:W3CDTF">2026-01-09T17:58:00Z</dcterms:created>
  <dcterms:modified xsi:type="dcterms:W3CDTF">2026-01-09T18:13:00Z</dcterms:modified>
</cp:coreProperties>
</file>