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0E1AA" w14:textId="77777777" w:rsidR="00766488" w:rsidRPr="00A74DF4" w:rsidRDefault="009564A4" w:rsidP="00A74DF4">
      <w:pPr>
        <w:pStyle w:val="Heading1"/>
        <w:jc w:val="both"/>
        <w:rPr>
          <w:rFonts w:cstheme="majorHAnsi"/>
          <w:color w:val="auto"/>
          <w:sz w:val="22"/>
          <w:szCs w:val="22"/>
        </w:rPr>
      </w:pPr>
      <w:r w:rsidRPr="00A74DF4">
        <w:rPr>
          <w:rFonts w:cstheme="majorHAnsi"/>
          <w:color w:val="auto"/>
          <w:sz w:val="22"/>
          <w:szCs w:val="22"/>
        </w:rPr>
        <w:t>eAppendix. Variable definitions and coding rules</w:t>
      </w:r>
    </w:p>
    <w:p w14:paraId="04DE30F8" w14:textId="77777777" w:rsidR="00766488" w:rsidRPr="00A74DF4" w:rsidRDefault="009564A4" w:rsidP="00A74DF4">
      <w:pPr>
        <w:spacing w:after="160"/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>This appendix summarizes operational definitions and coding rules applied to variables extracted from the refractory cancer pain clinic registry and source electronic medical records.</w:t>
      </w:r>
    </w:p>
    <w:p w14:paraId="5B095762" w14:textId="77777777" w:rsidR="00766488" w:rsidRPr="00A74DF4" w:rsidRDefault="009564A4" w:rsidP="00A74DF4">
      <w:pPr>
        <w:pStyle w:val="Heading2"/>
        <w:jc w:val="both"/>
        <w:rPr>
          <w:rFonts w:cstheme="majorHAnsi"/>
          <w:color w:val="auto"/>
          <w:sz w:val="22"/>
          <w:szCs w:val="22"/>
        </w:rPr>
      </w:pPr>
      <w:r w:rsidRPr="00A74DF4">
        <w:rPr>
          <w:rFonts w:cstheme="majorHAnsi"/>
          <w:color w:val="auto"/>
          <w:sz w:val="22"/>
          <w:szCs w:val="22"/>
        </w:rPr>
        <w:t>Pain etiology groups</w:t>
      </w:r>
    </w:p>
    <w:p w14:paraId="106A3AC6" w14:textId="77777777" w:rsidR="00766488" w:rsidRPr="00A74DF4" w:rsidRDefault="009564A4" w:rsidP="00A74DF4">
      <w:pPr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>Treatment-related pain (TRP): Pain attributed to cancer-directed treatment (systemic therapy, surgery, or radiotherapy) based on documented syndrome pattern, timing, and anatomic distribution compatible with the exposure.</w:t>
      </w:r>
    </w:p>
    <w:p w14:paraId="565D6E2F" w14:textId="77777777" w:rsidR="00766488" w:rsidRPr="00A74DF4" w:rsidRDefault="009564A4" w:rsidP="00A74DF4">
      <w:pPr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>Cancer-related pain, non-treatment: Pain attributed to malignancy (e.g., tumor burden, metastasis, visceral involvement) without sufficient documentation to support attribution to cancer-directed therapy.</w:t>
      </w:r>
    </w:p>
    <w:p w14:paraId="5958DA03" w14:textId="77777777" w:rsidR="00766488" w:rsidRPr="00A74DF4" w:rsidRDefault="009564A4" w:rsidP="00A74DF4">
      <w:pPr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>Non–cancer-related pain: Pain not attributed to cancer or its treatment based on clinical documentation (e.g., degenerative spine disease, osteoarthritis, primary headache disorders, chronic non-malignant pain syndromes).</w:t>
      </w:r>
    </w:p>
    <w:p w14:paraId="40B0963B" w14:textId="77777777" w:rsidR="00766488" w:rsidRPr="00A74DF4" w:rsidRDefault="009564A4" w:rsidP="00A74DF4">
      <w:pPr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>If documentation was insufficient to assign etiology with confidence, the case was excluded from etiology-based analyses.</w:t>
      </w:r>
    </w:p>
    <w:p w14:paraId="518039E9" w14:textId="77777777" w:rsidR="00766488" w:rsidRPr="00A74DF4" w:rsidRDefault="009564A4" w:rsidP="00A74DF4">
      <w:pPr>
        <w:pStyle w:val="Heading2"/>
        <w:jc w:val="both"/>
        <w:rPr>
          <w:rFonts w:cstheme="majorHAnsi"/>
          <w:color w:val="auto"/>
          <w:sz w:val="22"/>
          <w:szCs w:val="22"/>
        </w:rPr>
      </w:pPr>
      <w:r w:rsidRPr="00A74DF4">
        <w:rPr>
          <w:rFonts w:cstheme="majorHAnsi"/>
          <w:color w:val="auto"/>
          <w:sz w:val="22"/>
          <w:szCs w:val="22"/>
        </w:rPr>
        <w:t>TRP attribution framework (syndrome- and timing-compatible)</w:t>
      </w:r>
    </w:p>
    <w:p w14:paraId="3F3A8FBD" w14:textId="77777777" w:rsidR="00766488" w:rsidRPr="00A74DF4" w:rsidRDefault="009564A4" w:rsidP="00A74DF4">
      <w:pPr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>TRP was operationalized using predefined syndrome patterns with timing and distribution compatible with treatment exposure. Examples included:</w:t>
      </w:r>
    </w:p>
    <w:p w14:paraId="44A9154F" w14:textId="77777777" w:rsidR="00766488" w:rsidRPr="00A74DF4" w:rsidRDefault="009564A4" w:rsidP="00A74DF4">
      <w:pPr>
        <w:pStyle w:val="ListBullet"/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>Systemic therapy–associated syndromes (e.g., chemotherapy-induced peripheral neuropathy).</w:t>
      </w:r>
    </w:p>
    <w:p w14:paraId="25A354C3" w14:textId="77777777" w:rsidR="00766488" w:rsidRPr="00A74DF4" w:rsidRDefault="009564A4" w:rsidP="00A74DF4">
      <w:pPr>
        <w:pStyle w:val="ListBullet"/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>Persistent post-surgical pain syndromes, including neuropathic pain localized to the surgical field with compatible sensory features.</w:t>
      </w:r>
    </w:p>
    <w:p w14:paraId="05F7873F" w14:textId="77777777" w:rsidR="00766488" w:rsidRPr="00A74DF4" w:rsidRDefault="009564A4" w:rsidP="00A74DF4">
      <w:pPr>
        <w:pStyle w:val="ListBullet"/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>Radiotherapy-associated syndromes (e.g., plexopathy or fibrosis-related pain) with anatomic concordance to the treated region.</w:t>
      </w:r>
    </w:p>
    <w:p w14:paraId="040C3D87" w14:textId="77777777" w:rsidR="00766488" w:rsidRPr="00A74DF4" w:rsidRDefault="009564A4" w:rsidP="00A74DF4">
      <w:pPr>
        <w:pStyle w:val="Heading2"/>
        <w:jc w:val="both"/>
        <w:rPr>
          <w:rFonts w:cstheme="majorHAnsi"/>
          <w:color w:val="auto"/>
          <w:sz w:val="22"/>
          <w:szCs w:val="22"/>
        </w:rPr>
      </w:pPr>
      <w:r w:rsidRPr="00A74DF4">
        <w:rPr>
          <w:rFonts w:cstheme="majorHAnsi"/>
          <w:color w:val="auto"/>
          <w:sz w:val="22"/>
          <w:szCs w:val="22"/>
        </w:rPr>
        <w:t>Pain mechanism classification</w:t>
      </w:r>
    </w:p>
    <w:p w14:paraId="64A11C03" w14:textId="77777777" w:rsidR="00766488" w:rsidRPr="00A74DF4" w:rsidRDefault="009564A4" w:rsidP="00A74DF4">
      <w:pPr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>Pain mechanism was coded by clinicians as nociceptive, neuropathic, mixed, or other based on the index clinic evaluation.</w:t>
      </w:r>
    </w:p>
    <w:p w14:paraId="13BC933B" w14:textId="77777777" w:rsidR="00766488" w:rsidRPr="00A74DF4" w:rsidRDefault="009564A4" w:rsidP="00A74DF4">
      <w:pPr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>Nociceptive pain was defined as musculoskeletal, soft-tissue, or visceral pain without neuropathic descriptors; neuropathic pain followed the updated grading framework (definite/probable/possible); mixed pain was assigned when nociceptive and neuropathic features co-occurred at the same site.</w:t>
      </w:r>
    </w:p>
    <w:p w14:paraId="446906BD" w14:textId="77777777" w:rsidR="00766488" w:rsidRPr="00A74DF4" w:rsidRDefault="009564A4" w:rsidP="00A74DF4">
      <w:pPr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 xml:space="preserve">When multiple pain mechanisms were present, a dominant mechanism was assigned based on the primary driver of the chief pain complaint at the index evaluation (as documented by the </w:t>
      </w:r>
      <w:r w:rsidRPr="00A74DF4">
        <w:rPr>
          <w:rFonts w:asciiTheme="majorHAnsi" w:hAnsiTheme="majorHAnsi" w:cstheme="majorHAnsi"/>
        </w:rPr>
        <w:lastRenderedPageBreak/>
        <w:t>clinician). Infrequent or heterogeneous presentations were coded as “Other” and excluded from regression models due to small numbers (n=7).</w:t>
      </w:r>
    </w:p>
    <w:p w14:paraId="0C34655E" w14:textId="77777777" w:rsidR="00766488" w:rsidRPr="00A74DF4" w:rsidRDefault="009564A4" w:rsidP="00A74DF4">
      <w:pPr>
        <w:pStyle w:val="Heading2"/>
        <w:jc w:val="both"/>
        <w:rPr>
          <w:rFonts w:cstheme="majorHAnsi"/>
          <w:color w:val="auto"/>
          <w:sz w:val="22"/>
          <w:szCs w:val="22"/>
        </w:rPr>
      </w:pPr>
      <w:r w:rsidRPr="00A74DF4">
        <w:rPr>
          <w:rFonts w:cstheme="majorHAnsi"/>
          <w:color w:val="auto"/>
          <w:sz w:val="22"/>
          <w:szCs w:val="22"/>
        </w:rPr>
        <w:t>Key covariates used in regression models</w:t>
      </w:r>
    </w:p>
    <w:p w14:paraId="51217F6B" w14:textId="77777777" w:rsidR="00766488" w:rsidRPr="00A74DF4" w:rsidRDefault="009564A4" w:rsidP="00A74DF4">
      <w:pPr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>Age: Recorded in years at index clinic visit; modeled per 1-year increase.</w:t>
      </w:r>
    </w:p>
    <w:p w14:paraId="0D221586" w14:textId="77777777" w:rsidR="00766488" w:rsidRPr="00A74DF4" w:rsidRDefault="009564A4" w:rsidP="00A74DF4">
      <w:pPr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>Sex: Female vs male (male reference).</w:t>
      </w:r>
    </w:p>
    <w:p w14:paraId="6FA06D80" w14:textId="77777777" w:rsidR="00766488" w:rsidRPr="00A74DF4" w:rsidRDefault="009564A4" w:rsidP="00A74DF4">
      <w:pPr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>Pain duration &gt;6 months: Binary indicator of pain duration at index evaluation (&gt;6 months vs ≤6 months).</w:t>
      </w:r>
    </w:p>
    <w:p w14:paraId="7895ADB3" w14:textId="77777777" w:rsidR="00766488" w:rsidRPr="00A74DF4" w:rsidRDefault="009564A4" w:rsidP="00A74DF4">
      <w:pPr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>Peripheral neuropathy: Binary indicator derived from clinician-coded diagnosis of peripheral neuropathy in the registry.</w:t>
      </w:r>
    </w:p>
    <w:p w14:paraId="2135A2F1" w14:textId="77777777" w:rsidR="00766488" w:rsidRPr="00A74DF4" w:rsidRDefault="009564A4" w:rsidP="00A74DF4">
      <w:pPr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>Primary cancer type: Categorized from registry diagnosis fields; modeled as indicator variables with breast cancer as the reference category.</w:t>
      </w:r>
    </w:p>
    <w:p w14:paraId="21B8B538" w14:textId="77777777" w:rsidR="00766488" w:rsidRPr="00A74DF4" w:rsidRDefault="009564A4" w:rsidP="00A74DF4">
      <w:pPr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>Cancer-directed treatment exposures (sensitivity model): Binary indicators for prior systemic therapy, radiotherapy, and surgery exposures (included only in the sensitivity model).</w:t>
      </w:r>
    </w:p>
    <w:p w14:paraId="460CEBA0" w14:textId="77777777" w:rsidR="00766488" w:rsidRPr="00A74DF4" w:rsidRDefault="009564A4" w:rsidP="00A74DF4">
      <w:pPr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>Pain mechanism: Entered as indicator variables for neuropathic and nociceptive, with mixed as the reference category.</w:t>
      </w:r>
    </w:p>
    <w:p w14:paraId="78B8417F" w14:textId="77777777" w:rsidR="00766488" w:rsidRPr="00A74DF4" w:rsidRDefault="009564A4" w:rsidP="00A74DF4">
      <w:pPr>
        <w:pStyle w:val="Heading2"/>
        <w:jc w:val="both"/>
        <w:rPr>
          <w:rFonts w:cstheme="majorHAnsi"/>
          <w:color w:val="auto"/>
          <w:sz w:val="22"/>
          <w:szCs w:val="22"/>
        </w:rPr>
      </w:pPr>
      <w:r w:rsidRPr="00A74DF4">
        <w:rPr>
          <w:rFonts w:cstheme="majorHAnsi"/>
          <w:color w:val="auto"/>
          <w:sz w:val="22"/>
          <w:szCs w:val="22"/>
        </w:rPr>
        <w:t>Handling of missingness and analytic sets</w:t>
      </w:r>
    </w:p>
    <w:p w14:paraId="4FB5A650" w14:textId="77777777" w:rsidR="00766488" w:rsidRPr="00A74DF4" w:rsidRDefault="009564A4" w:rsidP="00A74DF4">
      <w:pPr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>Variable-level missingness is summarized in Supplement Table Sx. Logistic regression analyses were conducted using complete cases for all model covariates, restricted to TRP and tumor-related pain, after excluding the “Other” pain mechanism category (final N=453). Survival analyses were restricted to patients with known survival status (final N=587).</w:t>
      </w:r>
    </w:p>
    <w:p w14:paraId="06BA2A9A" w14:textId="77777777" w:rsidR="00766488" w:rsidRPr="00A74DF4" w:rsidRDefault="009564A4" w:rsidP="00A74DF4">
      <w:pPr>
        <w:pStyle w:val="Heading2"/>
        <w:jc w:val="both"/>
        <w:rPr>
          <w:rFonts w:cstheme="majorHAnsi"/>
          <w:color w:val="auto"/>
          <w:sz w:val="22"/>
          <w:szCs w:val="22"/>
        </w:rPr>
      </w:pPr>
      <w:r w:rsidRPr="00A74DF4">
        <w:rPr>
          <w:rFonts w:cstheme="majorHAnsi"/>
          <w:color w:val="auto"/>
          <w:sz w:val="22"/>
          <w:szCs w:val="22"/>
        </w:rPr>
        <w:t>Inter-rater reliability</w:t>
      </w:r>
    </w:p>
    <w:p w14:paraId="2F00F9C3" w14:textId="77777777" w:rsidR="00766488" w:rsidRPr="00A74DF4" w:rsidRDefault="009564A4" w:rsidP="00A74DF4">
      <w:pPr>
        <w:jc w:val="both"/>
        <w:rPr>
          <w:rFonts w:asciiTheme="majorHAnsi" w:hAnsiTheme="majorHAnsi" w:cstheme="majorHAnsi"/>
        </w:rPr>
      </w:pPr>
      <w:r w:rsidRPr="00A74DF4">
        <w:rPr>
          <w:rFonts w:asciiTheme="majorHAnsi" w:hAnsiTheme="majorHAnsi" w:cstheme="majorHAnsi"/>
        </w:rPr>
        <w:t>Inter-rater reliability statistics (e.g., kappa) were not computed. Instead, the workflow incorporated multi-physician abstraction, structured coding fields, secondary quality control, and return-to-chart verification for discrepant or ambiguous entries.</w:t>
      </w:r>
    </w:p>
    <w:sectPr w:rsidR="00766488" w:rsidRPr="00A74DF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8867308">
    <w:abstractNumId w:val="8"/>
  </w:num>
  <w:num w:numId="2" w16cid:durableId="2055619591">
    <w:abstractNumId w:val="6"/>
  </w:num>
  <w:num w:numId="3" w16cid:durableId="1922517598">
    <w:abstractNumId w:val="5"/>
  </w:num>
  <w:num w:numId="4" w16cid:durableId="1579706096">
    <w:abstractNumId w:val="4"/>
  </w:num>
  <w:num w:numId="5" w16cid:durableId="961545029">
    <w:abstractNumId w:val="7"/>
  </w:num>
  <w:num w:numId="6" w16cid:durableId="957836357">
    <w:abstractNumId w:val="3"/>
  </w:num>
  <w:num w:numId="7" w16cid:durableId="1721515175">
    <w:abstractNumId w:val="2"/>
  </w:num>
  <w:num w:numId="8" w16cid:durableId="1938246174">
    <w:abstractNumId w:val="1"/>
  </w:num>
  <w:num w:numId="9" w16cid:durableId="1446003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32B"/>
    <w:rsid w:val="0006063C"/>
    <w:rsid w:val="001348B7"/>
    <w:rsid w:val="0015074B"/>
    <w:rsid w:val="002401D8"/>
    <w:rsid w:val="0029639D"/>
    <w:rsid w:val="00326F90"/>
    <w:rsid w:val="00766488"/>
    <w:rsid w:val="009564A4"/>
    <w:rsid w:val="00A74DF4"/>
    <w:rsid w:val="00AA1D8D"/>
    <w:rsid w:val="00B47730"/>
    <w:rsid w:val="00CB0664"/>
    <w:rsid w:val="00D24AB7"/>
    <w:rsid w:val="00DE069E"/>
    <w:rsid w:val="00E5750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279FC1"/>
  <w14:defaultImageDpi w14:val="300"/>
  <w15:docId w15:val="{7932211C-EE9F-4297-A1CD-26BB1B0B8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3362</Characters>
  <Application>Microsoft Office Word</Application>
  <DocSecurity>0</DocSecurity>
  <Lines>57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Uri Hochberg Ltd</cp:lastModifiedBy>
  <cp:revision>3</cp:revision>
  <dcterms:created xsi:type="dcterms:W3CDTF">2026-01-09T22:50:00Z</dcterms:created>
  <dcterms:modified xsi:type="dcterms:W3CDTF">2026-01-17T15:15:00Z</dcterms:modified>
  <cp:category/>
</cp:coreProperties>
</file>