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8EB2B" w14:textId="77777777" w:rsidR="00EF7A31" w:rsidRPr="00EF7A31" w:rsidRDefault="00EF7A31" w:rsidP="00EF7A31">
      <w:pPr>
        <w:rPr>
          <w:rFonts w:ascii="Calibri" w:hAnsi="Calibri" w:cs="Calibri"/>
          <w:b/>
          <w:bCs/>
          <w:sz w:val="22"/>
          <w:szCs w:val="22"/>
        </w:rPr>
      </w:pPr>
      <w:r w:rsidRPr="00EF7A31">
        <w:rPr>
          <w:rFonts w:ascii="Calibri" w:hAnsi="Calibri" w:cs="Calibri"/>
          <w:b/>
          <w:bCs/>
          <w:sz w:val="22"/>
          <w:szCs w:val="22"/>
        </w:rPr>
        <w:t>Supplement Table S4. Missingness by variable (N=622)</w:t>
      </w:r>
    </w:p>
    <w:p w14:paraId="56F28F56" w14:textId="77777777" w:rsidR="00EF7A31" w:rsidRPr="00EF7A31" w:rsidRDefault="00EF7A31" w:rsidP="00EF7A31">
      <w:pPr>
        <w:rPr>
          <w:rFonts w:ascii="Calibri" w:hAnsi="Calibri" w:cs="Calibri"/>
          <w:sz w:val="22"/>
          <w:szCs w:val="22"/>
        </w:rPr>
      </w:pPr>
      <w:r w:rsidRPr="00EF7A31">
        <w:rPr>
          <w:rFonts w:ascii="Calibri" w:hAnsi="Calibri" w:cs="Calibri"/>
          <w:b/>
          <w:bCs/>
          <w:sz w:val="22"/>
          <w:szCs w:val="22"/>
        </w:rPr>
        <w:t>Caption:</w:t>
      </w:r>
      <w:r w:rsidRPr="00EF7A31">
        <w:rPr>
          <w:rFonts w:ascii="Calibri" w:hAnsi="Calibri" w:cs="Calibri"/>
          <w:sz w:val="22"/>
          <w:szCs w:val="22"/>
        </w:rPr>
        <w:br/>
        <w:t>Variable-level missingness for demographics, oncologic variables, pain characteristics, treatment exposures, survival variables, and utilization outcomes used in descriptive and multivariable analyses.</w:t>
      </w:r>
    </w:p>
    <w:p w14:paraId="3271B15B" w14:textId="3DC70CEB" w:rsidR="00EF7A31" w:rsidRDefault="00EF7A31" w:rsidP="006F5C88">
      <w:pPr>
        <w:rPr>
          <w:rFonts w:ascii="Calibri" w:hAnsi="Calibri" w:cs="Calibri"/>
          <w:b/>
          <w:bCs/>
          <w:sz w:val="22"/>
          <w:szCs w:val="22"/>
        </w:rPr>
      </w:pPr>
      <w:r w:rsidRPr="00EF7A31">
        <w:rPr>
          <w:rFonts w:ascii="Calibri" w:hAnsi="Calibri" w:cs="Calibri"/>
          <w:b/>
          <w:bCs/>
          <w:sz w:val="22"/>
          <w:szCs w:val="22"/>
        </w:rPr>
        <w:t>Footnote:</w:t>
      </w:r>
    </w:p>
    <w:p w14:paraId="07B6F37A" w14:textId="687F043C" w:rsidR="00D502A0" w:rsidRPr="00EF7A31" w:rsidRDefault="00E1018E" w:rsidP="00E1018E">
      <w:pPr>
        <w:rPr>
          <w:rFonts w:ascii="Calibri" w:hAnsi="Calibri" w:cs="Calibri"/>
          <w:sz w:val="22"/>
          <w:szCs w:val="22"/>
        </w:rPr>
      </w:pPr>
      <w:r w:rsidRPr="00E1018E">
        <w:rPr>
          <w:rFonts w:ascii="Calibri" w:hAnsi="Calibri" w:cs="Calibri"/>
          <w:sz w:val="22"/>
          <w:szCs w:val="22"/>
        </w:rPr>
        <w:t>Missing data are reported as count (%) of the full cohort (N=622)</w:t>
      </w:r>
      <w:r>
        <w:rPr>
          <w:rFonts w:ascii="Calibri" w:hAnsi="Calibri" w:cs="Calibri"/>
          <w:sz w:val="22"/>
          <w:szCs w:val="22"/>
        </w:rPr>
        <w:t>.</w:t>
      </w:r>
      <w:r w:rsidR="00D502A0" w:rsidRPr="00D502A0">
        <w:rPr>
          <w:rFonts w:ascii="Calibri" w:hAnsi="Calibri" w:cs="Calibri"/>
          <w:sz w:val="22"/>
          <w:szCs w:val="22"/>
        </w:rPr>
        <w:t xml:space="preserve"> “Time-to-death category” is defined only among decedents and is therefore expected to be missing for patients who were alive at last follow-up. L</w:t>
      </w:r>
      <w:r w:rsidR="00D502A0" w:rsidRPr="00AD4F4D">
        <w:rPr>
          <w:rFonts w:ascii="Calibri" w:hAnsi="Calibri" w:cs="Calibri"/>
          <w:sz w:val="22"/>
          <w:szCs w:val="22"/>
        </w:rPr>
        <w:t>ogistic regression analyses were conducted using complete cases for all model covariates, restricted to TRP and tumor-related pain, after excluding the heterogeneous “Other” pain mechanism category (analytic N=453). Survival analyses were restricted to patients with known survival status (analytic N=587).</w:t>
      </w:r>
    </w:p>
    <w:p w14:paraId="4EADC51A" w14:textId="77777777" w:rsidR="00EF7A31" w:rsidRPr="00EF7A31" w:rsidRDefault="00EF7A31" w:rsidP="00EF7A31">
      <w:pPr>
        <w:rPr>
          <w:rFonts w:ascii="Calibri" w:hAnsi="Calibri" w:cs="Calibri"/>
          <w:sz w:val="22"/>
          <w:szCs w:val="22"/>
        </w:rPr>
      </w:pPr>
      <w:r w:rsidRPr="00EF7A31">
        <w:rPr>
          <w:rFonts w:ascii="Calibri" w:hAnsi="Calibri" w:cs="Calibri"/>
          <w:b/>
          <w:bCs/>
          <w:sz w:val="22"/>
          <w:szCs w:val="22"/>
        </w:rPr>
        <w:t>Abbreviations:</w:t>
      </w:r>
      <w:r w:rsidRPr="00EF7A31">
        <w:rPr>
          <w:rFonts w:ascii="Calibri" w:hAnsi="Calibri" w:cs="Calibri"/>
          <w:sz w:val="22"/>
          <w:szCs w:val="22"/>
        </w:rPr>
        <w:br/>
        <w:t>TRP, treatment-related pain.</w:t>
      </w:r>
    </w:p>
    <w:p w14:paraId="7CC52092" w14:textId="77777777" w:rsidR="00C908EB" w:rsidRPr="00EF7A31" w:rsidRDefault="00C908EB">
      <w:pPr>
        <w:rPr>
          <w:rFonts w:ascii="Calibri" w:hAnsi="Calibri" w:cs="Calibri"/>
          <w:sz w:val="22"/>
          <w:szCs w:val="22"/>
        </w:rPr>
      </w:pPr>
    </w:p>
    <w:sectPr w:rsidR="00C908EB" w:rsidRPr="00EF7A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A31"/>
    <w:rsid w:val="00061BD7"/>
    <w:rsid w:val="003F4A37"/>
    <w:rsid w:val="006F5C88"/>
    <w:rsid w:val="008C24DD"/>
    <w:rsid w:val="009B2AA3"/>
    <w:rsid w:val="00AB0DFD"/>
    <w:rsid w:val="00AD4F4D"/>
    <w:rsid w:val="00C02DF2"/>
    <w:rsid w:val="00C908EB"/>
    <w:rsid w:val="00D502A0"/>
    <w:rsid w:val="00E1018E"/>
    <w:rsid w:val="00EC243F"/>
    <w:rsid w:val="00E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C86A6"/>
  <w15:chartTrackingRefBased/>
  <w15:docId w15:val="{106CF4A1-9E39-4F18-9D21-4A6D374A3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7A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7A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7A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7A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7A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7A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7A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7A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7A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7A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7A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7A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7A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7A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7A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7A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7A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7A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7A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7A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7A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7A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7A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7A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7A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7A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7A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7A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7A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729</Characters>
  <Application>Microsoft Office Word</Application>
  <DocSecurity>0</DocSecurity>
  <Lines>13</Lines>
  <Paragraphs>5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 Hochberg Ltd</dc:creator>
  <cp:keywords/>
  <dc:description/>
  <cp:lastModifiedBy>Uri Hochberg Ltd</cp:lastModifiedBy>
  <cp:revision>9</cp:revision>
  <dcterms:created xsi:type="dcterms:W3CDTF">2026-01-04T18:01:00Z</dcterms:created>
  <dcterms:modified xsi:type="dcterms:W3CDTF">2026-03-18T17:14:00Z</dcterms:modified>
</cp:coreProperties>
</file>