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61A8" w14:textId="77777777" w:rsidR="007C31E6" w:rsidRPr="007C31E6" w:rsidRDefault="007C31E6" w:rsidP="007C31E6">
      <w:pPr>
        <w:rPr>
          <w:rFonts w:ascii="Calibri" w:hAnsi="Calibri" w:cs="Calibri"/>
          <w:sz w:val="22"/>
          <w:szCs w:val="22"/>
        </w:rPr>
      </w:pPr>
      <w:r w:rsidRPr="007C31E6">
        <w:rPr>
          <w:rFonts w:ascii="Calibri" w:hAnsi="Calibri" w:cs="Calibri"/>
          <w:b/>
          <w:bCs/>
          <w:sz w:val="22"/>
          <w:szCs w:val="22"/>
        </w:rPr>
        <w:t>Supplementary Table S2. Full Pain Diagnosis Distributions by Pain Etiology Group</w:t>
      </w:r>
    </w:p>
    <w:p w14:paraId="48535481" w14:textId="1F45834D" w:rsidR="007C31E6" w:rsidRPr="006263ED" w:rsidRDefault="00492D3F" w:rsidP="00492D3F">
      <w:pPr>
        <w:rPr>
          <w:rFonts w:ascii="Calibri" w:hAnsi="Calibri" w:cs="Calibri"/>
          <w:sz w:val="22"/>
          <w:szCs w:val="22"/>
        </w:rPr>
      </w:pPr>
      <w:r w:rsidRPr="00492D3F">
        <w:rPr>
          <w:rFonts w:ascii="Calibri" w:hAnsi="Calibri" w:cs="Calibri"/>
          <w:sz w:val="22"/>
          <w:szCs w:val="22"/>
        </w:rPr>
        <w:t>This table displays the absolute counts and proportions of pain diagnoses across three mutually exclusive pain etiology groups: treatment-related pain (TRP), cancer-related pain (non-treatment), and cancer-unrelated pain</w:t>
      </w:r>
      <w:r>
        <w:rPr>
          <w:rFonts w:ascii="Calibri" w:hAnsi="Calibri" w:cs="Calibri"/>
          <w:sz w:val="22"/>
          <w:szCs w:val="22"/>
        </w:rPr>
        <w:t xml:space="preserve">. </w:t>
      </w:r>
      <w:r w:rsidR="007C31E6" w:rsidRPr="006263ED">
        <w:rPr>
          <w:rFonts w:ascii="Calibri" w:hAnsi="Calibri" w:cs="Calibri"/>
          <w:sz w:val="22"/>
          <w:szCs w:val="22"/>
        </w:rPr>
        <w:t>Diagnoses were assigned based on structured clinical documentation at the time of registry enrollment. Peripheral neuropathy and post-surgical pain were the most common diagnoses in the TRP group. Metastatic and visceral pain predominated in the cancer-related group, while the cancer-unrelated group exhibited a diverse profile, including mechanical and chronic non-malignant pain syndromes.</w:t>
      </w:r>
    </w:p>
    <w:p w14:paraId="3FDDB6F9" w14:textId="072A91A9" w:rsidR="007C31E6" w:rsidRPr="006263ED" w:rsidRDefault="007C31E6" w:rsidP="00280539">
      <w:pPr>
        <w:rPr>
          <w:rFonts w:ascii="Calibri" w:hAnsi="Calibri" w:cs="Calibri"/>
          <w:sz w:val="22"/>
          <w:szCs w:val="22"/>
        </w:rPr>
      </w:pPr>
      <w:r w:rsidRPr="006263ED">
        <w:rPr>
          <w:rFonts w:ascii="Calibri" w:hAnsi="Calibri" w:cs="Calibri"/>
          <w:b/>
          <w:bCs/>
          <w:sz w:val="22"/>
          <w:szCs w:val="22"/>
        </w:rPr>
        <w:t>Footnote</w:t>
      </w:r>
      <w:r w:rsidRPr="006263ED">
        <w:rPr>
          <w:rFonts w:ascii="Calibri" w:hAnsi="Calibri" w:cs="Calibri"/>
          <w:sz w:val="22"/>
          <w:szCs w:val="22"/>
        </w:rPr>
        <w:t>:</w:t>
      </w:r>
      <w:r w:rsidRPr="006263ED">
        <w:rPr>
          <w:rFonts w:ascii="Calibri" w:hAnsi="Calibri" w:cs="Calibri"/>
          <w:sz w:val="22"/>
          <w:szCs w:val="22"/>
        </w:rPr>
        <w:br/>
      </w:r>
      <w:r w:rsidR="001D58AD" w:rsidRPr="001D58AD">
        <w:rPr>
          <w:rFonts w:ascii="Calibri" w:hAnsi="Calibri" w:cs="Calibri"/>
          <w:sz w:val="22"/>
          <w:szCs w:val="22"/>
        </w:rPr>
        <w:t xml:space="preserve">Diagnoses were recorded based on structured </w:t>
      </w:r>
      <w:r w:rsidR="001D58AD" w:rsidRPr="006D6A7D">
        <w:rPr>
          <w:rFonts w:ascii="Calibri" w:hAnsi="Calibri" w:cs="Calibri"/>
          <w:sz w:val="22"/>
          <w:szCs w:val="22"/>
        </w:rPr>
        <w:t>clinician documentation at registry enrollment.</w:t>
      </w:r>
      <w:r w:rsidR="00280539" w:rsidRPr="006D6A7D">
        <w:t xml:space="preserve"> </w:t>
      </w:r>
      <w:r w:rsidR="00280539" w:rsidRPr="006D6A7D">
        <w:rPr>
          <w:rFonts w:ascii="Calibri" w:hAnsi="Calibri" w:cs="Calibri"/>
          <w:sz w:val="22"/>
          <w:szCs w:val="22"/>
        </w:rPr>
        <w:t>Patients may have more than one diagnosis. Percentages reflect the proportion of total diagnoses recorded within each etiology subgroup (column-wise).</w:t>
      </w:r>
      <w:r w:rsidR="001D58AD" w:rsidRPr="001D58AD">
        <w:rPr>
          <w:rFonts w:ascii="Calibri" w:hAnsi="Calibri" w:cs="Calibri"/>
          <w:sz w:val="22"/>
          <w:szCs w:val="22"/>
        </w:rPr>
        <w:t xml:space="preserve"> Diagnoses with very low frequency were included for completeness</w:t>
      </w:r>
      <w:r w:rsidR="001D58AD">
        <w:rPr>
          <w:rFonts w:ascii="Calibri" w:hAnsi="Calibri" w:cs="Calibri"/>
          <w:sz w:val="22"/>
          <w:szCs w:val="22"/>
        </w:rPr>
        <w:t>.</w:t>
      </w:r>
    </w:p>
    <w:p w14:paraId="37C14DB1" w14:textId="77777777" w:rsidR="007C31E6" w:rsidRPr="006263ED" w:rsidRDefault="007C31E6" w:rsidP="007C31E6">
      <w:pPr>
        <w:rPr>
          <w:rFonts w:ascii="Calibri" w:hAnsi="Calibri" w:cs="Calibri"/>
          <w:sz w:val="22"/>
          <w:szCs w:val="22"/>
        </w:rPr>
      </w:pPr>
      <w:r w:rsidRPr="006263ED">
        <w:rPr>
          <w:rFonts w:ascii="Calibri" w:hAnsi="Calibri" w:cs="Calibri"/>
          <w:b/>
          <w:bCs/>
          <w:sz w:val="22"/>
          <w:szCs w:val="22"/>
        </w:rPr>
        <w:t>Abbreviations</w:t>
      </w:r>
      <w:r w:rsidRPr="006263ED">
        <w:rPr>
          <w:rFonts w:ascii="Calibri" w:hAnsi="Calibri" w:cs="Calibri"/>
          <w:sz w:val="22"/>
          <w:szCs w:val="22"/>
        </w:rPr>
        <w:t>:</w:t>
      </w:r>
      <w:r w:rsidRPr="006263ED">
        <w:rPr>
          <w:rFonts w:ascii="Calibri" w:hAnsi="Calibri" w:cs="Calibri"/>
          <w:sz w:val="22"/>
          <w:szCs w:val="22"/>
        </w:rPr>
        <w:br/>
        <w:t>TRP = Treatment-Related Pain;</w:t>
      </w:r>
      <w:r w:rsidRPr="006263ED">
        <w:rPr>
          <w:rFonts w:ascii="Calibri" w:hAnsi="Calibri" w:cs="Calibri"/>
          <w:sz w:val="22"/>
          <w:szCs w:val="22"/>
        </w:rPr>
        <w:br/>
        <w:t>MSK = Musculoskeletal;</w:t>
      </w:r>
      <w:r w:rsidRPr="006263ED">
        <w:rPr>
          <w:rFonts w:ascii="Calibri" w:hAnsi="Calibri" w:cs="Calibri"/>
          <w:sz w:val="22"/>
          <w:szCs w:val="22"/>
        </w:rPr>
        <w:br/>
        <w:t>GI = Gastrointestinal;</w:t>
      </w:r>
      <w:r w:rsidRPr="006263ED">
        <w:rPr>
          <w:rFonts w:ascii="Calibri" w:hAnsi="Calibri" w:cs="Calibri"/>
          <w:sz w:val="22"/>
          <w:szCs w:val="22"/>
        </w:rPr>
        <w:br/>
        <w:t>CNS = Central Nervous System.</w:t>
      </w:r>
    </w:p>
    <w:p w14:paraId="781D0793" w14:textId="77777777" w:rsidR="00C908EB" w:rsidRPr="007C31E6" w:rsidRDefault="00C908EB">
      <w:pPr>
        <w:rPr>
          <w:rFonts w:ascii="Calibri" w:hAnsi="Calibri" w:cs="Calibri"/>
          <w:sz w:val="22"/>
          <w:szCs w:val="22"/>
        </w:rPr>
      </w:pPr>
    </w:p>
    <w:sectPr w:rsidR="00C908EB" w:rsidRPr="007C3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E6"/>
    <w:rsid w:val="00076AD9"/>
    <w:rsid w:val="001D58AD"/>
    <w:rsid w:val="00280539"/>
    <w:rsid w:val="00492D3F"/>
    <w:rsid w:val="005A1A5E"/>
    <w:rsid w:val="006263ED"/>
    <w:rsid w:val="006D6A7D"/>
    <w:rsid w:val="007C31E6"/>
    <w:rsid w:val="008C24DD"/>
    <w:rsid w:val="008F4466"/>
    <w:rsid w:val="009C5070"/>
    <w:rsid w:val="00C908EB"/>
    <w:rsid w:val="00CD2D6F"/>
    <w:rsid w:val="00E3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8056D"/>
  <w15:chartTrackingRefBased/>
  <w15:docId w15:val="{5A18EC0D-3492-4263-8673-2B3A0BCF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1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989</Characters>
  <Application>Microsoft Office Word</Application>
  <DocSecurity>0</DocSecurity>
  <Lines>18</Lines>
  <Paragraphs>4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 Hochberg Ltd</dc:creator>
  <cp:keywords/>
  <dc:description/>
  <cp:lastModifiedBy>Uri Hochberg Ltd</cp:lastModifiedBy>
  <cp:revision>8</cp:revision>
  <dcterms:created xsi:type="dcterms:W3CDTF">2025-12-04T18:50:00Z</dcterms:created>
  <dcterms:modified xsi:type="dcterms:W3CDTF">2026-03-18T18:18:00Z</dcterms:modified>
</cp:coreProperties>
</file>