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478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0490" cy="3553460"/>
            <wp:effectExtent l="0" t="0" r="6350" b="889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016DC"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Fig. S1. Batch correction of the included MASLD samples.</w:t>
      </w:r>
    </w:p>
    <w:p w14:paraId="3AD24B65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 (A) Box plot of sample distributions before batch correction; (B) Box plot of sample distributions after batch correction.</w:t>
      </w:r>
    </w:p>
    <w:p w14:paraId="3257499C">
      <w:pPr>
        <w:rPr>
          <w:rFonts w:hint="eastAsia" w:eastAsiaTheme="minorEastAsia"/>
          <w:lang w:eastAsia="zh-CN"/>
        </w:rPr>
      </w:pPr>
    </w:p>
    <w:p w14:paraId="49DA36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0495" cy="3869690"/>
            <wp:effectExtent l="0" t="0" r="8255" b="0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9A3F"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Fig. S2. Further screening of the 12 intersecting targets with machine-learning approaches.</w:t>
      </w:r>
    </w:p>
    <w:p w14:paraId="021387BF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t>(A)Core-target selection by LASSO regression;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val="en-US" w:eastAsia="zh-CN"/>
        </w:rPr>
        <w:t>(B)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lang w:val="en-US" w:eastAsia="zh-CN"/>
        </w:rPr>
        <w:t>Core-target selection by support-vector-machine recursive feature elimination (SVM-RFE);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val="en-US" w:eastAsia="zh-CN"/>
        </w:rPr>
        <w:t>(C–D) Core-target selection by random-forest algorithm;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val="en-US" w:eastAsia="zh-CN"/>
        </w:rPr>
        <w:t>(E) Intersection of the three machine-learning outputs.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B3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2025-12-19T03:28:06Z</dcterms:created>
  <dc:creator>zhangxusheng</dc:creator>
  <cp:lastModifiedBy>  </cp:lastModifiedBy>
  <dcterms:modified xsi:type="dcterms:W3CDTF">2025-12-19T03:36:56Z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eyJoZGlkIjoiMTc4MGY0YjYxM2ZhNjg4NGUzMTQwYmY1OTEyMmYxNWIiLCJ1c2VySWQiOiIzMDg4MDAzNzYifQ==</vt:lpwstr>
  </property>
  <property fmtid="{D5CDD505-2E9C-101B-9397-08002B2CF9AE}" pid="4" name="ICV">
    <vt:lpwstr>21407BB160A34FD6BE25C17B681FC88C_12</vt:lpwstr>
  </property>
</Properties>
</file>