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AF4E" w14:textId="77777777" w:rsidR="00F12A4E" w:rsidRPr="007411C4" w:rsidRDefault="00F12A4E" w:rsidP="00F12A4E">
      <w:pPr>
        <w:spacing w:line="240" w:lineRule="auto"/>
        <w:rPr>
          <w:rFonts w:ascii="Times New Roman" w:hAnsi="Times New Roman" w:cs="Times New Roman" w:hint="cs"/>
          <w:sz w:val="24"/>
          <w:szCs w:val="24"/>
        </w:rPr>
      </w:pPr>
      <w:r w:rsidRPr="00F12A4E">
        <w:rPr>
          <w:rFonts w:ascii="Times New Roman" w:hAnsi="Times New Roman" w:cs="Times New Roman" w:hint="cs"/>
          <w:sz w:val="24"/>
          <w:szCs w:val="24"/>
        </w:rPr>
        <w:t>T</w:t>
      </w:r>
      <w:r w:rsidRPr="007411C4">
        <w:rPr>
          <w:rFonts w:ascii="Times New Roman" w:hAnsi="Times New Roman" w:cs="Times New Roman" w:hint="cs"/>
          <w:sz w:val="24"/>
          <w:szCs w:val="24"/>
        </w:rPr>
        <w:t xml:space="preserve">able1. </w:t>
      </w:r>
      <w:r w:rsidRPr="007411C4">
        <w:rPr>
          <w:rFonts w:ascii="Times New Roman" w:hAnsi="Times New Roman" w:cs="Times New Roman" w:hint="cs"/>
          <w:color w:val="000000"/>
          <w:sz w:val="24"/>
          <w:szCs w:val="24"/>
        </w:rPr>
        <w:t>Baseline clinicopathological and intraoperative characteristics of the study cohort (n = 83)</w:t>
      </w:r>
    </w:p>
    <w:p w14:paraId="509250D0" w14:textId="77777777" w:rsidR="00CB3902" w:rsidRPr="007411C4" w:rsidRDefault="00CB3902">
      <w:pPr>
        <w:rPr>
          <w:rFonts w:ascii="Times New Roman" w:hAnsi="Times New Roman" w:cs="Times New Roman" w:hint="cs"/>
          <w:sz w:val="24"/>
          <w:szCs w:val="24"/>
        </w:rPr>
      </w:pPr>
    </w:p>
    <w:tbl>
      <w:tblPr>
        <w:tblW w:w="7538" w:type="dxa"/>
        <w:tblLook w:val="04A0" w:firstRow="1" w:lastRow="0" w:firstColumn="1" w:lastColumn="0" w:noHBand="0" w:noVBand="1"/>
      </w:tblPr>
      <w:tblGrid>
        <w:gridCol w:w="6374"/>
        <w:gridCol w:w="1164"/>
      </w:tblGrid>
      <w:tr w:rsidR="00F12A4E" w:rsidRPr="007411C4" w14:paraId="64D28562" w14:textId="77777777" w:rsidTr="00322C1B">
        <w:trPr>
          <w:trHeight w:val="236"/>
        </w:trPr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2E0E1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1ACA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val="en-US"/>
              </w:rPr>
              <w:t>N (%)</w:t>
            </w:r>
          </w:p>
        </w:tc>
      </w:tr>
      <w:tr w:rsidR="00F12A4E" w:rsidRPr="007411C4" w14:paraId="24A019C1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DDCF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Smoking Status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14CE7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057C3E9D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C0CE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Non-smoker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6173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48 (57.9)</w:t>
            </w:r>
          </w:p>
        </w:tc>
      </w:tr>
      <w:tr w:rsidR="00F12A4E" w:rsidRPr="007411C4" w14:paraId="21C8A28D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CB9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Current Smoker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A020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35 (42,2)</w:t>
            </w:r>
          </w:p>
        </w:tc>
      </w:tr>
      <w:tr w:rsidR="00F12A4E" w:rsidRPr="007411C4" w14:paraId="2D891070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B42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B143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79A57513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5BE5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Menopausal Status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6946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6BBF7D7B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4127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Premenopausal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5A8C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33 (39,8)</w:t>
            </w:r>
          </w:p>
        </w:tc>
      </w:tr>
      <w:tr w:rsidR="00F12A4E" w:rsidRPr="007411C4" w14:paraId="7F6B476D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29C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Postmenopausal</w:t>
            </w:r>
          </w:p>
          <w:p w14:paraId="585F95F0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  <w:p w14:paraId="66080C06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3B56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50 (60,2)</w:t>
            </w:r>
          </w:p>
        </w:tc>
      </w:tr>
      <w:tr w:rsidR="00F12A4E" w:rsidRPr="007411C4" w14:paraId="12D5B9E5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2419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Number of Suspicious LNs on 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A488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573B360B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3A6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E581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12 (14,5)</w:t>
            </w:r>
          </w:p>
        </w:tc>
      </w:tr>
      <w:tr w:rsidR="00F12A4E" w:rsidRPr="007411C4" w14:paraId="14B88961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15F8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99FF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34 (41.0)</w:t>
            </w:r>
          </w:p>
        </w:tc>
      </w:tr>
      <w:tr w:rsidR="00F12A4E" w:rsidRPr="007411C4" w14:paraId="7C4C01EC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1B7E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&gt;3</w:t>
            </w:r>
          </w:p>
          <w:p w14:paraId="3BDA6EAA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4AF2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37 (44,6)</w:t>
            </w:r>
          </w:p>
        </w:tc>
      </w:tr>
      <w:tr w:rsidR="00F12A4E" w:rsidRPr="007411C4" w14:paraId="5B32F81F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BD0A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BD Identification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D751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324B6DF1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91D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Identified by SLNB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5B2B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62 (74,7)</w:t>
            </w:r>
          </w:p>
        </w:tc>
      </w:tr>
      <w:tr w:rsidR="00F12A4E" w:rsidRPr="007411C4" w14:paraId="2115A4A0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90E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Identified by ALND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3D18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7 (8,4)</w:t>
            </w:r>
          </w:p>
        </w:tc>
      </w:tr>
      <w:tr w:rsidR="00F12A4E" w:rsidRPr="007411C4" w14:paraId="1F219C13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5EF9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Not Identified</w:t>
            </w:r>
          </w:p>
          <w:p w14:paraId="3D9D4FEC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  <w:p w14:paraId="570FE5ED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318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14 (16,9)</w:t>
            </w:r>
          </w:p>
        </w:tc>
      </w:tr>
      <w:tr w:rsidR="00F12A4E" w:rsidRPr="007411C4" w14:paraId="6181DEE5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3BE6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Intraoperative Concordance Between TLNs And BD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CCD4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1094AB69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D706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 xml:space="preserve">    Absent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5E73C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36 (43,4)</w:t>
            </w:r>
          </w:p>
        </w:tc>
      </w:tr>
      <w:tr w:rsidR="00F12A4E" w:rsidRPr="007411C4" w14:paraId="77F8D4FB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A0F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Present</w:t>
            </w:r>
          </w:p>
          <w:p w14:paraId="0BAC7BC1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  <w:p w14:paraId="731441EC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FE62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47 (56,6)</w:t>
            </w:r>
          </w:p>
        </w:tc>
      </w:tr>
      <w:tr w:rsidR="00F12A4E" w:rsidRPr="007411C4" w14:paraId="38950993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AA3B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SLNB Result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5574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4066BFFC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1C5A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No metastasis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7B44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41 (49,4)</w:t>
            </w:r>
          </w:p>
        </w:tc>
      </w:tr>
      <w:tr w:rsidR="00F12A4E" w:rsidRPr="007411C4" w14:paraId="268C48A5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100C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Metastasis present</w:t>
            </w:r>
          </w:p>
          <w:p w14:paraId="6ED46C9B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  <w:p w14:paraId="665764C0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0FEA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42 (50,6)</w:t>
            </w:r>
          </w:p>
        </w:tc>
      </w:tr>
      <w:tr w:rsidR="00F12A4E" w:rsidRPr="007411C4" w14:paraId="20BAEF75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A41A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MacroM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6233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199516BA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266F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3C60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41 (49,4)</w:t>
            </w:r>
          </w:p>
        </w:tc>
      </w:tr>
      <w:tr w:rsidR="00F12A4E" w:rsidRPr="007411C4" w14:paraId="7078F517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DF9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FD91D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15 (35.7)</w:t>
            </w:r>
          </w:p>
        </w:tc>
      </w:tr>
      <w:tr w:rsidR="00F12A4E" w:rsidRPr="007411C4" w14:paraId="6FD08DE8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F1A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 and BD</w:t>
            </w:r>
          </w:p>
          <w:p w14:paraId="44D049ED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EF14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27 (64.3)</w:t>
            </w:r>
          </w:p>
        </w:tc>
      </w:tr>
      <w:tr w:rsidR="00F12A4E" w:rsidRPr="007411C4" w14:paraId="78D74E48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ED9A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MicroM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EB37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5609FFF3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0DEC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1AFB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53 (63,9)</w:t>
            </w:r>
          </w:p>
        </w:tc>
      </w:tr>
      <w:tr w:rsidR="00F12A4E" w:rsidRPr="007411C4" w14:paraId="79DBC0A7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F55A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D62FF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12 (40.0)</w:t>
            </w:r>
          </w:p>
        </w:tc>
      </w:tr>
      <w:tr w:rsidR="00F12A4E" w:rsidRPr="007411C4" w14:paraId="1610317D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B5C8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 and BD</w:t>
            </w:r>
          </w:p>
          <w:p w14:paraId="449CC83F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AE5D6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18 (60.0)</w:t>
            </w:r>
          </w:p>
        </w:tc>
      </w:tr>
      <w:tr w:rsidR="00F12A4E" w:rsidRPr="007411C4" w14:paraId="7DCC9B14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4DB9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ITC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665B" w14:textId="77777777" w:rsidR="00F12A4E" w:rsidRPr="007411C4" w:rsidRDefault="00F12A4E" w:rsidP="00322C1B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</w:p>
        </w:tc>
      </w:tr>
      <w:tr w:rsidR="00F12A4E" w:rsidRPr="007411C4" w14:paraId="11EE97A8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4F5E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FA1CA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42 (50,6)</w:t>
            </w:r>
          </w:p>
        </w:tc>
      </w:tr>
      <w:tr w:rsidR="00F12A4E" w:rsidRPr="007411C4" w14:paraId="3FAEB458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B045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0F4B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27 (65.9)</w:t>
            </w:r>
          </w:p>
        </w:tc>
      </w:tr>
      <w:tr w:rsidR="00F12A4E" w:rsidRPr="007411C4" w14:paraId="7B003A47" w14:textId="77777777" w:rsidTr="00322C1B">
        <w:trPr>
          <w:trHeight w:val="236"/>
        </w:trPr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976CD" w14:textId="77777777" w:rsidR="00F12A4E" w:rsidRPr="007411C4" w:rsidRDefault="00F12A4E" w:rsidP="00322C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TLNs and BD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F605B" w14:textId="77777777" w:rsidR="00F12A4E" w:rsidRPr="007411C4" w:rsidRDefault="00F12A4E" w:rsidP="0032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</w:pPr>
            <w:r w:rsidRPr="007411C4">
              <w:rPr>
                <w:rFonts w:ascii="Times New Roman" w:eastAsia="Times New Roman" w:hAnsi="Times New Roman" w:cs="Times New Roman" w:hint="cs"/>
                <w:sz w:val="24"/>
                <w:szCs w:val="24"/>
                <w:lang w:val="en-US"/>
              </w:rPr>
              <w:t>14 (34.1)</w:t>
            </w:r>
          </w:p>
        </w:tc>
      </w:tr>
    </w:tbl>
    <w:p w14:paraId="52C8B0F9" w14:textId="77777777" w:rsidR="00F12A4E" w:rsidRPr="007411C4" w:rsidRDefault="00F12A4E" w:rsidP="00F12A4E">
      <w:pPr>
        <w:spacing w:line="240" w:lineRule="auto"/>
        <w:rPr>
          <w:rFonts w:ascii="Times New Roman" w:hAnsi="Times New Roman" w:cs="Times New Roman" w:hint="cs"/>
          <w:sz w:val="24"/>
          <w:szCs w:val="24"/>
        </w:rPr>
      </w:pPr>
    </w:p>
    <w:p w14:paraId="67F995C0" w14:textId="4DF22806" w:rsidR="00F12A4E" w:rsidRPr="007411C4" w:rsidRDefault="007411C4">
      <w:pPr>
        <w:rPr>
          <w:rFonts w:ascii="Times New Roman" w:hAnsi="Times New Roman" w:cs="Times New Roman" w:hint="cs"/>
          <w:color w:val="000000"/>
          <w:sz w:val="24"/>
          <w:szCs w:val="24"/>
        </w:rPr>
      </w:pPr>
      <w:r w:rsidRPr="007411C4">
        <w:rPr>
          <w:rFonts w:ascii="Times New Roman" w:hAnsi="Times New Roman" w:cs="Times New Roman" w:hint="cs"/>
          <w:color w:val="000000"/>
          <w:sz w:val="24"/>
          <w:szCs w:val="24"/>
        </w:rPr>
        <w:t>Data are presented as</w:t>
      </w:r>
      <w:r w:rsidRPr="007411C4">
        <w:rPr>
          <w:rStyle w:val="apple-converted-space"/>
          <w:rFonts w:ascii="Times New Roman" w:hAnsi="Times New Roman" w:cs="Times New Roman" w:hint="cs"/>
          <w:color w:val="000000"/>
          <w:sz w:val="24"/>
          <w:szCs w:val="24"/>
        </w:rPr>
        <w:t> </w:t>
      </w:r>
      <w:r w:rsidRPr="007411C4">
        <w:rPr>
          <w:rStyle w:val="Emphasis"/>
          <w:rFonts w:ascii="Times New Roman" w:hAnsi="Times New Roman" w:cs="Times New Roman" w:hint="cs"/>
          <w:color w:val="000000"/>
          <w:sz w:val="24"/>
          <w:szCs w:val="24"/>
        </w:rPr>
        <w:t>n (%)</w:t>
      </w:r>
      <w:r w:rsidRPr="007411C4">
        <w:rPr>
          <w:rFonts w:ascii="Times New Roman" w:hAnsi="Times New Roman" w:cs="Times New Roman" w:hint="cs"/>
          <w:color w:val="000000"/>
          <w:sz w:val="24"/>
          <w:szCs w:val="24"/>
        </w:rPr>
        <w:t>. Percentages may not sum to 100% due to rounding. The distribution of metastatic involvement (MacroM, MicroM, and ITC) is reported according to detection in targeted lymph nodes (TLNs) and/or blue dye (BD)-identified nodes.</w:t>
      </w:r>
    </w:p>
    <w:p w14:paraId="12D95D8F" w14:textId="5C87792F" w:rsidR="007411C4" w:rsidRPr="007411C4" w:rsidRDefault="007411C4">
      <w:pPr>
        <w:rPr>
          <w:rFonts w:ascii="Times New Roman" w:hAnsi="Times New Roman" w:cs="Times New Roman" w:hint="cs"/>
          <w:sz w:val="24"/>
          <w:szCs w:val="24"/>
        </w:rPr>
      </w:pPr>
      <w:r w:rsidRPr="007411C4">
        <w:rPr>
          <w:rStyle w:val="Strong"/>
          <w:rFonts w:ascii="Times New Roman" w:hAnsi="Times New Roman" w:cs="Times New Roman" w:hint="cs"/>
          <w:color w:val="000000"/>
          <w:sz w:val="24"/>
          <w:szCs w:val="24"/>
        </w:rPr>
        <w:lastRenderedPageBreak/>
        <w:t>Abbreviations:</w:t>
      </w:r>
      <w:r w:rsidRPr="007411C4">
        <w:rPr>
          <w:rStyle w:val="apple-converted-space"/>
          <w:rFonts w:ascii="Times New Roman" w:hAnsi="Times New Roman" w:cs="Times New Roman" w:hint="cs"/>
          <w:color w:val="000000"/>
          <w:sz w:val="24"/>
          <w:szCs w:val="24"/>
        </w:rPr>
        <w:t> </w:t>
      </w:r>
      <w:r w:rsidRPr="007411C4">
        <w:rPr>
          <w:rFonts w:ascii="Times New Roman" w:hAnsi="Times New Roman" w:cs="Times New Roman" w:hint="cs"/>
          <w:color w:val="000000"/>
          <w:sz w:val="24"/>
          <w:szCs w:val="24"/>
        </w:rPr>
        <w:t>LN, lymph node; US, ultrasonography; BD, blue dye; SLNB, sentinel lymph node biopsy; ALND, axillary lymph node dissection; TLN, targeted lymph node; MacroM, macrometastasis; MicroM, micrometastasis; ITC, isolated tumor cells.</w:t>
      </w:r>
    </w:p>
    <w:sectPr w:rsidR="007411C4" w:rsidRPr="007411C4" w:rsidSect="003868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4E"/>
    <w:rsid w:val="001B5EC6"/>
    <w:rsid w:val="002C312A"/>
    <w:rsid w:val="0038689F"/>
    <w:rsid w:val="004A622C"/>
    <w:rsid w:val="00573FBE"/>
    <w:rsid w:val="00591F0C"/>
    <w:rsid w:val="007411C4"/>
    <w:rsid w:val="00CB3902"/>
    <w:rsid w:val="00D82000"/>
    <w:rsid w:val="00D90FF3"/>
    <w:rsid w:val="00E32ECE"/>
    <w:rsid w:val="00F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EE54DD"/>
  <w15:chartTrackingRefBased/>
  <w15:docId w15:val="{525C6A94-2170-2844-A69E-BBA5905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4E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A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A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A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A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A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A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A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A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A4E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4E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4E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A4E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A4E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4E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4E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F1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2A4E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A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2A4E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F12A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2A4E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F12A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2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A4E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F12A4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12A4E"/>
  </w:style>
  <w:style w:type="character" w:styleId="Emphasis">
    <w:name w:val="Emphasis"/>
    <w:basedOn w:val="DefaultParagraphFont"/>
    <w:uiPriority w:val="20"/>
    <w:qFormat/>
    <w:rsid w:val="00F12A4E"/>
    <w:rPr>
      <w:i/>
      <w:iCs/>
    </w:rPr>
  </w:style>
  <w:style w:type="character" w:styleId="Strong">
    <w:name w:val="Strong"/>
    <w:basedOn w:val="DefaultParagraphFont"/>
    <w:uiPriority w:val="22"/>
    <w:qFormat/>
    <w:rsid w:val="00F12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perya abbasoglu</dc:creator>
  <cp:keywords/>
  <dc:description/>
  <cp:lastModifiedBy>perya abbasoglu</cp:lastModifiedBy>
  <cp:revision>2</cp:revision>
  <dcterms:created xsi:type="dcterms:W3CDTF">2026-03-19T14:47:00Z</dcterms:created>
  <dcterms:modified xsi:type="dcterms:W3CDTF">2026-03-19T14:55:00Z</dcterms:modified>
</cp:coreProperties>
</file>