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69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ind w:left="0" w:firstLine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01842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ind w:left="0" w:firstLine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70500" cy="3271520"/>
            <wp:effectExtent l="0" t="0" r="6350" b="508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C900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480" w:lineRule="auto"/>
        <w:ind w:left="0" w:firstLine="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Symmetry-broken cubane exhibits a near-unity PLQY of 92.9% and a single-exponential lifetime of 3.77 μs, delivering a remarkable radioluminescence (RL) light yield of 59819 photons MeV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and a low detection limit of 51.2 nGy s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等线" w:cs="Times New Roman"/>
          <w:iCs/>
          <w:sz w:val="24"/>
          <w:szCs w:val="24"/>
        </w:rPr>
        <w:t>This concept is compatible with scalable processing, as evidenced by the formation of flexible microcrystal-based screens that maintain high imaging fidelity under static, tomographic, and dynamic operating modes.</w:t>
      </w:r>
    </w:p>
    <w:p w14:paraId="608FD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sz w:val="24"/>
      <w:szCs w:val="24"/>
      <w:lang w:val="de-DE" w:eastAsia="ja-JP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ferences"/>
    <w:basedOn w:val="1"/>
    <w:qFormat/>
    <w:uiPriority w:val="0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2026-03-19T12:43:47Z</dcterms:created>
  <dc:creator>王梦竹</dc:creator>
  <cp:lastModifiedBy>王梦竹</cp:lastModifiedBy>
  <dcterms:modified xsi:type="dcterms:W3CDTF">2026-03-19T12:46:45Z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eyJoZGlkIjoiZjBiOGY0MzE2OTllYzQ2ODI1MmVmOGU0NDFlZmIwYmYiLCJ1c2VySWQiOiIyMzYxOTY3MTEifQ==</vt:lpwstr>
  </property>
  <property fmtid="{D5CDD505-2E9C-101B-9397-08002B2CF9AE}" pid="4" name="ICV">
    <vt:lpwstr>F3D8B2293EFA44EEB4B9370934DE1356_12</vt:lpwstr>
  </property>
</Properties>
</file>