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1A8A" w14:textId="77777777" w:rsidR="00FA0C0C" w:rsidRPr="002C2618" w:rsidRDefault="00FA0C0C" w:rsidP="00FA0C0C">
      <w:pPr>
        <w:spacing w:line="360" w:lineRule="auto"/>
        <w:jc w:val="center"/>
        <w:rPr>
          <w:rFonts w:ascii="Times New Roman" w:hAnsi="Times New Roman" w:cs="Times New Roman"/>
          <w:b/>
          <w:bCs/>
          <w:sz w:val="28"/>
          <w:szCs w:val="28"/>
        </w:rPr>
      </w:pPr>
      <w:r w:rsidRPr="002C2618">
        <w:rPr>
          <w:rFonts w:ascii="Times New Roman" w:hAnsi="Times New Roman" w:cs="Times New Roman"/>
          <w:b/>
          <w:bCs/>
          <w:sz w:val="28"/>
          <w:szCs w:val="28"/>
        </w:rPr>
        <w:t>Molecularly imprinted electrochemical sensors based on mesoporous silica films for the detection of Deoxynivalenol in grain</w:t>
      </w:r>
    </w:p>
    <w:p w14:paraId="4393F7F3" w14:textId="77777777" w:rsidR="00FA0C0C" w:rsidRPr="00CC294C" w:rsidRDefault="00FA0C0C" w:rsidP="00FA0C0C">
      <w:pPr>
        <w:spacing w:line="360" w:lineRule="auto"/>
        <w:ind w:firstLineChars="200" w:firstLine="420"/>
        <w:rPr>
          <w:rFonts w:ascii="Times New Roman" w:hAnsi="Times New Roman" w:cs="Times New Roman"/>
          <w:i/>
          <w:iCs/>
          <w:szCs w:val="21"/>
        </w:rPr>
      </w:pPr>
      <w:r>
        <w:rPr>
          <w:rFonts w:ascii="Times New Roman" w:hAnsi="Times New Roman" w:cs="Times New Roman"/>
          <w:i/>
          <w:iCs/>
          <w:szCs w:val="21"/>
        </w:rPr>
        <w:t>K</w:t>
      </w:r>
      <w:r>
        <w:rPr>
          <w:rFonts w:ascii="Times New Roman" w:hAnsi="Times New Roman" w:cs="Times New Roman" w:hint="eastAsia"/>
          <w:i/>
          <w:iCs/>
          <w:szCs w:val="21"/>
        </w:rPr>
        <w:t>e</w:t>
      </w:r>
      <w:r>
        <w:rPr>
          <w:rFonts w:ascii="Times New Roman" w:hAnsi="Times New Roman" w:cs="Times New Roman"/>
          <w:i/>
          <w:iCs/>
          <w:szCs w:val="21"/>
        </w:rPr>
        <w:t xml:space="preserve"> Wang</w:t>
      </w:r>
      <w:r w:rsidRPr="002C2618">
        <w:rPr>
          <w:rFonts w:ascii="Times New Roman" w:hAnsi="Times New Roman" w:cs="Times New Roman"/>
          <w:i/>
          <w:iCs/>
          <w:szCs w:val="21"/>
          <w:vertAlign w:val="superscript"/>
        </w:rPr>
        <w:t xml:space="preserve"> </w:t>
      </w:r>
      <w:r w:rsidRPr="002C2618">
        <w:rPr>
          <w:rFonts w:ascii="Times New Roman" w:hAnsi="Times New Roman" w:cs="Times New Roman"/>
          <w:i/>
          <w:iCs/>
          <w:color w:val="0070C0"/>
          <w:szCs w:val="21"/>
          <w:vertAlign w:val="superscript"/>
        </w:rPr>
        <w:t>a</w:t>
      </w:r>
      <w:r w:rsidRPr="002C2618">
        <w:rPr>
          <w:rFonts w:ascii="Times New Roman" w:hAnsi="Times New Roman" w:cs="Times New Roman"/>
          <w:i/>
          <w:iCs/>
          <w:szCs w:val="21"/>
        </w:rPr>
        <w:t>, Sidi Zhang</w:t>
      </w:r>
      <w:r w:rsidRPr="002C2618">
        <w:rPr>
          <w:rFonts w:ascii="Times New Roman" w:hAnsi="Times New Roman" w:cs="Times New Roman"/>
          <w:i/>
          <w:iCs/>
          <w:szCs w:val="21"/>
          <w:vertAlign w:val="superscript"/>
        </w:rPr>
        <w:t xml:space="preserve"> </w:t>
      </w:r>
      <w:r w:rsidRPr="002C2618">
        <w:rPr>
          <w:rFonts w:ascii="Times New Roman" w:hAnsi="Times New Roman" w:cs="Times New Roman"/>
          <w:i/>
          <w:iCs/>
          <w:color w:val="0070C0"/>
          <w:szCs w:val="21"/>
          <w:vertAlign w:val="superscript"/>
        </w:rPr>
        <w:t>a</w:t>
      </w:r>
      <w:r w:rsidRPr="002C2618">
        <w:rPr>
          <w:rFonts w:ascii="Times New Roman" w:hAnsi="Times New Roman" w:cs="Times New Roman"/>
          <w:i/>
          <w:iCs/>
          <w:szCs w:val="21"/>
        </w:rPr>
        <w:t xml:space="preserve">, </w:t>
      </w:r>
      <w:proofErr w:type="spellStart"/>
      <w:r w:rsidRPr="002C2618">
        <w:rPr>
          <w:rFonts w:ascii="Times New Roman" w:hAnsi="Times New Roman" w:cs="Times New Roman"/>
          <w:i/>
          <w:iCs/>
          <w:szCs w:val="21"/>
        </w:rPr>
        <w:t>Daokun</w:t>
      </w:r>
      <w:proofErr w:type="spellEnd"/>
      <w:r w:rsidRPr="002C2618">
        <w:rPr>
          <w:rFonts w:ascii="Times New Roman" w:hAnsi="Times New Roman" w:cs="Times New Roman"/>
          <w:i/>
          <w:iCs/>
          <w:szCs w:val="21"/>
        </w:rPr>
        <w:t xml:space="preserve"> Xu</w:t>
      </w:r>
      <w:r w:rsidRPr="002C2618">
        <w:rPr>
          <w:rFonts w:ascii="Times New Roman" w:hAnsi="Times New Roman" w:cs="Times New Roman"/>
          <w:i/>
          <w:iCs/>
          <w:color w:val="0070C0"/>
          <w:szCs w:val="21"/>
          <w:vertAlign w:val="superscript"/>
        </w:rPr>
        <w:t xml:space="preserve"> b</w:t>
      </w:r>
      <w:r w:rsidRPr="002C2618">
        <w:rPr>
          <w:rFonts w:ascii="Times New Roman" w:hAnsi="Times New Roman" w:cs="Times New Roman"/>
          <w:i/>
          <w:iCs/>
          <w:szCs w:val="21"/>
        </w:rPr>
        <w:t xml:space="preserve">, </w:t>
      </w:r>
      <w:proofErr w:type="spellStart"/>
      <w:r w:rsidRPr="002C2618">
        <w:rPr>
          <w:rFonts w:ascii="Times New Roman" w:hAnsi="Times New Roman" w:cs="Times New Roman"/>
          <w:i/>
          <w:iCs/>
          <w:szCs w:val="21"/>
        </w:rPr>
        <w:t>Songsong</w:t>
      </w:r>
      <w:proofErr w:type="spellEnd"/>
      <w:r w:rsidRPr="002C2618">
        <w:rPr>
          <w:rFonts w:ascii="Times New Roman" w:hAnsi="Times New Roman" w:cs="Times New Roman"/>
          <w:i/>
          <w:iCs/>
          <w:szCs w:val="21"/>
        </w:rPr>
        <w:t xml:space="preserve"> Jiang</w:t>
      </w:r>
      <w:r w:rsidRPr="002C2618">
        <w:rPr>
          <w:rFonts w:ascii="Times New Roman" w:hAnsi="Times New Roman" w:cs="Times New Roman"/>
          <w:i/>
          <w:iCs/>
          <w:color w:val="0070C0"/>
          <w:szCs w:val="21"/>
          <w:vertAlign w:val="superscript"/>
        </w:rPr>
        <w:t xml:space="preserve"> c</w:t>
      </w:r>
      <w:r w:rsidRPr="002C2618">
        <w:rPr>
          <w:rFonts w:ascii="Times New Roman" w:hAnsi="Times New Roman" w:cs="Times New Roman"/>
          <w:i/>
          <w:iCs/>
          <w:szCs w:val="21"/>
        </w:rPr>
        <w:t>, Lifeng Wang</w:t>
      </w:r>
      <w:r w:rsidRPr="002C2618">
        <w:rPr>
          <w:rFonts w:ascii="Times New Roman" w:hAnsi="Times New Roman" w:cs="Times New Roman"/>
          <w:i/>
          <w:iCs/>
          <w:color w:val="0070C0"/>
          <w:szCs w:val="21"/>
          <w:vertAlign w:val="superscript"/>
        </w:rPr>
        <w:t xml:space="preserve"> a</w:t>
      </w:r>
      <w:r>
        <w:rPr>
          <w:rFonts w:ascii="Times New Roman" w:hAnsi="Times New Roman" w:cs="Times New Roman"/>
          <w:i/>
          <w:iCs/>
          <w:color w:val="0070C0"/>
          <w:szCs w:val="21"/>
          <w:vertAlign w:val="superscript"/>
        </w:rPr>
        <w:t>*</w:t>
      </w:r>
      <w:r>
        <w:rPr>
          <w:rFonts w:ascii="Times New Roman" w:hAnsi="Times New Roman" w:cs="Times New Roman"/>
          <w:i/>
          <w:iCs/>
          <w:color w:val="0070C0"/>
          <w:szCs w:val="21"/>
        </w:rPr>
        <w:t xml:space="preserve">, </w:t>
      </w:r>
      <w:proofErr w:type="spellStart"/>
      <w:r w:rsidRPr="00495CCB">
        <w:rPr>
          <w:rFonts w:ascii="Times New Roman" w:hAnsi="Times New Roman" w:cs="Times New Roman"/>
          <w:i/>
          <w:iCs/>
          <w:szCs w:val="21"/>
        </w:rPr>
        <w:t>Donglei</w:t>
      </w:r>
      <w:proofErr w:type="spellEnd"/>
      <w:r w:rsidRPr="00495CCB">
        <w:rPr>
          <w:rFonts w:ascii="Times New Roman" w:hAnsi="Times New Roman" w:cs="Times New Roman"/>
          <w:i/>
          <w:iCs/>
          <w:szCs w:val="21"/>
        </w:rPr>
        <w:t xml:space="preserve"> Jiang </w:t>
      </w:r>
      <w:r w:rsidRPr="00CC294C">
        <w:rPr>
          <w:rFonts w:ascii="Times New Roman" w:hAnsi="Times New Roman" w:cs="Times New Roman"/>
          <w:i/>
          <w:iCs/>
          <w:color w:val="0070C0"/>
          <w:szCs w:val="21"/>
          <w:vertAlign w:val="superscript"/>
        </w:rPr>
        <w:t>a*</w:t>
      </w:r>
    </w:p>
    <w:p w14:paraId="1E9BFA9F" w14:textId="77777777" w:rsidR="00FA0C0C" w:rsidRPr="002C2618" w:rsidRDefault="00FA0C0C" w:rsidP="00FA0C0C">
      <w:pPr>
        <w:adjustRightInd w:val="0"/>
        <w:snapToGrid w:val="0"/>
        <w:spacing w:line="480" w:lineRule="auto"/>
        <w:rPr>
          <w:rFonts w:ascii="Times New Roman" w:hAnsi="Times New Roman" w:cs="Times New Roman"/>
          <w:i/>
          <w:szCs w:val="21"/>
        </w:rPr>
      </w:pPr>
      <w:r w:rsidRPr="002C2618">
        <w:rPr>
          <w:rFonts w:ascii="Times New Roman" w:hAnsi="Times New Roman" w:cs="Times New Roman"/>
          <w:i/>
          <w:szCs w:val="21"/>
          <w:vertAlign w:val="superscript"/>
        </w:rPr>
        <w:t>a.</w:t>
      </w:r>
      <w:r w:rsidRPr="002C2618">
        <w:rPr>
          <w:rFonts w:ascii="Times New Roman" w:hAnsi="Times New Roman" w:cs="Times New Roman"/>
          <w:i/>
          <w:szCs w:val="21"/>
        </w:rPr>
        <w:t xml:space="preserve"> College of Food Science and Engineering, Collaborative Innovation Center for Modern Grain Circulation and Safety, Key Laboratory of Grains and Oils Quality Control and Processing, Nanjing University of Finance and Economics, Nanjing, Jiangsu 210023, PR China </w:t>
      </w:r>
    </w:p>
    <w:p w14:paraId="60EA7B54" w14:textId="77777777" w:rsidR="00FA0C0C" w:rsidRPr="002C2618" w:rsidRDefault="00FA0C0C" w:rsidP="00FA0C0C">
      <w:pPr>
        <w:adjustRightInd w:val="0"/>
        <w:snapToGrid w:val="0"/>
        <w:spacing w:line="480" w:lineRule="auto"/>
        <w:rPr>
          <w:rFonts w:ascii="Times New Roman" w:hAnsi="Times New Roman" w:cs="Times New Roman"/>
          <w:i/>
          <w:szCs w:val="21"/>
        </w:rPr>
      </w:pPr>
      <w:r w:rsidRPr="002C2618">
        <w:rPr>
          <w:rFonts w:ascii="Times New Roman" w:hAnsi="Times New Roman" w:cs="Times New Roman"/>
          <w:i/>
          <w:szCs w:val="21"/>
          <w:vertAlign w:val="superscript"/>
        </w:rPr>
        <w:t>b.</w:t>
      </w:r>
      <w:r w:rsidRPr="002C2618">
        <w:rPr>
          <w:rFonts w:ascii="Times New Roman" w:hAnsi="Times New Roman" w:cs="Times New Roman"/>
        </w:rPr>
        <w:t xml:space="preserve"> </w:t>
      </w:r>
      <w:r w:rsidRPr="002C2618">
        <w:rPr>
          <w:rFonts w:ascii="Times New Roman" w:hAnsi="Times New Roman" w:cs="Times New Roman"/>
          <w:i/>
          <w:szCs w:val="21"/>
        </w:rPr>
        <w:t>Nanjing Institute for Food and Drug Control, Nanjing, Jiangsu, 211198, PR China</w:t>
      </w:r>
    </w:p>
    <w:p w14:paraId="1E8A2FFE" w14:textId="77777777" w:rsidR="00FA0C0C" w:rsidRPr="002C2618" w:rsidRDefault="00FA0C0C" w:rsidP="00FA0C0C">
      <w:pPr>
        <w:adjustRightInd w:val="0"/>
        <w:snapToGrid w:val="0"/>
        <w:spacing w:line="480" w:lineRule="auto"/>
        <w:rPr>
          <w:rFonts w:ascii="Times New Roman" w:hAnsi="Times New Roman" w:cs="Times New Roman"/>
          <w:b/>
          <w:bCs/>
          <w:sz w:val="24"/>
          <w:szCs w:val="28"/>
        </w:rPr>
      </w:pPr>
      <w:r w:rsidRPr="002C2618">
        <w:rPr>
          <w:rFonts w:ascii="Times New Roman" w:hAnsi="Times New Roman" w:cs="Times New Roman"/>
          <w:i/>
          <w:szCs w:val="21"/>
          <w:vertAlign w:val="superscript"/>
        </w:rPr>
        <w:t>c.</w:t>
      </w:r>
      <w:r w:rsidRPr="002C2618">
        <w:rPr>
          <w:rFonts w:ascii="Times New Roman" w:hAnsi="Times New Roman" w:cs="Times New Roman"/>
        </w:rPr>
        <w:t xml:space="preserve"> </w:t>
      </w:r>
      <w:r w:rsidRPr="002C2618">
        <w:rPr>
          <w:rFonts w:ascii="Times New Roman" w:hAnsi="Times New Roman" w:cs="Times New Roman"/>
          <w:i/>
          <w:szCs w:val="21"/>
        </w:rPr>
        <w:t>College of Tourism and Culinary Science, Yangzhou University, Yangzhou, Jiangsu 225127, PR China</w:t>
      </w:r>
    </w:p>
    <w:p w14:paraId="365FDB05" w14:textId="77777777" w:rsidR="00FA0C0C" w:rsidRPr="002C2618" w:rsidRDefault="00FA0C0C" w:rsidP="00FA0C0C">
      <w:pPr>
        <w:spacing w:line="360" w:lineRule="auto"/>
        <w:rPr>
          <w:rFonts w:ascii="Times New Roman" w:hAnsi="Times New Roman" w:cs="Times New Roman" w:hint="eastAsia"/>
          <w:b/>
          <w:bCs/>
          <w:sz w:val="24"/>
          <w:szCs w:val="28"/>
        </w:rPr>
      </w:pPr>
    </w:p>
    <w:p w14:paraId="16622E0E" w14:textId="77777777" w:rsidR="00FA0C0C" w:rsidRPr="002C2618" w:rsidRDefault="00FA0C0C" w:rsidP="00FA0C0C">
      <w:pPr>
        <w:spacing w:line="360" w:lineRule="auto"/>
        <w:rPr>
          <w:rFonts w:ascii="Times New Roman" w:hAnsi="Times New Roman" w:cs="Times New Roman" w:hint="eastAsia"/>
          <w:b/>
          <w:bCs/>
          <w:sz w:val="24"/>
          <w:szCs w:val="28"/>
        </w:rPr>
      </w:pPr>
    </w:p>
    <w:p w14:paraId="4F8D7D64" w14:textId="77777777" w:rsidR="00FA0C0C" w:rsidRPr="002C2618" w:rsidRDefault="00FA0C0C" w:rsidP="00FA0C0C">
      <w:pPr>
        <w:spacing w:line="360" w:lineRule="auto"/>
        <w:rPr>
          <w:rFonts w:ascii="Times New Roman" w:hAnsi="Times New Roman" w:cs="Times New Roman" w:hint="eastAsia"/>
          <w:b/>
          <w:bCs/>
          <w:sz w:val="24"/>
          <w:szCs w:val="28"/>
        </w:rPr>
      </w:pPr>
    </w:p>
    <w:p w14:paraId="021048E9" w14:textId="77777777" w:rsidR="00FA0C0C" w:rsidRPr="002C2618" w:rsidRDefault="00FA0C0C" w:rsidP="00FA0C0C">
      <w:pPr>
        <w:widowControl/>
        <w:spacing w:line="480" w:lineRule="auto"/>
        <w:rPr>
          <w:rFonts w:ascii="Times New Roman" w:hAnsi="Times New Roman" w:cs="Times New Roman"/>
          <w:sz w:val="24"/>
          <w:szCs w:val="24"/>
        </w:rPr>
      </w:pPr>
    </w:p>
    <w:p w14:paraId="45C9D57B" w14:textId="77777777" w:rsidR="00FA0C0C" w:rsidRPr="002C2618" w:rsidRDefault="00FA0C0C" w:rsidP="00FA0C0C">
      <w:pPr>
        <w:widowControl/>
        <w:spacing w:line="480" w:lineRule="auto"/>
        <w:rPr>
          <w:rFonts w:ascii="Times New Roman" w:hAnsi="Times New Roman" w:cs="Times New Roman"/>
          <w:sz w:val="24"/>
          <w:szCs w:val="24"/>
        </w:rPr>
      </w:pPr>
    </w:p>
    <w:p w14:paraId="6B0FAA6C" w14:textId="77777777" w:rsidR="00FA0C0C" w:rsidRPr="002C2618" w:rsidRDefault="00FA0C0C" w:rsidP="00FA0C0C">
      <w:pPr>
        <w:widowControl/>
        <w:spacing w:line="480" w:lineRule="auto"/>
        <w:rPr>
          <w:rFonts w:ascii="Times New Roman" w:hAnsi="Times New Roman" w:cs="Times New Roman"/>
          <w:sz w:val="24"/>
          <w:szCs w:val="24"/>
        </w:rPr>
      </w:pPr>
    </w:p>
    <w:p w14:paraId="5309E0CD" w14:textId="77777777" w:rsidR="00FA0C0C" w:rsidRPr="002C2618" w:rsidRDefault="00FA0C0C" w:rsidP="00FA0C0C">
      <w:pPr>
        <w:widowControl/>
        <w:spacing w:line="480" w:lineRule="auto"/>
        <w:rPr>
          <w:rFonts w:ascii="Times New Roman" w:hAnsi="Times New Roman" w:cs="Times New Roman"/>
          <w:sz w:val="24"/>
          <w:szCs w:val="24"/>
        </w:rPr>
      </w:pPr>
    </w:p>
    <w:p w14:paraId="3D020425" w14:textId="77777777" w:rsidR="00FA0C0C" w:rsidRPr="002C2618" w:rsidRDefault="00FA0C0C" w:rsidP="00FA0C0C">
      <w:pPr>
        <w:widowControl/>
        <w:spacing w:line="480" w:lineRule="auto"/>
        <w:rPr>
          <w:rFonts w:ascii="Times New Roman" w:hAnsi="Times New Roman" w:cs="Times New Roman"/>
          <w:sz w:val="24"/>
          <w:szCs w:val="24"/>
        </w:rPr>
      </w:pPr>
    </w:p>
    <w:p w14:paraId="1165D9F5" w14:textId="77777777" w:rsidR="00FA0C0C" w:rsidRPr="002C2618" w:rsidRDefault="00FA0C0C" w:rsidP="00FA0C0C">
      <w:pPr>
        <w:widowControl/>
        <w:spacing w:line="480" w:lineRule="auto"/>
        <w:rPr>
          <w:rFonts w:ascii="Times New Roman" w:hAnsi="Times New Roman" w:cs="Times New Roman"/>
          <w:sz w:val="24"/>
          <w:szCs w:val="24"/>
        </w:rPr>
      </w:pPr>
    </w:p>
    <w:p w14:paraId="0B674FAB" w14:textId="77777777" w:rsidR="00FA0C0C" w:rsidRPr="002C2618" w:rsidRDefault="00FA0C0C" w:rsidP="00FA0C0C">
      <w:pPr>
        <w:widowControl/>
        <w:spacing w:line="480" w:lineRule="auto"/>
        <w:rPr>
          <w:rFonts w:ascii="Times New Roman" w:hAnsi="Times New Roman" w:cs="Times New Roman"/>
          <w:sz w:val="24"/>
          <w:szCs w:val="24"/>
        </w:rPr>
      </w:pPr>
      <w:r w:rsidRPr="002C2618">
        <w:rPr>
          <w:rFonts w:ascii="Times New Roman" w:hAnsi="Times New Roman" w:cs="Times New Roman"/>
          <w:sz w:val="24"/>
          <w:szCs w:val="24"/>
        </w:rPr>
        <w:t>*Corresponding author*:</w:t>
      </w:r>
    </w:p>
    <w:p w14:paraId="1568076D" w14:textId="77777777" w:rsidR="00FA0C0C" w:rsidRPr="002C2618" w:rsidRDefault="00FA0C0C" w:rsidP="00FA0C0C">
      <w:pPr>
        <w:spacing w:line="480" w:lineRule="auto"/>
        <w:rPr>
          <w:rFonts w:ascii="Times New Roman" w:hAnsi="Times New Roman" w:cs="Times New Roman"/>
          <w:bCs/>
          <w:sz w:val="24"/>
          <w:szCs w:val="24"/>
        </w:rPr>
      </w:pPr>
      <w:r w:rsidRPr="002C2618">
        <w:rPr>
          <w:rFonts w:ascii="Times New Roman" w:hAnsi="Times New Roman" w:cs="Times New Roman"/>
          <w:bCs/>
          <w:sz w:val="24"/>
          <w:szCs w:val="24"/>
        </w:rPr>
        <w:t>E-mail addresses:</w:t>
      </w:r>
      <w:r>
        <w:rPr>
          <w:rFonts w:ascii="Times New Roman" w:hAnsi="Times New Roman" w:cs="Times New Roman"/>
          <w:bCs/>
          <w:sz w:val="24"/>
          <w:szCs w:val="24"/>
        </w:rPr>
        <w:t xml:space="preserve"> </w:t>
      </w:r>
      <w:hyperlink r:id="rId7" w:history="1">
        <w:r w:rsidRPr="000324FB">
          <w:rPr>
            <w:rStyle w:val="af5"/>
            <w:rFonts w:ascii="Times New Roman" w:hAnsi="Times New Roman" w:cs="Times New Roman"/>
            <w:bCs/>
            <w:sz w:val="24"/>
            <w:szCs w:val="24"/>
          </w:rPr>
          <w:t>dljiang@nufe.edu.cn</w:t>
        </w:r>
        <w:r w:rsidRPr="000324FB">
          <w:rPr>
            <w:rStyle w:val="af5"/>
            <w:rFonts w:ascii="Times New Roman" w:hAnsi="Times New Roman" w:cs="Times New Roman" w:hint="eastAsia"/>
            <w:bCs/>
            <w:sz w:val="24"/>
            <w:szCs w:val="24"/>
          </w:rPr>
          <w:t>,</w:t>
        </w:r>
        <w:r w:rsidRPr="000324FB">
          <w:rPr>
            <w:rStyle w:val="af5"/>
            <w:rFonts w:ascii="Times New Roman" w:hAnsi="Times New Roman" w:cs="Times New Roman"/>
            <w:bCs/>
            <w:sz w:val="24"/>
            <w:szCs w:val="24"/>
          </w:rPr>
          <w:t>wanglifeng</w:t>
        </w:r>
      </w:hyperlink>
      <w:r>
        <w:rPr>
          <w:rFonts w:ascii="Times New Roman" w:hAnsi="Times New Roman" w:cs="Times New Roman" w:hint="eastAsia"/>
          <w:bCs/>
          <w:sz w:val="24"/>
          <w:szCs w:val="24"/>
        </w:rPr>
        <w:t xml:space="preserve"> </w:t>
      </w:r>
      <w:r w:rsidRPr="002C2618">
        <w:rPr>
          <w:rFonts w:ascii="Times New Roman" w:hAnsi="Times New Roman" w:cs="Times New Roman"/>
          <w:bCs/>
          <w:sz w:val="24"/>
          <w:szCs w:val="24"/>
        </w:rPr>
        <w:t xml:space="preserve">8@163.com </w:t>
      </w:r>
    </w:p>
    <w:p w14:paraId="52F18BD5" w14:textId="77777777" w:rsidR="00FA0C0C" w:rsidRPr="002C2618" w:rsidRDefault="00FA0C0C" w:rsidP="00FA0C0C">
      <w:pPr>
        <w:spacing w:line="480" w:lineRule="auto"/>
        <w:rPr>
          <w:rFonts w:ascii="Times New Roman" w:hAnsi="Times New Roman" w:cs="Times New Roman"/>
          <w:bCs/>
          <w:sz w:val="24"/>
          <w:szCs w:val="24"/>
        </w:rPr>
      </w:pPr>
      <w:r w:rsidRPr="002C2618">
        <w:rPr>
          <w:rFonts w:ascii="Times New Roman" w:hAnsi="Times New Roman" w:cs="Times New Roman"/>
          <w:bCs/>
          <w:sz w:val="24"/>
          <w:szCs w:val="24"/>
        </w:rPr>
        <w:t>Tel/Fax</w:t>
      </w:r>
      <w:r w:rsidRPr="002C2618">
        <w:rPr>
          <w:rFonts w:ascii="Times New Roman" w:hAnsi="Times New Roman" w:cs="Times New Roman"/>
          <w:bCs/>
          <w:sz w:val="24"/>
          <w:szCs w:val="24"/>
        </w:rPr>
        <w:t>：</w:t>
      </w:r>
      <w:r w:rsidRPr="002C2618">
        <w:rPr>
          <w:rFonts w:ascii="Times New Roman" w:hAnsi="Times New Roman" w:cs="Times New Roman"/>
          <w:bCs/>
          <w:sz w:val="24"/>
          <w:szCs w:val="24"/>
        </w:rPr>
        <w:t xml:space="preserve">86-025- 86718520 </w:t>
      </w:r>
    </w:p>
    <w:p w14:paraId="178E3CCE" w14:textId="77777777" w:rsidR="00FA0C0C" w:rsidRPr="002C2618" w:rsidRDefault="00FA0C0C" w:rsidP="00FA0C0C">
      <w:pPr>
        <w:spacing w:line="360" w:lineRule="auto"/>
        <w:ind w:firstLineChars="200" w:firstLine="480"/>
        <w:rPr>
          <w:rFonts w:ascii="Times New Roman" w:hAnsi="Times New Roman" w:cs="Times New Roman"/>
          <w:b/>
          <w:bCs/>
          <w:sz w:val="24"/>
          <w:szCs w:val="28"/>
        </w:rPr>
      </w:pPr>
    </w:p>
    <w:p w14:paraId="46BF56D2" w14:textId="77777777" w:rsidR="00FA0C0C" w:rsidRPr="002C2618" w:rsidRDefault="00FA0C0C" w:rsidP="00FA0C0C">
      <w:pPr>
        <w:widowControl/>
        <w:rPr>
          <w:rFonts w:ascii="Times New Roman" w:hAnsi="Times New Roman" w:cs="Times New Roman"/>
          <w:b/>
          <w:bCs/>
          <w:sz w:val="24"/>
          <w:szCs w:val="28"/>
        </w:rPr>
      </w:pPr>
      <w:r w:rsidRPr="002C2618">
        <w:rPr>
          <w:rFonts w:ascii="Times New Roman" w:hAnsi="Times New Roman" w:cs="Times New Roman"/>
          <w:b/>
          <w:bCs/>
          <w:sz w:val="24"/>
          <w:szCs w:val="28"/>
        </w:rPr>
        <w:br w:type="page"/>
      </w:r>
    </w:p>
    <w:p w14:paraId="2F308897" w14:textId="11468B1A" w:rsidR="00C80AE1" w:rsidRPr="00D221B0" w:rsidRDefault="00C80AE1" w:rsidP="00C80AE1">
      <w:pPr>
        <w:spacing w:line="360" w:lineRule="auto"/>
        <w:rPr>
          <w:rFonts w:ascii="Times New Roman" w:eastAsia="宋体" w:hAnsi="Times New Roman" w:cs="Times New Roman"/>
          <w:b/>
          <w:bCs/>
          <w:sz w:val="24"/>
          <w:szCs w:val="24"/>
        </w:rPr>
      </w:pPr>
      <w:r w:rsidRPr="00D221B0">
        <w:rPr>
          <w:rFonts w:ascii="Times New Roman" w:eastAsia="宋体" w:hAnsi="Times New Roman" w:cs="Times New Roman"/>
          <w:b/>
          <w:bCs/>
          <w:noProof/>
          <w:sz w:val="24"/>
          <w:szCs w:val="24"/>
        </w:rPr>
        <w:lastRenderedPageBreak/>
        <w:drawing>
          <wp:inline distT="0" distB="0" distL="0" distR="0" wp14:anchorId="13A1243D" wp14:editId="74F482D2">
            <wp:extent cx="5211445" cy="1889393"/>
            <wp:effectExtent l="0" t="0" r="8255" b="0"/>
            <wp:docPr id="211282967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476" cy="1901006"/>
                    </a:xfrm>
                    <a:prstGeom prst="rect">
                      <a:avLst/>
                    </a:prstGeom>
                    <a:noFill/>
                  </pic:spPr>
                </pic:pic>
              </a:graphicData>
            </a:graphic>
          </wp:inline>
        </w:drawing>
      </w:r>
    </w:p>
    <w:p w14:paraId="23F3B04D" w14:textId="5BDADDE5" w:rsidR="005E70AE" w:rsidRPr="008A0DF8" w:rsidRDefault="005E70AE" w:rsidP="008A0DF8">
      <w:pPr>
        <w:widowControl/>
        <w:spacing w:line="360" w:lineRule="auto"/>
        <w:rPr>
          <w:rFonts w:ascii="Times New Roman" w:eastAsia="宋体" w:hAnsi="Times New Roman" w:cs="Times New Roman"/>
          <w:sz w:val="24"/>
          <w:szCs w:val="24"/>
        </w:rPr>
      </w:pPr>
      <w:r w:rsidRPr="008A0DF8">
        <w:rPr>
          <w:rFonts w:ascii="Times New Roman" w:eastAsia="宋体" w:hAnsi="Times New Roman" w:cs="Times New Roman" w:hint="eastAsia"/>
          <w:b/>
          <w:bCs/>
          <w:sz w:val="24"/>
          <w:szCs w:val="24"/>
        </w:rPr>
        <w:t>Fig</w:t>
      </w:r>
      <w:r w:rsidR="00C45ED5" w:rsidRPr="008A0DF8">
        <w:rPr>
          <w:rFonts w:ascii="Times New Roman" w:eastAsia="宋体" w:hAnsi="Times New Roman" w:cs="Times New Roman" w:hint="eastAsia"/>
          <w:b/>
          <w:bCs/>
          <w:sz w:val="24"/>
          <w:szCs w:val="24"/>
        </w:rPr>
        <w:t>ure</w:t>
      </w:r>
      <w:r w:rsidRPr="008A0DF8">
        <w:rPr>
          <w:rFonts w:ascii="Times New Roman" w:eastAsia="宋体" w:hAnsi="Times New Roman" w:cs="Times New Roman" w:hint="eastAsia"/>
          <w:b/>
          <w:bCs/>
          <w:sz w:val="24"/>
          <w:szCs w:val="24"/>
        </w:rPr>
        <w:t xml:space="preserve"> S1</w:t>
      </w:r>
      <w:r w:rsidR="008A0DF8">
        <w:rPr>
          <w:rFonts w:ascii="Times New Roman" w:eastAsia="宋体" w:hAnsi="Times New Roman" w:cs="Times New Roman" w:hint="eastAsia"/>
          <w:b/>
          <w:bCs/>
          <w:sz w:val="24"/>
          <w:szCs w:val="24"/>
        </w:rPr>
        <w:t>.</w:t>
      </w:r>
      <w:r w:rsidRPr="008A0DF8">
        <w:rPr>
          <w:rFonts w:ascii="Times New Roman" w:eastAsia="宋体" w:hAnsi="Times New Roman" w:cs="Times New Roman" w:hint="eastAsia"/>
          <w:sz w:val="24"/>
          <w:szCs w:val="24"/>
        </w:rPr>
        <w:t xml:space="preserve"> (A) CV curves of GO at different concentrations (B) DPV curves of GO at different concentrations.</w:t>
      </w:r>
    </w:p>
    <w:p w14:paraId="49A031D8" w14:textId="6728D156" w:rsidR="008021F8" w:rsidRDefault="008021F8" w:rsidP="005E70AE">
      <w:pPr>
        <w:widowControl/>
        <w:rPr>
          <w:rFonts w:hint="eastAsia"/>
        </w:rPr>
      </w:pPr>
      <w:r>
        <w:rPr>
          <w:rFonts w:hint="eastAsia"/>
        </w:rPr>
        <w:br w:type="page"/>
      </w:r>
    </w:p>
    <w:p w14:paraId="342C42B1" w14:textId="6635553A" w:rsidR="008021F8" w:rsidRPr="00DF317E" w:rsidRDefault="002E5D65" w:rsidP="008021F8">
      <w:pPr>
        <w:spacing w:line="360" w:lineRule="auto"/>
        <w:jc w:val="center"/>
        <w:rPr>
          <w:rFonts w:ascii="Times New Roman" w:hAnsi="Times New Roman" w:cs="Times New Roman"/>
          <w:sz w:val="24"/>
          <w:szCs w:val="28"/>
        </w:rPr>
      </w:pPr>
      <w:r>
        <w:rPr>
          <w:rFonts w:ascii="Times New Roman" w:hAnsi="Times New Roman" w:cs="Times New Roman"/>
          <w:noProof/>
          <w:sz w:val="24"/>
          <w:szCs w:val="28"/>
        </w:rPr>
        <w:lastRenderedPageBreak/>
        <w:drawing>
          <wp:inline distT="0" distB="0" distL="0" distR="0" wp14:anchorId="7BBAF97C" wp14:editId="02E5EEA6">
            <wp:extent cx="5274310" cy="2157730"/>
            <wp:effectExtent l="0" t="0" r="2540" b="0"/>
            <wp:docPr id="665670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70505" name="图片 6656705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157730"/>
                    </a:xfrm>
                    <a:prstGeom prst="rect">
                      <a:avLst/>
                    </a:prstGeom>
                  </pic:spPr>
                </pic:pic>
              </a:graphicData>
            </a:graphic>
          </wp:inline>
        </w:drawing>
      </w:r>
    </w:p>
    <w:p w14:paraId="21075D5D" w14:textId="110B8CFF" w:rsidR="008021F8" w:rsidRPr="00DF317E" w:rsidRDefault="00C45ED5" w:rsidP="008A0DF8">
      <w:pPr>
        <w:spacing w:line="360" w:lineRule="auto"/>
        <w:rPr>
          <w:rFonts w:ascii="Times New Roman" w:hAnsi="Times New Roman" w:cs="Times New Roman"/>
          <w:sz w:val="24"/>
          <w:szCs w:val="28"/>
        </w:rPr>
      </w:pPr>
      <w:r w:rsidRPr="00C45ED5">
        <w:rPr>
          <w:rFonts w:ascii="Times New Roman" w:hAnsi="Times New Roman" w:cs="Times New Roman" w:hint="eastAsia"/>
          <w:b/>
          <w:bCs/>
          <w:sz w:val="24"/>
          <w:szCs w:val="28"/>
        </w:rPr>
        <w:t>Figure</w:t>
      </w:r>
      <w:r w:rsidR="008A0DF8">
        <w:rPr>
          <w:rFonts w:ascii="Times New Roman" w:hAnsi="Times New Roman" w:cs="Times New Roman" w:hint="eastAsia"/>
          <w:b/>
          <w:bCs/>
          <w:sz w:val="24"/>
          <w:szCs w:val="28"/>
        </w:rPr>
        <w:t xml:space="preserve"> </w:t>
      </w:r>
      <w:r w:rsidR="008021F8" w:rsidRPr="00C45ED5">
        <w:rPr>
          <w:rFonts w:ascii="Times New Roman" w:hAnsi="Times New Roman" w:cs="Times New Roman" w:hint="eastAsia"/>
          <w:b/>
          <w:bCs/>
          <w:sz w:val="24"/>
          <w:szCs w:val="28"/>
        </w:rPr>
        <w:t>S2</w:t>
      </w:r>
      <w:r w:rsidR="008A0DF8">
        <w:rPr>
          <w:rFonts w:ascii="Times New Roman" w:hAnsi="Times New Roman" w:cs="Times New Roman" w:hint="eastAsia"/>
          <w:b/>
          <w:bCs/>
          <w:sz w:val="24"/>
          <w:szCs w:val="28"/>
        </w:rPr>
        <w:t>.</w:t>
      </w:r>
      <w:r w:rsidR="008021F8" w:rsidRPr="00DF317E">
        <w:rPr>
          <w:rFonts w:ascii="Times New Roman" w:hAnsi="Times New Roman" w:cs="Times New Roman"/>
          <w:sz w:val="24"/>
          <w:szCs w:val="28"/>
        </w:rPr>
        <w:t xml:space="preserve"> Sensor specificity (A) and repeatability (B)</w:t>
      </w:r>
    </w:p>
    <w:p w14:paraId="32958331" w14:textId="10B0B5A6" w:rsidR="008021F8" w:rsidRPr="00DF317E" w:rsidRDefault="008021F8" w:rsidP="008021F8">
      <w:pPr>
        <w:spacing w:line="360" w:lineRule="auto"/>
        <w:jc w:val="center"/>
        <w:rPr>
          <w:rFonts w:ascii="Times New Roman" w:hAnsi="Times New Roman" w:cs="Times New Roman"/>
          <w:sz w:val="24"/>
          <w:szCs w:val="28"/>
        </w:rPr>
      </w:pPr>
    </w:p>
    <w:p w14:paraId="2CD6B071" w14:textId="58B3BCE9" w:rsidR="008021F8" w:rsidRPr="00DF317E" w:rsidRDefault="008021F8" w:rsidP="008021F8">
      <w:pPr>
        <w:widowControl/>
        <w:jc w:val="left"/>
        <w:rPr>
          <w:rFonts w:ascii="Times New Roman" w:hAnsi="Times New Roman" w:cs="Times New Roman"/>
          <w:sz w:val="24"/>
          <w:szCs w:val="28"/>
        </w:rPr>
      </w:pPr>
      <w:r w:rsidRPr="00DF317E">
        <w:rPr>
          <w:rFonts w:ascii="Times New Roman" w:hAnsi="Times New Roman" w:cs="Times New Roman"/>
          <w:sz w:val="24"/>
          <w:szCs w:val="28"/>
        </w:rPr>
        <w:br w:type="page"/>
      </w:r>
    </w:p>
    <w:p w14:paraId="433B9706" w14:textId="0AAF7EA6" w:rsidR="008021F8" w:rsidRPr="00DF317E" w:rsidRDefault="008021F8" w:rsidP="008021F8">
      <w:pPr>
        <w:spacing w:line="480" w:lineRule="auto"/>
        <w:jc w:val="center"/>
        <w:rPr>
          <w:rFonts w:ascii="Times New Roman" w:hAnsi="Times New Roman"/>
          <w:sz w:val="24"/>
          <w:szCs w:val="24"/>
        </w:rPr>
      </w:pPr>
      <w:r w:rsidRPr="00DF317E">
        <w:rPr>
          <w:rFonts w:ascii="Times New Roman" w:hAnsi="Times New Roman"/>
          <w:b/>
          <w:bCs/>
          <w:sz w:val="24"/>
          <w:szCs w:val="24"/>
        </w:rPr>
        <w:lastRenderedPageBreak/>
        <w:t xml:space="preserve">Table </w:t>
      </w:r>
      <w:r w:rsidR="002E5D65">
        <w:rPr>
          <w:rFonts w:ascii="Times New Roman" w:hAnsi="Times New Roman" w:hint="eastAsia"/>
          <w:b/>
          <w:bCs/>
          <w:sz w:val="24"/>
          <w:szCs w:val="24"/>
        </w:rPr>
        <w:t>S</w:t>
      </w:r>
      <w:r w:rsidRPr="00DF317E">
        <w:rPr>
          <w:rFonts w:ascii="Times New Roman" w:hAnsi="Times New Roman"/>
          <w:b/>
          <w:bCs/>
          <w:sz w:val="24"/>
          <w:szCs w:val="24"/>
        </w:rPr>
        <w:t xml:space="preserve">1. </w:t>
      </w:r>
      <w:r w:rsidRPr="00DF317E">
        <w:rPr>
          <w:rFonts w:ascii="Times New Roman" w:hAnsi="Times New Roman"/>
          <w:sz w:val="24"/>
          <w:szCs w:val="24"/>
        </w:rPr>
        <w:t>Analytical performances of other</w:t>
      </w:r>
      <w:r w:rsidRPr="00DF317E">
        <w:rPr>
          <w:rFonts w:ascii="Times New Roman" w:hAnsi="Times New Roman" w:hint="eastAsia"/>
          <w:sz w:val="24"/>
          <w:szCs w:val="24"/>
        </w:rPr>
        <w:t xml:space="preserve"> </w:t>
      </w:r>
      <w:r w:rsidRPr="00DF317E">
        <w:rPr>
          <w:rFonts w:ascii="Times New Roman" w:hAnsi="Times New Roman"/>
          <w:sz w:val="24"/>
          <w:szCs w:val="24"/>
        </w:rPr>
        <w:t xml:space="preserve">methods for </w:t>
      </w:r>
      <w:r w:rsidRPr="00DF317E">
        <w:rPr>
          <w:rFonts w:ascii="Times New Roman" w:hAnsi="Times New Roman" w:hint="eastAsia"/>
          <w:sz w:val="24"/>
          <w:szCs w:val="24"/>
        </w:rPr>
        <w:t>DON</w:t>
      </w:r>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1546"/>
        <w:gridCol w:w="1196"/>
      </w:tblGrid>
      <w:tr w:rsidR="008021F8" w:rsidRPr="00DF317E" w14:paraId="31D76E5F" w14:textId="77777777" w:rsidTr="006C0532">
        <w:tc>
          <w:tcPr>
            <w:tcW w:w="2977" w:type="dxa"/>
            <w:tcBorders>
              <w:top w:val="single" w:sz="12" w:space="0" w:color="auto"/>
              <w:bottom w:val="single" w:sz="4" w:space="0" w:color="auto"/>
            </w:tcBorders>
            <w:vAlign w:val="center"/>
          </w:tcPr>
          <w:p w14:paraId="601D8EF4"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Method</w:t>
            </w:r>
          </w:p>
        </w:tc>
        <w:tc>
          <w:tcPr>
            <w:tcW w:w="1985" w:type="dxa"/>
            <w:tcBorders>
              <w:top w:val="single" w:sz="12" w:space="0" w:color="auto"/>
              <w:bottom w:val="single" w:sz="4" w:space="0" w:color="auto"/>
            </w:tcBorders>
            <w:vAlign w:val="center"/>
          </w:tcPr>
          <w:p w14:paraId="6902154F"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Linear range</w:t>
            </w:r>
          </w:p>
        </w:tc>
        <w:tc>
          <w:tcPr>
            <w:tcW w:w="1546" w:type="dxa"/>
            <w:tcBorders>
              <w:top w:val="single" w:sz="12" w:space="0" w:color="auto"/>
              <w:bottom w:val="single" w:sz="4" w:space="0" w:color="auto"/>
            </w:tcBorders>
            <w:vAlign w:val="center"/>
          </w:tcPr>
          <w:p w14:paraId="0FF85C68"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LOD</w:t>
            </w:r>
          </w:p>
        </w:tc>
        <w:tc>
          <w:tcPr>
            <w:tcW w:w="0" w:type="auto"/>
            <w:tcBorders>
              <w:top w:val="single" w:sz="12" w:space="0" w:color="auto"/>
              <w:bottom w:val="single" w:sz="4" w:space="0" w:color="auto"/>
            </w:tcBorders>
            <w:vAlign w:val="center"/>
          </w:tcPr>
          <w:p w14:paraId="45FDBA0D"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Ref.</w:t>
            </w:r>
          </w:p>
        </w:tc>
      </w:tr>
      <w:tr w:rsidR="008021F8" w:rsidRPr="00DF317E" w14:paraId="2D5965BA" w14:textId="77777777" w:rsidTr="006C0532">
        <w:tc>
          <w:tcPr>
            <w:tcW w:w="2977" w:type="dxa"/>
            <w:tcBorders>
              <w:top w:val="single" w:sz="4" w:space="0" w:color="auto"/>
            </w:tcBorders>
            <w:vAlign w:val="center"/>
          </w:tcPr>
          <w:p w14:paraId="30B210B3"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 xml:space="preserve">DNA fluorescent </w:t>
            </w:r>
            <w:proofErr w:type="spellStart"/>
            <w:r w:rsidRPr="00DF317E">
              <w:rPr>
                <w:rFonts w:ascii="Times New Roman" w:hAnsi="Times New Roman" w:cs="Times New Roman"/>
                <w:sz w:val="24"/>
                <w:szCs w:val="24"/>
              </w:rPr>
              <w:t>aptasensor</w:t>
            </w:r>
            <w:proofErr w:type="spellEnd"/>
            <w:r w:rsidRPr="00DF317E">
              <w:rPr>
                <w:rFonts w:ascii="Times New Roman" w:hAnsi="Times New Roman" w:cs="Times New Roman"/>
                <w:sz w:val="24"/>
                <w:szCs w:val="24"/>
              </w:rPr>
              <w:t xml:space="preserve"> biosensor</w:t>
            </w:r>
          </w:p>
        </w:tc>
        <w:tc>
          <w:tcPr>
            <w:tcW w:w="1985" w:type="dxa"/>
            <w:tcBorders>
              <w:top w:val="single" w:sz="4" w:space="0" w:color="auto"/>
            </w:tcBorders>
            <w:vAlign w:val="center"/>
          </w:tcPr>
          <w:p w14:paraId="3A3762DE"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0.1</w:t>
            </w:r>
            <w:r w:rsidRPr="00DF317E">
              <w:rPr>
                <w:rFonts w:ascii="Times New Roman" w:hAnsi="Times New Roman" w:cs="Times New Roman" w:hint="eastAsia"/>
                <w:sz w:val="24"/>
                <w:szCs w:val="24"/>
              </w:rPr>
              <w:t>-</w:t>
            </w:r>
            <w:r w:rsidRPr="00DF317E">
              <w:rPr>
                <w:rFonts w:ascii="Times New Roman" w:hAnsi="Times New Roman" w:cs="Times New Roman"/>
                <w:sz w:val="24"/>
                <w:szCs w:val="24"/>
              </w:rPr>
              <w:t>50 ng/mL</w:t>
            </w:r>
          </w:p>
        </w:tc>
        <w:tc>
          <w:tcPr>
            <w:tcW w:w="1546" w:type="dxa"/>
            <w:tcBorders>
              <w:top w:val="single" w:sz="4" w:space="0" w:color="auto"/>
            </w:tcBorders>
            <w:vAlign w:val="center"/>
          </w:tcPr>
          <w:p w14:paraId="79D8AF31"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0.033 ng/mL</w:t>
            </w:r>
          </w:p>
        </w:tc>
        <w:tc>
          <w:tcPr>
            <w:tcW w:w="0" w:type="auto"/>
            <w:tcBorders>
              <w:top w:val="single" w:sz="4" w:space="0" w:color="auto"/>
            </w:tcBorders>
            <w:vAlign w:val="center"/>
          </w:tcPr>
          <w:p w14:paraId="08C5F51F" w14:textId="7281E83F"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fldChar w:fldCharType="begin"/>
            </w:r>
            <w:r w:rsidR="003143D7">
              <w:rPr>
                <w:rFonts w:ascii="Times New Roman" w:hAnsi="Times New Roman" w:cs="Times New Roman"/>
                <w:sz w:val="24"/>
                <w:szCs w:val="24"/>
              </w:rPr>
              <w:instrText xml:space="preserve"> ADDIN ZOTERO_ITEM CSL_CITATION {"citationID":"mYObIHI0","properties":{"formattedCitation":"[1]","plainCitation":"[1]","noteIndex":0},"citationItems":[{"id":857,"uris":["http://zotero.org/users/local/VyWnqwWi/items/SVTV9DAI"],"itemData":{"id":857,"type":"article-journal","abstract":"Deoxynivalenol (DON) is one of the most harmful mycotoxins that poses great health threats to human and animals. Herein, a simple and sensitive magnetic beads-based fluorescent biosensor was successfully prepared for detection of DON in cereals. A stable double-stranded DNA (dsDNA, biotin-sDNA+FAM-cDNA/AP) was formed on the surface of streptavidin-coated magnetic beads (SMBs). DON could specifically bind to aptamer probe (AP), thereby releasing cDNA labeled with 6-carboxyfluorescein (FAM) (FAM-cDNA). After magnetic separation, the amount of FAM-cDNA was analyzed to achieve the detection of DON. Under the optimal conditions, the established aptasensor displayed excellent performance for DON analysis with the nice linear relationship (R2 = 0.9972) in the range of 0.1–50 ng/mL, high sensitivity (detection limit of 0.033 ng/mL) and selectivity. The total analysis time including samples preparation was around 200 min. The designed sensor was validated by determining the recoveries (95.48–112.48 %) in real paddy, wheat and maize samples, and its applicability to them was also verified by super-high performance liquid chromatography tandem mass spectrometry (UPLC-MS/MS). The current study proposed a promising strategy for DON detection, and could easily be extended for the analysis of other targets through the rational design of the sequences of aptamer probe and cDNA.","container-title":"Food Chemistry","DOI":"10.1016/j.foodchem.2025.143042","ISSN":"0308-8146","journalAbbreviation":"Food Chemistry","page":"143042","source":"ScienceDirect","title":"Magnetic beads-based double-stranded DNA fluorescent aptasensor biosensor for deoxynivalenol detection","volume":"473","author":[{"family":"Meng","given":"Jiajia"},{"family":"Li","given":"Ruijiao"},{"family":"Chen","given":"Xinyue"},{"family":"Wang","given":"Xinyi"},{"family":"Huang","given":"Qingwen"},{"family":"Nie","given":"Dongxia"},{"family":"Guo","given":"Dakai"},{"family":"Zhao","given":"Zhihui"},{"family":"Han","given":"Zheng"}],"issued":{"date-parts":[["2025",5,1]]}}}],"schema":"https://github.com/citation-style-language/schema/raw/master/csl-citation.json"} </w:instrText>
            </w:r>
            <w:r w:rsidRPr="00DF317E">
              <w:rPr>
                <w:rFonts w:ascii="Times New Roman" w:hAnsi="Times New Roman" w:cs="Times New Roman"/>
                <w:sz w:val="24"/>
                <w:szCs w:val="24"/>
              </w:rPr>
              <w:fldChar w:fldCharType="separate"/>
            </w:r>
            <w:r w:rsidR="003143D7" w:rsidRPr="003143D7">
              <w:rPr>
                <w:rFonts w:ascii="Times New Roman" w:hAnsi="Times New Roman" w:cs="Times New Roman" w:hint="eastAsia"/>
                <w:sz w:val="24"/>
              </w:rPr>
              <w:t>[1]</w:t>
            </w:r>
            <w:r w:rsidRPr="00DF317E">
              <w:rPr>
                <w:rFonts w:ascii="Times New Roman" w:hAnsi="Times New Roman" w:cs="Times New Roman"/>
                <w:sz w:val="24"/>
                <w:szCs w:val="24"/>
              </w:rPr>
              <w:fldChar w:fldCharType="end"/>
            </w:r>
          </w:p>
        </w:tc>
      </w:tr>
      <w:tr w:rsidR="008021F8" w:rsidRPr="00DF317E" w14:paraId="325AA602" w14:textId="77777777" w:rsidTr="006C0532">
        <w:tc>
          <w:tcPr>
            <w:tcW w:w="2977" w:type="dxa"/>
            <w:vAlign w:val="center"/>
          </w:tcPr>
          <w:p w14:paraId="59A064A3"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Immunofluorescence probe</w:t>
            </w:r>
          </w:p>
        </w:tc>
        <w:tc>
          <w:tcPr>
            <w:tcW w:w="1985" w:type="dxa"/>
            <w:vAlign w:val="center"/>
          </w:tcPr>
          <w:p w14:paraId="7941B9C5"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0-16 ng/mL</w:t>
            </w:r>
          </w:p>
        </w:tc>
        <w:tc>
          <w:tcPr>
            <w:tcW w:w="1546" w:type="dxa"/>
            <w:vAlign w:val="center"/>
          </w:tcPr>
          <w:p w14:paraId="6980C4BB"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0.25 ng/mL</w:t>
            </w:r>
          </w:p>
        </w:tc>
        <w:tc>
          <w:tcPr>
            <w:tcW w:w="0" w:type="auto"/>
            <w:vAlign w:val="center"/>
          </w:tcPr>
          <w:p w14:paraId="0C08380B" w14:textId="6490B511"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fldChar w:fldCharType="begin"/>
            </w:r>
            <w:r w:rsidR="003143D7">
              <w:rPr>
                <w:rFonts w:ascii="Times New Roman" w:hAnsi="Times New Roman" w:cs="Times New Roman"/>
                <w:sz w:val="24"/>
                <w:szCs w:val="24"/>
              </w:rPr>
              <w:instrText xml:space="preserve"> ADDIN ZOTERO_ITEM CSL_CITATION {"citationID":"4fHdIl1H","properties":{"formattedCitation":"[2]","plainCitation":"[2]","noteIndex":0},"citationItems":[{"id":859,"uris":["http://zotero.org/users/local/VyWnqwWi/items/WCJE5FJY"],"itemData":{"id":859,"type":"article-journal","abstract":"Vomitoxin is a member of the monotrichous mycotoxin family with a complex chemical structure and significant biological activity. This toxin has strong immunosuppressive toxic effects and can cause serious damage to human and animal health. In this study, an on-site immune detection method based on an immune SiO2@QD fluorescent probe was developed, which realized the rapid and quantitative detection of emetic toxins in grains. Polyethyleneimine (PEI) is a polymer containing a large number of amino groups, and the binding of PEI to the surface of quantum dots can serve to regulate growth and provide functionalized groups. A SiO2@QD nanotag with good dispersibility and a high fluorescence intensity was synthesized by combining a PEI interlayer on the surface of SiO2 nanospheres. Utilizing the electrostatic adsorption of the amino group in PEI, CdSe/ZnS QDs were self-assembled on the surface of SiO2 nanospheres. In the stability test, the SiO2@QDs could maintain basically the same fluorescence intensity for 90 consecutive days in the dark at 4 °C, showing a high fluorescence stability. The fluorescence-enhanced QD immune probe was formed by coupling with anti-DON monoclonal antibodies through carbodiimide chemical synthesis. For the detection of spiked wheat flour samples, the immuno-SiO2@QD fluorescent probe showed excellent sensitivity and stability, the detection limit reached 0.25 ng/mL, and the average recovery rate was 92.2–101.6%. At the same time, the immuno-SiO2@QD fluorescent probe is simple to operate, is capable of rapid responses, and has great potential in the rapid detection of vomitoxins in grains.","container-title":"Foods","DOI":"10.3390/foods14091545","ISSN":"2304-8158","issue":"9","language":"en","license":"http://creativecommons.org/licenses/by/3.0/","note":"number: 9\npublisher: Multidisciplinary Digital Publishing Institute","page":"1545","source":"www.mdpi.com","title":"A Highly Sensitive Silicon-Core Quantum Dot Fluorescent Probe for Vomitoxin Detection in Cereals","volume":"14","author":[{"family":"Dong","given":"Caiwen"},{"family":"Li","given":"Yaqin"},{"family":"Sun","given":"Xincheng"},{"family":"Yang","given":"Xuehao"},{"family":"Wei","given":"Tao"}],"issued":{"date-parts":[["2025",1]]}}}],"schema":"https://github.com/citation-style-language/schema/raw/master/csl-citation.json"} </w:instrText>
            </w:r>
            <w:r w:rsidRPr="00DF317E">
              <w:rPr>
                <w:rFonts w:ascii="Times New Roman" w:hAnsi="Times New Roman" w:cs="Times New Roman"/>
                <w:sz w:val="24"/>
                <w:szCs w:val="24"/>
              </w:rPr>
              <w:fldChar w:fldCharType="separate"/>
            </w:r>
            <w:r w:rsidR="003143D7" w:rsidRPr="003143D7">
              <w:rPr>
                <w:rFonts w:ascii="Times New Roman" w:hAnsi="Times New Roman" w:cs="Times New Roman" w:hint="eastAsia"/>
                <w:sz w:val="24"/>
              </w:rPr>
              <w:t>[2]</w:t>
            </w:r>
            <w:r w:rsidRPr="00DF317E">
              <w:rPr>
                <w:rFonts w:ascii="Times New Roman" w:hAnsi="Times New Roman" w:cs="Times New Roman"/>
                <w:sz w:val="24"/>
                <w:szCs w:val="24"/>
              </w:rPr>
              <w:fldChar w:fldCharType="end"/>
            </w:r>
          </w:p>
        </w:tc>
      </w:tr>
      <w:tr w:rsidR="008021F8" w:rsidRPr="00DF317E" w14:paraId="29C72157" w14:textId="77777777" w:rsidTr="006C0532">
        <w:tc>
          <w:tcPr>
            <w:tcW w:w="2977" w:type="dxa"/>
            <w:vAlign w:val="center"/>
          </w:tcPr>
          <w:p w14:paraId="5A9F746A" w14:textId="77777777" w:rsidR="008021F8" w:rsidRPr="00DF317E" w:rsidRDefault="008021F8" w:rsidP="006C0532">
            <w:pPr>
              <w:spacing w:line="480" w:lineRule="auto"/>
              <w:jc w:val="center"/>
              <w:rPr>
                <w:rFonts w:ascii="Times New Roman" w:hAnsi="Times New Roman" w:cs="Times New Roman"/>
                <w:sz w:val="24"/>
                <w:szCs w:val="24"/>
              </w:rPr>
            </w:pPr>
            <w:proofErr w:type="spellStart"/>
            <w:r w:rsidRPr="00DF317E">
              <w:rPr>
                <w:rFonts w:ascii="Times New Roman" w:hAnsi="Times New Roman" w:cs="Times New Roman"/>
                <w:sz w:val="24"/>
                <w:szCs w:val="24"/>
              </w:rPr>
              <w:t>Aptasensor</w:t>
            </w:r>
            <w:proofErr w:type="spellEnd"/>
            <w:r w:rsidRPr="00DF317E">
              <w:rPr>
                <w:rFonts w:ascii="Times New Roman" w:hAnsi="Times New Roman" w:cs="Times New Roman"/>
                <w:sz w:val="24"/>
                <w:szCs w:val="24"/>
              </w:rPr>
              <w:t xml:space="preserve"> biosensor</w:t>
            </w:r>
          </w:p>
        </w:tc>
        <w:tc>
          <w:tcPr>
            <w:tcW w:w="1985" w:type="dxa"/>
            <w:vAlign w:val="center"/>
          </w:tcPr>
          <w:p w14:paraId="3241F09C"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0.1</w:t>
            </w:r>
            <w:r w:rsidRPr="00DF317E">
              <w:rPr>
                <w:rFonts w:ascii="Times New Roman" w:hAnsi="Times New Roman" w:cs="Times New Roman" w:hint="eastAsia"/>
                <w:sz w:val="24"/>
                <w:szCs w:val="24"/>
              </w:rPr>
              <w:t>-</w:t>
            </w:r>
            <w:r w:rsidRPr="00DF317E">
              <w:rPr>
                <w:rFonts w:ascii="Times New Roman" w:hAnsi="Times New Roman" w:cs="Times New Roman"/>
                <w:sz w:val="24"/>
                <w:szCs w:val="24"/>
              </w:rPr>
              <w:t>100 ng/mL</w:t>
            </w:r>
          </w:p>
        </w:tc>
        <w:tc>
          <w:tcPr>
            <w:tcW w:w="1546" w:type="dxa"/>
            <w:vAlign w:val="center"/>
          </w:tcPr>
          <w:p w14:paraId="26B84BF1"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0.08 ng/mL</w:t>
            </w:r>
          </w:p>
        </w:tc>
        <w:tc>
          <w:tcPr>
            <w:tcW w:w="0" w:type="auto"/>
            <w:vAlign w:val="center"/>
          </w:tcPr>
          <w:p w14:paraId="07462A08" w14:textId="150BB8DC"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fldChar w:fldCharType="begin"/>
            </w:r>
            <w:r w:rsidR="003143D7">
              <w:rPr>
                <w:rFonts w:ascii="Times New Roman" w:hAnsi="Times New Roman" w:cs="Times New Roman"/>
                <w:sz w:val="24"/>
                <w:szCs w:val="24"/>
              </w:rPr>
              <w:instrText xml:space="preserve"> ADDIN ZOTERO_ITEM CSL_CITATION {"citationID":"1EgPLkze","properties":{"formattedCitation":"[3]","plainCitation":"[3]","noteIndex":0},"citationItems":[{"id":864,"uris":["http://zotero.org/users/local/VyWnqwWi/items/HK9UBHLJ"],"itemData":{"id":864,"type":"article-journal","container-title":"Analytica Chimica Acta","DOI":"10.1016/j.aca.2023.340846","page":"340846","source":"COinS","title":"A fluorescence and surface-enhanced Raman scattering dual-mode aptasensor for sensitive detection of deoxynivalenol based on gold nanoclusters and silver nanoparticles modified metal-polydopamine framework","volume":"1244","author":[{"family":"Yu","given":"Wenyan"},{"family":"Lin","given":"Xianfeng"},{"family":"Duan","given":"Nuo"},{"family":"Wang","given":"Zhouping"},{"family":"Wu","given":"Shijia"}],"issued":{"date-parts":[["2023"]]}}}],"schema":"https://github.com/citation-style-language/schema/raw/master/csl-citation.json"} </w:instrText>
            </w:r>
            <w:r w:rsidRPr="00DF317E">
              <w:rPr>
                <w:rFonts w:ascii="Times New Roman" w:hAnsi="Times New Roman" w:cs="Times New Roman"/>
                <w:sz w:val="24"/>
                <w:szCs w:val="24"/>
              </w:rPr>
              <w:fldChar w:fldCharType="separate"/>
            </w:r>
            <w:r w:rsidR="003143D7" w:rsidRPr="003143D7">
              <w:rPr>
                <w:rFonts w:ascii="Times New Roman" w:hAnsi="Times New Roman" w:cs="Times New Roman" w:hint="eastAsia"/>
                <w:sz w:val="24"/>
              </w:rPr>
              <w:t>[3]</w:t>
            </w:r>
            <w:r w:rsidRPr="00DF317E">
              <w:rPr>
                <w:rFonts w:ascii="Times New Roman" w:hAnsi="Times New Roman" w:cs="Times New Roman"/>
                <w:sz w:val="24"/>
                <w:szCs w:val="24"/>
              </w:rPr>
              <w:fldChar w:fldCharType="end"/>
            </w:r>
          </w:p>
        </w:tc>
      </w:tr>
      <w:tr w:rsidR="008021F8" w:rsidRPr="00DF317E" w14:paraId="0B73BE88" w14:textId="77777777" w:rsidTr="006C0532">
        <w:tc>
          <w:tcPr>
            <w:tcW w:w="2977" w:type="dxa"/>
            <w:vAlign w:val="center"/>
          </w:tcPr>
          <w:p w14:paraId="5756D56E"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hint="eastAsia"/>
                <w:sz w:val="24"/>
                <w:szCs w:val="24"/>
              </w:rPr>
              <w:t>I</w:t>
            </w:r>
            <w:r w:rsidRPr="00DF317E">
              <w:rPr>
                <w:rFonts w:ascii="Times New Roman" w:hAnsi="Times New Roman" w:cs="Times New Roman"/>
                <w:sz w:val="24"/>
                <w:szCs w:val="24"/>
              </w:rPr>
              <w:t>mmunochromatographic strip</w:t>
            </w:r>
          </w:p>
        </w:tc>
        <w:tc>
          <w:tcPr>
            <w:tcW w:w="1985" w:type="dxa"/>
            <w:vAlign w:val="center"/>
          </w:tcPr>
          <w:p w14:paraId="3946BA19"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 xml:space="preserve">50-10000 </w:t>
            </w:r>
            <w:proofErr w:type="spellStart"/>
            <w:r w:rsidRPr="00DF317E">
              <w:rPr>
                <w:rFonts w:ascii="Times New Roman" w:hAnsi="Times New Roman" w:cs="Times New Roman"/>
                <w:sz w:val="24"/>
                <w:szCs w:val="24"/>
              </w:rPr>
              <w:t>μg</w:t>
            </w:r>
            <w:proofErr w:type="spellEnd"/>
            <w:r w:rsidRPr="00DF317E">
              <w:rPr>
                <w:rFonts w:ascii="Times New Roman" w:hAnsi="Times New Roman" w:cs="Times New Roman"/>
                <w:sz w:val="24"/>
                <w:szCs w:val="24"/>
              </w:rPr>
              <w:t>/kg</w:t>
            </w:r>
          </w:p>
        </w:tc>
        <w:tc>
          <w:tcPr>
            <w:tcW w:w="1546" w:type="dxa"/>
            <w:vAlign w:val="center"/>
          </w:tcPr>
          <w:p w14:paraId="695E2274"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t xml:space="preserve">28.16 </w:t>
            </w:r>
            <w:proofErr w:type="spellStart"/>
            <w:r w:rsidRPr="00DF317E">
              <w:rPr>
                <w:rFonts w:ascii="Times New Roman" w:hAnsi="Times New Roman" w:cs="Times New Roman"/>
                <w:sz w:val="24"/>
                <w:szCs w:val="24"/>
              </w:rPr>
              <w:t>μg</w:t>
            </w:r>
            <w:proofErr w:type="spellEnd"/>
            <w:r w:rsidRPr="00DF317E">
              <w:rPr>
                <w:rFonts w:ascii="Times New Roman" w:hAnsi="Times New Roman" w:cs="Times New Roman"/>
                <w:sz w:val="24"/>
                <w:szCs w:val="24"/>
              </w:rPr>
              <w:t>/kg</w:t>
            </w:r>
          </w:p>
        </w:tc>
        <w:tc>
          <w:tcPr>
            <w:tcW w:w="0" w:type="auto"/>
            <w:vAlign w:val="center"/>
          </w:tcPr>
          <w:p w14:paraId="5B5CA005" w14:textId="0BE59CCB"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sz w:val="24"/>
                <w:szCs w:val="24"/>
              </w:rPr>
              <w:fldChar w:fldCharType="begin"/>
            </w:r>
            <w:r w:rsidR="003143D7">
              <w:rPr>
                <w:rFonts w:ascii="Times New Roman" w:hAnsi="Times New Roman" w:cs="Times New Roman"/>
                <w:sz w:val="24"/>
                <w:szCs w:val="24"/>
              </w:rPr>
              <w:instrText xml:space="preserve"> ADDIN ZOTERO_ITEM CSL_CITATION {"citationID":"V5664W1O","properties":{"formattedCitation":"[4]","plainCitation":"[4]","noteIndex":0},"citationItems":[{"id":866,"uris":["http://zotero.org/users/local/VyWnqwWi/items/GFHACRRW"],"itemData":{"id":866,"type":"article-journal","abstract":"Deoxynivalenol (DON) contamination of food crops and feeds is almost impossible to avoid completely; however, through best management practices, this risk can be effectively managed and maximumly mitigated. Accurate and rapid detection of DON contamination as early in the entire value chain as possible is critical. To achieve this goal, we developed a DON test strip based on time-resolved fluorescence immunoassay (TRFIA) and a specific DON monoclonal antibody for the rapid quantification of DON in food crops and feeds. The strip displayed a good linearity (R2 = 0.9926), with a limit of quantification of 28.16 μg/kg, a wide linear range of 50 ~ 10000 μg/kg. The intra-batch coefficient of variation (CV) and the inter-batch CV was less than 5.00% and 6.60%, respectively. This TRFIA-DON test strip was applied to detect DON in real samples, and the accuracy and reliability were confirmed by liquid chromatography-mass spectrometry (LC-MS/MS). Results showed that the relative standard deviation between the DON strips and LC-MS/MS was less than 9%. The recovery rates in corn samples ranged from 92% to 104%. The established TRFIA-DON test strip had the characteristics of high sensitivity, high accuracy, and a wide linear range which was suitable for rapid and quantitative determination of DON in food crops and feeds at both on-site and laboratory.","container-title":"Frontiers in Veterinary Science","DOI":"10.3389/fvets.2023.1142820","ISSN":"2297-1769","journalAbbreviation":"Front. Vet. Sci.","language":"English","note":"publisher: Frontiers","source":"Frontiers","title":"Development of a time-resolved immunochromatographic strip for rapid and quantitative determination of deoxynivalenol","URL":"https://www.frontiersin.org/journals/veterinary-science/articles/10.3389/fvets.2023.1142820/full","volume":"10","author":[{"family":"Wang","given":"Jingneng"},{"family":"Wang","given":"Lihua"},{"family":"Zhang","given":"Hui"},{"family":"Mei","given":"Xinglin"},{"family":"Qiu","given":"Liangzhu"},{"family":"Liu","given":"Jing"},{"family":"Zhou","given":"Yongsong"}],"accessed":{"date-parts":[["2025",6,17]]},"issued":{"date-parts":[["2023",3,16]]}}}],"schema":"https://github.com/citation-style-language/schema/raw/master/csl-citation.json"} </w:instrText>
            </w:r>
            <w:r w:rsidRPr="00DF317E">
              <w:rPr>
                <w:rFonts w:ascii="Times New Roman" w:hAnsi="Times New Roman" w:cs="Times New Roman"/>
                <w:sz w:val="24"/>
                <w:szCs w:val="24"/>
              </w:rPr>
              <w:fldChar w:fldCharType="separate"/>
            </w:r>
            <w:r w:rsidR="003143D7" w:rsidRPr="003143D7">
              <w:rPr>
                <w:rFonts w:ascii="Times New Roman" w:hAnsi="Times New Roman" w:cs="Times New Roman" w:hint="eastAsia"/>
                <w:sz w:val="24"/>
              </w:rPr>
              <w:t>[4]</w:t>
            </w:r>
            <w:r w:rsidRPr="00DF317E">
              <w:rPr>
                <w:rFonts w:ascii="Times New Roman" w:hAnsi="Times New Roman" w:cs="Times New Roman"/>
                <w:sz w:val="24"/>
                <w:szCs w:val="24"/>
              </w:rPr>
              <w:fldChar w:fldCharType="end"/>
            </w:r>
          </w:p>
        </w:tc>
      </w:tr>
      <w:tr w:rsidR="008021F8" w:rsidRPr="00DF317E" w14:paraId="0A8A063D" w14:textId="77777777" w:rsidTr="006C0532">
        <w:tc>
          <w:tcPr>
            <w:tcW w:w="2977" w:type="dxa"/>
            <w:tcBorders>
              <w:bottom w:val="single" w:sz="12" w:space="0" w:color="auto"/>
            </w:tcBorders>
            <w:vAlign w:val="center"/>
          </w:tcPr>
          <w:p w14:paraId="72610B4B"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hint="eastAsia"/>
                <w:sz w:val="24"/>
                <w:szCs w:val="24"/>
              </w:rPr>
              <w:t>Molecularly imprinted biosensors</w:t>
            </w:r>
          </w:p>
        </w:tc>
        <w:tc>
          <w:tcPr>
            <w:tcW w:w="1985" w:type="dxa"/>
            <w:tcBorders>
              <w:bottom w:val="single" w:sz="12" w:space="0" w:color="auto"/>
            </w:tcBorders>
            <w:vAlign w:val="center"/>
          </w:tcPr>
          <w:p w14:paraId="0FFB3CAD"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hint="eastAsia"/>
                <w:sz w:val="24"/>
                <w:szCs w:val="24"/>
              </w:rPr>
              <w:t>0.1-500 ng/mL</w:t>
            </w:r>
          </w:p>
        </w:tc>
        <w:tc>
          <w:tcPr>
            <w:tcW w:w="1546" w:type="dxa"/>
            <w:tcBorders>
              <w:bottom w:val="single" w:sz="12" w:space="0" w:color="auto"/>
            </w:tcBorders>
            <w:vAlign w:val="center"/>
          </w:tcPr>
          <w:p w14:paraId="34537936"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hint="eastAsia"/>
                <w:sz w:val="24"/>
                <w:szCs w:val="24"/>
              </w:rPr>
              <w:t>0.028 ng/mL</w:t>
            </w:r>
          </w:p>
        </w:tc>
        <w:tc>
          <w:tcPr>
            <w:tcW w:w="0" w:type="auto"/>
            <w:tcBorders>
              <w:bottom w:val="single" w:sz="12" w:space="0" w:color="auto"/>
            </w:tcBorders>
            <w:vAlign w:val="center"/>
          </w:tcPr>
          <w:p w14:paraId="015DE796" w14:textId="77777777" w:rsidR="008021F8" w:rsidRPr="00DF317E" w:rsidRDefault="008021F8" w:rsidP="006C0532">
            <w:pPr>
              <w:spacing w:line="480" w:lineRule="auto"/>
              <w:jc w:val="center"/>
              <w:rPr>
                <w:rFonts w:ascii="Times New Roman" w:hAnsi="Times New Roman" w:cs="Times New Roman"/>
                <w:sz w:val="24"/>
                <w:szCs w:val="24"/>
              </w:rPr>
            </w:pPr>
            <w:r w:rsidRPr="00DF317E">
              <w:rPr>
                <w:rFonts w:ascii="Times New Roman" w:hAnsi="Times New Roman" w:cs="Times New Roman" w:hint="eastAsia"/>
                <w:sz w:val="24"/>
                <w:szCs w:val="24"/>
              </w:rPr>
              <w:t>This work</w:t>
            </w:r>
          </w:p>
        </w:tc>
      </w:tr>
    </w:tbl>
    <w:p w14:paraId="6C1E1419" w14:textId="77777777" w:rsidR="008021F8" w:rsidRPr="00DF317E" w:rsidRDefault="008021F8" w:rsidP="008021F8">
      <w:pPr>
        <w:spacing w:line="480" w:lineRule="auto"/>
        <w:jc w:val="center"/>
        <w:rPr>
          <w:rFonts w:ascii="Times New Roman" w:hAnsi="Times New Roman"/>
          <w:sz w:val="24"/>
          <w:szCs w:val="24"/>
        </w:rPr>
      </w:pPr>
    </w:p>
    <w:p w14:paraId="58F5E26D" w14:textId="77777777" w:rsidR="008021F8" w:rsidRPr="00DF317E" w:rsidRDefault="008021F8" w:rsidP="008021F8">
      <w:pPr>
        <w:widowControl/>
        <w:jc w:val="left"/>
        <w:rPr>
          <w:rFonts w:ascii="Times New Roman" w:hAnsi="Times New Roman"/>
          <w:sz w:val="24"/>
          <w:szCs w:val="24"/>
        </w:rPr>
      </w:pPr>
      <w:r w:rsidRPr="00DF317E">
        <w:rPr>
          <w:rFonts w:ascii="Times New Roman" w:hAnsi="Times New Roman"/>
          <w:sz w:val="24"/>
          <w:szCs w:val="24"/>
        </w:rPr>
        <w:br w:type="page"/>
      </w:r>
    </w:p>
    <w:p w14:paraId="6BFC6203" w14:textId="099A6373" w:rsidR="008021F8" w:rsidRPr="00DF317E" w:rsidRDefault="008021F8" w:rsidP="008021F8">
      <w:pPr>
        <w:spacing w:line="480" w:lineRule="auto"/>
        <w:jc w:val="center"/>
        <w:rPr>
          <w:rFonts w:ascii="Times New Roman" w:hAnsi="Times New Roman"/>
          <w:sz w:val="24"/>
          <w:szCs w:val="24"/>
        </w:rPr>
      </w:pPr>
      <w:r w:rsidRPr="00C45ED5">
        <w:rPr>
          <w:rFonts w:ascii="Times New Roman" w:hAnsi="Times New Roman" w:hint="eastAsia"/>
          <w:b/>
          <w:bCs/>
          <w:sz w:val="24"/>
          <w:szCs w:val="24"/>
        </w:rPr>
        <w:lastRenderedPageBreak/>
        <w:t xml:space="preserve">Table </w:t>
      </w:r>
      <w:r w:rsidR="002E5D65" w:rsidRPr="00C45ED5">
        <w:rPr>
          <w:rFonts w:ascii="Times New Roman" w:hAnsi="Times New Roman" w:hint="eastAsia"/>
          <w:b/>
          <w:bCs/>
          <w:sz w:val="24"/>
          <w:szCs w:val="24"/>
        </w:rPr>
        <w:t>S</w:t>
      </w:r>
      <w:r w:rsidRPr="00C45ED5">
        <w:rPr>
          <w:rFonts w:ascii="Times New Roman" w:hAnsi="Times New Roman" w:hint="eastAsia"/>
          <w:b/>
          <w:bCs/>
          <w:sz w:val="24"/>
          <w:szCs w:val="24"/>
        </w:rPr>
        <w:t>2.</w:t>
      </w:r>
      <w:r w:rsidRPr="00C45ED5">
        <w:rPr>
          <w:rFonts w:hint="eastAsia"/>
          <w:b/>
          <w:bCs/>
        </w:rPr>
        <w:t xml:space="preserve"> </w:t>
      </w:r>
      <w:r w:rsidRPr="00DF317E">
        <w:rPr>
          <w:rFonts w:ascii="Times New Roman" w:hAnsi="Times New Roman" w:hint="eastAsia"/>
          <w:sz w:val="24"/>
          <w:szCs w:val="24"/>
        </w:rPr>
        <w:t>Determination of DON in wheat flour sample using Arg-MIP/</w:t>
      </w:r>
      <w:proofErr w:type="spellStart"/>
      <w:r w:rsidRPr="00DF317E">
        <w:rPr>
          <w:rFonts w:ascii="Times New Roman" w:hAnsi="Times New Roman" w:hint="eastAsia"/>
          <w:sz w:val="24"/>
          <w:szCs w:val="24"/>
        </w:rPr>
        <w:t>rGO</w:t>
      </w:r>
      <w:proofErr w:type="spellEnd"/>
      <w:r w:rsidRPr="00DF317E">
        <w:rPr>
          <w:rFonts w:ascii="Times New Roman" w:hAnsi="Times New Roman" w:hint="eastAsia"/>
          <w:sz w:val="24"/>
          <w:szCs w:val="24"/>
        </w:rPr>
        <w:t>/VMSF/SPCE with the method of standard additions (n =3).</w:t>
      </w:r>
    </w:p>
    <w:tbl>
      <w:tblPr>
        <w:tblStyle w:val="af2"/>
        <w:tblW w:w="5000" w:type="pct"/>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087"/>
        <w:gridCol w:w="1988"/>
        <w:gridCol w:w="2151"/>
        <w:gridCol w:w="1804"/>
        <w:gridCol w:w="1276"/>
      </w:tblGrid>
      <w:tr w:rsidR="008021F8" w:rsidRPr="00DF317E" w14:paraId="5A291595" w14:textId="77777777" w:rsidTr="00C47C21">
        <w:tc>
          <w:tcPr>
            <w:tcW w:w="654" w:type="pct"/>
          </w:tcPr>
          <w:p w14:paraId="4C48F4F1" w14:textId="77777777" w:rsidR="008021F8" w:rsidRPr="00DF317E" w:rsidRDefault="008021F8" w:rsidP="006C0532">
            <w:pPr>
              <w:spacing w:line="480" w:lineRule="auto"/>
              <w:jc w:val="center"/>
              <w:rPr>
                <w:rFonts w:ascii="Times New Roman" w:hAnsi="Times New Roman"/>
                <w:sz w:val="24"/>
                <w:szCs w:val="24"/>
              </w:rPr>
            </w:pPr>
            <w:r w:rsidRPr="00DF317E">
              <w:rPr>
                <w:rFonts w:ascii="Times New Roman" w:hAnsi="Times New Roman" w:hint="eastAsia"/>
                <w:sz w:val="24"/>
                <w:szCs w:val="24"/>
              </w:rPr>
              <w:t>Sample</w:t>
            </w:r>
          </w:p>
        </w:tc>
        <w:tc>
          <w:tcPr>
            <w:tcW w:w="1197" w:type="pct"/>
          </w:tcPr>
          <w:p w14:paraId="25E9921A" w14:textId="77777777" w:rsidR="008021F8" w:rsidRPr="00DF317E" w:rsidRDefault="008021F8" w:rsidP="006C0532">
            <w:pPr>
              <w:spacing w:line="480" w:lineRule="auto"/>
              <w:jc w:val="center"/>
              <w:rPr>
                <w:rFonts w:ascii="Times New Roman" w:hAnsi="Times New Roman"/>
                <w:sz w:val="24"/>
                <w:szCs w:val="24"/>
              </w:rPr>
            </w:pPr>
            <w:r w:rsidRPr="00DF317E">
              <w:rPr>
                <w:rFonts w:ascii="Times New Roman" w:hAnsi="Times New Roman" w:hint="eastAsia"/>
                <w:sz w:val="24"/>
                <w:szCs w:val="24"/>
              </w:rPr>
              <w:t>Added (ng/mL)</w:t>
            </w:r>
          </w:p>
        </w:tc>
        <w:tc>
          <w:tcPr>
            <w:tcW w:w="1295" w:type="pct"/>
          </w:tcPr>
          <w:p w14:paraId="0C96AD0A" w14:textId="77777777" w:rsidR="008021F8" w:rsidRPr="00DF317E" w:rsidRDefault="008021F8" w:rsidP="006C0532">
            <w:pPr>
              <w:spacing w:line="480" w:lineRule="auto"/>
              <w:jc w:val="center"/>
              <w:rPr>
                <w:rFonts w:ascii="Times New Roman" w:hAnsi="Times New Roman"/>
                <w:sz w:val="24"/>
                <w:szCs w:val="24"/>
              </w:rPr>
            </w:pPr>
            <w:r w:rsidRPr="00DF317E">
              <w:rPr>
                <w:rFonts w:ascii="Times New Roman" w:hAnsi="Times New Roman"/>
                <w:sz w:val="24"/>
                <w:szCs w:val="24"/>
              </w:rPr>
              <w:t>F</w:t>
            </w:r>
            <w:r w:rsidRPr="00DF317E">
              <w:rPr>
                <w:rFonts w:ascii="Times New Roman" w:hAnsi="Times New Roman" w:hint="eastAsia"/>
                <w:sz w:val="24"/>
                <w:szCs w:val="24"/>
              </w:rPr>
              <w:t>ounded(ng/mL)</w:t>
            </w:r>
          </w:p>
        </w:tc>
        <w:tc>
          <w:tcPr>
            <w:tcW w:w="1086" w:type="pct"/>
          </w:tcPr>
          <w:p w14:paraId="0B7917F3" w14:textId="77777777" w:rsidR="008021F8" w:rsidRPr="00DF317E" w:rsidRDefault="008021F8" w:rsidP="006C0532">
            <w:pPr>
              <w:spacing w:line="480" w:lineRule="auto"/>
              <w:jc w:val="center"/>
              <w:rPr>
                <w:rFonts w:ascii="Times New Roman" w:hAnsi="Times New Roman"/>
                <w:sz w:val="24"/>
                <w:szCs w:val="24"/>
              </w:rPr>
            </w:pPr>
            <w:r w:rsidRPr="00DF317E">
              <w:rPr>
                <w:rFonts w:ascii="Times New Roman" w:hAnsi="Times New Roman" w:hint="eastAsia"/>
                <w:sz w:val="24"/>
                <w:szCs w:val="24"/>
              </w:rPr>
              <w:t>Recovery (%)</w:t>
            </w:r>
          </w:p>
        </w:tc>
        <w:tc>
          <w:tcPr>
            <w:tcW w:w="769" w:type="pct"/>
          </w:tcPr>
          <w:p w14:paraId="3F988B69" w14:textId="77777777" w:rsidR="008021F8" w:rsidRPr="00DF317E" w:rsidRDefault="008021F8" w:rsidP="006C0532">
            <w:pPr>
              <w:spacing w:line="480" w:lineRule="auto"/>
              <w:jc w:val="center"/>
              <w:rPr>
                <w:rFonts w:ascii="Times New Roman" w:hAnsi="Times New Roman"/>
                <w:sz w:val="24"/>
                <w:szCs w:val="24"/>
              </w:rPr>
            </w:pPr>
            <w:r w:rsidRPr="00DF317E">
              <w:rPr>
                <w:rFonts w:ascii="Times New Roman" w:hAnsi="Times New Roman" w:hint="eastAsia"/>
                <w:sz w:val="24"/>
                <w:szCs w:val="24"/>
              </w:rPr>
              <w:t>RSD (%)</w:t>
            </w:r>
          </w:p>
        </w:tc>
      </w:tr>
      <w:tr w:rsidR="00C47C21" w:rsidRPr="00DF317E" w14:paraId="5C07902F" w14:textId="77777777" w:rsidTr="00C47C21">
        <w:tc>
          <w:tcPr>
            <w:tcW w:w="654" w:type="pct"/>
            <w:vMerge w:val="restart"/>
            <w:vAlign w:val="center"/>
          </w:tcPr>
          <w:p w14:paraId="752DD82E" w14:textId="77777777" w:rsidR="00C47C21" w:rsidRPr="00DF317E" w:rsidRDefault="00C47C21" w:rsidP="00C47C21">
            <w:pPr>
              <w:spacing w:line="480" w:lineRule="auto"/>
              <w:jc w:val="center"/>
              <w:rPr>
                <w:rFonts w:ascii="Times New Roman" w:hAnsi="Times New Roman"/>
                <w:sz w:val="24"/>
                <w:szCs w:val="24"/>
              </w:rPr>
            </w:pPr>
            <w:r w:rsidRPr="00DF317E">
              <w:rPr>
                <w:rFonts w:ascii="Times New Roman" w:hAnsi="Times New Roman" w:hint="eastAsia"/>
                <w:sz w:val="24"/>
                <w:szCs w:val="24"/>
              </w:rPr>
              <w:t>Wheat</w:t>
            </w:r>
          </w:p>
        </w:tc>
        <w:tc>
          <w:tcPr>
            <w:tcW w:w="1197" w:type="pct"/>
            <w:tcBorders>
              <w:bottom w:val="nil"/>
            </w:tcBorders>
          </w:tcPr>
          <w:p w14:paraId="7ACB61DB" w14:textId="77777777" w:rsidR="00C47C21" w:rsidRPr="00DF317E" w:rsidRDefault="00C47C21" w:rsidP="00C47C21">
            <w:pPr>
              <w:spacing w:line="480" w:lineRule="auto"/>
              <w:jc w:val="center"/>
              <w:rPr>
                <w:rFonts w:ascii="Times New Roman" w:hAnsi="Times New Roman"/>
                <w:sz w:val="24"/>
                <w:szCs w:val="24"/>
              </w:rPr>
            </w:pPr>
            <w:r w:rsidRPr="00DF317E">
              <w:rPr>
                <w:rFonts w:ascii="Times New Roman" w:hAnsi="Times New Roman" w:hint="eastAsia"/>
                <w:sz w:val="24"/>
                <w:szCs w:val="24"/>
              </w:rPr>
              <w:t>10</w:t>
            </w:r>
          </w:p>
        </w:tc>
        <w:tc>
          <w:tcPr>
            <w:tcW w:w="1295" w:type="pct"/>
            <w:tcBorders>
              <w:bottom w:val="nil"/>
            </w:tcBorders>
          </w:tcPr>
          <w:p w14:paraId="67760638" w14:textId="5DF5BFEC" w:rsidR="00C47C21" w:rsidRPr="00DF317E" w:rsidRDefault="00C47C21" w:rsidP="00C47C21">
            <w:pPr>
              <w:spacing w:line="480" w:lineRule="auto"/>
              <w:jc w:val="center"/>
              <w:rPr>
                <w:rFonts w:ascii="Times New Roman" w:hAnsi="Times New Roman"/>
                <w:sz w:val="24"/>
                <w:szCs w:val="24"/>
              </w:rPr>
            </w:pPr>
            <w:r w:rsidRPr="00DF317E">
              <w:rPr>
                <w:rFonts w:ascii="Times New Roman" w:hAnsi="Times New Roman" w:hint="eastAsia"/>
                <w:sz w:val="24"/>
                <w:szCs w:val="24"/>
              </w:rPr>
              <w:t>9.</w:t>
            </w:r>
            <w:r w:rsidR="00E725D6">
              <w:rPr>
                <w:rFonts w:ascii="Times New Roman" w:hAnsi="Times New Roman" w:hint="eastAsia"/>
                <w:sz w:val="24"/>
                <w:szCs w:val="24"/>
              </w:rPr>
              <w:t>57</w:t>
            </w:r>
            <w:r>
              <w:rPr>
                <w:rFonts w:ascii="Times New Roman" w:hAnsi="Times New Roman" w:hint="eastAsia"/>
                <w:sz w:val="24"/>
                <w:szCs w:val="24"/>
              </w:rPr>
              <w:t>±</w:t>
            </w:r>
            <w:r>
              <w:rPr>
                <w:rFonts w:ascii="Times New Roman" w:hAnsi="Times New Roman" w:hint="eastAsia"/>
                <w:sz w:val="24"/>
                <w:szCs w:val="24"/>
              </w:rPr>
              <w:t>0.</w:t>
            </w:r>
            <w:r w:rsidR="00E725D6">
              <w:rPr>
                <w:rFonts w:ascii="Times New Roman" w:hAnsi="Times New Roman" w:hint="eastAsia"/>
                <w:sz w:val="24"/>
                <w:szCs w:val="24"/>
              </w:rPr>
              <w:t>19</w:t>
            </w:r>
          </w:p>
        </w:tc>
        <w:tc>
          <w:tcPr>
            <w:tcW w:w="1086" w:type="pct"/>
            <w:tcBorders>
              <w:bottom w:val="nil"/>
            </w:tcBorders>
          </w:tcPr>
          <w:p w14:paraId="35D96F55" w14:textId="43FBFEA0" w:rsidR="00C47C21" w:rsidRPr="00DF317E" w:rsidRDefault="00C47C21" w:rsidP="00C47C21">
            <w:pPr>
              <w:spacing w:line="480" w:lineRule="auto"/>
              <w:jc w:val="center"/>
              <w:rPr>
                <w:rFonts w:ascii="Times New Roman" w:hAnsi="Times New Roman"/>
                <w:sz w:val="24"/>
                <w:szCs w:val="24"/>
              </w:rPr>
            </w:pPr>
            <w:r>
              <w:rPr>
                <w:rFonts w:ascii="Times New Roman" w:hAnsi="Times New Roman" w:hint="eastAsia"/>
                <w:sz w:val="24"/>
                <w:szCs w:val="24"/>
              </w:rPr>
              <w:t>9</w:t>
            </w:r>
            <w:r w:rsidR="00E725D6">
              <w:rPr>
                <w:rFonts w:ascii="Times New Roman" w:hAnsi="Times New Roman" w:hint="eastAsia"/>
                <w:sz w:val="24"/>
                <w:szCs w:val="24"/>
              </w:rPr>
              <w:t>5.73</w:t>
            </w:r>
            <w:r>
              <w:rPr>
                <w:rFonts w:ascii="Times New Roman" w:hAnsi="Times New Roman" w:hint="eastAsia"/>
                <w:sz w:val="24"/>
                <w:szCs w:val="24"/>
              </w:rPr>
              <w:t>±</w:t>
            </w:r>
            <w:r w:rsidR="00E725D6">
              <w:rPr>
                <w:rFonts w:ascii="Times New Roman" w:hAnsi="Times New Roman" w:hint="eastAsia"/>
                <w:sz w:val="24"/>
                <w:szCs w:val="24"/>
              </w:rPr>
              <w:t>1.86</w:t>
            </w:r>
          </w:p>
        </w:tc>
        <w:tc>
          <w:tcPr>
            <w:tcW w:w="769" w:type="pct"/>
            <w:tcBorders>
              <w:bottom w:val="nil"/>
            </w:tcBorders>
            <w:vAlign w:val="center"/>
          </w:tcPr>
          <w:p w14:paraId="7190D350" w14:textId="5832DE99" w:rsidR="00C47C21" w:rsidRPr="00DF317E" w:rsidRDefault="00E725D6" w:rsidP="00C47C21">
            <w:pPr>
              <w:spacing w:line="480" w:lineRule="auto"/>
              <w:jc w:val="center"/>
              <w:rPr>
                <w:rFonts w:ascii="Times New Roman" w:hAnsi="Times New Roman"/>
                <w:sz w:val="24"/>
                <w:szCs w:val="24"/>
              </w:rPr>
            </w:pPr>
            <w:r>
              <w:rPr>
                <w:rFonts w:ascii="Times New Roman" w:hAnsi="Times New Roman" w:hint="eastAsia"/>
                <w:sz w:val="24"/>
                <w:szCs w:val="24"/>
              </w:rPr>
              <w:t>1.98</w:t>
            </w:r>
          </w:p>
        </w:tc>
      </w:tr>
      <w:tr w:rsidR="00C47C21" w:rsidRPr="00DF317E" w14:paraId="540A6C79" w14:textId="77777777" w:rsidTr="00C47C21">
        <w:tc>
          <w:tcPr>
            <w:tcW w:w="654" w:type="pct"/>
            <w:vMerge/>
          </w:tcPr>
          <w:p w14:paraId="2933391C" w14:textId="77777777" w:rsidR="00C47C21" w:rsidRPr="00DF317E" w:rsidRDefault="00C47C21" w:rsidP="00C47C21">
            <w:pPr>
              <w:spacing w:line="480" w:lineRule="auto"/>
              <w:jc w:val="center"/>
              <w:rPr>
                <w:rFonts w:ascii="Times New Roman" w:hAnsi="Times New Roman"/>
                <w:sz w:val="24"/>
                <w:szCs w:val="24"/>
              </w:rPr>
            </w:pPr>
          </w:p>
        </w:tc>
        <w:tc>
          <w:tcPr>
            <w:tcW w:w="1197" w:type="pct"/>
            <w:tcBorders>
              <w:top w:val="nil"/>
              <w:bottom w:val="nil"/>
            </w:tcBorders>
          </w:tcPr>
          <w:p w14:paraId="2D22BF70" w14:textId="77777777" w:rsidR="00C47C21" w:rsidRPr="00DF317E" w:rsidRDefault="00C47C21" w:rsidP="00C47C21">
            <w:pPr>
              <w:spacing w:line="480" w:lineRule="auto"/>
              <w:jc w:val="center"/>
              <w:rPr>
                <w:rFonts w:ascii="Times New Roman" w:hAnsi="Times New Roman"/>
                <w:sz w:val="24"/>
                <w:szCs w:val="24"/>
              </w:rPr>
            </w:pPr>
            <w:r w:rsidRPr="00DF317E">
              <w:rPr>
                <w:rFonts w:ascii="Times New Roman" w:hAnsi="Times New Roman" w:hint="eastAsia"/>
                <w:sz w:val="24"/>
                <w:szCs w:val="24"/>
              </w:rPr>
              <w:t>50</w:t>
            </w:r>
          </w:p>
        </w:tc>
        <w:tc>
          <w:tcPr>
            <w:tcW w:w="1295" w:type="pct"/>
            <w:tcBorders>
              <w:top w:val="nil"/>
              <w:bottom w:val="nil"/>
            </w:tcBorders>
          </w:tcPr>
          <w:p w14:paraId="2917047B" w14:textId="56AD12E2" w:rsidR="00C47C21" w:rsidRPr="00DF317E" w:rsidRDefault="00C47C21" w:rsidP="00C47C21">
            <w:pPr>
              <w:spacing w:line="480" w:lineRule="auto"/>
              <w:jc w:val="center"/>
              <w:rPr>
                <w:rFonts w:ascii="Times New Roman" w:hAnsi="Times New Roman"/>
                <w:sz w:val="24"/>
                <w:szCs w:val="24"/>
              </w:rPr>
            </w:pPr>
            <w:r>
              <w:rPr>
                <w:rFonts w:ascii="Times New Roman" w:hAnsi="Times New Roman" w:hint="eastAsia"/>
                <w:sz w:val="24"/>
                <w:szCs w:val="24"/>
              </w:rPr>
              <w:t>48.</w:t>
            </w:r>
            <w:r w:rsidR="00E725D6">
              <w:rPr>
                <w:rFonts w:ascii="Times New Roman" w:hAnsi="Times New Roman" w:hint="eastAsia"/>
                <w:sz w:val="24"/>
                <w:szCs w:val="24"/>
              </w:rPr>
              <w:t>97</w:t>
            </w:r>
            <w:r>
              <w:rPr>
                <w:rFonts w:ascii="Times New Roman" w:hAnsi="Times New Roman" w:hint="eastAsia"/>
                <w:sz w:val="24"/>
                <w:szCs w:val="24"/>
              </w:rPr>
              <w:t>±</w:t>
            </w:r>
            <w:r w:rsidR="00E725D6">
              <w:rPr>
                <w:rFonts w:ascii="Times New Roman" w:hAnsi="Times New Roman" w:hint="eastAsia"/>
                <w:sz w:val="24"/>
                <w:szCs w:val="24"/>
              </w:rPr>
              <w:t>0.88</w:t>
            </w:r>
          </w:p>
        </w:tc>
        <w:tc>
          <w:tcPr>
            <w:tcW w:w="1086" w:type="pct"/>
            <w:tcBorders>
              <w:top w:val="nil"/>
              <w:bottom w:val="nil"/>
            </w:tcBorders>
          </w:tcPr>
          <w:p w14:paraId="73139F86" w14:textId="6EE02B67" w:rsidR="00C47C21" w:rsidRPr="00DF317E" w:rsidRDefault="00E725D6" w:rsidP="00C47C21">
            <w:pPr>
              <w:spacing w:line="480" w:lineRule="auto"/>
              <w:jc w:val="center"/>
              <w:rPr>
                <w:rFonts w:ascii="Times New Roman" w:hAnsi="Times New Roman"/>
                <w:sz w:val="24"/>
                <w:szCs w:val="24"/>
              </w:rPr>
            </w:pPr>
            <w:r>
              <w:rPr>
                <w:rFonts w:ascii="Times New Roman" w:hAnsi="Times New Roman" w:hint="eastAsia"/>
                <w:sz w:val="24"/>
                <w:szCs w:val="24"/>
              </w:rPr>
              <w:t>97.93</w:t>
            </w:r>
            <w:r w:rsidR="00C47C21">
              <w:rPr>
                <w:rFonts w:ascii="Times New Roman" w:hAnsi="Times New Roman" w:hint="eastAsia"/>
                <w:sz w:val="24"/>
                <w:szCs w:val="24"/>
              </w:rPr>
              <w:t>±</w:t>
            </w:r>
            <w:r>
              <w:rPr>
                <w:rFonts w:ascii="Times New Roman" w:hAnsi="Times New Roman" w:hint="eastAsia"/>
                <w:sz w:val="24"/>
                <w:szCs w:val="24"/>
              </w:rPr>
              <w:t>1.78</w:t>
            </w:r>
          </w:p>
        </w:tc>
        <w:tc>
          <w:tcPr>
            <w:tcW w:w="769" w:type="pct"/>
            <w:tcBorders>
              <w:top w:val="nil"/>
              <w:bottom w:val="nil"/>
            </w:tcBorders>
            <w:vAlign w:val="center"/>
          </w:tcPr>
          <w:p w14:paraId="52DBC466" w14:textId="4546BF5F" w:rsidR="00C47C21" w:rsidRPr="00DF317E" w:rsidRDefault="00E725D6" w:rsidP="00C47C21">
            <w:pPr>
              <w:spacing w:line="480" w:lineRule="auto"/>
              <w:jc w:val="center"/>
              <w:rPr>
                <w:rFonts w:ascii="Times New Roman" w:hAnsi="Times New Roman"/>
                <w:sz w:val="24"/>
                <w:szCs w:val="24"/>
              </w:rPr>
            </w:pPr>
            <w:r>
              <w:rPr>
                <w:rFonts w:ascii="Times New Roman" w:hAnsi="Times New Roman" w:hint="eastAsia"/>
                <w:sz w:val="24"/>
                <w:szCs w:val="24"/>
              </w:rPr>
              <w:t>1.79</w:t>
            </w:r>
          </w:p>
        </w:tc>
      </w:tr>
      <w:tr w:rsidR="00C47C21" w:rsidRPr="00DF317E" w14:paraId="5FC0C117" w14:textId="77777777" w:rsidTr="00C47C21">
        <w:tc>
          <w:tcPr>
            <w:tcW w:w="654" w:type="pct"/>
            <w:vMerge/>
          </w:tcPr>
          <w:p w14:paraId="2EF03B9E" w14:textId="77777777" w:rsidR="00C47C21" w:rsidRPr="00DF317E" w:rsidRDefault="00C47C21" w:rsidP="00C47C21">
            <w:pPr>
              <w:spacing w:line="480" w:lineRule="auto"/>
              <w:jc w:val="center"/>
              <w:rPr>
                <w:rFonts w:ascii="Times New Roman" w:hAnsi="Times New Roman"/>
                <w:sz w:val="24"/>
                <w:szCs w:val="24"/>
              </w:rPr>
            </w:pPr>
          </w:p>
        </w:tc>
        <w:tc>
          <w:tcPr>
            <w:tcW w:w="1197" w:type="pct"/>
            <w:tcBorders>
              <w:top w:val="nil"/>
            </w:tcBorders>
          </w:tcPr>
          <w:p w14:paraId="512BF82F" w14:textId="77777777" w:rsidR="00C47C21" w:rsidRPr="00DF317E" w:rsidRDefault="00C47C21" w:rsidP="00C47C21">
            <w:pPr>
              <w:spacing w:line="480" w:lineRule="auto"/>
              <w:jc w:val="center"/>
              <w:rPr>
                <w:rFonts w:ascii="Times New Roman" w:hAnsi="Times New Roman"/>
                <w:sz w:val="24"/>
                <w:szCs w:val="24"/>
              </w:rPr>
            </w:pPr>
            <w:r w:rsidRPr="00DF317E">
              <w:rPr>
                <w:rFonts w:ascii="Times New Roman" w:hAnsi="Times New Roman" w:hint="eastAsia"/>
                <w:sz w:val="24"/>
                <w:szCs w:val="24"/>
              </w:rPr>
              <w:t>100</w:t>
            </w:r>
          </w:p>
        </w:tc>
        <w:tc>
          <w:tcPr>
            <w:tcW w:w="1295" w:type="pct"/>
            <w:tcBorders>
              <w:top w:val="nil"/>
            </w:tcBorders>
          </w:tcPr>
          <w:p w14:paraId="1EDD1079" w14:textId="36E1615A" w:rsidR="00C47C21" w:rsidRPr="00DF317E" w:rsidRDefault="00C47C21" w:rsidP="00C47C21">
            <w:pPr>
              <w:spacing w:line="480" w:lineRule="auto"/>
              <w:jc w:val="center"/>
              <w:rPr>
                <w:rFonts w:ascii="Times New Roman" w:hAnsi="Times New Roman"/>
                <w:sz w:val="24"/>
                <w:szCs w:val="24"/>
              </w:rPr>
            </w:pPr>
            <w:r>
              <w:rPr>
                <w:rFonts w:ascii="Times New Roman" w:hAnsi="Times New Roman" w:hint="eastAsia"/>
                <w:sz w:val="24"/>
                <w:szCs w:val="24"/>
              </w:rPr>
              <w:t>100.52</w:t>
            </w:r>
            <w:r>
              <w:rPr>
                <w:rFonts w:ascii="Times New Roman" w:hAnsi="Times New Roman" w:hint="eastAsia"/>
                <w:sz w:val="24"/>
                <w:szCs w:val="24"/>
              </w:rPr>
              <w:t>±</w:t>
            </w:r>
            <w:r>
              <w:rPr>
                <w:rFonts w:ascii="Times New Roman" w:hAnsi="Times New Roman" w:hint="eastAsia"/>
                <w:sz w:val="24"/>
                <w:szCs w:val="24"/>
              </w:rPr>
              <w:t>0.59</w:t>
            </w:r>
          </w:p>
        </w:tc>
        <w:tc>
          <w:tcPr>
            <w:tcW w:w="1086" w:type="pct"/>
            <w:tcBorders>
              <w:top w:val="nil"/>
            </w:tcBorders>
          </w:tcPr>
          <w:p w14:paraId="21CDACEE" w14:textId="3F3AB14E" w:rsidR="00C47C21" w:rsidRPr="00DF317E" w:rsidRDefault="00C47C21" w:rsidP="00C47C21">
            <w:pPr>
              <w:spacing w:line="480" w:lineRule="auto"/>
              <w:jc w:val="center"/>
              <w:rPr>
                <w:rFonts w:ascii="Times New Roman" w:hAnsi="Times New Roman"/>
                <w:sz w:val="24"/>
                <w:szCs w:val="24"/>
              </w:rPr>
            </w:pPr>
            <w:r>
              <w:rPr>
                <w:rFonts w:ascii="Times New Roman" w:hAnsi="Times New Roman" w:hint="eastAsia"/>
                <w:sz w:val="24"/>
                <w:szCs w:val="24"/>
              </w:rPr>
              <w:t>100.52</w:t>
            </w:r>
            <w:r>
              <w:rPr>
                <w:rFonts w:ascii="Times New Roman" w:hAnsi="Times New Roman" w:hint="eastAsia"/>
                <w:sz w:val="24"/>
                <w:szCs w:val="24"/>
              </w:rPr>
              <w:t>±</w:t>
            </w:r>
            <w:r>
              <w:rPr>
                <w:rFonts w:ascii="Times New Roman" w:hAnsi="Times New Roman" w:hint="eastAsia"/>
                <w:sz w:val="24"/>
                <w:szCs w:val="24"/>
              </w:rPr>
              <w:t>0.59</w:t>
            </w:r>
          </w:p>
        </w:tc>
        <w:tc>
          <w:tcPr>
            <w:tcW w:w="769" w:type="pct"/>
            <w:tcBorders>
              <w:top w:val="nil"/>
            </w:tcBorders>
            <w:vAlign w:val="center"/>
          </w:tcPr>
          <w:p w14:paraId="6A6FD810" w14:textId="08B7795C" w:rsidR="00C47C21" w:rsidRPr="00DF317E" w:rsidRDefault="00C47C21" w:rsidP="00C47C21">
            <w:pPr>
              <w:spacing w:line="480" w:lineRule="auto"/>
              <w:jc w:val="center"/>
              <w:rPr>
                <w:rFonts w:ascii="Times New Roman" w:hAnsi="Times New Roman"/>
                <w:sz w:val="24"/>
                <w:szCs w:val="24"/>
              </w:rPr>
            </w:pPr>
            <w:r w:rsidRPr="00C47C21">
              <w:rPr>
                <w:rFonts w:ascii="Times New Roman" w:hAnsi="Times New Roman" w:hint="eastAsia"/>
                <w:sz w:val="24"/>
                <w:szCs w:val="24"/>
              </w:rPr>
              <w:t>0.59</w:t>
            </w:r>
          </w:p>
        </w:tc>
      </w:tr>
    </w:tbl>
    <w:p w14:paraId="00BC830D" w14:textId="77777777" w:rsidR="008021F8" w:rsidRPr="00DF317E" w:rsidRDefault="008021F8" w:rsidP="008021F8">
      <w:pPr>
        <w:spacing w:line="480" w:lineRule="auto"/>
        <w:jc w:val="center"/>
        <w:rPr>
          <w:rFonts w:ascii="Times New Roman" w:hAnsi="Times New Roman"/>
          <w:sz w:val="24"/>
          <w:szCs w:val="24"/>
        </w:rPr>
      </w:pPr>
    </w:p>
    <w:p w14:paraId="5AFC2838" w14:textId="77777777" w:rsidR="008021F8" w:rsidRPr="00DF317E" w:rsidRDefault="008021F8" w:rsidP="008021F8">
      <w:pPr>
        <w:spacing w:line="360" w:lineRule="auto"/>
        <w:jc w:val="center"/>
        <w:rPr>
          <w:rFonts w:ascii="Times New Roman" w:hAnsi="Times New Roman" w:cs="Times New Roman"/>
          <w:sz w:val="24"/>
          <w:szCs w:val="28"/>
        </w:rPr>
      </w:pPr>
    </w:p>
    <w:p w14:paraId="5F149886" w14:textId="0D334AFF" w:rsidR="005E70AE" w:rsidRDefault="005E70AE" w:rsidP="008021F8">
      <w:pPr>
        <w:widowControl/>
        <w:jc w:val="left"/>
        <w:rPr>
          <w:rFonts w:ascii="Times New Roman" w:hAnsi="Times New Roman" w:cs="Times New Roman"/>
          <w:sz w:val="24"/>
          <w:szCs w:val="28"/>
        </w:rPr>
      </w:pPr>
    </w:p>
    <w:p w14:paraId="03D0D0D6" w14:textId="77777777" w:rsidR="005E70AE" w:rsidRDefault="005E70AE">
      <w:pPr>
        <w:widowControl/>
        <w:jc w:val="left"/>
        <w:rPr>
          <w:rFonts w:ascii="Times New Roman" w:hAnsi="Times New Roman" w:cs="Times New Roman"/>
          <w:sz w:val="24"/>
          <w:szCs w:val="28"/>
        </w:rPr>
      </w:pPr>
      <w:r>
        <w:rPr>
          <w:rFonts w:ascii="Times New Roman" w:hAnsi="Times New Roman" w:cs="Times New Roman"/>
          <w:sz w:val="24"/>
          <w:szCs w:val="28"/>
        </w:rPr>
        <w:br w:type="page"/>
      </w:r>
    </w:p>
    <w:p w14:paraId="26EDD5E4" w14:textId="25718EE8" w:rsidR="00572B83" w:rsidRPr="00C45ED5" w:rsidRDefault="005E70AE" w:rsidP="008021F8">
      <w:pPr>
        <w:widowControl/>
        <w:jc w:val="left"/>
        <w:rPr>
          <w:rFonts w:ascii="Times New Roman" w:hAnsi="Times New Roman" w:cs="Times New Roman"/>
          <w:b/>
          <w:bCs/>
          <w:sz w:val="24"/>
          <w:szCs w:val="28"/>
        </w:rPr>
      </w:pPr>
      <w:r w:rsidRPr="00C45ED5">
        <w:rPr>
          <w:rFonts w:ascii="Times New Roman" w:hAnsi="Times New Roman" w:cs="Times New Roman"/>
          <w:b/>
          <w:bCs/>
          <w:sz w:val="24"/>
          <w:szCs w:val="28"/>
        </w:rPr>
        <w:lastRenderedPageBreak/>
        <w:t>R</w:t>
      </w:r>
      <w:r w:rsidRPr="00C45ED5">
        <w:rPr>
          <w:rFonts w:ascii="Times New Roman" w:hAnsi="Times New Roman" w:cs="Times New Roman" w:hint="eastAsia"/>
          <w:b/>
          <w:bCs/>
          <w:sz w:val="24"/>
          <w:szCs w:val="28"/>
        </w:rPr>
        <w:t>eference</w:t>
      </w:r>
    </w:p>
    <w:p w14:paraId="5C4E5063" w14:textId="77777777" w:rsidR="003143D7" w:rsidRPr="003143D7" w:rsidRDefault="005E70AE" w:rsidP="003143D7">
      <w:pPr>
        <w:pStyle w:val="af3"/>
        <w:rPr>
          <w:rFonts w:ascii="Times New Roman" w:hAnsi="Times New Roman" w:cs="Times New Roman"/>
          <w:sz w:val="24"/>
        </w:rPr>
      </w:pPr>
      <w:r>
        <w:rPr>
          <w:szCs w:val="28"/>
        </w:rPr>
        <w:fldChar w:fldCharType="begin"/>
      </w:r>
      <w:r w:rsidR="003143D7">
        <w:rPr>
          <w:rFonts w:hint="eastAsia"/>
          <w:szCs w:val="28"/>
        </w:rPr>
        <w:instrText xml:space="preserve"> ADDIN ZOTERO_BIBL {"uncited":[],"omitted":[],"custom":[]} CSL_BIBLIOGRAPHY </w:instrText>
      </w:r>
      <w:r>
        <w:rPr>
          <w:szCs w:val="28"/>
        </w:rPr>
        <w:fldChar w:fldCharType="separate"/>
      </w:r>
      <w:r w:rsidR="003143D7" w:rsidRPr="003143D7">
        <w:rPr>
          <w:rFonts w:ascii="Times New Roman" w:hAnsi="Times New Roman" w:cs="Times New Roman"/>
          <w:sz w:val="24"/>
        </w:rPr>
        <w:t>[1]</w:t>
      </w:r>
      <w:r w:rsidR="003143D7" w:rsidRPr="003143D7">
        <w:rPr>
          <w:rFonts w:ascii="Times New Roman" w:hAnsi="Times New Roman" w:cs="Times New Roman"/>
          <w:sz w:val="24"/>
        </w:rPr>
        <w:tab/>
        <w:t>J. Meng, R. Li, X. Chen, X. Wang, Q. Huang, D. Nie, D. Guo, Z. Zhao, Z. Han, Magnetic beads-based double-stranded DNA fluorescent aptasensor biosensor for deoxynivalenol detection, Food Chemistry 473 (2025) 143042. https://doi.org/10.1016/j.foodchem.2025.143042.</w:t>
      </w:r>
    </w:p>
    <w:p w14:paraId="436EBC5B" w14:textId="77777777" w:rsidR="003143D7" w:rsidRPr="003143D7" w:rsidRDefault="003143D7" w:rsidP="003143D7">
      <w:pPr>
        <w:pStyle w:val="af3"/>
        <w:rPr>
          <w:rFonts w:ascii="Times New Roman" w:hAnsi="Times New Roman" w:cs="Times New Roman"/>
          <w:sz w:val="24"/>
        </w:rPr>
      </w:pPr>
      <w:r w:rsidRPr="003143D7">
        <w:rPr>
          <w:rFonts w:ascii="Times New Roman" w:hAnsi="Times New Roman" w:cs="Times New Roman"/>
          <w:sz w:val="24"/>
        </w:rPr>
        <w:t>[2]</w:t>
      </w:r>
      <w:r w:rsidRPr="003143D7">
        <w:rPr>
          <w:rFonts w:ascii="Times New Roman" w:hAnsi="Times New Roman" w:cs="Times New Roman"/>
          <w:sz w:val="24"/>
        </w:rPr>
        <w:tab/>
        <w:t>C. Dong, Y. Li, X. Sun, X. Yang, T. Wei, A Highly Sensitive Silicon-Core Quantum Dot Fluorescent Probe for Vomitoxin Detection in Cereals, Foods 14 (2025) 1545. https://doi.org/10.3390/foods14091545.</w:t>
      </w:r>
    </w:p>
    <w:p w14:paraId="0A3CD976" w14:textId="77777777" w:rsidR="003143D7" w:rsidRPr="003143D7" w:rsidRDefault="003143D7" w:rsidP="003143D7">
      <w:pPr>
        <w:pStyle w:val="af3"/>
        <w:rPr>
          <w:rFonts w:ascii="Times New Roman" w:hAnsi="Times New Roman" w:cs="Times New Roman"/>
          <w:sz w:val="24"/>
        </w:rPr>
      </w:pPr>
      <w:r w:rsidRPr="003143D7">
        <w:rPr>
          <w:rFonts w:ascii="Times New Roman" w:hAnsi="Times New Roman" w:cs="Times New Roman"/>
          <w:sz w:val="24"/>
        </w:rPr>
        <w:t>[3]</w:t>
      </w:r>
      <w:r w:rsidRPr="003143D7">
        <w:rPr>
          <w:rFonts w:ascii="Times New Roman" w:hAnsi="Times New Roman" w:cs="Times New Roman"/>
          <w:sz w:val="24"/>
        </w:rPr>
        <w:tab/>
        <w:t>W. Yu, X. Lin, N. Duan, Z. Wang, S. Wu, A fluorescence and surface-enhanced Raman scattering dual-mode aptasensor for sensitive detection of deoxynivalenol based on gold nanoclusters and silver nanoparticles modified metal-polydopamine framework, Analytica Chimica Acta 1244 (2023) 340846. https://doi.org/10.1016/j.aca.2023.340846.</w:t>
      </w:r>
    </w:p>
    <w:p w14:paraId="5B6F34A5" w14:textId="77777777" w:rsidR="003143D7" w:rsidRPr="003143D7" w:rsidRDefault="003143D7" w:rsidP="003143D7">
      <w:pPr>
        <w:pStyle w:val="af3"/>
        <w:rPr>
          <w:rFonts w:ascii="Times New Roman" w:hAnsi="Times New Roman" w:cs="Times New Roman"/>
          <w:sz w:val="24"/>
        </w:rPr>
      </w:pPr>
      <w:r w:rsidRPr="003143D7">
        <w:rPr>
          <w:rFonts w:ascii="Times New Roman" w:hAnsi="Times New Roman" w:cs="Times New Roman"/>
          <w:sz w:val="24"/>
        </w:rPr>
        <w:t>[4]</w:t>
      </w:r>
      <w:r w:rsidRPr="003143D7">
        <w:rPr>
          <w:rFonts w:ascii="Times New Roman" w:hAnsi="Times New Roman" w:cs="Times New Roman"/>
          <w:sz w:val="24"/>
        </w:rPr>
        <w:tab/>
        <w:t>J. Wang, L. Wang, H. Zhang, X. Mei, L. Qiu, J. Liu, Y. Zhou, Development of a time-resolved immunochromatographic strip for rapid and quantitative determination of deoxynivalenol, Front. Vet. Sci. 10 (2023). https://doi.org/10.3389/fvets.2023.1142820.</w:t>
      </w:r>
    </w:p>
    <w:p w14:paraId="36FC2709" w14:textId="3CC414E7" w:rsidR="005E70AE" w:rsidRPr="008021F8" w:rsidRDefault="005E70AE" w:rsidP="005E70AE">
      <w:pPr>
        <w:widowControl/>
        <w:spacing w:line="360" w:lineRule="auto"/>
        <w:jc w:val="left"/>
        <w:rPr>
          <w:rFonts w:ascii="Times New Roman" w:hAnsi="Times New Roman" w:cs="Times New Roman"/>
          <w:sz w:val="24"/>
          <w:szCs w:val="28"/>
        </w:rPr>
      </w:pPr>
      <w:r>
        <w:rPr>
          <w:rFonts w:ascii="Times New Roman" w:hAnsi="Times New Roman" w:cs="Times New Roman"/>
          <w:sz w:val="24"/>
          <w:szCs w:val="28"/>
        </w:rPr>
        <w:fldChar w:fldCharType="end"/>
      </w:r>
    </w:p>
    <w:sectPr w:rsidR="005E70AE" w:rsidRPr="008021F8" w:rsidSect="008A0DF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5459" w14:textId="77777777" w:rsidR="009D1D74" w:rsidRDefault="009D1D74" w:rsidP="00C80AE1">
      <w:pPr>
        <w:rPr>
          <w:rFonts w:hint="eastAsia"/>
        </w:rPr>
      </w:pPr>
      <w:r>
        <w:separator/>
      </w:r>
    </w:p>
  </w:endnote>
  <w:endnote w:type="continuationSeparator" w:id="0">
    <w:p w14:paraId="2F1DE786" w14:textId="77777777" w:rsidR="009D1D74" w:rsidRDefault="009D1D74" w:rsidP="00C80A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01E6" w14:textId="77777777" w:rsidR="009D1D74" w:rsidRDefault="009D1D74" w:rsidP="00C80AE1">
      <w:pPr>
        <w:rPr>
          <w:rFonts w:hint="eastAsia"/>
        </w:rPr>
      </w:pPr>
      <w:r>
        <w:separator/>
      </w:r>
    </w:p>
  </w:footnote>
  <w:footnote w:type="continuationSeparator" w:id="0">
    <w:p w14:paraId="34BEF668" w14:textId="77777777" w:rsidR="009D1D74" w:rsidRDefault="009D1D74" w:rsidP="00C80A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9B"/>
    <w:rsid w:val="00065221"/>
    <w:rsid w:val="000B4E82"/>
    <w:rsid w:val="001465AE"/>
    <w:rsid w:val="00197FFC"/>
    <w:rsid w:val="002248F3"/>
    <w:rsid w:val="002577AB"/>
    <w:rsid w:val="00271D48"/>
    <w:rsid w:val="002C4D77"/>
    <w:rsid w:val="002E5D65"/>
    <w:rsid w:val="003143D7"/>
    <w:rsid w:val="00364DAB"/>
    <w:rsid w:val="00383A5D"/>
    <w:rsid w:val="0039263B"/>
    <w:rsid w:val="0053737F"/>
    <w:rsid w:val="00554A64"/>
    <w:rsid w:val="00572B83"/>
    <w:rsid w:val="005C2317"/>
    <w:rsid w:val="005E70AE"/>
    <w:rsid w:val="00615F30"/>
    <w:rsid w:val="00750848"/>
    <w:rsid w:val="007A5830"/>
    <w:rsid w:val="007B6C98"/>
    <w:rsid w:val="007E0180"/>
    <w:rsid w:val="008021F8"/>
    <w:rsid w:val="008A0DF8"/>
    <w:rsid w:val="009373C1"/>
    <w:rsid w:val="00946DBA"/>
    <w:rsid w:val="00960D9B"/>
    <w:rsid w:val="009C002D"/>
    <w:rsid w:val="009D1D74"/>
    <w:rsid w:val="00AA7C6C"/>
    <w:rsid w:val="00B02B71"/>
    <w:rsid w:val="00B87014"/>
    <w:rsid w:val="00C11B35"/>
    <w:rsid w:val="00C3465C"/>
    <w:rsid w:val="00C45ED5"/>
    <w:rsid w:val="00C47C21"/>
    <w:rsid w:val="00C80AE1"/>
    <w:rsid w:val="00CA6913"/>
    <w:rsid w:val="00DD4C8C"/>
    <w:rsid w:val="00E44C6B"/>
    <w:rsid w:val="00E725D6"/>
    <w:rsid w:val="00F4477F"/>
    <w:rsid w:val="00FA0C0C"/>
    <w:rsid w:val="00FC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9E68"/>
  <w15:chartTrackingRefBased/>
  <w15:docId w15:val="{F45A49C4-02C9-4A29-8E46-5920E314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D9B"/>
    <w:pPr>
      <w:widowControl w:val="0"/>
      <w:jc w:val="both"/>
    </w:pPr>
  </w:style>
  <w:style w:type="paragraph" w:styleId="1">
    <w:name w:val="heading 1"/>
    <w:basedOn w:val="a"/>
    <w:next w:val="a"/>
    <w:link w:val="10"/>
    <w:uiPriority w:val="9"/>
    <w:qFormat/>
    <w:rsid w:val="00960D9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0D9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0D9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60D9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60D9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60D9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60D9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D9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60D9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D9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60D9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60D9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60D9B"/>
    <w:rPr>
      <w:rFonts w:cstheme="majorBidi"/>
      <w:color w:val="0F4761" w:themeColor="accent1" w:themeShade="BF"/>
      <w:sz w:val="28"/>
      <w:szCs w:val="28"/>
    </w:rPr>
  </w:style>
  <w:style w:type="character" w:customStyle="1" w:styleId="50">
    <w:name w:val="标题 5 字符"/>
    <w:basedOn w:val="a0"/>
    <w:link w:val="5"/>
    <w:uiPriority w:val="9"/>
    <w:semiHidden/>
    <w:rsid w:val="00960D9B"/>
    <w:rPr>
      <w:rFonts w:cstheme="majorBidi"/>
      <w:color w:val="0F4761" w:themeColor="accent1" w:themeShade="BF"/>
      <w:sz w:val="24"/>
      <w:szCs w:val="24"/>
    </w:rPr>
  </w:style>
  <w:style w:type="character" w:customStyle="1" w:styleId="60">
    <w:name w:val="标题 6 字符"/>
    <w:basedOn w:val="a0"/>
    <w:link w:val="6"/>
    <w:uiPriority w:val="9"/>
    <w:semiHidden/>
    <w:rsid w:val="00960D9B"/>
    <w:rPr>
      <w:rFonts w:cstheme="majorBidi"/>
      <w:b/>
      <w:bCs/>
      <w:color w:val="0F4761" w:themeColor="accent1" w:themeShade="BF"/>
    </w:rPr>
  </w:style>
  <w:style w:type="character" w:customStyle="1" w:styleId="70">
    <w:name w:val="标题 7 字符"/>
    <w:basedOn w:val="a0"/>
    <w:link w:val="7"/>
    <w:uiPriority w:val="9"/>
    <w:semiHidden/>
    <w:rsid w:val="00960D9B"/>
    <w:rPr>
      <w:rFonts w:cstheme="majorBidi"/>
      <w:b/>
      <w:bCs/>
      <w:color w:val="595959" w:themeColor="text1" w:themeTint="A6"/>
    </w:rPr>
  </w:style>
  <w:style w:type="character" w:customStyle="1" w:styleId="80">
    <w:name w:val="标题 8 字符"/>
    <w:basedOn w:val="a0"/>
    <w:link w:val="8"/>
    <w:uiPriority w:val="9"/>
    <w:semiHidden/>
    <w:rsid w:val="00960D9B"/>
    <w:rPr>
      <w:rFonts w:cstheme="majorBidi"/>
      <w:color w:val="595959" w:themeColor="text1" w:themeTint="A6"/>
    </w:rPr>
  </w:style>
  <w:style w:type="character" w:customStyle="1" w:styleId="90">
    <w:name w:val="标题 9 字符"/>
    <w:basedOn w:val="a0"/>
    <w:link w:val="9"/>
    <w:uiPriority w:val="9"/>
    <w:semiHidden/>
    <w:rsid w:val="00960D9B"/>
    <w:rPr>
      <w:rFonts w:eastAsiaTheme="majorEastAsia" w:cstheme="majorBidi"/>
      <w:color w:val="595959" w:themeColor="text1" w:themeTint="A6"/>
    </w:rPr>
  </w:style>
  <w:style w:type="paragraph" w:styleId="a3">
    <w:name w:val="Title"/>
    <w:basedOn w:val="a"/>
    <w:next w:val="a"/>
    <w:link w:val="a4"/>
    <w:uiPriority w:val="10"/>
    <w:qFormat/>
    <w:rsid w:val="00960D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D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D9B"/>
    <w:pPr>
      <w:spacing w:before="160" w:after="160"/>
      <w:jc w:val="center"/>
    </w:pPr>
    <w:rPr>
      <w:i/>
      <w:iCs/>
      <w:color w:val="404040" w:themeColor="text1" w:themeTint="BF"/>
    </w:rPr>
  </w:style>
  <w:style w:type="character" w:customStyle="1" w:styleId="a8">
    <w:name w:val="引用 字符"/>
    <w:basedOn w:val="a0"/>
    <w:link w:val="a7"/>
    <w:uiPriority w:val="29"/>
    <w:rsid w:val="00960D9B"/>
    <w:rPr>
      <w:i/>
      <w:iCs/>
      <w:color w:val="404040" w:themeColor="text1" w:themeTint="BF"/>
    </w:rPr>
  </w:style>
  <w:style w:type="paragraph" w:styleId="a9">
    <w:name w:val="List Paragraph"/>
    <w:basedOn w:val="a"/>
    <w:uiPriority w:val="34"/>
    <w:qFormat/>
    <w:rsid w:val="00960D9B"/>
    <w:pPr>
      <w:ind w:left="720"/>
      <w:contextualSpacing/>
    </w:pPr>
  </w:style>
  <w:style w:type="character" w:styleId="aa">
    <w:name w:val="Intense Emphasis"/>
    <w:basedOn w:val="a0"/>
    <w:uiPriority w:val="21"/>
    <w:qFormat/>
    <w:rsid w:val="00960D9B"/>
    <w:rPr>
      <w:i/>
      <w:iCs/>
      <w:color w:val="0F4761" w:themeColor="accent1" w:themeShade="BF"/>
    </w:rPr>
  </w:style>
  <w:style w:type="paragraph" w:styleId="ab">
    <w:name w:val="Intense Quote"/>
    <w:basedOn w:val="a"/>
    <w:next w:val="a"/>
    <w:link w:val="ac"/>
    <w:uiPriority w:val="30"/>
    <w:qFormat/>
    <w:rsid w:val="00960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60D9B"/>
    <w:rPr>
      <w:i/>
      <w:iCs/>
      <w:color w:val="0F4761" w:themeColor="accent1" w:themeShade="BF"/>
    </w:rPr>
  </w:style>
  <w:style w:type="character" w:styleId="ad">
    <w:name w:val="Intense Reference"/>
    <w:basedOn w:val="a0"/>
    <w:uiPriority w:val="32"/>
    <w:qFormat/>
    <w:rsid w:val="00960D9B"/>
    <w:rPr>
      <w:b/>
      <w:bCs/>
      <w:smallCaps/>
      <w:color w:val="0F4761" w:themeColor="accent1" w:themeShade="BF"/>
      <w:spacing w:val="5"/>
    </w:rPr>
  </w:style>
  <w:style w:type="paragraph" w:styleId="ae">
    <w:name w:val="header"/>
    <w:basedOn w:val="a"/>
    <w:link w:val="af"/>
    <w:uiPriority w:val="99"/>
    <w:unhideWhenUsed/>
    <w:rsid w:val="00C80AE1"/>
    <w:pPr>
      <w:tabs>
        <w:tab w:val="center" w:pos="4153"/>
        <w:tab w:val="right" w:pos="8306"/>
      </w:tabs>
      <w:snapToGrid w:val="0"/>
      <w:jc w:val="center"/>
    </w:pPr>
    <w:rPr>
      <w:sz w:val="18"/>
      <w:szCs w:val="18"/>
    </w:rPr>
  </w:style>
  <w:style w:type="character" w:customStyle="1" w:styleId="af">
    <w:name w:val="页眉 字符"/>
    <w:basedOn w:val="a0"/>
    <w:link w:val="ae"/>
    <w:uiPriority w:val="99"/>
    <w:rsid w:val="00C80AE1"/>
    <w:rPr>
      <w:sz w:val="18"/>
      <w:szCs w:val="18"/>
    </w:rPr>
  </w:style>
  <w:style w:type="paragraph" w:styleId="af0">
    <w:name w:val="footer"/>
    <w:basedOn w:val="a"/>
    <w:link w:val="af1"/>
    <w:uiPriority w:val="99"/>
    <w:unhideWhenUsed/>
    <w:rsid w:val="00C80AE1"/>
    <w:pPr>
      <w:tabs>
        <w:tab w:val="center" w:pos="4153"/>
        <w:tab w:val="right" w:pos="8306"/>
      </w:tabs>
      <w:snapToGrid w:val="0"/>
      <w:jc w:val="left"/>
    </w:pPr>
    <w:rPr>
      <w:sz w:val="18"/>
      <w:szCs w:val="18"/>
    </w:rPr>
  </w:style>
  <w:style w:type="character" w:customStyle="1" w:styleId="af1">
    <w:name w:val="页脚 字符"/>
    <w:basedOn w:val="a0"/>
    <w:link w:val="af0"/>
    <w:uiPriority w:val="99"/>
    <w:rsid w:val="00C80AE1"/>
    <w:rPr>
      <w:sz w:val="18"/>
      <w:szCs w:val="18"/>
    </w:rPr>
  </w:style>
  <w:style w:type="table" w:styleId="af2">
    <w:name w:val="Table Grid"/>
    <w:basedOn w:val="a1"/>
    <w:uiPriority w:val="39"/>
    <w:rsid w:val="00802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ibliography"/>
    <w:basedOn w:val="a"/>
    <w:next w:val="a"/>
    <w:uiPriority w:val="37"/>
    <w:unhideWhenUsed/>
    <w:rsid w:val="005E70AE"/>
    <w:pPr>
      <w:tabs>
        <w:tab w:val="left" w:pos="384"/>
      </w:tabs>
      <w:ind w:left="384" w:hanging="384"/>
    </w:pPr>
  </w:style>
  <w:style w:type="character" w:styleId="af4">
    <w:name w:val="line number"/>
    <w:basedOn w:val="a0"/>
    <w:uiPriority w:val="99"/>
    <w:semiHidden/>
    <w:unhideWhenUsed/>
    <w:rsid w:val="008A0DF8"/>
  </w:style>
  <w:style w:type="character" w:styleId="af5">
    <w:name w:val="Hyperlink"/>
    <w:basedOn w:val="a0"/>
    <w:uiPriority w:val="99"/>
    <w:unhideWhenUsed/>
    <w:rsid w:val="00FA0C0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96131">
      <w:bodyDiv w:val="1"/>
      <w:marLeft w:val="0"/>
      <w:marRight w:val="0"/>
      <w:marTop w:val="0"/>
      <w:marBottom w:val="0"/>
      <w:divBdr>
        <w:top w:val="none" w:sz="0" w:space="0" w:color="auto"/>
        <w:left w:val="none" w:sz="0" w:space="0" w:color="auto"/>
        <w:bottom w:val="none" w:sz="0" w:space="0" w:color="auto"/>
        <w:right w:val="none" w:sz="0" w:space="0" w:color="auto"/>
      </w:divBdr>
    </w:div>
    <w:div w:id="6938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ljiang@nufe.edu.cn,wanglife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E7770-53CB-441F-A253-5748A839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1619</Words>
  <Characters>9765</Characters>
  <Application>Microsoft Office Word</Application>
  <DocSecurity>0</DocSecurity>
  <Lines>443</Lines>
  <Paragraphs>291</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Z</dc:creator>
  <cp:keywords/>
  <dc:description/>
  <cp:lastModifiedBy>柯 王</cp:lastModifiedBy>
  <cp:revision>12</cp:revision>
  <dcterms:created xsi:type="dcterms:W3CDTF">2025-06-09T06:23:00Z</dcterms:created>
  <dcterms:modified xsi:type="dcterms:W3CDTF">2026-03-19T09:53:00Z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id="Qs2eiVKq"/&gt;&lt;style id="http://www.zotero.org/styles/bioelectrochemistry" hasBibliography="1" bibliographyStyleHasBeenSet="1"/&gt;&lt;prefs&gt;&lt;pref name="fieldType" value="Field"/&gt;&lt;/prefs&gt;&lt;/data&gt;</vt:lpwstr>
  </property>
</Properties>
</file>