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1E41DA" w14:textId="77777777" w:rsidR="005756F9" w:rsidRDefault="005756F9" w:rsidP="005756F9">
      <w:pPr>
        <w:spacing w:line="240" w:lineRule="auto"/>
        <w:jc w:val="center"/>
        <w:rPr>
          <w:rFonts w:ascii="Calibri" w:eastAsia="Calibri" w:hAnsi="Calibri" w:cs="Calibri"/>
          <w:b/>
          <w:bCs/>
          <w:sz w:val="24"/>
          <w:szCs w:val="24"/>
        </w:rPr>
      </w:pPr>
      <w:r>
        <w:rPr>
          <w:rFonts w:ascii="Calibri" w:eastAsia="Calibri" w:hAnsi="Calibri" w:cs="Calibri"/>
          <w:b/>
          <w:bCs/>
          <w:sz w:val="24"/>
          <w:szCs w:val="24"/>
        </w:rPr>
        <w:t xml:space="preserve">Annex I - SPIRIT 2025 checklist </w:t>
      </w:r>
    </w:p>
    <w:p w14:paraId="4ED12063" w14:textId="77777777" w:rsidR="005756F9" w:rsidRDefault="005756F9" w:rsidP="005756F9">
      <w:pPr>
        <w:spacing w:line="240" w:lineRule="auto"/>
        <w:rPr>
          <w:rFonts w:ascii="Calibri" w:eastAsia="Calibri" w:hAnsi="Calibri" w:cs="Calibri"/>
          <w:b/>
          <w:bCs/>
          <w:sz w:val="24"/>
          <w:szCs w:val="24"/>
        </w:rPr>
      </w:pPr>
    </w:p>
    <w:tbl>
      <w:tblPr>
        <w:tblW w:w="129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567"/>
        <w:gridCol w:w="8723"/>
        <w:gridCol w:w="1260"/>
      </w:tblGrid>
      <w:tr w:rsidR="005756F9" w14:paraId="1C4B5379" w14:textId="77777777" w:rsidTr="00E70CA8">
        <w:trPr>
          <w:trHeight w:val="276"/>
        </w:trPr>
        <w:tc>
          <w:tcPr>
            <w:tcW w:w="2405" w:type="dxa"/>
            <w:shd w:val="clear" w:color="auto" w:fill="BFBFBF"/>
            <w:vAlign w:val="center"/>
          </w:tcPr>
          <w:p w14:paraId="47D447C9" w14:textId="77777777" w:rsidR="005756F9" w:rsidRDefault="005756F9" w:rsidP="00E70CA8">
            <w:pPr>
              <w:spacing w:line="240" w:lineRule="auto"/>
              <w:rPr>
                <w:rFonts w:ascii="Calibri" w:eastAsia="Calibri" w:hAnsi="Calibri" w:cs="Calibri"/>
                <w:b/>
                <w:bCs/>
                <w:sz w:val="20"/>
                <w:szCs w:val="20"/>
              </w:rPr>
            </w:pPr>
            <w:r>
              <w:rPr>
                <w:rFonts w:ascii="Calibri" w:eastAsia="Calibri" w:hAnsi="Calibri" w:cs="Calibri"/>
                <w:b/>
                <w:bCs/>
                <w:sz w:val="20"/>
                <w:szCs w:val="20"/>
              </w:rPr>
              <w:t>Section / Topic</w:t>
            </w:r>
          </w:p>
        </w:tc>
        <w:tc>
          <w:tcPr>
            <w:tcW w:w="567" w:type="dxa"/>
            <w:shd w:val="clear" w:color="auto" w:fill="BFBFBF"/>
            <w:vAlign w:val="center"/>
          </w:tcPr>
          <w:p w14:paraId="35D2D159" w14:textId="77777777" w:rsidR="005756F9" w:rsidRDefault="005756F9" w:rsidP="00E70CA8">
            <w:pPr>
              <w:spacing w:line="240" w:lineRule="auto"/>
              <w:rPr>
                <w:rFonts w:ascii="Calibri" w:eastAsia="Calibri" w:hAnsi="Calibri" w:cs="Calibri"/>
                <w:b/>
                <w:bCs/>
                <w:sz w:val="20"/>
                <w:szCs w:val="20"/>
              </w:rPr>
            </w:pPr>
            <w:r>
              <w:rPr>
                <w:rFonts w:ascii="Calibri" w:eastAsia="Calibri" w:hAnsi="Calibri" w:cs="Calibri"/>
                <w:b/>
                <w:bCs/>
                <w:sz w:val="20"/>
                <w:szCs w:val="20"/>
              </w:rPr>
              <w:t>No</w:t>
            </w:r>
          </w:p>
        </w:tc>
        <w:tc>
          <w:tcPr>
            <w:tcW w:w="8723" w:type="dxa"/>
            <w:shd w:val="clear" w:color="auto" w:fill="BFBFBF"/>
            <w:vAlign w:val="center"/>
          </w:tcPr>
          <w:p w14:paraId="73B60950" w14:textId="77777777" w:rsidR="005756F9" w:rsidRDefault="005756F9" w:rsidP="00E70CA8">
            <w:pPr>
              <w:spacing w:line="240" w:lineRule="auto"/>
              <w:rPr>
                <w:rFonts w:ascii="Calibri" w:eastAsia="Calibri" w:hAnsi="Calibri" w:cs="Calibri"/>
                <w:b/>
                <w:bCs/>
                <w:sz w:val="20"/>
                <w:szCs w:val="20"/>
              </w:rPr>
            </w:pPr>
            <w:r>
              <w:rPr>
                <w:rFonts w:ascii="Calibri" w:eastAsia="Calibri" w:hAnsi="Calibri" w:cs="Calibri"/>
                <w:b/>
                <w:bCs/>
                <w:sz w:val="20"/>
                <w:szCs w:val="20"/>
              </w:rPr>
              <w:t>SPIRIT 2025 checklist item description</w:t>
            </w:r>
          </w:p>
        </w:tc>
        <w:tc>
          <w:tcPr>
            <w:tcW w:w="1260" w:type="dxa"/>
            <w:shd w:val="clear" w:color="auto" w:fill="BFBFBF"/>
            <w:vAlign w:val="center"/>
          </w:tcPr>
          <w:p w14:paraId="299034EE" w14:textId="77777777" w:rsidR="005756F9" w:rsidRDefault="005756F9" w:rsidP="00E70CA8">
            <w:pPr>
              <w:spacing w:line="240" w:lineRule="auto"/>
              <w:rPr>
                <w:rFonts w:ascii="Calibri" w:eastAsia="Calibri" w:hAnsi="Calibri" w:cs="Calibri"/>
                <w:b/>
                <w:bCs/>
                <w:sz w:val="20"/>
                <w:szCs w:val="20"/>
              </w:rPr>
            </w:pPr>
            <w:r>
              <w:rPr>
                <w:rFonts w:ascii="Calibri" w:eastAsia="Calibri" w:hAnsi="Calibri" w:cs="Calibri"/>
                <w:b/>
                <w:bCs/>
                <w:sz w:val="20"/>
                <w:szCs w:val="20"/>
              </w:rPr>
              <w:t>Reported on page no.</w:t>
            </w:r>
          </w:p>
        </w:tc>
      </w:tr>
      <w:tr w:rsidR="005756F9" w14:paraId="4BBA54BC" w14:textId="77777777" w:rsidTr="00E70CA8">
        <w:trPr>
          <w:trHeight w:val="268"/>
        </w:trPr>
        <w:tc>
          <w:tcPr>
            <w:tcW w:w="11695" w:type="dxa"/>
            <w:gridSpan w:val="3"/>
            <w:shd w:val="clear" w:color="auto" w:fill="B4C6E7"/>
          </w:tcPr>
          <w:p w14:paraId="10CE079A" w14:textId="77777777" w:rsidR="005756F9" w:rsidRDefault="005756F9" w:rsidP="00E70CA8">
            <w:pPr>
              <w:spacing w:line="240" w:lineRule="auto"/>
              <w:rPr>
                <w:rFonts w:ascii="Calibri" w:eastAsia="Calibri" w:hAnsi="Calibri" w:cs="Calibri"/>
                <w:b/>
                <w:bCs/>
                <w:sz w:val="20"/>
                <w:szCs w:val="20"/>
              </w:rPr>
            </w:pPr>
            <w:r>
              <w:rPr>
                <w:rFonts w:ascii="Calibri" w:eastAsia="Calibri" w:hAnsi="Calibri" w:cs="Calibri"/>
                <w:b/>
                <w:bCs/>
                <w:sz w:val="20"/>
                <w:szCs w:val="20"/>
              </w:rPr>
              <w:t>Administrative information</w:t>
            </w:r>
          </w:p>
        </w:tc>
        <w:tc>
          <w:tcPr>
            <w:tcW w:w="1260" w:type="dxa"/>
            <w:shd w:val="clear" w:color="auto" w:fill="B4C6E7"/>
          </w:tcPr>
          <w:p w14:paraId="4B064CBA" w14:textId="77777777" w:rsidR="005756F9" w:rsidRDefault="005756F9" w:rsidP="00E70CA8">
            <w:pPr>
              <w:spacing w:line="240" w:lineRule="auto"/>
              <w:rPr>
                <w:rFonts w:ascii="Calibri" w:eastAsia="Calibri" w:hAnsi="Calibri" w:cs="Calibri"/>
                <w:b/>
                <w:bCs/>
                <w:sz w:val="20"/>
                <w:szCs w:val="20"/>
              </w:rPr>
            </w:pPr>
          </w:p>
        </w:tc>
      </w:tr>
      <w:tr w:rsidR="005756F9" w14:paraId="7A5BC90D" w14:textId="77777777" w:rsidTr="00E70CA8">
        <w:trPr>
          <w:trHeight w:val="276"/>
        </w:trPr>
        <w:tc>
          <w:tcPr>
            <w:tcW w:w="2405" w:type="dxa"/>
            <w:vMerge w:val="restart"/>
          </w:tcPr>
          <w:p w14:paraId="46518FFB"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Title and structured summary</w:t>
            </w:r>
          </w:p>
        </w:tc>
        <w:tc>
          <w:tcPr>
            <w:tcW w:w="567" w:type="dxa"/>
          </w:tcPr>
          <w:p w14:paraId="420D684D"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1a</w:t>
            </w:r>
          </w:p>
        </w:tc>
        <w:tc>
          <w:tcPr>
            <w:tcW w:w="8723" w:type="dxa"/>
          </w:tcPr>
          <w:p w14:paraId="17671CD4"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Title stating the trial design, population, and interventions, with identification as a protocol</w:t>
            </w:r>
          </w:p>
        </w:tc>
        <w:tc>
          <w:tcPr>
            <w:tcW w:w="1260" w:type="dxa"/>
          </w:tcPr>
          <w:p w14:paraId="69C9B619"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1</w:t>
            </w:r>
          </w:p>
        </w:tc>
      </w:tr>
      <w:tr w:rsidR="005756F9" w14:paraId="2FB29C97" w14:textId="77777777" w:rsidTr="00E70CA8">
        <w:trPr>
          <w:trHeight w:val="262"/>
        </w:trPr>
        <w:tc>
          <w:tcPr>
            <w:tcW w:w="2405" w:type="dxa"/>
            <w:vMerge/>
          </w:tcPr>
          <w:p w14:paraId="2E3CEE1C" w14:textId="77777777" w:rsidR="005756F9" w:rsidRDefault="005756F9" w:rsidP="00E70CA8">
            <w:pPr>
              <w:widowControl w:val="0"/>
              <w:rPr>
                <w:rFonts w:ascii="Calibri" w:eastAsia="Calibri" w:hAnsi="Calibri" w:cs="Calibri"/>
                <w:sz w:val="20"/>
                <w:szCs w:val="20"/>
              </w:rPr>
            </w:pPr>
          </w:p>
        </w:tc>
        <w:tc>
          <w:tcPr>
            <w:tcW w:w="567" w:type="dxa"/>
            <w:vAlign w:val="center"/>
          </w:tcPr>
          <w:p w14:paraId="728781B5"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1b</w:t>
            </w:r>
          </w:p>
        </w:tc>
        <w:tc>
          <w:tcPr>
            <w:tcW w:w="8723" w:type="dxa"/>
            <w:vAlign w:val="center"/>
          </w:tcPr>
          <w:p w14:paraId="5387FF47"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Structured summary of trial design and methods, including items from the World Health Organization Trial Registration Data Set</w:t>
            </w:r>
          </w:p>
        </w:tc>
        <w:tc>
          <w:tcPr>
            <w:tcW w:w="1260" w:type="dxa"/>
          </w:tcPr>
          <w:p w14:paraId="235930D2"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6FB9D94C" w14:textId="77777777" w:rsidTr="00E70CA8">
        <w:trPr>
          <w:trHeight w:val="280"/>
        </w:trPr>
        <w:tc>
          <w:tcPr>
            <w:tcW w:w="2405" w:type="dxa"/>
          </w:tcPr>
          <w:p w14:paraId="722E1E73"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Protocol version</w:t>
            </w:r>
          </w:p>
        </w:tc>
        <w:tc>
          <w:tcPr>
            <w:tcW w:w="567" w:type="dxa"/>
          </w:tcPr>
          <w:p w14:paraId="6E531A8F"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2</w:t>
            </w:r>
          </w:p>
        </w:tc>
        <w:tc>
          <w:tcPr>
            <w:tcW w:w="8723" w:type="dxa"/>
          </w:tcPr>
          <w:p w14:paraId="052ED8AA"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Version date and identifier</w:t>
            </w:r>
          </w:p>
        </w:tc>
        <w:tc>
          <w:tcPr>
            <w:tcW w:w="1260" w:type="dxa"/>
          </w:tcPr>
          <w:p w14:paraId="713A96D8"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1</w:t>
            </w:r>
          </w:p>
        </w:tc>
      </w:tr>
      <w:tr w:rsidR="005756F9" w14:paraId="426BCB38" w14:textId="77777777" w:rsidTr="00E70CA8">
        <w:trPr>
          <w:trHeight w:val="124"/>
        </w:trPr>
        <w:tc>
          <w:tcPr>
            <w:tcW w:w="2405" w:type="dxa"/>
            <w:vMerge w:val="restart"/>
            <w:tcBorders>
              <w:top w:val="single" w:sz="4" w:space="0" w:color="000000"/>
              <w:left w:val="single" w:sz="4" w:space="0" w:color="000000"/>
              <w:right w:val="single" w:sz="4" w:space="0" w:color="000000"/>
            </w:tcBorders>
          </w:tcPr>
          <w:p w14:paraId="47D22A20"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Roles and responsibilities</w:t>
            </w:r>
          </w:p>
          <w:p w14:paraId="64A6EEA8" w14:textId="77777777" w:rsidR="005756F9" w:rsidRDefault="005756F9" w:rsidP="00E70CA8">
            <w:pPr>
              <w:spacing w:line="240"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731E857C"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3a</w:t>
            </w:r>
          </w:p>
        </w:tc>
        <w:tc>
          <w:tcPr>
            <w:tcW w:w="8723" w:type="dxa"/>
            <w:tcBorders>
              <w:top w:val="single" w:sz="4" w:space="0" w:color="000000"/>
              <w:left w:val="single" w:sz="4" w:space="0" w:color="000000"/>
              <w:right w:val="single" w:sz="4" w:space="0" w:color="000000"/>
            </w:tcBorders>
          </w:tcPr>
          <w:p w14:paraId="74F3D9CF"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Names, affiliations, and roles of protocol contributors</w:t>
            </w:r>
          </w:p>
        </w:tc>
        <w:tc>
          <w:tcPr>
            <w:tcW w:w="1260" w:type="dxa"/>
            <w:tcBorders>
              <w:top w:val="single" w:sz="4" w:space="0" w:color="000000"/>
              <w:left w:val="single" w:sz="4" w:space="0" w:color="000000"/>
              <w:right w:val="single" w:sz="4" w:space="0" w:color="000000"/>
            </w:tcBorders>
          </w:tcPr>
          <w:p w14:paraId="49F7CC77"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1</w:t>
            </w:r>
          </w:p>
        </w:tc>
      </w:tr>
      <w:tr w:rsidR="005756F9" w14:paraId="2D50B27C" w14:textId="77777777" w:rsidTr="00E70CA8">
        <w:trPr>
          <w:trHeight w:val="122"/>
        </w:trPr>
        <w:tc>
          <w:tcPr>
            <w:tcW w:w="2405" w:type="dxa"/>
            <w:vMerge/>
            <w:tcBorders>
              <w:top w:val="single" w:sz="4" w:space="0" w:color="000000"/>
              <w:left w:val="single" w:sz="4" w:space="0" w:color="000000"/>
              <w:right w:val="single" w:sz="4" w:space="0" w:color="000000"/>
            </w:tcBorders>
          </w:tcPr>
          <w:p w14:paraId="3C6002F4" w14:textId="77777777" w:rsidR="005756F9" w:rsidRDefault="005756F9" w:rsidP="00E70CA8">
            <w:pPr>
              <w:widowControl w:val="0"/>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4A5E1BCA"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3b</w:t>
            </w:r>
          </w:p>
        </w:tc>
        <w:tc>
          <w:tcPr>
            <w:tcW w:w="8723" w:type="dxa"/>
            <w:tcBorders>
              <w:left w:val="single" w:sz="4" w:space="0" w:color="000000"/>
              <w:right w:val="single" w:sz="4" w:space="0" w:color="000000"/>
            </w:tcBorders>
          </w:tcPr>
          <w:p w14:paraId="175CE35C"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Name and contact information for the trial sponsor</w:t>
            </w:r>
          </w:p>
        </w:tc>
        <w:tc>
          <w:tcPr>
            <w:tcW w:w="1260" w:type="dxa"/>
            <w:tcBorders>
              <w:left w:val="single" w:sz="4" w:space="0" w:color="000000"/>
              <w:right w:val="single" w:sz="4" w:space="0" w:color="000000"/>
            </w:tcBorders>
          </w:tcPr>
          <w:p w14:paraId="618B0521"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21</w:t>
            </w:r>
          </w:p>
        </w:tc>
      </w:tr>
      <w:tr w:rsidR="005756F9" w14:paraId="2BB25D3C" w14:textId="77777777" w:rsidTr="00E70CA8">
        <w:trPr>
          <w:trHeight w:val="473"/>
        </w:trPr>
        <w:tc>
          <w:tcPr>
            <w:tcW w:w="2405" w:type="dxa"/>
            <w:vMerge/>
            <w:tcBorders>
              <w:top w:val="single" w:sz="4" w:space="0" w:color="000000"/>
              <w:left w:val="single" w:sz="4" w:space="0" w:color="000000"/>
              <w:right w:val="single" w:sz="4" w:space="0" w:color="000000"/>
            </w:tcBorders>
          </w:tcPr>
          <w:p w14:paraId="0BDBFD51" w14:textId="77777777" w:rsidR="005756F9" w:rsidRDefault="005756F9" w:rsidP="00E70CA8">
            <w:pPr>
              <w:widowControl w:val="0"/>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1191BDBB"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3c</w:t>
            </w:r>
          </w:p>
        </w:tc>
        <w:tc>
          <w:tcPr>
            <w:tcW w:w="8723" w:type="dxa"/>
            <w:tcBorders>
              <w:left w:val="single" w:sz="4" w:space="0" w:color="000000"/>
              <w:right w:val="single" w:sz="4" w:space="0" w:color="000000"/>
            </w:tcBorders>
          </w:tcPr>
          <w:p w14:paraId="1F287658"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Role of trial sponsor and funders in design, conduct, analysis, and reporting of trial; including any authority over these activities</w:t>
            </w:r>
          </w:p>
        </w:tc>
        <w:tc>
          <w:tcPr>
            <w:tcW w:w="1260" w:type="dxa"/>
            <w:tcBorders>
              <w:left w:val="single" w:sz="4" w:space="0" w:color="000000"/>
              <w:right w:val="single" w:sz="4" w:space="0" w:color="000000"/>
            </w:tcBorders>
          </w:tcPr>
          <w:p w14:paraId="6E50C56A"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4595FFB7" w14:textId="77777777" w:rsidTr="00E70CA8">
        <w:trPr>
          <w:trHeight w:val="122"/>
        </w:trPr>
        <w:tc>
          <w:tcPr>
            <w:tcW w:w="2405" w:type="dxa"/>
            <w:vMerge/>
            <w:tcBorders>
              <w:top w:val="single" w:sz="4" w:space="0" w:color="000000"/>
              <w:left w:val="single" w:sz="4" w:space="0" w:color="000000"/>
              <w:right w:val="single" w:sz="4" w:space="0" w:color="000000"/>
            </w:tcBorders>
          </w:tcPr>
          <w:p w14:paraId="74AF85A9" w14:textId="77777777" w:rsidR="005756F9" w:rsidRDefault="005756F9" w:rsidP="00E70CA8">
            <w:pPr>
              <w:widowControl w:val="0"/>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0CA78D73"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3d</w:t>
            </w:r>
          </w:p>
        </w:tc>
        <w:tc>
          <w:tcPr>
            <w:tcW w:w="8723" w:type="dxa"/>
            <w:tcBorders>
              <w:left w:val="single" w:sz="4" w:space="0" w:color="000000"/>
              <w:bottom w:val="single" w:sz="4" w:space="0" w:color="000000"/>
              <w:right w:val="single" w:sz="4" w:space="0" w:color="000000"/>
            </w:tcBorders>
          </w:tcPr>
          <w:p w14:paraId="12EA1B5E"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Composition, roles, and responsibilities of the coordinating site, steering committee, endpoint adjudication committee, data management team, and other individuals or groups overseeing the trial, if applicable</w:t>
            </w:r>
          </w:p>
        </w:tc>
        <w:tc>
          <w:tcPr>
            <w:tcW w:w="1260" w:type="dxa"/>
            <w:tcBorders>
              <w:left w:val="single" w:sz="4" w:space="0" w:color="000000"/>
              <w:bottom w:val="single" w:sz="4" w:space="0" w:color="000000"/>
              <w:right w:val="single" w:sz="4" w:space="0" w:color="000000"/>
            </w:tcBorders>
          </w:tcPr>
          <w:p w14:paraId="3A28AD88"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0E2C0147" w14:textId="77777777" w:rsidTr="00E70CA8">
        <w:trPr>
          <w:trHeight w:val="276"/>
        </w:trPr>
        <w:tc>
          <w:tcPr>
            <w:tcW w:w="11695" w:type="dxa"/>
            <w:gridSpan w:val="3"/>
            <w:shd w:val="clear" w:color="auto" w:fill="B4C6E7"/>
            <w:vAlign w:val="bottom"/>
          </w:tcPr>
          <w:p w14:paraId="267FE9FF" w14:textId="77777777" w:rsidR="005756F9" w:rsidRDefault="005756F9" w:rsidP="00E70CA8">
            <w:pPr>
              <w:spacing w:line="240" w:lineRule="auto"/>
              <w:rPr>
                <w:rFonts w:ascii="Calibri" w:eastAsia="Calibri" w:hAnsi="Calibri" w:cs="Calibri"/>
                <w:b/>
                <w:bCs/>
                <w:sz w:val="20"/>
                <w:szCs w:val="20"/>
              </w:rPr>
            </w:pPr>
            <w:r>
              <w:rPr>
                <w:rFonts w:ascii="Calibri" w:eastAsia="Calibri" w:hAnsi="Calibri" w:cs="Calibri"/>
                <w:b/>
                <w:bCs/>
                <w:sz w:val="20"/>
                <w:szCs w:val="20"/>
              </w:rPr>
              <w:t>Open science</w:t>
            </w:r>
          </w:p>
        </w:tc>
        <w:tc>
          <w:tcPr>
            <w:tcW w:w="1260" w:type="dxa"/>
            <w:shd w:val="clear" w:color="auto" w:fill="B4C6E7"/>
          </w:tcPr>
          <w:p w14:paraId="14409F4D" w14:textId="77777777" w:rsidR="005756F9" w:rsidRDefault="005756F9" w:rsidP="00E70CA8">
            <w:pPr>
              <w:spacing w:line="240" w:lineRule="auto"/>
              <w:rPr>
                <w:rFonts w:ascii="Calibri" w:eastAsia="Calibri" w:hAnsi="Calibri" w:cs="Calibri"/>
                <w:b/>
                <w:bCs/>
                <w:sz w:val="20"/>
                <w:szCs w:val="20"/>
              </w:rPr>
            </w:pPr>
          </w:p>
        </w:tc>
      </w:tr>
      <w:tr w:rsidR="005756F9" w14:paraId="69FBB370" w14:textId="77777777" w:rsidTr="00E70CA8">
        <w:trPr>
          <w:trHeight w:val="440"/>
        </w:trPr>
        <w:tc>
          <w:tcPr>
            <w:tcW w:w="2405" w:type="dxa"/>
          </w:tcPr>
          <w:p w14:paraId="4939AC07"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Trial registration</w:t>
            </w:r>
          </w:p>
        </w:tc>
        <w:tc>
          <w:tcPr>
            <w:tcW w:w="567" w:type="dxa"/>
          </w:tcPr>
          <w:p w14:paraId="44895AF7"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4</w:t>
            </w:r>
          </w:p>
        </w:tc>
        <w:tc>
          <w:tcPr>
            <w:tcW w:w="8723" w:type="dxa"/>
          </w:tcPr>
          <w:p w14:paraId="64738813"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Name of trial registry, identifying number (with URL), and date of registration. If not yet registered, name of intended registry</w:t>
            </w:r>
          </w:p>
        </w:tc>
        <w:tc>
          <w:tcPr>
            <w:tcW w:w="1260" w:type="dxa"/>
          </w:tcPr>
          <w:p w14:paraId="3F3832A5"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2</w:t>
            </w:r>
          </w:p>
        </w:tc>
      </w:tr>
      <w:tr w:rsidR="005756F9" w14:paraId="07E2BFD6" w14:textId="77777777" w:rsidTr="00E70CA8">
        <w:trPr>
          <w:trHeight w:val="227"/>
        </w:trPr>
        <w:tc>
          <w:tcPr>
            <w:tcW w:w="2405" w:type="dxa"/>
          </w:tcPr>
          <w:p w14:paraId="781FC52C"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Protocol and statistical analysis plan</w:t>
            </w:r>
          </w:p>
        </w:tc>
        <w:tc>
          <w:tcPr>
            <w:tcW w:w="567" w:type="dxa"/>
          </w:tcPr>
          <w:p w14:paraId="75DC21FE"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5</w:t>
            </w:r>
          </w:p>
        </w:tc>
        <w:tc>
          <w:tcPr>
            <w:tcW w:w="8723" w:type="dxa"/>
          </w:tcPr>
          <w:p w14:paraId="1910F49A"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Where the trial protocol and statistical analysis plan can be accessed</w:t>
            </w:r>
          </w:p>
        </w:tc>
        <w:tc>
          <w:tcPr>
            <w:tcW w:w="1260" w:type="dxa"/>
          </w:tcPr>
          <w:p w14:paraId="3A847E01"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153F6C1A" w14:textId="77777777" w:rsidTr="00E70CA8">
        <w:trPr>
          <w:trHeight w:val="205"/>
        </w:trPr>
        <w:tc>
          <w:tcPr>
            <w:tcW w:w="2405" w:type="dxa"/>
          </w:tcPr>
          <w:p w14:paraId="20E6358F"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Data sharing</w:t>
            </w:r>
          </w:p>
        </w:tc>
        <w:tc>
          <w:tcPr>
            <w:tcW w:w="567" w:type="dxa"/>
          </w:tcPr>
          <w:p w14:paraId="3AA166FF"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6</w:t>
            </w:r>
          </w:p>
        </w:tc>
        <w:tc>
          <w:tcPr>
            <w:tcW w:w="8723" w:type="dxa"/>
          </w:tcPr>
          <w:p w14:paraId="5CF91961"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Where and how the individual de-identified participant data (including data dictionary), statistical code, and any other materials will be accessible</w:t>
            </w:r>
          </w:p>
        </w:tc>
        <w:tc>
          <w:tcPr>
            <w:tcW w:w="1260" w:type="dxa"/>
          </w:tcPr>
          <w:p w14:paraId="5B4F88C9"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31A32463" w14:textId="77777777" w:rsidTr="00E70CA8">
        <w:trPr>
          <w:trHeight w:val="405"/>
        </w:trPr>
        <w:tc>
          <w:tcPr>
            <w:tcW w:w="2405" w:type="dxa"/>
            <w:vMerge w:val="restart"/>
          </w:tcPr>
          <w:p w14:paraId="3D22D632"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Funding and conflicts of interest</w:t>
            </w:r>
          </w:p>
        </w:tc>
        <w:tc>
          <w:tcPr>
            <w:tcW w:w="567" w:type="dxa"/>
          </w:tcPr>
          <w:p w14:paraId="7C801134"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7a</w:t>
            </w:r>
          </w:p>
        </w:tc>
        <w:tc>
          <w:tcPr>
            <w:tcW w:w="8723" w:type="dxa"/>
          </w:tcPr>
          <w:p w14:paraId="5820FE50"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 xml:space="preserve">Sources of funding and other support (e.g., supply of drugs) </w:t>
            </w:r>
          </w:p>
        </w:tc>
        <w:tc>
          <w:tcPr>
            <w:tcW w:w="1260" w:type="dxa"/>
          </w:tcPr>
          <w:p w14:paraId="04C917CF"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21</w:t>
            </w:r>
          </w:p>
        </w:tc>
      </w:tr>
      <w:tr w:rsidR="005756F9" w14:paraId="7172804C" w14:textId="77777777" w:rsidTr="00E70CA8">
        <w:trPr>
          <w:trHeight w:val="405"/>
        </w:trPr>
        <w:tc>
          <w:tcPr>
            <w:tcW w:w="2405" w:type="dxa"/>
            <w:vMerge/>
          </w:tcPr>
          <w:p w14:paraId="5AB7A8AE" w14:textId="77777777" w:rsidR="005756F9" w:rsidRDefault="005756F9" w:rsidP="00E70CA8">
            <w:pPr>
              <w:widowControl w:val="0"/>
              <w:rPr>
                <w:rFonts w:ascii="Calibri" w:eastAsia="Calibri" w:hAnsi="Calibri" w:cs="Calibri"/>
                <w:sz w:val="20"/>
                <w:szCs w:val="20"/>
              </w:rPr>
            </w:pPr>
          </w:p>
        </w:tc>
        <w:tc>
          <w:tcPr>
            <w:tcW w:w="567" w:type="dxa"/>
          </w:tcPr>
          <w:p w14:paraId="52CEF653"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7b</w:t>
            </w:r>
          </w:p>
        </w:tc>
        <w:tc>
          <w:tcPr>
            <w:tcW w:w="8723" w:type="dxa"/>
          </w:tcPr>
          <w:p w14:paraId="68CCA332"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Financial and other conflicts of interest for principal investigators and steering committee members</w:t>
            </w:r>
          </w:p>
        </w:tc>
        <w:tc>
          <w:tcPr>
            <w:tcW w:w="1260" w:type="dxa"/>
          </w:tcPr>
          <w:p w14:paraId="0D9D953A"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20</w:t>
            </w:r>
          </w:p>
        </w:tc>
      </w:tr>
      <w:tr w:rsidR="005756F9" w14:paraId="1693481C" w14:textId="77777777" w:rsidTr="00E70CA8">
        <w:trPr>
          <w:trHeight w:val="205"/>
        </w:trPr>
        <w:tc>
          <w:tcPr>
            <w:tcW w:w="2405" w:type="dxa"/>
          </w:tcPr>
          <w:p w14:paraId="50B0E695"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Dissemination policy</w:t>
            </w:r>
          </w:p>
          <w:p w14:paraId="2D8ACF73" w14:textId="77777777" w:rsidR="005756F9" w:rsidRDefault="005756F9" w:rsidP="00E70CA8">
            <w:pPr>
              <w:spacing w:line="240" w:lineRule="auto"/>
              <w:rPr>
                <w:rFonts w:ascii="Calibri" w:eastAsia="Calibri" w:hAnsi="Calibri" w:cs="Calibri"/>
                <w:sz w:val="20"/>
                <w:szCs w:val="20"/>
              </w:rPr>
            </w:pPr>
          </w:p>
        </w:tc>
        <w:tc>
          <w:tcPr>
            <w:tcW w:w="567" w:type="dxa"/>
          </w:tcPr>
          <w:p w14:paraId="41454924"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8</w:t>
            </w:r>
          </w:p>
        </w:tc>
        <w:tc>
          <w:tcPr>
            <w:tcW w:w="8723" w:type="dxa"/>
          </w:tcPr>
          <w:p w14:paraId="1A13C62B"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Plans to communicate trial results to participants, healthcare professionals, the public, and other relevant groups (e.g., reporting in trial registry, plain language summary, publication)</w:t>
            </w:r>
          </w:p>
        </w:tc>
        <w:tc>
          <w:tcPr>
            <w:tcW w:w="1260" w:type="dxa"/>
          </w:tcPr>
          <w:p w14:paraId="03A61C2B"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563EC0C1" w14:textId="77777777" w:rsidTr="00E70CA8">
        <w:trPr>
          <w:trHeight w:val="276"/>
        </w:trPr>
        <w:tc>
          <w:tcPr>
            <w:tcW w:w="11695" w:type="dxa"/>
            <w:gridSpan w:val="3"/>
            <w:shd w:val="clear" w:color="auto" w:fill="B4C6E7"/>
          </w:tcPr>
          <w:p w14:paraId="2B420D46" w14:textId="77777777" w:rsidR="005756F9" w:rsidRDefault="005756F9" w:rsidP="00E70CA8">
            <w:pPr>
              <w:spacing w:line="240" w:lineRule="auto"/>
              <w:rPr>
                <w:rFonts w:ascii="Calibri" w:eastAsia="Calibri" w:hAnsi="Calibri" w:cs="Calibri"/>
                <w:b/>
                <w:bCs/>
                <w:sz w:val="20"/>
                <w:szCs w:val="20"/>
              </w:rPr>
            </w:pPr>
            <w:r>
              <w:rPr>
                <w:rFonts w:ascii="Calibri" w:eastAsia="Calibri" w:hAnsi="Calibri" w:cs="Calibri"/>
                <w:b/>
                <w:bCs/>
                <w:sz w:val="20"/>
                <w:szCs w:val="20"/>
              </w:rPr>
              <w:t>Introduction</w:t>
            </w:r>
          </w:p>
        </w:tc>
        <w:tc>
          <w:tcPr>
            <w:tcW w:w="1260" w:type="dxa"/>
            <w:shd w:val="clear" w:color="auto" w:fill="B4C6E7"/>
          </w:tcPr>
          <w:p w14:paraId="20040BA0" w14:textId="77777777" w:rsidR="005756F9" w:rsidRDefault="005756F9" w:rsidP="00E70CA8">
            <w:pPr>
              <w:spacing w:line="240" w:lineRule="auto"/>
              <w:rPr>
                <w:rFonts w:ascii="Calibri" w:eastAsia="Calibri" w:hAnsi="Calibri" w:cs="Calibri"/>
                <w:b/>
                <w:bCs/>
                <w:sz w:val="20"/>
                <w:szCs w:val="20"/>
              </w:rPr>
            </w:pPr>
          </w:p>
        </w:tc>
      </w:tr>
      <w:tr w:rsidR="005756F9" w14:paraId="3A46055B" w14:textId="77777777" w:rsidTr="00E70CA8">
        <w:trPr>
          <w:trHeight w:val="594"/>
        </w:trPr>
        <w:tc>
          <w:tcPr>
            <w:tcW w:w="2405" w:type="dxa"/>
            <w:vMerge w:val="restart"/>
          </w:tcPr>
          <w:p w14:paraId="40759ED4"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Background and rationale</w:t>
            </w:r>
          </w:p>
        </w:tc>
        <w:tc>
          <w:tcPr>
            <w:tcW w:w="567" w:type="dxa"/>
          </w:tcPr>
          <w:p w14:paraId="7B5B085F"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9a</w:t>
            </w:r>
          </w:p>
        </w:tc>
        <w:tc>
          <w:tcPr>
            <w:tcW w:w="8723" w:type="dxa"/>
          </w:tcPr>
          <w:p w14:paraId="6E5D3126"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Scientific background and rationale, including summary of relevant studies (published and unpublished) examining benefits and harms for each intervention</w:t>
            </w:r>
          </w:p>
        </w:tc>
        <w:tc>
          <w:tcPr>
            <w:tcW w:w="1260" w:type="dxa"/>
          </w:tcPr>
          <w:p w14:paraId="08337CC3"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2 - 7</w:t>
            </w:r>
          </w:p>
        </w:tc>
      </w:tr>
      <w:tr w:rsidR="005756F9" w14:paraId="400DCDB7" w14:textId="77777777" w:rsidTr="00E70CA8">
        <w:trPr>
          <w:trHeight w:val="276"/>
        </w:trPr>
        <w:tc>
          <w:tcPr>
            <w:tcW w:w="2405" w:type="dxa"/>
            <w:vMerge/>
          </w:tcPr>
          <w:p w14:paraId="2B483699" w14:textId="77777777" w:rsidR="005756F9" w:rsidRDefault="005756F9" w:rsidP="00E70CA8">
            <w:pPr>
              <w:widowControl w:val="0"/>
              <w:rPr>
                <w:rFonts w:ascii="Calibri" w:eastAsia="Calibri" w:hAnsi="Calibri" w:cs="Calibri"/>
                <w:sz w:val="20"/>
                <w:szCs w:val="20"/>
              </w:rPr>
            </w:pPr>
          </w:p>
        </w:tc>
        <w:tc>
          <w:tcPr>
            <w:tcW w:w="567" w:type="dxa"/>
          </w:tcPr>
          <w:p w14:paraId="0C634A73"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9b</w:t>
            </w:r>
          </w:p>
        </w:tc>
        <w:tc>
          <w:tcPr>
            <w:tcW w:w="8723" w:type="dxa"/>
          </w:tcPr>
          <w:p w14:paraId="582BE076"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Explanation for choice of comparator</w:t>
            </w:r>
          </w:p>
        </w:tc>
        <w:tc>
          <w:tcPr>
            <w:tcW w:w="1260" w:type="dxa"/>
          </w:tcPr>
          <w:p w14:paraId="264F0209"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069659EA" w14:textId="77777777" w:rsidTr="00E70CA8">
        <w:trPr>
          <w:trHeight w:val="276"/>
        </w:trPr>
        <w:tc>
          <w:tcPr>
            <w:tcW w:w="2405" w:type="dxa"/>
          </w:tcPr>
          <w:p w14:paraId="6C99B307"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Objectives</w:t>
            </w:r>
          </w:p>
        </w:tc>
        <w:tc>
          <w:tcPr>
            <w:tcW w:w="567" w:type="dxa"/>
          </w:tcPr>
          <w:p w14:paraId="5F7613AB"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10</w:t>
            </w:r>
          </w:p>
        </w:tc>
        <w:tc>
          <w:tcPr>
            <w:tcW w:w="8723" w:type="dxa"/>
          </w:tcPr>
          <w:p w14:paraId="4FDD7856"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Specific objectives related to benefits and harms</w:t>
            </w:r>
          </w:p>
        </w:tc>
        <w:tc>
          <w:tcPr>
            <w:tcW w:w="1260" w:type="dxa"/>
          </w:tcPr>
          <w:p w14:paraId="7E5E66B0"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689F5572" w14:textId="77777777" w:rsidTr="00E70CA8">
        <w:trPr>
          <w:trHeight w:val="276"/>
        </w:trPr>
        <w:tc>
          <w:tcPr>
            <w:tcW w:w="11695" w:type="dxa"/>
            <w:gridSpan w:val="3"/>
            <w:shd w:val="clear" w:color="auto" w:fill="B4C6E7"/>
          </w:tcPr>
          <w:p w14:paraId="51040FBE"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b/>
                <w:bCs/>
                <w:sz w:val="20"/>
                <w:szCs w:val="20"/>
              </w:rPr>
              <w:lastRenderedPageBreak/>
              <w:t>Methods: Patient and public involvement, trial design</w:t>
            </w:r>
          </w:p>
        </w:tc>
        <w:tc>
          <w:tcPr>
            <w:tcW w:w="1260" w:type="dxa"/>
            <w:shd w:val="clear" w:color="auto" w:fill="B4C6E7"/>
          </w:tcPr>
          <w:p w14:paraId="23DCCC88" w14:textId="77777777" w:rsidR="005756F9" w:rsidRDefault="005756F9" w:rsidP="00E70CA8">
            <w:pPr>
              <w:spacing w:line="240" w:lineRule="auto"/>
              <w:rPr>
                <w:rFonts w:ascii="Calibri" w:eastAsia="Calibri" w:hAnsi="Calibri" w:cs="Calibri"/>
                <w:b/>
                <w:bCs/>
                <w:sz w:val="20"/>
                <w:szCs w:val="20"/>
              </w:rPr>
            </w:pPr>
          </w:p>
        </w:tc>
      </w:tr>
      <w:tr w:rsidR="005756F9" w14:paraId="3F2DB8A6" w14:textId="77777777" w:rsidTr="00E70CA8">
        <w:trPr>
          <w:trHeight w:val="699"/>
        </w:trPr>
        <w:tc>
          <w:tcPr>
            <w:tcW w:w="2405" w:type="dxa"/>
          </w:tcPr>
          <w:p w14:paraId="439DE0AA"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Patient and public involvement</w:t>
            </w:r>
          </w:p>
        </w:tc>
        <w:tc>
          <w:tcPr>
            <w:tcW w:w="567" w:type="dxa"/>
          </w:tcPr>
          <w:p w14:paraId="1AC0A2F7"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11</w:t>
            </w:r>
          </w:p>
        </w:tc>
        <w:tc>
          <w:tcPr>
            <w:tcW w:w="8723" w:type="dxa"/>
          </w:tcPr>
          <w:p w14:paraId="6B38A2F6"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Details of, or plans for, patient or public involvement in the design, conduct, and reporting of the trial</w:t>
            </w:r>
          </w:p>
        </w:tc>
        <w:tc>
          <w:tcPr>
            <w:tcW w:w="1260" w:type="dxa"/>
          </w:tcPr>
          <w:p w14:paraId="76D0B146"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7E6DA2CD" w14:textId="77777777" w:rsidTr="00E70CA8">
        <w:trPr>
          <w:trHeight w:val="547"/>
        </w:trPr>
        <w:tc>
          <w:tcPr>
            <w:tcW w:w="2405" w:type="dxa"/>
          </w:tcPr>
          <w:p w14:paraId="581199A3"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Trial design</w:t>
            </w:r>
          </w:p>
        </w:tc>
        <w:tc>
          <w:tcPr>
            <w:tcW w:w="567" w:type="dxa"/>
          </w:tcPr>
          <w:p w14:paraId="363FDA2E"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12</w:t>
            </w:r>
          </w:p>
        </w:tc>
        <w:tc>
          <w:tcPr>
            <w:tcW w:w="8723" w:type="dxa"/>
          </w:tcPr>
          <w:p w14:paraId="4AA1F9FE"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Description of trial design including type of trial (e.g., parallel group, crossover), allocation ratio, and framework (e.g., superiority, equivalence, non-inferiority, exploratory)</w:t>
            </w:r>
          </w:p>
        </w:tc>
        <w:tc>
          <w:tcPr>
            <w:tcW w:w="1260" w:type="dxa"/>
          </w:tcPr>
          <w:p w14:paraId="43005299"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7 - 9</w:t>
            </w:r>
          </w:p>
        </w:tc>
      </w:tr>
      <w:tr w:rsidR="005756F9" w14:paraId="511FE17E" w14:textId="77777777" w:rsidTr="00E70CA8">
        <w:trPr>
          <w:trHeight w:val="276"/>
        </w:trPr>
        <w:tc>
          <w:tcPr>
            <w:tcW w:w="11695" w:type="dxa"/>
            <w:gridSpan w:val="3"/>
            <w:shd w:val="clear" w:color="auto" w:fill="B4C6E7"/>
          </w:tcPr>
          <w:p w14:paraId="4F0B8FE7" w14:textId="77777777" w:rsidR="005756F9" w:rsidRDefault="005756F9" w:rsidP="00E70CA8">
            <w:pPr>
              <w:spacing w:line="240" w:lineRule="auto"/>
              <w:rPr>
                <w:rFonts w:ascii="Calibri" w:eastAsia="Calibri" w:hAnsi="Calibri" w:cs="Calibri"/>
                <w:b/>
                <w:bCs/>
                <w:sz w:val="20"/>
                <w:szCs w:val="20"/>
              </w:rPr>
            </w:pPr>
            <w:r>
              <w:rPr>
                <w:rFonts w:ascii="Calibri" w:eastAsia="Calibri" w:hAnsi="Calibri" w:cs="Calibri"/>
                <w:b/>
                <w:bCs/>
                <w:sz w:val="20"/>
                <w:szCs w:val="20"/>
              </w:rPr>
              <w:t>Methods: Participants, interventions, and outcomes</w:t>
            </w:r>
          </w:p>
        </w:tc>
        <w:tc>
          <w:tcPr>
            <w:tcW w:w="1260" w:type="dxa"/>
            <w:shd w:val="clear" w:color="auto" w:fill="B4C6E7"/>
          </w:tcPr>
          <w:p w14:paraId="099C6D75" w14:textId="77777777" w:rsidR="005756F9" w:rsidRDefault="005756F9" w:rsidP="00E70CA8">
            <w:pPr>
              <w:spacing w:line="240" w:lineRule="auto"/>
              <w:rPr>
                <w:rFonts w:ascii="Calibri" w:eastAsia="Calibri" w:hAnsi="Calibri" w:cs="Calibri"/>
                <w:b/>
                <w:bCs/>
                <w:sz w:val="20"/>
                <w:szCs w:val="20"/>
              </w:rPr>
            </w:pPr>
          </w:p>
        </w:tc>
      </w:tr>
      <w:tr w:rsidR="005756F9" w14:paraId="108C1AC1" w14:textId="77777777" w:rsidTr="00E70CA8">
        <w:trPr>
          <w:trHeight w:val="516"/>
        </w:trPr>
        <w:tc>
          <w:tcPr>
            <w:tcW w:w="2405" w:type="dxa"/>
          </w:tcPr>
          <w:p w14:paraId="4F1A7D42"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Trial setting</w:t>
            </w:r>
          </w:p>
        </w:tc>
        <w:tc>
          <w:tcPr>
            <w:tcW w:w="567" w:type="dxa"/>
          </w:tcPr>
          <w:p w14:paraId="464428B0"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13</w:t>
            </w:r>
          </w:p>
        </w:tc>
        <w:tc>
          <w:tcPr>
            <w:tcW w:w="8723" w:type="dxa"/>
          </w:tcPr>
          <w:p w14:paraId="3FD9CE5D"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 xml:space="preserve">Settings (e.g., community, hospital) and locations (e.g., countries, sites) where the trial will be conducted </w:t>
            </w:r>
          </w:p>
        </w:tc>
        <w:tc>
          <w:tcPr>
            <w:tcW w:w="1260" w:type="dxa"/>
          </w:tcPr>
          <w:p w14:paraId="21CEAB3D"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8</w:t>
            </w:r>
          </w:p>
        </w:tc>
      </w:tr>
      <w:tr w:rsidR="005756F9" w14:paraId="4E68B68D" w14:textId="77777777" w:rsidTr="00E70CA8">
        <w:trPr>
          <w:trHeight w:val="267"/>
        </w:trPr>
        <w:tc>
          <w:tcPr>
            <w:tcW w:w="2405" w:type="dxa"/>
            <w:vMerge w:val="restart"/>
          </w:tcPr>
          <w:p w14:paraId="69EB1E8D"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Eligibility criteria</w:t>
            </w:r>
          </w:p>
        </w:tc>
        <w:tc>
          <w:tcPr>
            <w:tcW w:w="567" w:type="dxa"/>
          </w:tcPr>
          <w:p w14:paraId="7BFFE927"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14a</w:t>
            </w:r>
          </w:p>
        </w:tc>
        <w:tc>
          <w:tcPr>
            <w:tcW w:w="8723" w:type="dxa"/>
          </w:tcPr>
          <w:p w14:paraId="23A06685"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 xml:space="preserve">Eligibility criteria for participants </w:t>
            </w:r>
          </w:p>
        </w:tc>
        <w:tc>
          <w:tcPr>
            <w:tcW w:w="1260" w:type="dxa"/>
          </w:tcPr>
          <w:p w14:paraId="5B89BEC7"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8</w:t>
            </w:r>
          </w:p>
        </w:tc>
      </w:tr>
      <w:tr w:rsidR="005756F9" w14:paraId="3BC741F6" w14:textId="77777777" w:rsidTr="00E70CA8">
        <w:trPr>
          <w:trHeight w:val="276"/>
        </w:trPr>
        <w:tc>
          <w:tcPr>
            <w:tcW w:w="2405" w:type="dxa"/>
            <w:vMerge/>
          </w:tcPr>
          <w:p w14:paraId="22302C65" w14:textId="77777777" w:rsidR="005756F9" w:rsidRDefault="005756F9" w:rsidP="00E70CA8">
            <w:pPr>
              <w:widowControl w:val="0"/>
              <w:rPr>
                <w:rFonts w:ascii="Calibri" w:eastAsia="Calibri" w:hAnsi="Calibri" w:cs="Calibri"/>
                <w:sz w:val="20"/>
                <w:szCs w:val="20"/>
              </w:rPr>
            </w:pPr>
          </w:p>
        </w:tc>
        <w:tc>
          <w:tcPr>
            <w:tcW w:w="567" w:type="dxa"/>
          </w:tcPr>
          <w:p w14:paraId="2D23EB1F"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14b</w:t>
            </w:r>
          </w:p>
        </w:tc>
        <w:tc>
          <w:tcPr>
            <w:tcW w:w="8723" w:type="dxa"/>
          </w:tcPr>
          <w:p w14:paraId="55FFC23A"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If applicable, eligibility criteria for sites and for individuals who will deliver the interventions (e.g., surgeons, physiotherapists)</w:t>
            </w:r>
          </w:p>
        </w:tc>
        <w:tc>
          <w:tcPr>
            <w:tcW w:w="1260" w:type="dxa"/>
          </w:tcPr>
          <w:p w14:paraId="4FCB0D3A"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01B02426" w14:textId="77777777" w:rsidTr="00E70CA8">
        <w:trPr>
          <w:trHeight w:val="207"/>
        </w:trPr>
        <w:tc>
          <w:tcPr>
            <w:tcW w:w="2405" w:type="dxa"/>
            <w:vMerge w:val="restart"/>
          </w:tcPr>
          <w:p w14:paraId="663A56AD"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Intervention and comparator</w:t>
            </w:r>
          </w:p>
        </w:tc>
        <w:tc>
          <w:tcPr>
            <w:tcW w:w="567" w:type="dxa"/>
          </w:tcPr>
          <w:p w14:paraId="671C22A8"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15a</w:t>
            </w:r>
          </w:p>
        </w:tc>
        <w:tc>
          <w:tcPr>
            <w:tcW w:w="8723" w:type="dxa"/>
          </w:tcPr>
          <w:p w14:paraId="3D6A71E1"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Intervention and comparator with sufficient details to allow replication including how, when, and by whom they will be administered. If relevant, where additional materials describing the intervention and comparator (e.g., intervention manual) can be accessed</w:t>
            </w:r>
          </w:p>
        </w:tc>
        <w:tc>
          <w:tcPr>
            <w:tcW w:w="1260" w:type="dxa"/>
          </w:tcPr>
          <w:p w14:paraId="379F9F54"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2B6642AE" w14:textId="77777777" w:rsidTr="00E70CA8">
        <w:trPr>
          <w:trHeight w:val="523"/>
        </w:trPr>
        <w:tc>
          <w:tcPr>
            <w:tcW w:w="2405" w:type="dxa"/>
            <w:vMerge/>
          </w:tcPr>
          <w:p w14:paraId="5D6775FB" w14:textId="77777777" w:rsidR="005756F9" w:rsidRDefault="005756F9" w:rsidP="00E70CA8">
            <w:pPr>
              <w:widowControl w:val="0"/>
              <w:rPr>
                <w:rFonts w:ascii="Calibri" w:eastAsia="Calibri" w:hAnsi="Calibri" w:cs="Calibri"/>
                <w:sz w:val="20"/>
                <w:szCs w:val="20"/>
              </w:rPr>
            </w:pPr>
          </w:p>
        </w:tc>
        <w:tc>
          <w:tcPr>
            <w:tcW w:w="567" w:type="dxa"/>
          </w:tcPr>
          <w:p w14:paraId="65261685"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15b</w:t>
            </w:r>
          </w:p>
        </w:tc>
        <w:tc>
          <w:tcPr>
            <w:tcW w:w="8723" w:type="dxa"/>
          </w:tcPr>
          <w:p w14:paraId="013AD239"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 xml:space="preserve">Criteria for discontinuing or modifying allocated intervention/comparator for a trial participant (e.g., drug dose change in response to harms, participant request, or improving/worsening disease) </w:t>
            </w:r>
          </w:p>
        </w:tc>
        <w:tc>
          <w:tcPr>
            <w:tcW w:w="1260" w:type="dxa"/>
          </w:tcPr>
          <w:p w14:paraId="489F8962"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3DE53ED7" w14:textId="77777777" w:rsidTr="00E70CA8">
        <w:trPr>
          <w:trHeight w:val="416"/>
        </w:trPr>
        <w:tc>
          <w:tcPr>
            <w:tcW w:w="2405" w:type="dxa"/>
            <w:vMerge/>
          </w:tcPr>
          <w:p w14:paraId="0D18D67F" w14:textId="77777777" w:rsidR="005756F9" w:rsidRDefault="005756F9" w:rsidP="00E70CA8">
            <w:pPr>
              <w:widowControl w:val="0"/>
              <w:rPr>
                <w:rFonts w:ascii="Calibri" w:eastAsia="Calibri" w:hAnsi="Calibri" w:cs="Calibri"/>
                <w:sz w:val="20"/>
                <w:szCs w:val="20"/>
              </w:rPr>
            </w:pPr>
          </w:p>
        </w:tc>
        <w:tc>
          <w:tcPr>
            <w:tcW w:w="567" w:type="dxa"/>
          </w:tcPr>
          <w:p w14:paraId="0CE96BFB"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15c</w:t>
            </w:r>
          </w:p>
        </w:tc>
        <w:tc>
          <w:tcPr>
            <w:tcW w:w="8723" w:type="dxa"/>
          </w:tcPr>
          <w:p w14:paraId="71E0253E"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Strategies to improve adherence to intervention/comparator protocols, if applicable, and any procedures for monitoring adherence (e.g., drug tablet return, sessions attended)</w:t>
            </w:r>
          </w:p>
        </w:tc>
        <w:tc>
          <w:tcPr>
            <w:tcW w:w="1260" w:type="dxa"/>
          </w:tcPr>
          <w:p w14:paraId="3F01AA0B"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4C6C9BF0" w14:textId="77777777" w:rsidTr="00E70CA8">
        <w:trPr>
          <w:trHeight w:val="211"/>
        </w:trPr>
        <w:tc>
          <w:tcPr>
            <w:tcW w:w="2405" w:type="dxa"/>
            <w:vMerge/>
          </w:tcPr>
          <w:p w14:paraId="1EA88597" w14:textId="77777777" w:rsidR="005756F9" w:rsidRDefault="005756F9" w:rsidP="00E70CA8">
            <w:pPr>
              <w:widowControl w:val="0"/>
              <w:rPr>
                <w:rFonts w:ascii="Calibri" w:eastAsia="Calibri" w:hAnsi="Calibri" w:cs="Calibri"/>
                <w:sz w:val="20"/>
                <w:szCs w:val="20"/>
              </w:rPr>
            </w:pPr>
          </w:p>
        </w:tc>
        <w:tc>
          <w:tcPr>
            <w:tcW w:w="567" w:type="dxa"/>
          </w:tcPr>
          <w:p w14:paraId="4219B045"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15d</w:t>
            </w:r>
          </w:p>
        </w:tc>
        <w:tc>
          <w:tcPr>
            <w:tcW w:w="8723" w:type="dxa"/>
          </w:tcPr>
          <w:p w14:paraId="6E8C2CAB"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Concomitant care that is permitted or prohibited during the trial</w:t>
            </w:r>
          </w:p>
        </w:tc>
        <w:tc>
          <w:tcPr>
            <w:tcW w:w="1260" w:type="dxa"/>
          </w:tcPr>
          <w:p w14:paraId="129A81A7"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04E0322A" w14:textId="77777777" w:rsidTr="00E70CA8">
        <w:trPr>
          <w:trHeight w:val="531"/>
        </w:trPr>
        <w:tc>
          <w:tcPr>
            <w:tcW w:w="2405" w:type="dxa"/>
          </w:tcPr>
          <w:p w14:paraId="7DA72FD5"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Outcomes</w:t>
            </w:r>
          </w:p>
        </w:tc>
        <w:tc>
          <w:tcPr>
            <w:tcW w:w="567" w:type="dxa"/>
          </w:tcPr>
          <w:p w14:paraId="11E302EE"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16</w:t>
            </w:r>
          </w:p>
        </w:tc>
        <w:tc>
          <w:tcPr>
            <w:tcW w:w="8723" w:type="dxa"/>
          </w:tcPr>
          <w:p w14:paraId="4CF42460"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 xml:space="preserve">Primary and secondary outcomes, including the specific measurement variable (e.g., systolic blood pressure), analysis metric (e.g., change from baseline, final value, time to event), method of aggregation (e.g., median, proportion), and time point for each outcome </w:t>
            </w:r>
          </w:p>
        </w:tc>
        <w:tc>
          <w:tcPr>
            <w:tcW w:w="1260" w:type="dxa"/>
          </w:tcPr>
          <w:p w14:paraId="4D244E64"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7</w:t>
            </w:r>
          </w:p>
        </w:tc>
      </w:tr>
      <w:tr w:rsidR="005756F9" w14:paraId="11835555" w14:textId="77777777" w:rsidTr="00E70CA8">
        <w:trPr>
          <w:trHeight w:val="531"/>
        </w:trPr>
        <w:tc>
          <w:tcPr>
            <w:tcW w:w="2405" w:type="dxa"/>
          </w:tcPr>
          <w:p w14:paraId="27F134F3"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Harms</w:t>
            </w:r>
          </w:p>
        </w:tc>
        <w:tc>
          <w:tcPr>
            <w:tcW w:w="567" w:type="dxa"/>
          </w:tcPr>
          <w:p w14:paraId="6B8910E3"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17</w:t>
            </w:r>
          </w:p>
        </w:tc>
        <w:tc>
          <w:tcPr>
            <w:tcW w:w="8723" w:type="dxa"/>
          </w:tcPr>
          <w:p w14:paraId="0459C0AA"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How harms are defined and will be assessed (e.g., systematically, non-systematically)</w:t>
            </w:r>
          </w:p>
        </w:tc>
        <w:tc>
          <w:tcPr>
            <w:tcW w:w="1260" w:type="dxa"/>
          </w:tcPr>
          <w:p w14:paraId="0240F854"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3FE0A21B" w14:textId="77777777" w:rsidTr="00E70CA8">
        <w:trPr>
          <w:trHeight w:val="531"/>
        </w:trPr>
        <w:tc>
          <w:tcPr>
            <w:tcW w:w="2405" w:type="dxa"/>
          </w:tcPr>
          <w:p w14:paraId="766D54CD"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Participant timeline</w:t>
            </w:r>
          </w:p>
        </w:tc>
        <w:tc>
          <w:tcPr>
            <w:tcW w:w="567" w:type="dxa"/>
          </w:tcPr>
          <w:p w14:paraId="5B5B32C8"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18</w:t>
            </w:r>
          </w:p>
        </w:tc>
        <w:tc>
          <w:tcPr>
            <w:tcW w:w="8723" w:type="dxa"/>
          </w:tcPr>
          <w:p w14:paraId="54B81BAA"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Time schedule of enrollment, interventions (including any run-ins and washouts), assessments, and visits for participants. A schematic diagram is highly recommended (see Figure)</w:t>
            </w:r>
          </w:p>
        </w:tc>
        <w:tc>
          <w:tcPr>
            <w:tcW w:w="1260" w:type="dxa"/>
          </w:tcPr>
          <w:p w14:paraId="360A3003"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9</w:t>
            </w:r>
          </w:p>
        </w:tc>
      </w:tr>
      <w:tr w:rsidR="005756F9" w14:paraId="23EC14E9" w14:textId="77777777" w:rsidTr="00E70CA8">
        <w:trPr>
          <w:trHeight w:val="548"/>
        </w:trPr>
        <w:tc>
          <w:tcPr>
            <w:tcW w:w="2405" w:type="dxa"/>
          </w:tcPr>
          <w:p w14:paraId="27B7B66F"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Sample size</w:t>
            </w:r>
          </w:p>
        </w:tc>
        <w:tc>
          <w:tcPr>
            <w:tcW w:w="567" w:type="dxa"/>
          </w:tcPr>
          <w:p w14:paraId="4DDE84E2"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19</w:t>
            </w:r>
          </w:p>
        </w:tc>
        <w:tc>
          <w:tcPr>
            <w:tcW w:w="8723" w:type="dxa"/>
          </w:tcPr>
          <w:p w14:paraId="6C9CB3A8"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How sample size was determined, including all assumptions supporting the sample size calculation</w:t>
            </w:r>
          </w:p>
        </w:tc>
        <w:tc>
          <w:tcPr>
            <w:tcW w:w="1260" w:type="dxa"/>
          </w:tcPr>
          <w:p w14:paraId="52A520E7"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15</w:t>
            </w:r>
          </w:p>
        </w:tc>
      </w:tr>
      <w:tr w:rsidR="005756F9" w14:paraId="29143CE8" w14:textId="77777777" w:rsidTr="00E70CA8">
        <w:trPr>
          <w:trHeight w:val="272"/>
        </w:trPr>
        <w:tc>
          <w:tcPr>
            <w:tcW w:w="2405" w:type="dxa"/>
          </w:tcPr>
          <w:p w14:paraId="32EB0410"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Recruitment</w:t>
            </w:r>
          </w:p>
        </w:tc>
        <w:tc>
          <w:tcPr>
            <w:tcW w:w="567" w:type="dxa"/>
          </w:tcPr>
          <w:p w14:paraId="7D07B658"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20</w:t>
            </w:r>
          </w:p>
        </w:tc>
        <w:tc>
          <w:tcPr>
            <w:tcW w:w="8723" w:type="dxa"/>
          </w:tcPr>
          <w:p w14:paraId="2BEB5AB0"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Strategies for achieving adequate participant enrollment to reach target sample size</w:t>
            </w:r>
          </w:p>
        </w:tc>
        <w:tc>
          <w:tcPr>
            <w:tcW w:w="1260" w:type="dxa"/>
          </w:tcPr>
          <w:p w14:paraId="7F02CA35"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7 - 9</w:t>
            </w:r>
          </w:p>
        </w:tc>
      </w:tr>
      <w:tr w:rsidR="005756F9" w14:paraId="4607CBA2" w14:textId="77777777" w:rsidTr="00E70CA8">
        <w:trPr>
          <w:trHeight w:val="276"/>
        </w:trPr>
        <w:tc>
          <w:tcPr>
            <w:tcW w:w="11695" w:type="dxa"/>
            <w:gridSpan w:val="3"/>
            <w:shd w:val="clear" w:color="auto" w:fill="B4C6E7"/>
          </w:tcPr>
          <w:p w14:paraId="08714842" w14:textId="77777777" w:rsidR="005756F9" w:rsidRDefault="005756F9" w:rsidP="00E70CA8">
            <w:pPr>
              <w:spacing w:line="240" w:lineRule="auto"/>
              <w:rPr>
                <w:rFonts w:ascii="Calibri" w:eastAsia="Calibri" w:hAnsi="Calibri" w:cs="Calibri"/>
                <w:b/>
                <w:bCs/>
                <w:sz w:val="20"/>
                <w:szCs w:val="20"/>
              </w:rPr>
            </w:pPr>
            <w:r>
              <w:rPr>
                <w:rFonts w:ascii="Calibri" w:eastAsia="Calibri" w:hAnsi="Calibri" w:cs="Calibri"/>
                <w:b/>
                <w:bCs/>
                <w:sz w:val="20"/>
                <w:szCs w:val="20"/>
              </w:rPr>
              <w:t xml:space="preserve">Methods: Assignment of interventions </w:t>
            </w:r>
          </w:p>
        </w:tc>
        <w:tc>
          <w:tcPr>
            <w:tcW w:w="1260" w:type="dxa"/>
            <w:shd w:val="clear" w:color="auto" w:fill="B4C6E7"/>
          </w:tcPr>
          <w:p w14:paraId="7CEDB363" w14:textId="77777777" w:rsidR="005756F9" w:rsidRDefault="005756F9" w:rsidP="00E70CA8">
            <w:pPr>
              <w:spacing w:line="240" w:lineRule="auto"/>
              <w:rPr>
                <w:rFonts w:ascii="Calibri" w:eastAsia="Calibri" w:hAnsi="Calibri" w:cs="Calibri"/>
                <w:b/>
                <w:bCs/>
                <w:sz w:val="20"/>
                <w:szCs w:val="20"/>
              </w:rPr>
            </w:pPr>
          </w:p>
        </w:tc>
      </w:tr>
      <w:tr w:rsidR="005756F9" w14:paraId="1070F914" w14:textId="77777777" w:rsidTr="00E70CA8">
        <w:trPr>
          <w:trHeight w:val="276"/>
        </w:trPr>
        <w:tc>
          <w:tcPr>
            <w:tcW w:w="2405" w:type="dxa"/>
          </w:tcPr>
          <w:p w14:paraId="341BEAA2"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Randomization:</w:t>
            </w:r>
          </w:p>
        </w:tc>
        <w:tc>
          <w:tcPr>
            <w:tcW w:w="567" w:type="dxa"/>
          </w:tcPr>
          <w:p w14:paraId="2E050818"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 </w:t>
            </w:r>
          </w:p>
        </w:tc>
        <w:tc>
          <w:tcPr>
            <w:tcW w:w="8723" w:type="dxa"/>
          </w:tcPr>
          <w:p w14:paraId="12143FE3"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 </w:t>
            </w:r>
          </w:p>
        </w:tc>
        <w:tc>
          <w:tcPr>
            <w:tcW w:w="1260" w:type="dxa"/>
          </w:tcPr>
          <w:p w14:paraId="2DE39FAA" w14:textId="77777777" w:rsidR="005756F9" w:rsidRDefault="005756F9" w:rsidP="00E70CA8">
            <w:pPr>
              <w:spacing w:line="240" w:lineRule="auto"/>
              <w:rPr>
                <w:rFonts w:ascii="Calibri" w:eastAsia="Calibri" w:hAnsi="Calibri" w:cs="Calibri"/>
                <w:sz w:val="20"/>
                <w:szCs w:val="20"/>
              </w:rPr>
            </w:pPr>
          </w:p>
        </w:tc>
      </w:tr>
      <w:tr w:rsidR="005756F9" w14:paraId="64C7D054" w14:textId="77777777" w:rsidTr="00E70CA8">
        <w:trPr>
          <w:trHeight w:val="274"/>
        </w:trPr>
        <w:tc>
          <w:tcPr>
            <w:tcW w:w="2405" w:type="dxa"/>
            <w:vMerge w:val="restart"/>
          </w:tcPr>
          <w:p w14:paraId="59103035" w14:textId="77777777" w:rsidR="005756F9" w:rsidRDefault="005756F9" w:rsidP="00E70CA8">
            <w:pPr>
              <w:spacing w:line="240" w:lineRule="auto"/>
              <w:ind w:left="64"/>
              <w:jc w:val="both"/>
              <w:rPr>
                <w:rFonts w:ascii="Calibri" w:eastAsia="Calibri" w:hAnsi="Calibri" w:cs="Calibri"/>
                <w:sz w:val="20"/>
                <w:szCs w:val="20"/>
              </w:rPr>
            </w:pPr>
            <w:r>
              <w:rPr>
                <w:rFonts w:ascii="Calibri" w:eastAsia="Calibri" w:hAnsi="Calibri" w:cs="Calibri"/>
                <w:sz w:val="20"/>
                <w:szCs w:val="20"/>
              </w:rPr>
              <w:t xml:space="preserve"> Sequence generation</w:t>
            </w:r>
          </w:p>
          <w:p w14:paraId="5D164714" w14:textId="77777777" w:rsidR="005756F9" w:rsidRDefault="005756F9" w:rsidP="00E70CA8">
            <w:pPr>
              <w:spacing w:line="240" w:lineRule="auto"/>
              <w:ind w:left="64"/>
              <w:rPr>
                <w:rFonts w:ascii="Calibri" w:eastAsia="Calibri" w:hAnsi="Calibri" w:cs="Calibri"/>
                <w:sz w:val="20"/>
                <w:szCs w:val="20"/>
              </w:rPr>
            </w:pPr>
            <w:r>
              <w:rPr>
                <w:rFonts w:ascii="Calibri" w:eastAsia="Calibri" w:hAnsi="Calibri" w:cs="Calibri"/>
                <w:sz w:val="20"/>
                <w:szCs w:val="20"/>
              </w:rPr>
              <w:lastRenderedPageBreak/>
              <w:t xml:space="preserve"> </w:t>
            </w:r>
          </w:p>
        </w:tc>
        <w:tc>
          <w:tcPr>
            <w:tcW w:w="567" w:type="dxa"/>
            <w:tcBorders>
              <w:bottom w:val="single" w:sz="4" w:space="0" w:color="000000"/>
            </w:tcBorders>
          </w:tcPr>
          <w:p w14:paraId="3AB1C4B3"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lastRenderedPageBreak/>
              <w:t>21a</w:t>
            </w:r>
          </w:p>
        </w:tc>
        <w:tc>
          <w:tcPr>
            <w:tcW w:w="8723" w:type="dxa"/>
            <w:tcBorders>
              <w:bottom w:val="single" w:sz="4" w:space="0" w:color="000000"/>
            </w:tcBorders>
          </w:tcPr>
          <w:p w14:paraId="50D3D939"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 xml:space="preserve">Who will generate the random allocation sequence and the method used </w:t>
            </w:r>
          </w:p>
        </w:tc>
        <w:tc>
          <w:tcPr>
            <w:tcW w:w="1260" w:type="dxa"/>
            <w:tcBorders>
              <w:bottom w:val="single" w:sz="4" w:space="0" w:color="000000"/>
            </w:tcBorders>
          </w:tcPr>
          <w:p w14:paraId="6A414382"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72773B75" w14:textId="77777777" w:rsidTr="00E70CA8">
        <w:trPr>
          <w:trHeight w:val="274"/>
        </w:trPr>
        <w:tc>
          <w:tcPr>
            <w:tcW w:w="2405" w:type="dxa"/>
            <w:vMerge/>
          </w:tcPr>
          <w:p w14:paraId="60901B41" w14:textId="77777777" w:rsidR="005756F9" w:rsidRDefault="005756F9" w:rsidP="00E70CA8">
            <w:pPr>
              <w:widowControl w:val="0"/>
              <w:rPr>
                <w:rFonts w:ascii="Calibri" w:eastAsia="Calibri" w:hAnsi="Calibri" w:cs="Calibri"/>
                <w:sz w:val="20"/>
                <w:szCs w:val="20"/>
              </w:rPr>
            </w:pPr>
          </w:p>
        </w:tc>
        <w:tc>
          <w:tcPr>
            <w:tcW w:w="567" w:type="dxa"/>
          </w:tcPr>
          <w:p w14:paraId="1372664E"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21b</w:t>
            </w:r>
          </w:p>
        </w:tc>
        <w:tc>
          <w:tcPr>
            <w:tcW w:w="8723" w:type="dxa"/>
          </w:tcPr>
          <w:p w14:paraId="26CB8213"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Type of randomization (simple or restricted) and details of any factors for stratification. To reduce predictability of a random sequence, other details of any planned restriction (e.g., blocking) should be provided in a separate document that is unavailable to those who enroll participants or assign interventions</w:t>
            </w:r>
          </w:p>
        </w:tc>
        <w:tc>
          <w:tcPr>
            <w:tcW w:w="1260" w:type="dxa"/>
          </w:tcPr>
          <w:p w14:paraId="6849CE2B"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6AB479BB" w14:textId="77777777" w:rsidTr="00E70CA8">
        <w:trPr>
          <w:trHeight w:val="274"/>
        </w:trPr>
        <w:tc>
          <w:tcPr>
            <w:tcW w:w="2405" w:type="dxa"/>
          </w:tcPr>
          <w:p w14:paraId="6330F0A9" w14:textId="77777777" w:rsidR="005756F9" w:rsidRDefault="005756F9" w:rsidP="00E70CA8">
            <w:pPr>
              <w:spacing w:line="240" w:lineRule="auto"/>
              <w:ind w:left="64"/>
              <w:rPr>
                <w:rFonts w:ascii="Calibri" w:eastAsia="Calibri" w:hAnsi="Calibri" w:cs="Calibri"/>
                <w:sz w:val="20"/>
                <w:szCs w:val="20"/>
              </w:rPr>
            </w:pPr>
            <w:r>
              <w:rPr>
                <w:rFonts w:ascii="Calibri" w:eastAsia="Calibri" w:hAnsi="Calibri" w:cs="Calibri"/>
                <w:sz w:val="20"/>
                <w:szCs w:val="20"/>
              </w:rPr>
              <w:t xml:space="preserve">  Allocation concealment </w:t>
            </w:r>
          </w:p>
          <w:p w14:paraId="678D78A8" w14:textId="77777777" w:rsidR="005756F9" w:rsidRDefault="005756F9" w:rsidP="00E70CA8">
            <w:pPr>
              <w:spacing w:line="240" w:lineRule="auto"/>
              <w:ind w:left="64"/>
              <w:rPr>
                <w:rFonts w:ascii="Calibri" w:eastAsia="Calibri" w:hAnsi="Calibri" w:cs="Calibri"/>
                <w:sz w:val="20"/>
                <w:szCs w:val="20"/>
              </w:rPr>
            </w:pPr>
            <w:r>
              <w:rPr>
                <w:rFonts w:ascii="Calibri" w:eastAsia="Calibri" w:hAnsi="Calibri" w:cs="Calibri"/>
                <w:sz w:val="20"/>
                <w:szCs w:val="20"/>
              </w:rPr>
              <w:t xml:space="preserve"> mechanism</w:t>
            </w:r>
          </w:p>
        </w:tc>
        <w:tc>
          <w:tcPr>
            <w:tcW w:w="567" w:type="dxa"/>
          </w:tcPr>
          <w:p w14:paraId="395AA923"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22</w:t>
            </w:r>
          </w:p>
        </w:tc>
        <w:tc>
          <w:tcPr>
            <w:tcW w:w="8723" w:type="dxa"/>
          </w:tcPr>
          <w:p w14:paraId="661770F7"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Mechanism used to implement the random allocation sequence (e.g., central computer/telephone; sequentially numbered, opaque, sealed containers), describing any steps to conceal the sequence until interventions are assigned</w:t>
            </w:r>
          </w:p>
        </w:tc>
        <w:tc>
          <w:tcPr>
            <w:tcW w:w="1260" w:type="dxa"/>
          </w:tcPr>
          <w:p w14:paraId="2C5597FC"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5027D3B2" w14:textId="77777777" w:rsidTr="00E70CA8">
        <w:trPr>
          <w:trHeight w:val="148"/>
        </w:trPr>
        <w:tc>
          <w:tcPr>
            <w:tcW w:w="2405" w:type="dxa"/>
          </w:tcPr>
          <w:p w14:paraId="28AEFD50" w14:textId="77777777" w:rsidR="005756F9" w:rsidRDefault="005756F9" w:rsidP="00E70CA8">
            <w:pPr>
              <w:spacing w:line="240" w:lineRule="auto"/>
              <w:ind w:left="64"/>
              <w:rPr>
                <w:rFonts w:ascii="Calibri" w:eastAsia="Calibri" w:hAnsi="Calibri" w:cs="Calibri"/>
                <w:sz w:val="20"/>
                <w:szCs w:val="20"/>
              </w:rPr>
            </w:pPr>
            <w:r>
              <w:rPr>
                <w:rFonts w:ascii="Calibri" w:eastAsia="Calibri" w:hAnsi="Calibri" w:cs="Calibri"/>
                <w:sz w:val="20"/>
                <w:szCs w:val="20"/>
              </w:rPr>
              <w:t xml:space="preserve"> Implementation</w:t>
            </w:r>
          </w:p>
          <w:p w14:paraId="5C389BA3" w14:textId="77777777" w:rsidR="005756F9" w:rsidRDefault="005756F9" w:rsidP="00E70CA8">
            <w:pPr>
              <w:spacing w:line="240" w:lineRule="auto"/>
              <w:ind w:left="64"/>
              <w:rPr>
                <w:rFonts w:ascii="Calibri" w:eastAsia="Calibri" w:hAnsi="Calibri" w:cs="Calibri"/>
                <w:sz w:val="20"/>
                <w:szCs w:val="20"/>
              </w:rPr>
            </w:pPr>
          </w:p>
        </w:tc>
        <w:tc>
          <w:tcPr>
            <w:tcW w:w="567" w:type="dxa"/>
          </w:tcPr>
          <w:p w14:paraId="02B79130"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23</w:t>
            </w:r>
          </w:p>
        </w:tc>
        <w:tc>
          <w:tcPr>
            <w:tcW w:w="8723" w:type="dxa"/>
          </w:tcPr>
          <w:p w14:paraId="5749912A"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Whether the personnel who will enroll and those who will assign participants to the interventions will have access to the random allocation sequence</w:t>
            </w:r>
          </w:p>
        </w:tc>
        <w:tc>
          <w:tcPr>
            <w:tcW w:w="1260" w:type="dxa"/>
          </w:tcPr>
          <w:p w14:paraId="3C52D0FA"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1D0E2DC6" w14:textId="77777777" w:rsidTr="00E70CA8">
        <w:trPr>
          <w:trHeight w:val="300"/>
        </w:trPr>
        <w:tc>
          <w:tcPr>
            <w:tcW w:w="2405" w:type="dxa"/>
            <w:vMerge w:val="restart"/>
          </w:tcPr>
          <w:p w14:paraId="22F13B71" w14:textId="77777777" w:rsidR="005756F9" w:rsidRDefault="005756F9" w:rsidP="00E70CA8">
            <w:pPr>
              <w:spacing w:line="240" w:lineRule="auto"/>
              <w:rPr>
                <w:rFonts w:ascii="Calibri" w:eastAsia="Calibri" w:hAnsi="Calibri" w:cs="Calibri"/>
                <w:b/>
                <w:bCs/>
                <w:sz w:val="20"/>
                <w:szCs w:val="20"/>
              </w:rPr>
            </w:pPr>
            <w:r>
              <w:rPr>
                <w:rFonts w:ascii="Calibri" w:eastAsia="Calibri" w:hAnsi="Calibri" w:cs="Calibri"/>
                <w:sz w:val="20"/>
                <w:szCs w:val="20"/>
              </w:rPr>
              <w:t xml:space="preserve">Blinding </w:t>
            </w:r>
          </w:p>
          <w:p w14:paraId="1B82277C" w14:textId="77777777" w:rsidR="005756F9" w:rsidRDefault="005756F9" w:rsidP="00E70CA8">
            <w:pPr>
              <w:spacing w:line="240" w:lineRule="auto"/>
              <w:rPr>
                <w:rFonts w:ascii="Calibri" w:eastAsia="Calibri" w:hAnsi="Calibri" w:cs="Calibri"/>
                <w:sz w:val="20"/>
                <w:szCs w:val="20"/>
              </w:rPr>
            </w:pPr>
          </w:p>
        </w:tc>
        <w:tc>
          <w:tcPr>
            <w:tcW w:w="567" w:type="dxa"/>
          </w:tcPr>
          <w:p w14:paraId="6B3173D2"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24a</w:t>
            </w:r>
          </w:p>
        </w:tc>
        <w:tc>
          <w:tcPr>
            <w:tcW w:w="8723" w:type="dxa"/>
          </w:tcPr>
          <w:p w14:paraId="63352CD5"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Who will be blinded after assignment to interventions (e.g., participants, care providers, outcome assessors, data analysts)</w:t>
            </w:r>
          </w:p>
        </w:tc>
        <w:tc>
          <w:tcPr>
            <w:tcW w:w="1260" w:type="dxa"/>
          </w:tcPr>
          <w:p w14:paraId="0A05D6CD"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4CD09333" w14:textId="77777777" w:rsidTr="00E70CA8">
        <w:trPr>
          <w:trHeight w:val="300"/>
        </w:trPr>
        <w:tc>
          <w:tcPr>
            <w:tcW w:w="2405" w:type="dxa"/>
            <w:vMerge/>
          </w:tcPr>
          <w:p w14:paraId="43FEBA5B" w14:textId="77777777" w:rsidR="005756F9" w:rsidRDefault="005756F9" w:rsidP="00E70CA8">
            <w:pPr>
              <w:widowControl w:val="0"/>
              <w:rPr>
                <w:rFonts w:ascii="Calibri" w:eastAsia="Calibri" w:hAnsi="Calibri" w:cs="Calibri"/>
                <w:sz w:val="20"/>
                <w:szCs w:val="20"/>
              </w:rPr>
            </w:pPr>
          </w:p>
        </w:tc>
        <w:tc>
          <w:tcPr>
            <w:tcW w:w="567" w:type="dxa"/>
          </w:tcPr>
          <w:p w14:paraId="1E3FFC18"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24b</w:t>
            </w:r>
          </w:p>
        </w:tc>
        <w:tc>
          <w:tcPr>
            <w:tcW w:w="8723" w:type="dxa"/>
          </w:tcPr>
          <w:p w14:paraId="17B6DFB1"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If blinded, how blinding will be achieved and description of the similarity of interventions</w:t>
            </w:r>
          </w:p>
        </w:tc>
        <w:tc>
          <w:tcPr>
            <w:tcW w:w="1260" w:type="dxa"/>
          </w:tcPr>
          <w:p w14:paraId="5DB03AE7"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14102D95" w14:textId="77777777" w:rsidTr="00E70CA8">
        <w:trPr>
          <w:trHeight w:val="463"/>
        </w:trPr>
        <w:tc>
          <w:tcPr>
            <w:tcW w:w="2405" w:type="dxa"/>
            <w:vMerge/>
          </w:tcPr>
          <w:p w14:paraId="78ABD8DA" w14:textId="77777777" w:rsidR="005756F9" w:rsidRDefault="005756F9" w:rsidP="00E70CA8">
            <w:pPr>
              <w:widowControl w:val="0"/>
              <w:rPr>
                <w:rFonts w:ascii="Calibri" w:eastAsia="Calibri" w:hAnsi="Calibri" w:cs="Calibri"/>
                <w:sz w:val="20"/>
                <w:szCs w:val="20"/>
              </w:rPr>
            </w:pPr>
          </w:p>
        </w:tc>
        <w:tc>
          <w:tcPr>
            <w:tcW w:w="567" w:type="dxa"/>
          </w:tcPr>
          <w:p w14:paraId="73AB0E6A"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24c</w:t>
            </w:r>
          </w:p>
        </w:tc>
        <w:tc>
          <w:tcPr>
            <w:tcW w:w="8723" w:type="dxa"/>
          </w:tcPr>
          <w:p w14:paraId="0454F604"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If blinded, circumstances under which unblinding is permissible, and procedure for revealing a participant’s allocated intervention during the trial</w:t>
            </w:r>
          </w:p>
        </w:tc>
        <w:tc>
          <w:tcPr>
            <w:tcW w:w="1260" w:type="dxa"/>
          </w:tcPr>
          <w:p w14:paraId="4A6EB485"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609F4C3B" w14:textId="77777777" w:rsidTr="00E70CA8">
        <w:trPr>
          <w:trHeight w:val="276"/>
        </w:trPr>
        <w:tc>
          <w:tcPr>
            <w:tcW w:w="11695" w:type="dxa"/>
            <w:gridSpan w:val="3"/>
            <w:shd w:val="clear" w:color="auto" w:fill="B4C6E7"/>
          </w:tcPr>
          <w:p w14:paraId="4BB169BF" w14:textId="77777777" w:rsidR="005756F9" w:rsidRDefault="005756F9" w:rsidP="00E70CA8">
            <w:pPr>
              <w:spacing w:line="240" w:lineRule="auto"/>
              <w:rPr>
                <w:rFonts w:ascii="Calibri" w:eastAsia="Calibri" w:hAnsi="Calibri" w:cs="Calibri"/>
                <w:b/>
                <w:bCs/>
                <w:sz w:val="20"/>
                <w:szCs w:val="20"/>
              </w:rPr>
            </w:pPr>
            <w:r>
              <w:rPr>
                <w:rFonts w:ascii="Calibri" w:eastAsia="Calibri" w:hAnsi="Calibri" w:cs="Calibri"/>
                <w:b/>
                <w:bCs/>
                <w:sz w:val="20"/>
                <w:szCs w:val="20"/>
              </w:rPr>
              <w:t>Methods: Data collection, management, and analysis</w:t>
            </w:r>
          </w:p>
        </w:tc>
        <w:tc>
          <w:tcPr>
            <w:tcW w:w="1260" w:type="dxa"/>
            <w:shd w:val="clear" w:color="auto" w:fill="B4C6E7"/>
          </w:tcPr>
          <w:p w14:paraId="70329C33" w14:textId="77777777" w:rsidR="005756F9" w:rsidRDefault="005756F9" w:rsidP="00E70CA8">
            <w:pPr>
              <w:spacing w:line="240" w:lineRule="auto"/>
              <w:rPr>
                <w:rFonts w:ascii="Calibri" w:eastAsia="Calibri" w:hAnsi="Calibri" w:cs="Calibri"/>
                <w:b/>
                <w:bCs/>
                <w:sz w:val="20"/>
                <w:szCs w:val="20"/>
              </w:rPr>
            </w:pPr>
          </w:p>
        </w:tc>
      </w:tr>
      <w:tr w:rsidR="005756F9" w14:paraId="38E62F1C" w14:textId="77777777" w:rsidTr="00E70CA8">
        <w:trPr>
          <w:trHeight w:val="762"/>
        </w:trPr>
        <w:tc>
          <w:tcPr>
            <w:tcW w:w="2405" w:type="dxa"/>
            <w:vMerge w:val="restart"/>
          </w:tcPr>
          <w:p w14:paraId="5A3C6F70"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Data collection methods</w:t>
            </w:r>
          </w:p>
        </w:tc>
        <w:tc>
          <w:tcPr>
            <w:tcW w:w="567" w:type="dxa"/>
          </w:tcPr>
          <w:p w14:paraId="5B8C0D21"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25a</w:t>
            </w:r>
          </w:p>
        </w:tc>
        <w:tc>
          <w:tcPr>
            <w:tcW w:w="8723" w:type="dxa"/>
          </w:tcPr>
          <w:p w14:paraId="26E084FB"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Plans for assessment and collection of trial data, including any related processes to promote data quality (e.g., duplicate measurements, training of assessors) and a description of trial instruments (e.g., questionnaires, laboratory tests) along with their reliability and validity, if known. Reference to where data collection forms can be accessed, if not in the protocol</w:t>
            </w:r>
          </w:p>
        </w:tc>
        <w:tc>
          <w:tcPr>
            <w:tcW w:w="1260" w:type="dxa"/>
          </w:tcPr>
          <w:p w14:paraId="0E5A4A6F"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9 - 12</w:t>
            </w:r>
          </w:p>
        </w:tc>
      </w:tr>
      <w:tr w:rsidR="005756F9" w14:paraId="35BE4289" w14:textId="77777777" w:rsidTr="00E70CA8">
        <w:trPr>
          <w:trHeight w:val="416"/>
        </w:trPr>
        <w:tc>
          <w:tcPr>
            <w:tcW w:w="2405" w:type="dxa"/>
            <w:vMerge/>
          </w:tcPr>
          <w:p w14:paraId="71AA1425" w14:textId="77777777" w:rsidR="005756F9" w:rsidRDefault="005756F9" w:rsidP="00E70CA8">
            <w:pPr>
              <w:widowControl w:val="0"/>
              <w:rPr>
                <w:rFonts w:ascii="Calibri" w:eastAsia="Calibri" w:hAnsi="Calibri" w:cs="Calibri"/>
                <w:sz w:val="20"/>
                <w:szCs w:val="20"/>
              </w:rPr>
            </w:pPr>
          </w:p>
        </w:tc>
        <w:tc>
          <w:tcPr>
            <w:tcW w:w="567" w:type="dxa"/>
          </w:tcPr>
          <w:p w14:paraId="24D3BA84"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25b</w:t>
            </w:r>
          </w:p>
        </w:tc>
        <w:tc>
          <w:tcPr>
            <w:tcW w:w="8723" w:type="dxa"/>
          </w:tcPr>
          <w:p w14:paraId="69A72328"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Plans to promote participant retention and complete follow-up, including list of any outcome data to be collected for participants who discontinue or deviate from intervention protocols</w:t>
            </w:r>
          </w:p>
        </w:tc>
        <w:tc>
          <w:tcPr>
            <w:tcW w:w="1260" w:type="dxa"/>
          </w:tcPr>
          <w:p w14:paraId="4BFCA121"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6E8B1D34" w14:textId="77777777" w:rsidTr="00E70CA8">
        <w:trPr>
          <w:trHeight w:val="447"/>
        </w:trPr>
        <w:tc>
          <w:tcPr>
            <w:tcW w:w="2405" w:type="dxa"/>
          </w:tcPr>
          <w:p w14:paraId="5F0B498D"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Data management</w:t>
            </w:r>
          </w:p>
        </w:tc>
        <w:tc>
          <w:tcPr>
            <w:tcW w:w="567" w:type="dxa"/>
          </w:tcPr>
          <w:p w14:paraId="4F118083"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26</w:t>
            </w:r>
          </w:p>
        </w:tc>
        <w:tc>
          <w:tcPr>
            <w:tcW w:w="8723" w:type="dxa"/>
          </w:tcPr>
          <w:p w14:paraId="6D7BF6B5"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Plans for data entry, coding, security, and storage, including any related processes to promote data quality (e.g., double data entry; range checks for data values). Reference to where details of data management procedures can be accessed, if not in the protocol</w:t>
            </w:r>
          </w:p>
        </w:tc>
        <w:tc>
          <w:tcPr>
            <w:tcW w:w="1260" w:type="dxa"/>
          </w:tcPr>
          <w:p w14:paraId="47B464C8"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13 - 15</w:t>
            </w:r>
          </w:p>
        </w:tc>
      </w:tr>
      <w:tr w:rsidR="005756F9" w14:paraId="42D61496" w14:textId="77777777" w:rsidTr="00E70CA8">
        <w:trPr>
          <w:trHeight w:val="347"/>
        </w:trPr>
        <w:tc>
          <w:tcPr>
            <w:tcW w:w="2405" w:type="dxa"/>
            <w:vMerge w:val="restart"/>
          </w:tcPr>
          <w:p w14:paraId="69EC37D8"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Statistical methods</w:t>
            </w:r>
          </w:p>
        </w:tc>
        <w:tc>
          <w:tcPr>
            <w:tcW w:w="567" w:type="dxa"/>
          </w:tcPr>
          <w:p w14:paraId="26273F4C"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27a</w:t>
            </w:r>
          </w:p>
        </w:tc>
        <w:tc>
          <w:tcPr>
            <w:tcW w:w="8723" w:type="dxa"/>
          </w:tcPr>
          <w:p w14:paraId="4AB41AAE"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 xml:space="preserve">Statistical methods used to compare groups for primary and secondary outcomes, including harms </w:t>
            </w:r>
          </w:p>
        </w:tc>
        <w:tc>
          <w:tcPr>
            <w:tcW w:w="1260" w:type="dxa"/>
          </w:tcPr>
          <w:p w14:paraId="7A705767"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16 - 17</w:t>
            </w:r>
          </w:p>
        </w:tc>
      </w:tr>
      <w:tr w:rsidR="005756F9" w14:paraId="218350C3" w14:textId="77777777" w:rsidTr="00E70CA8">
        <w:trPr>
          <w:trHeight w:val="424"/>
        </w:trPr>
        <w:tc>
          <w:tcPr>
            <w:tcW w:w="2405" w:type="dxa"/>
            <w:vMerge/>
          </w:tcPr>
          <w:p w14:paraId="29E0963C" w14:textId="77777777" w:rsidR="005756F9" w:rsidRDefault="005756F9" w:rsidP="00E70CA8">
            <w:pPr>
              <w:widowControl w:val="0"/>
              <w:rPr>
                <w:rFonts w:ascii="Calibri" w:eastAsia="Calibri" w:hAnsi="Calibri" w:cs="Calibri"/>
                <w:sz w:val="20"/>
                <w:szCs w:val="20"/>
              </w:rPr>
            </w:pPr>
          </w:p>
        </w:tc>
        <w:tc>
          <w:tcPr>
            <w:tcW w:w="567" w:type="dxa"/>
          </w:tcPr>
          <w:p w14:paraId="27F04A2C"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27b</w:t>
            </w:r>
          </w:p>
        </w:tc>
        <w:tc>
          <w:tcPr>
            <w:tcW w:w="8723" w:type="dxa"/>
          </w:tcPr>
          <w:p w14:paraId="485A53AC"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Definition of who will be included in each analysis (e.g., all randomized participants), and in which group</w:t>
            </w:r>
          </w:p>
        </w:tc>
        <w:tc>
          <w:tcPr>
            <w:tcW w:w="1260" w:type="dxa"/>
          </w:tcPr>
          <w:p w14:paraId="4C48D795"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4797D0DE" w14:textId="77777777" w:rsidTr="00E70CA8">
        <w:trPr>
          <w:trHeight w:val="306"/>
        </w:trPr>
        <w:tc>
          <w:tcPr>
            <w:tcW w:w="2405" w:type="dxa"/>
            <w:vMerge/>
          </w:tcPr>
          <w:p w14:paraId="45BE1651" w14:textId="77777777" w:rsidR="005756F9" w:rsidRDefault="005756F9" w:rsidP="00E70CA8">
            <w:pPr>
              <w:widowControl w:val="0"/>
              <w:rPr>
                <w:rFonts w:ascii="Calibri" w:eastAsia="Calibri" w:hAnsi="Calibri" w:cs="Calibri"/>
                <w:sz w:val="20"/>
                <w:szCs w:val="20"/>
              </w:rPr>
            </w:pPr>
          </w:p>
        </w:tc>
        <w:tc>
          <w:tcPr>
            <w:tcW w:w="567" w:type="dxa"/>
          </w:tcPr>
          <w:p w14:paraId="286AF439"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27c</w:t>
            </w:r>
          </w:p>
        </w:tc>
        <w:tc>
          <w:tcPr>
            <w:tcW w:w="8723" w:type="dxa"/>
          </w:tcPr>
          <w:p w14:paraId="2A27FD89"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How missing data</w:t>
            </w:r>
            <w:r>
              <w:rPr>
                <w:rFonts w:ascii="Helvetica Neue" w:eastAsia="Helvetica Neue" w:hAnsi="Helvetica Neue" w:cs="Helvetica Neue"/>
                <w:color w:val="3F3F3F"/>
                <w:sz w:val="26"/>
                <w:szCs w:val="26"/>
              </w:rPr>
              <w:t xml:space="preserve"> </w:t>
            </w:r>
            <w:r>
              <w:rPr>
                <w:rFonts w:ascii="Calibri" w:eastAsia="Calibri" w:hAnsi="Calibri" w:cs="Calibri"/>
                <w:sz w:val="20"/>
                <w:szCs w:val="20"/>
              </w:rPr>
              <w:t>will be handled in the analysis</w:t>
            </w:r>
          </w:p>
        </w:tc>
        <w:tc>
          <w:tcPr>
            <w:tcW w:w="1260" w:type="dxa"/>
          </w:tcPr>
          <w:p w14:paraId="5B36278A"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13</w:t>
            </w:r>
          </w:p>
        </w:tc>
      </w:tr>
      <w:tr w:rsidR="005756F9" w14:paraId="41DBC932" w14:textId="77777777" w:rsidTr="00E70CA8">
        <w:trPr>
          <w:trHeight w:val="306"/>
        </w:trPr>
        <w:tc>
          <w:tcPr>
            <w:tcW w:w="2405" w:type="dxa"/>
            <w:vMerge/>
          </w:tcPr>
          <w:p w14:paraId="2634B888" w14:textId="77777777" w:rsidR="005756F9" w:rsidRDefault="005756F9" w:rsidP="00E70CA8">
            <w:pPr>
              <w:widowControl w:val="0"/>
              <w:rPr>
                <w:rFonts w:ascii="Calibri" w:eastAsia="Calibri" w:hAnsi="Calibri" w:cs="Calibri"/>
                <w:sz w:val="20"/>
                <w:szCs w:val="20"/>
              </w:rPr>
            </w:pPr>
          </w:p>
        </w:tc>
        <w:tc>
          <w:tcPr>
            <w:tcW w:w="567" w:type="dxa"/>
          </w:tcPr>
          <w:p w14:paraId="4F97F1C0"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27d</w:t>
            </w:r>
          </w:p>
        </w:tc>
        <w:tc>
          <w:tcPr>
            <w:tcW w:w="8723" w:type="dxa"/>
          </w:tcPr>
          <w:p w14:paraId="1322435F"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Methods for any additional analyses (e.g., subgroup and sensitivity analyses)</w:t>
            </w:r>
          </w:p>
        </w:tc>
        <w:tc>
          <w:tcPr>
            <w:tcW w:w="1260" w:type="dxa"/>
          </w:tcPr>
          <w:p w14:paraId="247F4737"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16 - 17</w:t>
            </w:r>
          </w:p>
        </w:tc>
      </w:tr>
      <w:tr w:rsidR="005756F9" w14:paraId="4BCF945B" w14:textId="77777777" w:rsidTr="00E70CA8">
        <w:trPr>
          <w:trHeight w:val="276"/>
        </w:trPr>
        <w:tc>
          <w:tcPr>
            <w:tcW w:w="11695" w:type="dxa"/>
            <w:gridSpan w:val="3"/>
            <w:shd w:val="clear" w:color="auto" w:fill="B4C6E7"/>
          </w:tcPr>
          <w:p w14:paraId="27C25031" w14:textId="77777777" w:rsidR="005756F9" w:rsidRDefault="005756F9" w:rsidP="00E70CA8">
            <w:pPr>
              <w:spacing w:line="240" w:lineRule="auto"/>
              <w:rPr>
                <w:rFonts w:ascii="Calibri" w:eastAsia="Calibri" w:hAnsi="Calibri" w:cs="Calibri"/>
                <w:b/>
                <w:bCs/>
                <w:sz w:val="20"/>
                <w:szCs w:val="20"/>
              </w:rPr>
            </w:pPr>
            <w:r>
              <w:rPr>
                <w:rFonts w:ascii="Calibri" w:eastAsia="Calibri" w:hAnsi="Calibri" w:cs="Calibri"/>
                <w:b/>
                <w:bCs/>
                <w:sz w:val="20"/>
                <w:szCs w:val="20"/>
              </w:rPr>
              <w:t>Methods: Monitoring</w:t>
            </w:r>
          </w:p>
        </w:tc>
        <w:tc>
          <w:tcPr>
            <w:tcW w:w="1260" w:type="dxa"/>
            <w:shd w:val="clear" w:color="auto" w:fill="B4C6E7"/>
          </w:tcPr>
          <w:p w14:paraId="648B3726" w14:textId="77777777" w:rsidR="005756F9" w:rsidRDefault="005756F9" w:rsidP="00E70CA8">
            <w:pPr>
              <w:spacing w:line="240" w:lineRule="auto"/>
              <w:rPr>
                <w:rFonts w:ascii="Calibri" w:eastAsia="Calibri" w:hAnsi="Calibri" w:cs="Calibri"/>
                <w:b/>
                <w:bCs/>
                <w:sz w:val="20"/>
                <w:szCs w:val="20"/>
              </w:rPr>
            </w:pPr>
          </w:p>
        </w:tc>
      </w:tr>
      <w:tr w:rsidR="005756F9" w14:paraId="1D9C9BA4" w14:textId="77777777" w:rsidTr="00E70CA8">
        <w:trPr>
          <w:trHeight w:val="722"/>
        </w:trPr>
        <w:tc>
          <w:tcPr>
            <w:tcW w:w="2405" w:type="dxa"/>
            <w:vMerge w:val="restart"/>
          </w:tcPr>
          <w:p w14:paraId="757B41F2"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Data monitoring committee</w:t>
            </w:r>
          </w:p>
        </w:tc>
        <w:tc>
          <w:tcPr>
            <w:tcW w:w="567" w:type="dxa"/>
          </w:tcPr>
          <w:p w14:paraId="149DC76B"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28a</w:t>
            </w:r>
          </w:p>
        </w:tc>
        <w:tc>
          <w:tcPr>
            <w:tcW w:w="8723" w:type="dxa"/>
          </w:tcPr>
          <w:p w14:paraId="03F819EF"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Composition of data monitoring committee (DMC); summary of its role and reporting structure; statement of whether it is independent from the sponsor and funder; conflicts of interest and reference to where further details about its charter can be found, if not in the protocol. Alternatively, an explanation of why a DMC is not needed</w:t>
            </w:r>
          </w:p>
        </w:tc>
        <w:tc>
          <w:tcPr>
            <w:tcW w:w="1260" w:type="dxa"/>
          </w:tcPr>
          <w:p w14:paraId="600792EE"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5C3CC3A3" w14:textId="77777777" w:rsidTr="00E70CA8">
        <w:trPr>
          <w:trHeight w:val="463"/>
        </w:trPr>
        <w:tc>
          <w:tcPr>
            <w:tcW w:w="2405" w:type="dxa"/>
            <w:vMerge/>
          </w:tcPr>
          <w:p w14:paraId="1C0B9AA1" w14:textId="77777777" w:rsidR="005756F9" w:rsidRDefault="005756F9" w:rsidP="00E70CA8">
            <w:pPr>
              <w:widowControl w:val="0"/>
              <w:rPr>
                <w:rFonts w:ascii="Calibri" w:eastAsia="Calibri" w:hAnsi="Calibri" w:cs="Calibri"/>
                <w:sz w:val="20"/>
                <w:szCs w:val="20"/>
              </w:rPr>
            </w:pPr>
          </w:p>
        </w:tc>
        <w:tc>
          <w:tcPr>
            <w:tcW w:w="567" w:type="dxa"/>
          </w:tcPr>
          <w:p w14:paraId="0437C0DF"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28b</w:t>
            </w:r>
          </w:p>
        </w:tc>
        <w:tc>
          <w:tcPr>
            <w:tcW w:w="8723" w:type="dxa"/>
          </w:tcPr>
          <w:p w14:paraId="69EEEF32"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Explanation of any interim analyses and stopping guidelines, including who will have access to these interim results and make the final decision to terminate the trial</w:t>
            </w:r>
          </w:p>
        </w:tc>
        <w:tc>
          <w:tcPr>
            <w:tcW w:w="1260" w:type="dxa"/>
          </w:tcPr>
          <w:p w14:paraId="0E5B363F"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6758A282" w14:textId="77777777" w:rsidTr="00E70CA8">
        <w:trPr>
          <w:trHeight w:val="233"/>
        </w:trPr>
        <w:tc>
          <w:tcPr>
            <w:tcW w:w="2405" w:type="dxa"/>
          </w:tcPr>
          <w:p w14:paraId="222A1943"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Trial monitoring</w:t>
            </w:r>
          </w:p>
        </w:tc>
        <w:tc>
          <w:tcPr>
            <w:tcW w:w="567" w:type="dxa"/>
          </w:tcPr>
          <w:p w14:paraId="4417D909"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29</w:t>
            </w:r>
          </w:p>
        </w:tc>
        <w:tc>
          <w:tcPr>
            <w:tcW w:w="8723" w:type="dxa"/>
          </w:tcPr>
          <w:p w14:paraId="61EE02DD"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Frequency and procedures for monitoring trial conduct. If there is no monitoring, give explanation</w:t>
            </w:r>
          </w:p>
        </w:tc>
        <w:tc>
          <w:tcPr>
            <w:tcW w:w="1260" w:type="dxa"/>
          </w:tcPr>
          <w:p w14:paraId="02F0B4E7"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2B3233C6" w14:textId="77777777" w:rsidTr="00E70CA8">
        <w:trPr>
          <w:trHeight w:val="276"/>
        </w:trPr>
        <w:tc>
          <w:tcPr>
            <w:tcW w:w="11695" w:type="dxa"/>
            <w:gridSpan w:val="3"/>
            <w:shd w:val="clear" w:color="auto" w:fill="B4C6E7"/>
          </w:tcPr>
          <w:p w14:paraId="4E5F55F5" w14:textId="77777777" w:rsidR="005756F9" w:rsidRDefault="005756F9" w:rsidP="00E70CA8">
            <w:pPr>
              <w:spacing w:line="240" w:lineRule="auto"/>
              <w:rPr>
                <w:rFonts w:ascii="Calibri" w:eastAsia="Calibri" w:hAnsi="Calibri" w:cs="Calibri"/>
                <w:b/>
                <w:bCs/>
                <w:sz w:val="20"/>
                <w:szCs w:val="20"/>
              </w:rPr>
            </w:pPr>
            <w:r>
              <w:rPr>
                <w:rFonts w:ascii="Calibri" w:eastAsia="Calibri" w:hAnsi="Calibri" w:cs="Calibri"/>
                <w:b/>
                <w:bCs/>
                <w:sz w:val="20"/>
                <w:szCs w:val="20"/>
              </w:rPr>
              <w:t>Ethics</w:t>
            </w:r>
          </w:p>
        </w:tc>
        <w:tc>
          <w:tcPr>
            <w:tcW w:w="1260" w:type="dxa"/>
            <w:shd w:val="clear" w:color="auto" w:fill="B4C6E7"/>
          </w:tcPr>
          <w:p w14:paraId="3A7164BB" w14:textId="77777777" w:rsidR="005756F9" w:rsidRDefault="005756F9" w:rsidP="00E70CA8">
            <w:pPr>
              <w:spacing w:line="240" w:lineRule="auto"/>
              <w:rPr>
                <w:rFonts w:ascii="Calibri" w:eastAsia="Calibri" w:hAnsi="Calibri" w:cs="Calibri"/>
                <w:b/>
                <w:bCs/>
                <w:sz w:val="20"/>
                <w:szCs w:val="20"/>
              </w:rPr>
            </w:pPr>
          </w:p>
        </w:tc>
      </w:tr>
      <w:tr w:rsidR="005756F9" w14:paraId="2F6F4B50" w14:textId="77777777" w:rsidTr="00E70CA8">
        <w:trPr>
          <w:trHeight w:val="274"/>
        </w:trPr>
        <w:tc>
          <w:tcPr>
            <w:tcW w:w="2405" w:type="dxa"/>
          </w:tcPr>
          <w:p w14:paraId="3FF9049A"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Research ethics approval</w:t>
            </w:r>
          </w:p>
        </w:tc>
        <w:tc>
          <w:tcPr>
            <w:tcW w:w="567" w:type="dxa"/>
          </w:tcPr>
          <w:p w14:paraId="4F326156"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30</w:t>
            </w:r>
          </w:p>
        </w:tc>
        <w:tc>
          <w:tcPr>
            <w:tcW w:w="8723" w:type="dxa"/>
          </w:tcPr>
          <w:p w14:paraId="5ACCEE77"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Plans for seeking research ethics committee/institutional review board approval</w:t>
            </w:r>
          </w:p>
        </w:tc>
        <w:tc>
          <w:tcPr>
            <w:tcW w:w="1260" w:type="dxa"/>
          </w:tcPr>
          <w:p w14:paraId="02E53D5A"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20</w:t>
            </w:r>
          </w:p>
        </w:tc>
      </w:tr>
      <w:tr w:rsidR="005756F9" w14:paraId="7779671C" w14:textId="77777777" w:rsidTr="00E70CA8">
        <w:trPr>
          <w:trHeight w:val="427"/>
        </w:trPr>
        <w:tc>
          <w:tcPr>
            <w:tcW w:w="2405" w:type="dxa"/>
          </w:tcPr>
          <w:p w14:paraId="5BA8F695"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Protocol amendments</w:t>
            </w:r>
          </w:p>
        </w:tc>
        <w:tc>
          <w:tcPr>
            <w:tcW w:w="567" w:type="dxa"/>
          </w:tcPr>
          <w:p w14:paraId="7C089DA6"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31</w:t>
            </w:r>
          </w:p>
        </w:tc>
        <w:tc>
          <w:tcPr>
            <w:tcW w:w="8723" w:type="dxa"/>
          </w:tcPr>
          <w:p w14:paraId="7194DC3E"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 xml:space="preserve">Plans for communicating important protocol modifications to relevant parties </w:t>
            </w:r>
          </w:p>
        </w:tc>
        <w:tc>
          <w:tcPr>
            <w:tcW w:w="1260" w:type="dxa"/>
          </w:tcPr>
          <w:p w14:paraId="76D228F0"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14DCCE78" w14:textId="77777777" w:rsidTr="00E70CA8">
        <w:trPr>
          <w:trHeight w:val="301"/>
        </w:trPr>
        <w:tc>
          <w:tcPr>
            <w:tcW w:w="2405" w:type="dxa"/>
            <w:vMerge w:val="restart"/>
          </w:tcPr>
          <w:p w14:paraId="07759AFB"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Consent or assent</w:t>
            </w:r>
          </w:p>
        </w:tc>
        <w:tc>
          <w:tcPr>
            <w:tcW w:w="567" w:type="dxa"/>
          </w:tcPr>
          <w:p w14:paraId="45C741C3"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32a</w:t>
            </w:r>
          </w:p>
        </w:tc>
        <w:tc>
          <w:tcPr>
            <w:tcW w:w="8723" w:type="dxa"/>
          </w:tcPr>
          <w:p w14:paraId="0832A09F"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 xml:space="preserve">Who will obtain informed consent or assent from potential trial participants or authorized proxies, and how </w:t>
            </w:r>
          </w:p>
        </w:tc>
        <w:tc>
          <w:tcPr>
            <w:tcW w:w="1260" w:type="dxa"/>
          </w:tcPr>
          <w:p w14:paraId="1948B1E1"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8</w:t>
            </w:r>
          </w:p>
        </w:tc>
      </w:tr>
      <w:tr w:rsidR="005756F9" w14:paraId="4C8D5711" w14:textId="77777777" w:rsidTr="00E70CA8">
        <w:trPr>
          <w:trHeight w:val="185"/>
        </w:trPr>
        <w:tc>
          <w:tcPr>
            <w:tcW w:w="2405" w:type="dxa"/>
            <w:vMerge/>
          </w:tcPr>
          <w:p w14:paraId="75E9A13D" w14:textId="77777777" w:rsidR="005756F9" w:rsidRDefault="005756F9" w:rsidP="00E70CA8">
            <w:pPr>
              <w:widowControl w:val="0"/>
              <w:rPr>
                <w:rFonts w:ascii="Calibri" w:eastAsia="Calibri" w:hAnsi="Calibri" w:cs="Calibri"/>
                <w:sz w:val="20"/>
                <w:szCs w:val="20"/>
              </w:rPr>
            </w:pPr>
          </w:p>
        </w:tc>
        <w:tc>
          <w:tcPr>
            <w:tcW w:w="567" w:type="dxa"/>
          </w:tcPr>
          <w:p w14:paraId="1EDBA496"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32b</w:t>
            </w:r>
          </w:p>
        </w:tc>
        <w:tc>
          <w:tcPr>
            <w:tcW w:w="8723" w:type="dxa"/>
          </w:tcPr>
          <w:p w14:paraId="6B45D90B"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Additional consent provisions for collection and use of participant data and biological specimens in ancillary studies, if applicable</w:t>
            </w:r>
          </w:p>
        </w:tc>
        <w:tc>
          <w:tcPr>
            <w:tcW w:w="1260" w:type="dxa"/>
          </w:tcPr>
          <w:p w14:paraId="71A470EE"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r w:rsidR="005756F9" w14:paraId="47CE083F" w14:textId="77777777" w:rsidTr="00E70CA8">
        <w:trPr>
          <w:trHeight w:val="480"/>
        </w:trPr>
        <w:tc>
          <w:tcPr>
            <w:tcW w:w="2405" w:type="dxa"/>
          </w:tcPr>
          <w:p w14:paraId="655203B6"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Confidentiality</w:t>
            </w:r>
          </w:p>
        </w:tc>
        <w:tc>
          <w:tcPr>
            <w:tcW w:w="567" w:type="dxa"/>
          </w:tcPr>
          <w:p w14:paraId="16654379"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33</w:t>
            </w:r>
          </w:p>
        </w:tc>
        <w:tc>
          <w:tcPr>
            <w:tcW w:w="8723" w:type="dxa"/>
          </w:tcPr>
          <w:p w14:paraId="45DA3114"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How personal information about potential and enrolled participants will be collected, shared, and maintained in order to protect confidentiality before, during, and after the trial</w:t>
            </w:r>
          </w:p>
        </w:tc>
        <w:tc>
          <w:tcPr>
            <w:tcW w:w="1260" w:type="dxa"/>
          </w:tcPr>
          <w:p w14:paraId="5E99A7FA"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13 - 14</w:t>
            </w:r>
          </w:p>
        </w:tc>
      </w:tr>
      <w:tr w:rsidR="005756F9" w14:paraId="14D7F4BF" w14:textId="77777777" w:rsidTr="00E70CA8">
        <w:trPr>
          <w:trHeight w:val="361"/>
        </w:trPr>
        <w:tc>
          <w:tcPr>
            <w:tcW w:w="2405" w:type="dxa"/>
          </w:tcPr>
          <w:p w14:paraId="461F3E57"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Ancillary and post-trial care</w:t>
            </w:r>
          </w:p>
        </w:tc>
        <w:tc>
          <w:tcPr>
            <w:tcW w:w="567" w:type="dxa"/>
          </w:tcPr>
          <w:p w14:paraId="37A76733" w14:textId="77777777" w:rsidR="005756F9" w:rsidRDefault="005756F9" w:rsidP="00E70CA8">
            <w:pPr>
              <w:spacing w:line="240" w:lineRule="auto"/>
              <w:jc w:val="center"/>
              <w:rPr>
                <w:rFonts w:ascii="Calibri" w:eastAsia="Calibri" w:hAnsi="Calibri" w:cs="Calibri"/>
                <w:sz w:val="20"/>
                <w:szCs w:val="20"/>
              </w:rPr>
            </w:pPr>
            <w:r>
              <w:rPr>
                <w:rFonts w:ascii="Calibri" w:eastAsia="Calibri" w:hAnsi="Calibri" w:cs="Calibri"/>
                <w:sz w:val="20"/>
                <w:szCs w:val="20"/>
              </w:rPr>
              <w:t>34</w:t>
            </w:r>
          </w:p>
        </w:tc>
        <w:tc>
          <w:tcPr>
            <w:tcW w:w="8723" w:type="dxa"/>
          </w:tcPr>
          <w:p w14:paraId="2C2ECFF8"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Provisions, if any, for ancillary and post-trial care, and for compensation to those who suffer harm from trial participation</w:t>
            </w:r>
          </w:p>
        </w:tc>
        <w:tc>
          <w:tcPr>
            <w:tcW w:w="1260" w:type="dxa"/>
          </w:tcPr>
          <w:p w14:paraId="1AED18AA" w14:textId="77777777" w:rsidR="005756F9" w:rsidRDefault="005756F9" w:rsidP="00E70CA8">
            <w:pPr>
              <w:spacing w:line="240" w:lineRule="auto"/>
              <w:rPr>
                <w:rFonts w:ascii="Calibri" w:eastAsia="Calibri" w:hAnsi="Calibri" w:cs="Calibri"/>
                <w:sz w:val="20"/>
                <w:szCs w:val="20"/>
              </w:rPr>
            </w:pPr>
            <w:r>
              <w:rPr>
                <w:rFonts w:ascii="Calibri" w:eastAsia="Calibri" w:hAnsi="Calibri" w:cs="Calibri"/>
                <w:sz w:val="20"/>
                <w:szCs w:val="20"/>
              </w:rPr>
              <w:t>NA</w:t>
            </w:r>
          </w:p>
        </w:tc>
      </w:tr>
    </w:tbl>
    <w:p w14:paraId="3BD505B3" w14:textId="77777777" w:rsidR="005756F9" w:rsidRDefault="005756F9" w:rsidP="005756F9">
      <w:pPr>
        <w:spacing w:line="240" w:lineRule="auto"/>
        <w:rPr>
          <w:rFonts w:ascii="Calibri" w:eastAsia="Calibri" w:hAnsi="Calibri" w:cs="Calibri"/>
          <w:sz w:val="24"/>
          <w:szCs w:val="24"/>
        </w:rPr>
      </w:pPr>
    </w:p>
    <w:p w14:paraId="76487459" w14:textId="77777777" w:rsidR="005756F9" w:rsidRDefault="005756F9" w:rsidP="005756F9">
      <w:pPr>
        <w:spacing w:before="200" w:after="200" w:line="480" w:lineRule="auto"/>
        <w:rPr>
          <w:b/>
          <w:bCs/>
        </w:rPr>
      </w:pPr>
    </w:p>
    <w:p w14:paraId="54A46FBE" w14:textId="77777777" w:rsidR="00E023F9" w:rsidRDefault="00E023F9"/>
    <w:sectPr w:rsidR="00E023F9" w:rsidSect="005756F9">
      <w:pgSz w:w="16834" w:h="11909" w:orient="landscape"/>
      <w:pgMar w:top="1440" w:right="1440" w:bottom="1440" w:left="1417" w:header="720" w:footer="720" w:gutter="0"/>
      <w:lnNumType w:countBy="1" w:restart="continuou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Helvetica Neue">
    <w:altName w:val="Arial"/>
    <w:charset w:val="00"/>
    <w:family w:val="auto"/>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56F9"/>
    <w:rsid w:val="000C4033"/>
    <w:rsid w:val="004B42CB"/>
    <w:rsid w:val="005756F9"/>
    <w:rsid w:val="005F2B46"/>
    <w:rsid w:val="006E1731"/>
    <w:rsid w:val="007E3FCD"/>
    <w:rsid w:val="00B260B7"/>
    <w:rsid w:val="00B8533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824AD"/>
  <w15:chartTrackingRefBased/>
  <w15:docId w15:val="{279F4C92-8F89-4201-A021-B7942EE39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6F9"/>
    <w:pPr>
      <w:spacing w:after="0" w:line="276" w:lineRule="auto"/>
    </w:pPr>
    <w:rPr>
      <w:rFonts w:ascii="Arial" w:eastAsia="Arial" w:hAnsi="Arial" w:cs="Arial"/>
      <w:kern w:val="0"/>
      <w:sz w:val="22"/>
      <w:szCs w:val="22"/>
      <w:lang w:val="en-GB" w:eastAsia="en-IN"/>
      <w14:ligatures w14:val="none"/>
    </w:rPr>
  </w:style>
  <w:style w:type="paragraph" w:styleId="Heading1">
    <w:name w:val="heading 1"/>
    <w:basedOn w:val="Normal"/>
    <w:next w:val="Normal"/>
    <w:link w:val="Heading1Char"/>
    <w:uiPriority w:val="9"/>
    <w:qFormat/>
    <w:rsid w:val="005756F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5756F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5756F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5756F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IN" w:eastAsia="en-US"/>
      <w14:ligatures w14:val="standardContextual"/>
    </w:rPr>
  </w:style>
  <w:style w:type="paragraph" w:styleId="Heading5">
    <w:name w:val="heading 5"/>
    <w:basedOn w:val="Normal"/>
    <w:next w:val="Normal"/>
    <w:link w:val="Heading5Char"/>
    <w:uiPriority w:val="9"/>
    <w:semiHidden/>
    <w:unhideWhenUsed/>
    <w:qFormat/>
    <w:rsid w:val="005756F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IN" w:eastAsia="en-US"/>
      <w14:ligatures w14:val="standardContextual"/>
    </w:rPr>
  </w:style>
  <w:style w:type="paragraph" w:styleId="Heading6">
    <w:name w:val="heading 6"/>
    <w:basedOn w:val="Normal"/>
    <w:next w:val="Normal"/>
    <w:link w:val="Heading6Char"/>
    <w:uiPriority w:val="9"/>
    <w:semiHidden/>
    <w:unhideWhenUsed/>
    <w:qFormat/>
    <w:rsid w:val="005756F9"/>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IN" w:eastAsia="en-US"/>
      <w14:ligatures w14:val="standardContextual"/>
    </w:rPr>
  </w:style>
  <w:style w:type="paragraph" w:styleId="Heading7">
    <w:name w:val="heading 7"/>
    <w:basedOn w:val="Normal"/>
    <w:next w:val="Normal"/>
    <w:link w:val="Heading7Char"/>
    <w:uiPriority w:val="9"/>
    <w:semiHidden/>
    <w:unhideWhenUsed/>
    <w:qFormat/>
    <w:rsid w:val="005756F9"/>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IN" w:eastAsia="en-US"/>
      <w14:ligatures w14:val="standardContextual"/>
    </w:rPr>
  </w:style>
  <w:style w:type="paragraph" w:styleId="Heading8">
    <w:name w:val="heading 8"/>
    <w:basedOn w:val="Normal"/>
    <w:next w:val="Normal"/>
    <w:link w:val="Heading8Char"/>
    <w:uiPriority w:val="9"/>
    <w:semiHidden/>
    <w:unhideWhenUsed/>
    <w:qFormat/>
    <w:rsid w:val="005756F9"/>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IN" w:eastAsia="en-US"/>
      <w14:ligatures w14:val="standardContextual"/>
    </w:rPr>
  </w:style>
  <w:style w:type="paragraph" w:styleId="Heading9">
    <w:name w:val="heading 9"/>
    <w:basedOn w:val="Normal"/>
    <w:next w:val="Normal"/>
    <w:link w:val="Heading9Char"/>
    <w:uiPriority w:val="9"/>
    <w:semiHidden/>
    <w:unhideWhenUsed/>
    <w:qFormat/>
    <w:rsid w:val="005756F9"/>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56F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756F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56F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56F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56F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56F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56F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56F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56F9"/>
    <w:rPr>
      <w:rFonts w:eastAsiaTheme="majorEastAsia" w:cstheme="majorBidi"/>
      <w:color w:val="272727" w:themeColor="text1" w:themeTint="D8"/>
    </w:rPr>
  </w:style>
  <w:style w:type="paragraph" w:styleId="Title">
    <w:name w:val="Title"/>
    <w:basedOn w:val="Normal"/>
    <w:next w:val="Normal"/>
    <w:link w:val="TitleChar"/>
    <w:uiPriority w:val="10"/>
    <w:qFormat/>
    <w:rsid w:val="005756F9"/>
    <w:pPr>
      <w:spacing w:after="80" w:line="240" w:lineRule="auto"/>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5756F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56F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5756F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56F9"/>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IN" w:eastAsia="en-US"/>
      <w14:ligatures w14:val="standardContextual"/>
    </w:rPr>
  </w:style>
  <w:style w:type="character" w:customStyle="1" w:styleId="QuoteChar">
    <w:name w:val="Quote Char"/>
    <w:basedOn w:val="DefaultParagraphFont"/>
    <w:link w:val="Quote"/>
    <w:uiPriority w:val="29"/>
    <w:rsid w:val="005756F9"/>
    <w:rPr>
      <w:i/>
      <w:iCs/>
      <w:color w:val="404040" w:themeColor="text1" w:themeTint="BF"/>
    </w:rPr>
  </w:style>
  <w:style w:type="paragraph" w:styleId="ListParagraph">
    <w:name w:val="List Paragraph"/>
    <w:basedOn w:val="Normal"/>
    <w:uiPriority w:val="34"/>
    <w:qFormat/>
    <w:rsid w:val="005756F9"/>
    <w:pPr>
      <w:spacing w:after="160" w:line="278" w:lineRule="auto"/>
      <w:ind w:left="720"/>
      <w:contextualSpacing/>
    </w:pPr>
    <w:rPr>
      <w:rFonts w:asciiTheme="minorHAnsi" w:eastAsiaTheme="minorHAnsi" w:hAnsiTheme="minorHAnsi" w:cstheme="minorBidi"/>
      <w:kern w:val="2"/>
      <w:sz w:val="24"/>
      <w:szCs w:val="24"/>
      <w:lang w:val="en-IN" w:eastAsia="en-US"/>
      <w14:ligatures w14:val="standardContextual"/>
    </w:rPr>
  </w:style>
  <w:style w:type="character" w:styleId="IntenseEmphasis">
    <w:name w:val="Intense Emphasis"/>
    <w:basedOn w:val="DefaultParagraphFont"/>
    <w:uiPriority w:val="21"/>
    <w:qFormat/>
    <w:rsid w:val="005756F9"/>
    <w:rPr>
      <w:i/>
      <w:iCs/>
      <w:color w:val="0F4761" w:themeColor="accent1" w:themeShade="BF"/>
    </w:rPr>
  </w:style>
  <w:style w:type="paragraph" w:styleId="IntenseQuote">
    <w:name w:val="Intense Quote"/>
    <w:basedOn w:val="Normal"/>
    <w:next w:val="Normal"/>
    <w:link w:val="IntenseQuoteChar"/>
    <w:uiPriority w:val="30"/>
    <w:qFormat/>
    <w:rsid w:val="005756F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IN" w:eastAsia="en-US"/>
      <w14:ligatures w14:val="standardContextual"/>
    </w:rPr>
  </w:style>
  <w:style w:type="character" w:customStyle="1" w:styleId="IntenseQuoteChar">
    <w:name w:val="Intense Quote Char"/>
    <w:basedOn w:val="DefaultParagraphFont"/>
    <w:link w:val="IntenseQuote"/>
    <w:uiPriority w:val="30"/>
    <w:rsid w:val="005756F9"/>
    <w:rPr>
      <w:i/>
      <w:iCs/>
      <w:color w:val="0F4761" w:themeColor="accent1" w:themeShade="BF"/>
    </w:rPr>
  </w:style>
  <w:style w:type="character" w:styleId="IntenseReference">
    <w:name w:val="Intense Reference"/>
    <w:basedOn w:val="DefaultParagraphFont"/>
    <w:uiPriority w:val="32"/>
    <w:qFormat/>
    <w:rsid w:val="005756F9"/>
    <w:rPr>
      <w:b/>
      <w:bCs/>
      <w:smallCaps/>
      <w:color w:val="0F4761" w:themeColor="accent1" w:themeShade="BF"/>
      <w:spacing w:val="5"/>
    </w:rPr>
  </w:style>
  <w:style w:type="character" w:styleId="LineNumber">
    <w:name w:val="line number"/>
    <w:basedOn w:val="DefaultParagraphFont"/>
    <w:uiPriority w:val="99"/>
    <w:semiHidden/>
    <w:unhideWhenUsed/>
    <w:rsid w:val="005756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1205</Words>
  <Characters>7582</Characters>
  <Application>Microsoft Office Word</Application>
  <DocSecurity>0</DocSecurity>
  <Lines>148</Lines>
  <Paragraphs>54</Paragraphs>
  <ScaleCrop>false</ScaleCrop>
  <Company/>
  <LinksUpToDate>false</LinksUpToDate>
  <CharactersWithSpaces>8733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2026-03-24T07:28:00Z</dcterms:created>
  <dcterms:modified xsi:type="dcterms:W3CDTF">2026-03-24T07:28:00Z</dcterms:modified>
</cp:coreProperties>
</file>