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C6DB4" w14:textId="77777777" w:rsidR="00682748" w:rsidRDefault="00682748" w:rsidP="00682748">
      <w:pPr>
        <w:pStyle w:val="Heading1"/>
        <w:jc w:val="both"/>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Appendix</w:t>
      </w:r>
    </w:p>
    <w:p w14:paraId="4199784B" w14:textId="77777777" w:rsidR="00682748" w:rsidRDefault="00682748" w:rsidP="00682748">
      <w:pPr>
        <w:pStyle w:val="Heading2"/>
        <w:spacing w:before="0" w:after="0"/>
        <w:rPr>
          <w:rFonts w:ascii="Times New Roman" w:eastAsia="Times New Roman" w:hAnsi="Times New Roman" w:cs="Times New Roman"/>
        </w:rPr>
      </w:pPr>
      <w:bookmarkStart w:id="0" w:name="_jcc0ktzefvmi" w:colFirst="0" w:colLast="0"/>
      <w:bookmarkEnd w:id="0"/>
      <w:r>
        <w:rPr>
          <w:rFonts w:ascii="Times New Roman" w:eastAsia="Times New Roman" w:hAnsi="Times New Roman" w:cs="Times New Roman"/>
          <w:b/>
          <w:bCs/>
          <w:sz w:val="24"/>
          <w:szCs w:val="24"/>
        </w:rPr>
        <w:t>Model description</w:t>
      </w:r>
    </w:p>
    <w:p w14:paraId="37A8B049" w14:textId="77777777" w:rsidR="00682748" w:rsidRDefault="00682748" w:rsidP="00682748">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Interconnection capacities with neighboring countries are maintained at current levels as reported by Statnett, the Norwegian Transmission System Operator (TSO), due to absence of 2050 capacity projections </w:t>
      </w:r>
      <w:hyperlink r:id="rId4">
        <w:r>
          <w:rPr>
            <w:rFonts w:ascii="Times New Roman" w:eastAsia="Times New Roman" w:hAnsi="Times New Roman" w:cs="Times New Roman"/>
          </w:rPr>
          <w:t>[11]</w:t>
        </w:r>
      </w:hyperlink>
      <w:r>
        <w:rPr>
          <w:rFonts w:ascii="Times New Roman" w:eastAsia="Times New Roman" w:hAnsi="Times New Roman" w:cs="Times New Roman"/>
        </w:rPr>
        <w:t xml:space="preserve">. Cross-border interconnections are assumed to operate at one-quarter of their rated capacity based on historical utilization patterns </w:t>
      </w:r>
      <w:hyperlink r:id="rId5">
        <w:r>
          <w:rPr>
            <w:rFonts w:ascii="Times New Roman" w:eastAsia="Times New Roman" w:hAnsi="Times New Roman" w:cs="Times New Roman"/>
          </w:rPr>
          <w:t>[61]</w:t>
        </w:r>
      </w:hyperlink>
      <w:r>
        <w:rPr>
          <w:rFonts w:ascii="Times New Roman" w:eastAsia="Times New Roman" w:hAnsi="Times New Roman" w:cs="Times New Roman"/>
        </w:rPr>
        <w:t>. Internal transmission infrastructure between Norwegian regions can be expanded above current capacities to facilitate inter-regional balancing, with expansion costs included in the optimization.</w:t>
      </w:r>
    </w:p>
    <w:p w14:paraId="5D7FAE98" w14:textId="77777777" w:rsidR="00682748" w:rsidRDefault="00682748" w:rsidP="00682748">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Hydropower and pumped storage capacities are fixed at current levels based on Norwegian Water Resources and Energy Directorate (NVE) data, reflecting limited expansion potential and ecosystem protection priorities </w:t>
      </w:r>
      <w:hyperlink r:id="rId6">
        <w:r>
          <w:rPr>
            <w:rFonts w:ascii="Times New Roman" w:eastAsia="Times New Roman" w:hAnsi="Times New Roman" w:cs="Times New Roman"/>
          </w:rPr>
          <w:t>[58]</w:t>
        </w:r>
      </w:hyperlink>
      <w:r>
        <w:rPr>
          <w:rFonts w:ascii="Times New Roman" w:eastAsia="Times New Roman" w:hAnsi="Times New Roman" w:cs="Times New Roman"/>
        </w:rPr>
        <w:t xml:space="preserve">. The existing 5 GW of installed onshore wind capacity is excluded from the model, assuming full replacement by 2050 due to operational lifespan limits </w:t>
      </w:r>
      <w:hyperlink r:id="rId7">
        <w:r>
          <w:rPr>
            <w:rFonts w:ascii="Times New Roman" w:eastAsia="Times New Roman" w:hAnsi="Times New Roman" w:cs="Times New Roman"/>
          </w:rPr>
          <w:t>[26]</w:t>
        </w:r>
      </w:hyperlink>
      <w:r>
        <w:rPr>
          <w:rFonts w:ascii="Times New Roman" w:eastAsia="Times New Roman" w:hAnsi="Times New Roman" w:cs="Times New Roman"/>
        </w:rPr>
        <w:t xml:space="preserve">. This allows highRES to endogenously determine whether redevelopment at these sites is optimal under scenario-specific constraints; sites remain available if not excluded by scenario criteria in </w:t>
      </w:r>
      <w:r>
        <w:rPr>
          <w:rFonts w:ascii="Times New Roman" w:eastAsia="Times New Roman" w:hAnsi="Times New Roman" w:cs="Times New Roman"/>
          <w:b/>
          <w:bCs/>
        </w:rPr>
        <w:t>Table A1</w:t>
      </w:r>
      <w:r>
        <w:rPr>
          <w:rFonts w:ascii="Times New Roman" w:eastAsia="Times New Roman" w:hAnsi="Times New Roman" w:cs="Times New Roman"/>
        </w:rPr>
        <w:t xml:space="preserve">. Available land area for each technology is converted to capacity potential using assumed power densities in MW/km² </w:t>
      </w:r>
      <w:hyperlink r:id="rId8">
        <w:r>
          <w:rPr>
            <w:rFonts w:ascii="Times New Roman" w:eastAsia="Times New Roman" w:hAnsi="Times New Roman" w:cs="Times New Roman"/>
          </w:rPr>
          <w:t>[62]</w:t>
        </w:r>
      </w:hyperlink>
      <w:r>
        <w:rPr>
          <w:rFonts w:ascii="Times New Roman" w:eastAsia="Times New Roman" w:hAnsi="Times New Roman" w:cs="Times New Roman"/>
        </w:rPr>
        <w:t>.</w:t>
      </w:r>
    </w:p>
    <w:p w14:paraId="0659E167" w14:textId="77777777" w:rsidR="00682748" w:rsidRDefault="00682748" w:rsidP="00682748">
      <w:pPr>
        <w:spacing w:line="240" w:lineRule="auto"/>
        <w:jc w:val="both"/>
        <w:rPr>
          <w:rFonts w:ascii="Times New Roman" w:eastAsia="Times New Roman" w:hAnsi="Times New Roman" w:cs="Times New Roman"/>
        </w:rPr>
      </w:pPr>
    </w:p>
    <w:p w14:paraId="4128DA46" w14:textId="77777777" w:rsidR="00682748" w:rsidRDefault="00682748" w:rsidP="00682748">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Exclusions for solar PV and offshore wind remain consistent across all scenarios. For solar PV, excluded areas include terrain slopes exceeding 6.3°, elevations above 2000 m, all protected areas (IUCN categories Ia-V) based on WDPA </w:t>
      </w:r>
      <w:hyperlink r:id="rId9">
        <w:r>
          <w:rPr>
            <w:rFonts w:ascii="Times New Roman" w:eastAsia="Times New Roman" w:hAnsi="Times New Roman" w:cs="Times New Roman"/>
          </w:rPr>
          <w:t>[45]</w:t>
        </w:r>
      </w:hyperlink>
      <w:r>
        <w:rPr>
          <w:rFonts w:ascii="Times New Roman" w:eastAsia="Times New Roman" w:hAnsi="Times New Roman" w:cs="Times New Roman"/>
        </w:rPr>
        <w:t xml:space="preserve">, and different land cover types (forest, agriculture, physical infrastructures) according to Ref. </w:t>
      </w:r>
      <w:hyperlink r:id="rId10">
        <w:r>
          <w:rPr>
            <w:rFonts w:ascii="Times New Roman" w:eastAsia="Times New Roman" w:hAnsi="Times New Roman" w:cs="Times New Roman"/>
          </w:rPr>
          <w:t>[26,58,63]</w:t>
        </w:r>
      </w:hyperlink>
      <w:r>
        <w:rPr>
          <w:rFonts w:ascii="Times New Roman" w:eastAsia="Times New Roman" w:hAnsi="Times New Roman" w:cs="Times New Roman"/>
        </w:rPr>
        <w:t xml:space="preserve">. For offshore wind, excluded areas comprise protected marine zones and waters deeper than 70 m for bottom-mounted wind turbines. Onshore wind faces scenario-specific biodiversity and infrastructure exclusions detailed in </w:t>
      </w:r>
      <w:r>
        <w:rPr>
          <w:rFonts w:ascii="Times New Roman" w:eastAsia="Times New Roman" w:hAnsi="Times New Roman" w:cs="Times New Roman"/>
          <w:b/>
          <w:bCs/>
        </w:rPr>
        <w:t>Table A1</w:t>
      </w:r>
      <w:r>
        <w:rPr>
          <w:rFonts w:ascii="Times New Roman" w:eastAsia="Times New Roman" w:hAnsi="Times New Roman" w:cs="Times New Roman"/>
        </w:rPr>
        <w:t xml:space="preserve"> </w:t>
      </w:r>
      <w:r>
        <w:rPr>
          <w:rFonts w:ascii="Times New Roman" w:eastAsia="Times New Roman" w:hAnsi="Times New Roman" w:cs="Times New Roman"/>
          <w:b/>
          <w:bCs/>
        </w:rPr>
        <w:t>(Section 2.2)</w:t>
      </w:r>
      <w:r>
        <w:rPr>
          <w:rFonts w:ascii="Times New Roman" w:eastAsia="Times New Roman" w:hAnsi="Times New Roman" w:cs="Times New Roman"/>
        </w:rPr>
        <w:t>, supplemented by terrain slopes exceeding 15° and physical infrastructure buffers (military installations, airports, urban areas) applied uniformly across all scenarios.</w:t>
      </w:r>
    </w:p>
    <w:p w14:paraId="574A8F90" w14:textId="77777777" w:rsidR="00682748" w:rsidRDefault="00682748" w:rsidP="00682748">
      <w:pPr>
        <w:spacing w:line="240" w:lineRule="auto"/>
        <w:jc w:val="both"/>
        <w:rPr>
          <w:rFonts w:ascii="Times New Roman" w:eastAsia="Times New Roman" w:hAnsi="Times New Roman" w:cs="Times New Roman"/>
        </w:rPr>
      </w:pPr>
    </w:p>
    <w:p w14:paraId="627262E0" w14:textId="77777777" w:rsidR="00682748" w:rsidRDefault="00682748" w:rsidP="00682748">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Weather data for variable RE generation is processed using the </w:t>
      </w:r>
      <w:r>
        <w:rPr>
          <w:rFonts w:ascii="Times New Roman" w:eastAsia="Times New Roman" w:hAnsi="Times New Roman" w:cs="Times New Roman"/>
          <w:i/>
          <w:iCs/>
        </w:rPr>
        <w:t>‘atlite’</w:t>
      </w:r>
      <w:r>
        <w:rPr>
          <w:rFonts w:ascii="Times New Roman" w:eastAsia="Times New Roman" w:hAnsi="Times New Roman" w:cs="Times New Roman"/>
        </w:rPr>
        <w:t xml:space="preserve"> geospatial toolbox (version 0.2.13) </w:t>
      </w:r>
      <w:hyperlink r:id="rId11">
        <w:r>
          <w:rPr>
            <w:rFonts w:ascii="Times New Roman" w:eastAsia="Times New Roman" w:hAnsi="Times New Roman" w:cs="Times New Roman"/>
          </w:rPr>
          <w:t>[57]</w:t>
        </w:r>
      </w:hyperlink>
      <w:r>
        <w:rPr>
          <w:rFonts w:ascii="Times New Roman" w:eastAsia="Times New Roman" w:hAnsi="Times New Roman" w:cs="Times New Roman"/>
        </w:rPr>
        <w:t xml:space="preserve">, which converts ERA5 weather reanalysis into hourly capacity factor time series at 30 km × 30 km resolution </w:t>
      </w:r>
      <w:hyperlink r:id="rId12">
        <w:r>
          <w:rPr>
            <w:rFonts w:ascii="Times New Roman" w:eastAsia="Times New Roman" w:hAnsi="Times New Roman" w:cs="Times New Roman"/>
          </w:rPr>
          <w:t>[64]</w:t>
        </w:r>
      </w:hyperlink>
      <w:r>
        <w:rPr>
          <w:rFonts w:ascii="Times New Roman" w:eastAsia="Times New Roman" w:hAnsi="Times New Roman" w:cs="Times New Roman"/>
        </w:rPr>
        <w:t xml:space="preserve"> . We employ 2010 weather data due to its challenging conditions—characterized by exceptional cold and reduced precipitation—resulting in elevated electricity demand and diminished hydropower production, thereby stress-testing system adequacy under adverse meteorological conditions </w:t>
      </w:r>
      <w:hyperlink r:id="rId13">
        <w:r>
          <w:rPr>
            <w:rFonts w:ascii="Times New Roman" w:eastAsia="Times New Roman" w:hAnsi="Times New Roman" w:cs="Times New Roman"/>
          </w:rPr>
          <w:t>[65]</w:t>
        </w:r>
      </w:hyperlink>
      <w:r>
        <w:rPr>
          <w:rFonts w:ascii="Times New Roman" w:eastAsia="Times New Roman" w:hAnsi="Times New Roman" w:cs="Times New Roman"/>
        </w:rPr>
        <w:t xml:space="preserve">. To exclude poorly performing locations that would not be commercially viable, grid cells with average annual capacity factors below 0.09 (solar PV), 0.15 (onshore wind), and 0.20 (offshore wind) are removed from the available deployment area </w:t>
      </w:r>
      <w:hyperlink r:id="rId14">
        <w:r>
          <w:rPr>
            <w:rFonts w:ascii="Times New Roman" w:eastAsia="Times New Roman" w:hAnsi="Times New Roman" w:cs="Times New Roman"/>
          </w:rPr>
          <w:t>[26,58,63]</w:t>
        </w:r>
      </w:hyperlink>
      <w:r>
        <w:rPr>
          <w:rFonts w:ascii="Times New Roman" w:eastAsia="Times New Roman" w:hAnsi="Times New Roman" w:cs="Times New Roman"/>
        </w:rPr>
        <w:t xml:space="preserve">. The scenario-specific onshore wind availability rasters from </w:t>
      </w:r>
      <w:r>
        <w:rPr>
          <w:rFonts w:ascii="Times New Roman" w:eastAsia="Times New Roman" w:hAnsi="Times New Roman" w:cs="Times New Roman"/>
          <w:b/>
          <w:bCs/>
        </w:rPr>
        <w:t>Section 2.2</w:t>
      </w:r>
      <w:r>
        <w:rPr>
          <w:rFonts w:ascii="Times New Roman" w:eastAsia="Times New Roman" w:hAnsi="Times New Roman" w:cs="Times New Roman"/>
        </w:rPr>
        <w:t xml:space="preserve"> are integrated with these technical and meteorological constraints within atlite, which aggregates available capacity potential to the regional resolution.</w:t>
      </w:r>
    </w:p>
    <w:p w14:paraId="594803DD" w14:textId="77777777" w:rsidR="00682748" w:rsidRDefault="00682748" w:rsidP="00682748">
      <w:pPr>
        <w:spacing w:line="240" w:lineRule="auto"/>
        <w:jc w:val="both"/>
        <w:rPr>
          <w:rFonts w:ascii="Times New Roman" w:eastAsia="Times New Roman" w:hAnsi="Times New Roman" w:cs="Times New Roman"/>
        </w:rPr>
      </w:pPr>
    </w:p>
    <w:p w14:paraId="3AC922FB" w14:textId="77777777" w:rsidR="00682748" w:rsidRDefault="00682748" w:rsidP="00682748">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Electricity demand projections for 2050 are based on Statnett forecasts indicating maximum annual consumption of 260 TWh, distributed spatially across regions and temporally to hourly resolution using methods detailed in </w:t>
      </w:r>
      <w:hyperlink r:id="rId15">
        <w:r>
          <w:rPr>
            <w:rFonts w:ascii="Times New Roman" w:eastAsia="Times New Roman" w:hAnsi="Times New Roman" w:cs="Times New Roman"/>
          </w:rPr>
          <w:t>[26,58]</w:t>
        </w:r>
      </w:hyperlink>
      <w:r>
        <w:rPr>
          <w:rFonts w:ascii="Times New Roman" w:eastAsia="Times New Roman" w:hAnsi="Times New Roman" w:cs="Times New Roman"/>
        </w:rPr>
        <w:t xml:space="preserve">. A system-wide carbon emission constraint of 0 gCO₂/kWh enforces complete decarbonization of the electricity sector by 2050, precluding fossil fuel generation including carbon capture and storage technologies. Technology cost parameters (capital expenditures, fixed and variable operation and maintenance costs, lifetimes) are sourced from </w:t>
      </w:r>
      <w:hyperlink r:id="rId16">
        <w:r>
          <w:rPr>
            <w:rFonts w:ascii="Times New Roman" w:eastAsia="Times New Roman" w:hAnsi="Times New Roman" w:cs="Times New Roman"/>
          </w:rPr>
          <w:t>[26,58,63,66]</w:t>
        </w:r>
      </w:hyperlink>
      <w:r>
        <w:rPr>
          <w:rFonts w:ascii="Times New Roman" w:eastAsia="Times New Roman" w:hAnsi="Times New Roman" w:cs="Times New Roman"/>
        </w:rPr>
        <w:t>. While investment costs for existing infrastructure (hydropower, pumped storage, transmission) are excluded, fixed and variable operation and maintenance costs are included to accurately represent operational expenditures.</w:t>
      </w:r>
    </w:p>
    <w:p w14:paraId="514FCE06" w14:textId="77777777" w:rsidR="00682748" w:rsidRDefault="00682748" w:rsidP="00682748">
      <w:pPr>
        <w:spacing w:line="240" w:lineRule="auto"/>
        <w:jc w:val="both"/>
        <w:rPr>
          <w:rFonts w:ascii="Times New Roman" w:eastAsia="Times New Roman" w:hAnsi="Times New Roman" w:cs="Times New Roman"/>
        </w:rPr>
      </w:pPr>
    </w:p>
    <w:p w14:paraId="7D9FAA05" w14:textId="77777777" w:rsidR="00682748" w:rsidRDefault="00682748" w:rsidP="00682748">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The workflow management system Snakemake </w:t>
      </w:r>
      <w:hyperlink r:id="rId17">
        <w:r>
          <w:rPr>
            <w:rFonts w:ascii="Times New Roman" w:eastAsia="Times New Roman" w:hAnsi="Times New Roman" w:cs="Times New Roman"/>
          </w:rPr>
          <w:t>[67]</w:t>
        </w:r>
      </w:hyperlink>
      <w:r>
        <w:rPr>
          <w:rFonts w:ascii="Times New Roman" w:eastAsia="Times New Roman" w:hAnsi="Times New Roman" w:cs="Times New Roman"/>
        </w:rPr>
        <w:t xml:space="preserve"> automates data preparation, model execution, and output processing. The model is solved using the CPLEX optimization solver. Model formulation, input datasets, processing scripts, and instructions for replicating results are openly available in the associated GitHub repository.</w:t>
      </w:r>
    </w:p>
    <w:p w14:paraId="714A8CF5" w14:textId="77777777" w:rsidR="00682748" w:rsidRDefault="00682748" w:rsidP="00682748">
      <w:pPr>
        <w:rPr>
          <w:rFonts w:ascii="Times New Roman" w:eastAsia="Times New Roman" w:hAnsi="Times New Roman" w:cs="Times New Roman"/>
        </w:rPr>
      </w:pPr>
    </w:p>
    <w:p w14:paraId="540E78AE" w14:textId="77777777" w:rsidR="00682748" w:rsidRDefault="00682748" w:rsidP="00682748">
      <w:pPr>
        <w:shd w:val="clear" w:color="auto" w:fill="FFFFFF"/>
        <w:spacing w:after="160" w:line="216" w:lineRule="auto"/>
        <w:rPr>
          <w:rFonts w:ascii="Times New Roman" w:eastAsia="Times New Roman" w:hAnsi="Times New Roman" w:cs="Times New Roman"/>
        </w:rPr>
      </w:pPr>
      <w:r>
        <w:rPr>
          <w:rFonts w:ascii="Times New Roman" w:eastAsia="Times New Roman" w:hAnsi="Times New Roman" w:cs="Times New Roman"/>
        </w:rPr>
        <w:t>Table A1. Scenarios for balancing ecological and economic siting for wind farms.</w:t>
      </w:r>
    </w:p>
    <w:tbl>
      <w:tblPr>
        <w:tblW w:w="9555"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600" w:firstRow="0" w:lastRow="0" w:firstColumn="0" w:lastColumn="0" w:noHBand="1" w:noVBand="1"/>
      </w:tblPr>
      <w:tblGrid>
        <w:gridCol w:w="1801"/>
        <w:gridCol w:w="1320"/>
        <w:gridCol w:w="884"/>
        <w:gridCol w:w="1125"/>
        <w:gridCol w:w="1680"/>
        <w:gridCol w:w="1440"/>
        <w:gridCol w:w="1305"/>
      </w:tblGrid>
      <w:tr w:rsidR="00682748" w14:paraId="3A1B761C" w14:textId="77777777" w:rsidTr="00260B23">
        <w:trPr>
          <w:trHeight w:val="780"/>
          <w:tblHeader/>
        </w:trPr>
        <w:tc>
          <w:tcPr>
            <w:tcW w:w="18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A3897C8"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b/>
                <w:bCs/>
              </w:rPr>
              <w:lastRenderedPageBreak/>
              <w:t>Scenario</w:t>
            </w:r>
            <w:r>
              <w:rPr>
                <w:rFonts w:ascii="Times New Roman" w:eastAsia="Times New Roman" w:hAnsi="Times New Roman" w:cs="Times New Roman"/>
              </w:rPr>
              <w:t xml:space="preserve"> </w:t>
            </w:r>
          </w:p>
        </w:tc>
        <w:tc>
          <w:tcPr>
            <w:tcW w:w="13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823B50F"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b/>
                <w:bCs/>
              </w:rPr>
              <w:t>Development focus</w:t>
            </w:r>
            <w:r>
              <w:rPr>
                <w:rFonts w:ascii="Times New Roman" w:eastAsia="Times New Roman" w:hAnsi="Times New Roman" w:cs="Times New Roman"/>
              </w:rPr>
              <w:t xml:space="preserve"> </w:t>
            </w:r>
          </w:p>
        </w:tc>
        <w:tc>
          <w:tcPr>
            <w:tcW w:w="88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CE605C0"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b/>
                <w:bCs/>
              </w:rPr>
              <w:t>Siting strategy</w:t>
            </w:r>
            <w:r>
              <w:rPr>
                <w:rFonts w:ascii="Times New Roman" w:eastAsia="Times New Roman" w:hAnsi="Times New Roman" w:cs="Times New Roman"/>
              </w:rPr>
              <w:t xml:space="preserve"> </w:t>
            </w:r>
          </w:p>
        </w:tc>
        <w:tc>
          <w:tcPr>
            <w:tcW w:w="112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F774F9E"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b/>
                <w:bCs/>
              </w:rPr>
              <w:t>Costs</w:t>
            </w:r>
            <w:r>
              <w:rPr>
                <w:rFonts w:ascii="Times New Roman" w:eastAsia="Times New Roman" w:hAnsi="Times New Roman" w:cs="Times New Roman"/>
              </w:rPr>
              <w:t xml:space="preserve"> </w:t>
            </w:r>
          </w:p>
          <w:p w14:paraId="4F365B6E"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b/>
                <w:bCs/>
              </w:rPr>
              <w:t>(LCOE map)</w:t>
            </w:r>
            <w:r>
              <w:rPr>
                <w:rFonts w:ascii="Times New Roman" w:eastAsia="Times New Roman" w:hAnsi="Times New Roman" w:cs="Times New Roman"/>
              </w:rPr>
              <w:t xml:space="preserve"> </w:t>
            </w:r>
          </w:p>
        </w:tc>
        <w:tc>
          <w:tcPr>
            <w:tcW w:w="16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35E6EB0"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b/>
                <w:bCs/>
              </w:rPr>
              <w:t>Biodiversity (richness maps)</w:t>
            </w:r>
            <w:r>
              <w:rPr>
                <w:rFonts w:ascii="Times New Roman" w:eastAsia="Times New Roman" w:hAnsi="Times New Roman" w:cs="Times New Roman"/>
              </w:rPr>
              <w:t xml:space="preserve"> </w:t>
            </w:r>
          </w:p>
        </w:tc>
        <w:tc>
          <w:tcPr>
            <w:tcW w:w="14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8C94D14"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b/>
                <w:bCs/>
              </w:rPr>
              <w:t>Area footprint (infrastructure index map)</w:t>
            </w:r>
            <w:r>
              <w:rPr>
                <w:rFonts w:ascii="Times New Roman" w:eastAsia="Times New Roman" w:hAnsi="Times New Roman" w:cs="Times New Roman"/>
              </w:rPr>
              <w:t xml:space="preserve"> </w:t>
            </w:r>
          </w:p>
        </w:tc>
        <w:tc>
          <w:tcPr>
            <w:tcW w:w="1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D9EA48D" w14:textId="77777777" w:rsidR="00682748" w:rsidRDefault="00682748" w:rsidP="00260B23">
            <w:pPr>
              <w:spacing w:before="40" w:after="40" w:line="216" w:lineRule="auto"/>
              <w:ind w:left="-80"/>
              <w:jc w:val="center"/>
              <w:rPr>
                <w:rFonts w:ascii="Times New Roman" w:eastAsia="Times New Roman" w:hAnsi="Times New Roman" w:cs="Times New Roman"/>
                <w:b/>
                <w:bCs/>
              </w:rPr>
            </w:pPr>
            <w:r>
              <w:rPr>
                <w:rFonts w:ascii="Times New Roman" w:eastAsia="Times New Roman" w:hAnsi="Times New Roman" w:cs="Times New Roman"/>
                <w:b/>
                <w:bCs/>
              </w:rPr>
              <w:t>Protected areas/redlist species</w:t>
            </w:r>
          </w:p>
        </w:tc>
      </w:tr>
      <w:tr w:rsidR="00682748" w14:paraId="2414BCB4" w14:textId="77777777" w:rsidTr="00260B23">
        <w:trPr>
          <w:trHeight w:val="525"/>
        </w:trPr>
        <w:tc>
          <w:tcPr>
            <w:tcW w:w="18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A8EF58D"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Production maximization (</w:t>
            </w:r>
            <w:r>
              <w:rPr>
                <w:rFonts w:ascii="Times New Roman" w:eastAsia="Times New Roman" w:hAnsi="Times New Roman" w:cs="Times New Roman"/>
                <w:b/>
                <w:bCs/>
              </w:rPr>
              <w:t>PM</w:t>
            </w:r>
            <w:r>
              <w:rPr>
                <w:rFonts w:ascii="Times New Roman" w:eastAsia="Times New Roman" w:hAnsi="Times New Roman" w:cs="Times New Roman"/>
              </w:rPr>
              <w:t xml:space="preserve">) </w:t>
            </w:r>
          </w:p>
        </w:tc>
        <w:tc>
          <w:tcPr>
            <w:tcW w:w="13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96EF2D8"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Economy </w:t>
            </w:r>
          </w:p>
        </w:tc>
        <w:tc>
          <w:tcPr>
            <w:tcW w:w="88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0673364"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Share </w:t>
            </w:r>
          </w:p>
        </w:tc>
        <w:tc>
          <w:tcPr>
            <w:tcW w:w="112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22B64E2"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&lt; </w:t>
            </w:r>
          </w:p>
        </w:tc>
        <w:tc>
          <w:tcPr>
            <w:tcW w:w="16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5CA1EFA"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 </w:t>
            </w:r>
          </w:p>
        </w:tc>
        <w:tc>
          <w:tcPr>
            <w:tcW w:w="14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6130D73"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 </w:t>
            </w:r>
          </w:p>
        </w:tc>
        <w:tc>
          <w:tcPr>
            <w:tcW w:w="1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3F7CA33" w14:textId="77777777" w:rsidR="00682748" w:rsidRDefault="00682748" w:rsidP="00260B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Ib, II</w:t>
            </w:r>
          </w:p>
        </w:tc>
      </w:tr>
      <w:tr w:rsidR="00682748" w14:paraId="526DE7C6" w14:textId="77777777" w:rsidTr="00260B23">
        <w:trPr>
          <w:trHeight w:val="525"/>
        </w:trPr>
        <w:tc>
          <w:tcPr>
            <w:tcW w:w="18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A980561"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Production co-location (</w:t>
            </w:r>
            <w:r>
              <w:rPr>
                <w:rFonts w:ascii="Times New Roman" w:eastAsia="Times New Roman" w:hAnsi="Times New Roman" w:cs="Times New Roman"/>
                <w:b/>
                <w:bCs/>
              </w:rPr>
              <w:t>PC</w:t>
            </w:r>
            <w:r>
              <w:rPr>
                <w:rFonts w:ascii="Times New Roman" w:eastAsia="Times New Roman" w:hAnsi="Times New Roman" w:cs="Times New Roman"/>
              </w:rPr>
              <w:t>)</w:t>
            </w:r>
          </w:p>
        </w:tc>
        <w:tc>
          <w:tcPr>
            <w:tcW w:w="13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51338B9"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Economy </w:t>
            </w:r>
          </w:p>
        </w:tc>
        <w:tc>
          <w:tcPr>
            <w:tcW w:w="88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D73ECEC"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Spare </w:t>
            </w:r>
          </w:p>
        </w:tc>
        <w:tc>
          <w:tcPr>
            <w:tcW w:w="112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354D9CD"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&lt;</w:t>
            </w:r>
          </w:p>
        </w:tc>
        <w:tc>
          <w:tcPr>
            <w:tcW w:w="16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9344C90"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 </w:t>
            </w:r>
          </w:p>
        </w:tc>
        <w:tc>
          <w:tcPr>
            <w:tcW w:w="14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66A07E7"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&lt; 5 km from infrastructure </w:t>
            </w:r>
          </w:p>
        </w:tc>
        <w:tc>
          <w:tcPr>
            <w:tcW w:w="1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CBE0FB8" w14:textId="77777777" w:rsidR="00682748" w:rsidRDefault="00682748" w:rsidP="00260B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Ia, Ib, V</w:t>
            </w:r>
          </w:p>
        </w:tc>
      </w:tr>
      <w:tr w:rsidR="00682748" w14:paraId="3B385FC3" w14:textId="77777777" w:rsidTr="00260B23">
        <w:trPr>
          <w:trHeight w:val="780"/>
        </w:trPr>
        <w:tc>
          <w:tcPr>
            <w:tcW w:w="18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D61805A"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Collision sensitivity avoidance (</w:t>
            </w:r>
            <w:r>
              <w:rPr>
                <w:rFonts w:ascii="Times New Roman" w:eastAsia="Times New Roman" w:hAnsi="Times New Roman" w:cs="Times New Roman"/>
                <w:b/>
                <w:bCs/>
              </w:rPr>
              <w:t>CA</w:t>
            </w:r>
            <w:r>
              <w:rPr>
                <w:rFonts w:ascii="Times New Roman" w:eastAsia="Times New Roman" w:hAnsi="Times New Roman" w:cs="Times New Roman"/>
              </w:rPr>
              <w:t>)</w:t>
            </w:r>
          </w:p>
        </w:tc>
        <w:tc>
          <w:tcPr>
            <w:tcW w:w="13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085EC58"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Ecology </w:t>
            </w:r>
          </w:p>
        </w:tc>
        <w:tc>
          <w:tcPr>
            <w:tcW w:w="88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CC891CF"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Share </w:t>
            </w:r>
          </w:p>
        </w:tc>
        <w:tc>
          <w:tcPr>
            <w:tcW w:w="112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58E81A0"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 </w:t>
            </w:r>
          </w:p>
        </w:tc>
        <w:tc>
          <w:tcPr>
            <w:tcW w:w="16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70FAAC8"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&lt; [bats, raptors, gulls] - avoid classes 3-5</w:t>
            </w:r>
          </w:p>
        </w:tc>
        <w:tc>
          <w:tcPr>
            <w:tcW w:w="14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F17A012"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 </w:t>
            </w:r>
          </w:p>
        </w:tc>
        <w:tc>
          <w:tcPr>
            <w:tcW w:w="1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864B9CB" w14:textId="77777777" w:rsidR="00682748" w:rsidRDefault="00682748" w:rsidP="00260B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Ia, Ib, IV+redlist  </w:t>
            </w:r>
          </w:p>
        </w:tc>
      </w:tr>
      <w:tr w:rsidR="00682748" w14:paraId="52A1541E" w14:textId="77777777" w:rsidTr="00260B23">
        <w:trPr>
          <w:trHeight w:val="780"/>
        </w:trPr>
        <w:tc>
          <w:tcPr>
            <w:tcW w:w="18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CBE8C76"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Ecological footprint minimization (</w:t>
            </w:r>
            <w:r>
              <w:rPr>
                <w:rFonts w:ascii="Times New Roman" w:eastAsia="Times New Roman" w:hAnsi="Times New Roman" w:cs="Times New Roman"/>
                <w:b/>
                <w:bCs/>
              </w:rPr>
              <w:t>EF</w:t>
            </w:r>
            <w:r>
              <w:rPr>
                <w:rFonts w:ascii="Times New Roman" w:eastAsia="Times New Roman" w:hAnsi="Times New Roman" w:cs="Times New Roman"/>
              </w:rPr>
              <w:t xml:space="preserve">) </w:t>
            </w:r>
          </w:p>
        </w:tc>
        <w:tc>
          <w:tcPr>
            <w:tcW w:w="13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51F75CA"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Ecology </w:t>
            </w:r>
          </w:p>
        </w:tc>
        <w:tc>
          <w:tcPr>
            <w:tcW w:w="88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2F6A804"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Spare </w:t>
            </w:r>
          </w:p>
        </w:tc>
        <w:tc>
          <w:tcPr>
            <w:tcW w:w="112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B986EEE"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 </w:t>
            </w:r>
          </w:p>
        </w:tc>
        <w:tc>
          <w:tcPr>
            <w:tcW w:w="16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1E47342"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&lt; [all species]  - avoid classes 3-5</w:t>
            </w:r>
          </w:p>
        </w:tc>
        <w:tc>
          <w:tcPr>
            <w:tcW w:w="14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42679CC"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&lt; 1 km from infrastructure </w:t>
            </w:r>
          </w:p>
        </w:tc>
        <w:tc>
          <w:tcPr>
            <w:tcW w:w="1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31B8A9D" w14:textId="77777777" w:rsidR="00682748" w:rsidRDefault="00682748" w:rsidP="00260B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Ia, Ib, II, IV+redlist</w:t>
            </w:r>
          </w:p>
        </w:tc>
      </w:tr>
      <w:tr w:rsidR="00682748" w14:paraId="783C6B2A" w14:textId="77777777" w:rsidTr="00260B23">
        <w:trPr>
          <w:trHeight w:val="525"/>
        </w:trPr>
        <w:tc>
          <w:tcPr>
            <w:tcW w:w="18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224EDC0"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Sensitive development (</w:t>
            </w:r>
            <w:r>
              <w:rPr>
                <w:rFonts w:ascii="Times New Roman" w:eastAsia="Times New Roman" w:hAnsi="Times New Roman" w:cs="Times New Roman"/>
                <w:b/>
                <w:bCs/>
              </w:rPr>
              <w:t>SD</w:t>
            </w:r>
            <w:r>
              <w:rPr>
                <w:rFonts w:ascii="Times New Roman" w:eastAsia="Times New Roman" w:hAnsi="Times New Roman" w:cs="Times New Roman"/>
              </w:rPr>
              <w:t>)</w:t>
            </w:r>
          </w:p>
        </w:tc>
        <w:tc>
          <w:tcPr>
            <w:tcW w:w="13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DC1A9FB"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Balanced </w:t>
            </w:r>
          </w:p>
        </w:tc>
        <w:tc>
          <w:tcPr>
            <w:tcW w:w="88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9A2C3BE"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Share </w:t>
            </w:r>
          </w:p>
        </w:tc>
        <w:tc>
          <w:tcPr>
            <w:tcW w:w="112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43C4DC0"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&lt;</w:t>
            </w:r>
          </w:p>
        </w:tc>
        <w:tc>
          <w:tcPr>
            <w:tcW w:w="16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87FB729"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&lt; [bats, raptors, gulls]  - avoid classes 4-5</w:t>
            </w:r>
          </w:p>
        </w:tc>
        <w:tc>
          <w:tcPr>
            <w:tcW w:w="14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66A275D6"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 </w:t>
            </w:r>
          </w:p>
        </w:tc>
        <w:tc>
          <w:tcPr>
            <w:tcW w:w="1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18F79B3" w14:textId="77777777" w:rsidR="00682748" w:rsidRDefault="00682748" w:rsidP="00260B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Ia, Ib, IV+redlist</w:t>
            </w:r>
          </w:p>
        </w:tc>
      </w:tr>
      <w:tr w:rsidR="00682748" w14:paraId="71CE809D" w14:textId="77777777" w:rsidTr="00260B23">
        <w:trPr>
          <w:trHeight w:val="525"/>
        </w:trPr>
        <w:tc>
          <w:tcPr>
            <w:tcW w:w="18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0E831BB"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Sustainable co-location (</w:t>
            </w:r>
            <w:r>
              <w:rPr>
                <w:rFonts w:ascii="Times New Roman" w:eastAsia="Times New Roman" w:hAnsi="Times New Roman" w:cs="Times New Roman"/>
                <w:b/>
                <w:bCs/>
              </w:rPr>
              <w:t>SC</w:t>
            </w:r>
            <w:r>
              <w:rPr>
                <w:rFonts w:ascii="Times New Roman" w:eastAsia="Times New Roman" w:hAnsi="Times New Roman" w:cs="Times New Roman"/>
              </w:rPr>
              <w:t>)</w:t>
            </w:r>
          </w:p>
        </w:tc>
        <w:tc>
          <w:tcPr>
            <w:tcW w:w="13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6C8A189"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Balanced </w:t>
            </w:r>
          </w:p>
        </w:tc>
        <w:tc>
          <w:tcPr>
            <w:tcW w:w="88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9E9CCFF"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Spare </w:t>
            </w:r>
          </w:p>
        </w:tc>
        <w:tc>
          <w:tcPr>
            <w:tcW w:w="112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96A56BD"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&lt;</w:t>
            </w:r>
          </w:p>
        </w:tc>
        <w:tc>
          <w:tcPr>
            <w:tcW w:w="168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F8E4D21"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&lt; [all species]  - avoid classes 4-5</w:t>
            </w:r>
          </w:p>
        </w:tc>
        <w:tc>
          <w:tcPr>
            <w:tcW w:w="144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131B4DE"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&lt; 3 km from infrastructure </w:t>
            </w:r>
          </w:p>
        </w:tc>
        <w:tc>
          <w:tcPr>
            <w:tcW w:w="1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AF4863C" w14:textId="77777777" w:rsidR="00682748" w:rsidRDefault="00682748" w:rsidP="00260B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Ia, Ib + redlist</w:t>
            </w:r>
          </w:p>
        </w:tc>
      </w:tr>
      <w:tr w:rsidR="00682748" w14:paraId="0F1DF3A4" w14:textId="77777777" w:rsidTr="00260B23">
        <w:trPr>
          <w:trHeight w:val="525"/>
        </w:trPr>
        <w:tc>
          <w:tcPr>
            <w:tcW w:w="18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1A28F88E"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Sustainable development (</w:t>
            </w:r>
            <w:r>
              <w:rPr>
                <w:rFonts w:ascii="Times New Roman" w:eastAsia="Times New Roman" w:hAnsi="Times New Roman" w:cs="Times New Roman"/>
                <w:b/>
                <w:bCs/>
              </w:rPr>
              <w:t>SO1</w:t>
            </w:r>
            <w:r>
              <w:rPr>
                <w:rFonts w:ascii="Times New Roman" w:eastAsia="Times New Roman" w:hAnsi="Times New Roman" w:cs="Times New Roman"/>
              </w:rPr>
              <w:t>)</w:t>
            </w:r>
          </w:p>
        </w:tc>
        <w:tc>
          <w:tcPr>
            <w:tcW w:w="13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30D41A42"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Balanced </w:t>
            </w:r>
          </w:p>
        </w:tc>
        <w:tc>
          <w:tcPr>
            <w:tcW w:w="88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54001211"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Balanced</w:t>
            </w:r>
          </w:p>
        </w:tc>
        <w:tc>
          <w:tcPr>
            <w:tcW w:w="112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1C209F1"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&lt;</w:t>
            </w:r>
          </w:p>
        </w:tc>
        <w:tc>
          <w:tcPr>
            <w:tcW w:w="3120"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C042E61"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&lt; geometric mean[all species]+infrastructure </w:t>
            </w:r>
          </w:p>
          <w:p w14:paraId="3774122F"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&lt; avoid classes 3-5</w:t>
            </w:r>
          </w:p>
        </w:tc>
        <w:tc>
          <w:tcPr>
            <w:tcW w:w="1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AEA71D5" w14:textId="77777777" w:rsidR="00682748" w:rsidRDefault="00682748" w:rsidP="00260B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Ia, Ib + redlist</w:t>
            </w:r>
          </w:p>
        </w:tc>
      </w:tr>
      <w:tr w:rsidR="00682748" w14:paraId="3A23E0E1" w14:textId="77777777" w:rsidTr="00260B23">
        <w:trPr>
          <w:trHeight w:val="525"/>
        </w:trPr>
        <w:tc>
          <w:tcPr>
            <w:tcW w:w="180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B18866A"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Sustainable development (</w:t>
            </w:r>
            <w:r>
              <w:rPr>
                <w:rFonts w:ascii="Times New Roman" w:eastAsia="Times New Roman" w:hAnsi="Times New Roman" w:cs="Times New Roman"/>
                <w:b/>
                <w:bCs/>
              </w:rPr>
              <w:t>SO2</w:t>
            </w:r>
            <w:r>
              <w:rPr>
                <w:rFonts w:ascii="Times New Roman" w:eastAsia="Times New Roman" w:hAnsi="Times New Roman" w:cs="Times New Roman"/>
              </w:rPr>
              <w:t>)</w:t>
            </w:r>
          </w:p>
        </w:tc>
        <w:tc>
          <w:tcPr>
            <w:tcW w:w="1320"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46E94DF3"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Balanced </w:t>
            </w:r>
          </w:p>
        </w:tc>
        <w:tc>
          <w:tcPr>
            <w:tcW w:w="884"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F603B04"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Balanced</w:t>
            </w:r>
          </w:p>
        </w:tc>
        <w:tc>
          <w:tcPr>
            <w:tcW w:w="112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29C4FD31"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&lt;</w:t>
            </w:r>
          </w:p>
        </w:tc>
        <w:tc>
          <w:tcPr>
            <w:tcW w:w="3120"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05321AA5"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 xml:space="preserve">&lt; geometric mean[all species]+infrastructure </w:t>
            </w:r>
          </w:p>
          <w:p w14:paraId="6E34D73F" w14:textId="77777777" w:rsidR="00682748" w:rsidRDefault="00682748" w:rsidP="00260B23">
            <w:pPr>
              <w:spacing w:before="40" w:after="40" w:line="216" w:lineRule="auto"/>
              <w:ind w:left="-80"/>
              <w:jc w:val="center"/>
              <w:rPr>
                <w:rFonts w:ascii="Times New Roman" w:eastAsia="Times New Roman" w:hAnsi="Times New Roman" w:cs="Times New Roman"/>
              </w:rPr>
            </w:pPr>
            <w:r>
              <w:rPr>
                <w:rFonts w:ascii="Times New Roman" w:eastAsia="Times New Roman" w:hAnsi="Times New Roman" w:cs="Times New Roman"/>
              </w:rPr>
              <w:t>&lt; avoid classes 4-5</w:t>
            </w:r>
          </w:p>
        </w:tc>
        <w:tc>
          <w:tcPr>
            <w:tcW w:w="1305" w:type="dxa"/>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tcPr>
          <w:p w14:paraId="7C328BA3" w14:textId="77777777" w:rsidR="00682748" w:rsidRDefault="00682748" w:rsidP="00260B23">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Ia, Ib + redlist</w:t>
            </w:r>
          </w:p>
        </w:tc>
      </w:tr>
    </w:tbl>
    <w:p w14:paraId="0D76EA8A" w14:textId="77777777" w:rsidR="00682748" w:rsidRDefault="00682748" w:rsidP="00682748">
      <w:pPr>
        <w:shd w:val="clear" w:color="auto" w:fill="FFFFFF"/>
        <w:spacing w:after="160" w:line="216" w:lineRule="auto"/>
        <w:rPr>
          <w:rFonts w:ascii="Times New Roman" w:eastAsia="Times New Roman" w:hAnsi="Times New Roman" w:cs="Times New Roman"/>
        </w:rPr>
      </w:pPr>
    </w:p>
    <w:p w14:paraId="26105899" w14:textId="77777777" w:rsidR="00682748" w:rsidRDefault="00682748" w:rsidP="00682748">
      <w:pP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6BA309AF" wp14:editId="68B779AE">
            <wp:extent cx="5943600" cy="2971800"/>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8"/>
                    <a:srcRect/>
                    <a:stretch>
                      <a:fillRect/>
                    </a:stretch>
                  </pic:blipFill>
                  <pic:spPr>
                    <a:xfrm>
                      <a:off x="0" y="0"/>
                      <a:ext cx="5943600" cy="2971800"/>
                    </a:xfrm>
                    <a:prstGeom prst="rect">
                      <a:avLst/>
                    </a:prstGeom>
                    <a:ln/>
                  </pic:spPr>
                </pic:pic>
              </a:graphicData>
            </a:graphic>
          </wp:inline>
        </w:drawing>
      </w:r>
    </w:p>
    <w:p w14:paraId="5C239C5A" w14:textId="77777777" w:rsidR="00682748" w:rsidRDefault="00682748" w:rsidP="00682748">
      <w:pPr>
        <w:rPr>
          <w:rFonts w:ascii="Times New Roman" w:eastAsia="Times New Roman" w:hAnsi="Times New Roman" w:cs="Times New Roman"/>
        </w:rPr>
      </w:pPr>
    </w:p>
    <w:p w14:paraId="5D32206E" w14:textId="77777777" w:rsidR="00682748" w:rsidRDefault="00682748" w:rsidP="00682748">
      <w:pPr>
        <w:rPr>
          <w:rFonts w:ascii="Times New Roman" w:eastAsia="Times New Roman" w:hAnsi="Times New Roman" w:cs="Times New Roman"/>
        </w:rPr>
      </w:pPr>
    </w:p>
    <w:p w14:paraId="6712FFD7" w14:textId="77777777" w:rsidR="00682748" w:rsidRDefault="00682748" w:rsidP="00682748">
      <w:pPr>
        <w:jc w:val="both"/>
        <w:rPr>
          <w:rFonts w:ascii="Times New Roman" w:eastAsia="Times New Roman" w:hAnsi="Times New Roman" w:cs="Times New Roman"/>
        </w:rPr>
      </w:pPr>
      <w:r>
        <w:rPr>
          <w:rFonts w:ascii="Times New Roman" w:eastAsia="Times New Roman" w:hAnsi="Times New Roman" w:cs="Times New Roman"/>
          <w:b/>
          <w:bCs/>
        </w:rPr>
        <w:t>Fig. A1</w:t>
      </w:r>
      <w:r>
        <w:rPr>
          <w:rFonts w:ascii="Times New Roman" w:eastAsia="Times New Roman" w:hAnsi="Times New Roman" w:cs="Times New Roman"/>
        </w:rPr>
        <w:t xml:space="preserve"> </w:t>
      </w:r>
      <w:r>
        <w:rPr>
          <w:rFonts w:ascii="Times New Roman" w:eastAsia="Times New Roman" w:hAnsi="Times New Roman" w:cs="Times New Roman"/>
          <w:b/>
          <w:bCs/>
        </w:rPr>
        <w:t>Impact of ecological restrictions and proximity to infrastructure criteria.</w:t>
      </w:r>
      <w:r>
        <w:rPr>
          <w:rFonts w:ascii="Times New Roman" w:eastAsia="Times New Roman" w:hAnsi="Times New Roman" w:cs="Times New Roman"/>
        </w:rPr>
        <w:t xml:space="preserve"> </w:t>
      </w:r>
      <w:r>
        <w:rPr>
          <w:rFonts w:ascii="Times New Roman" w:eastAsia="Times New Roman" w:hAnsi="Times New Roman" w:cs="Times New Roman"/>
          <w:b/>
          <w:bCs/>
        </w:rPr>
        <w:t>(a)</w:t>
      </w:r>
      <w:r>
        <w:rPr>
          <w:rFonts w:ascii="Times New Roman" w:eastAsia="Times New Roman" w:hAnsi="Times New Roman" w:cs="Times New Roman"/>
        </w:rPr>
        <w:t xml:space="preserve"> Spatial distribution of areas available for onshore wind development under each scenario, shown in green. Scenario names include the percentage of total Norwegian land area available and total capacity potential in GW. </w:t>
      </w:r>
      <w:r>
        <w:rPr>
          <w:rFonts w:ascii="Times New Roman" w:eastAsia="Times New Roman" w:hAnsi="Times New Roman" w:cs="Times New Roman"/>
          <w:b/>
          <w:bCs/>
        </w:rPr>
        <w:t>(b)</w:t>
      </w:r>
      <w:r>
        <w:rPr>
          <w:rFonts w:ascii="Times New Roman" w:eastAsia="Times New Roman" w:hAnsi="Times New Roman" w:cs="Times New Roman"/>
        </w:rPr>
        <w:t xml:space="preserve"> Supply curves showing cumulative onshore wind generation potential as a function of levelized cost of electricity (LCOE) for each scenario, with each step corresponding to a region. Vertical red dashed lines indicate total projected increase in Norwegian electricity demand by 2050 </w:t>
      </w:r>
      <w:hyperlink r:id="rId19">
        <w:r>
          <w:rPr>
            <w:rFonts w:ascii="Times New Roman" w:eastAsia="Times New Roman" w:hAnsi="Times New Roman" w:cs="Times New Roman"/>
          </w:rPr>
          <w:t>[11]</w:t>
        </w:r>
      </w:hyperlink>
      <w:r>
        <w:rPr>
          <w:rFonts w:ascii="Times New Roman" w:eastAsia="Times New Roman" w:hAnsi="Times New Roman" w:cs="Times New Roman"/>
        </w:rPr>
        <w:t xml:space="preserve">, and the filled grey area shows onshore wind electricity generation in Norway in 2024. </w:t>
      </w:r>
      <w:r>
        <w:rPr>
          <w:rFonts w:ascii="Times New Roman" w:eastAsia="Times New Roman" w:hAnsi="Times New Roman" w:cs="Times New Roman"/>
          <w:b/>
          <w:bCs/>
        </w:rPr>
        <w:t>(c)</w:t>
      </w:r>
      <w:r>
        <w:rPr>
          <w:rFonts w:ascii="Times New Roman" w:eastAsia="Times New Roman" w:hAnsi="Times New Roman" w:cs="Times New Roman"/>
        </w:rPr>
        <w:t xml:space="preserve"> Regional heatmap showing percentage change in mean onshore wind capacity factor relative to PM baseline scenario. Green cells indicate restrictions improve mean wind quality, while red cells indicate degradation. County names with green generally experience a mean increase in capacity factors, while counties named with red exhibit a decline (Related to Fig. 1). </w:t>
      </w:r>
    </w:p>
    <w:p w14:paraId="5EEDB9D0" w14:textId="77777777" w:rsidR="00682748" w:rsidRDefault="00682748" w:rsidP="00682748">
      <w:pPr>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61C3F2D5" wp14:editId="3547C16D">
            <wp:extent cx="3291568" cy="2692177"/>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0"/>
                    <a:srcRect/>
                    <a:stretch>
                      <a:fillRect/>
                    </a:stretch>
                  </pic:blipFill>
                  <pic:spPr>
                    <a:xfrm>
                      <a:off x="0" y="0"/>
                      <a:ext cx="3291568" cy="2692177"/>
                    </a:xfrm>
                    <a:prstGeom prst="rect">
                      <a:avLst/>
                    </a:prstGeom>
                    <a:ln/>
                  </pic:spPr>
                </pic:pic>
              </a:graphicData>
            </a:graphic>
          </wp:inline>
        </w:drawing>
      </w:r>
    </w:p>
    <w:p w14:paraId="60FE512E" w14:textId="77777777" w:rsidR="00682748" w:rsidRDefault="00682748" w:rsidP="00682748">
      <w:pPr>
        <w:jc w:val="both"/>
        <w:rPr>
          <w:rFonts w:ascii="Times New Roman" w:eastAsia="Times New Roman" w:hAnsi="Times New Roman" w:cs="Times New Roman"/>
        </w:rPr>
      </w:pPr>
      <w:r>
        <w:rPr>
          <w:rFonts w:ascii="Times New Roman" w:eastAsia="Times New Roman" w:hAnsi="Times New Roman" w:cs="Times New Roman"/>
          <w:b/>
          <w:bCs/>
        </w:rPr>
        <w:t>Fig. A2 Total installed generation capacity</w:t>
      </w:r>
      <w:r>
        <w:rPr>
          <w:rFonts w:ascii="Times New Roman" w:eastAsia="Times New Roman" w:hAnsi="Times New Roman" w:cs="Times New Roman"/>
        </w:rPr>
        <w:t>.</w:t>
      </w:r>
      <w:r>
        <w:rPr>
          <w:rFonts w:ascii="Times New Roman" w:eastAsia="Times New Roman" w:hAnsi="Times New Roman" w:cs="Times New Roman"/>
          <w:b/>
          <w:bCs/>
        </w:rPr>
        <w:t xml:space="preserve"> </w:t>
      </w:r>
      <w:r>
        <w:rPr>
          <w:rFonts w:ascii="Times New Roman" w:eastAsia="Times New Roman" w:hAnsi="Times New Roman" w:cs="Times New Roman"/>
        </w:rPr>
        <w:t>The</w:t>
      </w:r>
      <w:r>
        <w:rPr>
          <w:rFonts w:ascii="Times New Roman" w:eastAsia="Times New Roman" w:hAnsi="Times New Roman" w:cs="Times New Roman"/>
          <w:b/>
          <w:bCs/>
        </w:rPr>
        <w:t xml:space="preserve"> </w:t>
      </w:r>
      <w:r>
        <w:rPr>
          <w:rFonts w:ascii="Times New Roman" w:eastAsia="Times New Roman" w:hAnsi="Times New Roman" w:cs="Times New Roman"/>
        </w:rPr>
        <w:t xml:space="preserve">left panel shows fixed transmission configuration; the right panel shows expandable transmission configuration. Stacked bars represent technology-specific capacity contributions. Solar capacity ranges between 37-45 GW across scenarios, while onshore wind exhibits the large variabilities (15-38 GW), directly responding to ecological restrictions. Hydropower capacity (not shown) remains fixed at current levels across all scenarios (Related to Fig. 4). </w:t>
      </w:r>
    </w:p>
    <w:p w14:paraId="177D2BC7" w14:textId="77777777" w:rsidR="00682748" w:rsidRDefault="00682748" w:rsidP="00682748">
      <w:pPr>
        <w:rPr>
          <w:rFonts w:ascii="Times New Roman" w:eastAsia="Times New Roman" w:hAnsi="Times New Roman" w:cs="Times New Roman"/>
        </w:rPr>
      </w:pPr>
      <w:r>
        <w:rPr>
          <w:rFonts w:ascii="Times New Roman" w:eastAsia="Times New Roman" w:hAnsi="Times New Roman" w:cs="Times New Roman"/>
        </w:rPr>
        <w:t xml:space="preserve"> </w:t>
      </w:r>
    </w:p>
    <w:p w14:paraId="38053182" w14:textId="77777777" w:rsidR="00682748" w:rsidRDefault="00682748" w:rsidP="00682748">
      <w:pPr>
        <w:rPr>
          <w:rFonts w:ascii="Times New Roman" w:eastAsia="Times New Roman" w:hAnsi="Times New Roman" w:cs="Times New Roman"/>
        </w:rPr>
      </w:pPr>
    </w:p>
    <w:p w14:paraId="3A491541" w14:textId="77777777" w:rsidR="00682748" w:rsidRDefault="00682748" w:rsidP="00682748">
      <w:pPr>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1CD44998" wp14:editId="1717FB47">
            <wp:extent cx="3480027" cy="2880335"/>
            <wp:effectExtent l="0" t="0" r="0" b="0"/>
            <wp:docPr id="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21"/>
                    <a:srcRect/>
                    <a:stretch>
                      <a:fillRect/>
                    </a:stretch>
                  </pic:blipFill>
                  <pic:spPr>
                    <a:xfrm>
                      <a:off x="0" y="0"/>
                      <a:ext cx="3480027" cy="2880335"/>
                    </a:xfrm>
                    <a:prstGeom prst="rect">
                      <a:avLst/>
                    </a:prstGeom>
                    <a:ln/>
                  </pic:spPr>
                </pic:pic>
              </a:graphicData>
            </a:graphic>
          </wp:inline>
        </w:drawing>
      </w:r>
    </w:p>
    <w:p w14:paraId="20C12DF7" w14:textId="77777777" w:rsidR="00682748" w:rsidRDefault="00682748" w:rsidP="00682748">
      <w:pPr>
        <w:jc w:val="both"/>
        <w:rPr>
          <w:rFonts w:ascii="Times New Roman" w:eastAsia="Times New Roman" w:hAnsi="Times New Roman" w:cs="Times New Roman"/>
        </w:rPr>
      </w:pPr>
      <w:r>
        <w:rPr>
          <w:rFonts w:ascii="Times New Roman" w:eastAsia="Times New Roman" w:hAnsi="Times New Roman" w:cs="Times New Roman"/>
          <w:b/>
          <w:bCs/>
        </w:rPr>
        <w:t>Fig. A3 Storage capacity deployment and transmission expansion across scenarios.</w:t>
      </w:r>
      <w:r>
        <w:rPr>
          <w:rFonts w:ascii="Times New Roman" w:eastAsia="Times New Roman" w:hAnsi="Times New Roman" w:cs="Times New Roman"/>
        </w:rPr>
        <w:t xml:space="preserve"> Bars show total installed storage capacity (left y-axis, GWh). Solid line indicates optimal total transmission capacity for expandable transmission scenarios while dashed line represents existing transmission. The figure </w:t>
      </w:r>
      <w:r>
        <w:rPr>
          <w:rFonts w:ascii="Times New Roman" w:eastAsia="Times New Roman" w:hAnsi="Times New Roman" w:cs="Times New Roman"/>
        </w:rPr>
        <w:lastRenderedPageBreak/>
        <w:t>illustrates how spare-share siting frameworks alter the economics of spatial versus temporal balancing (Related to Fig. 4).</w:t>
      </w:r>
    </w:p>
    <w:p w14:paraId="2E0D1DEB" w14:textId="77777777" w:rsidR="00682748" w:rsidRDefault="00682748" w:rsidP="00682748">
      <w:pPr>
        <w:rPr>
          <w:rFonts w:ascii="Times New Roman" w:eastAsia="Times New Roman" w:hAnsi="Times New Roman" w:cs="Times New Roman"/>
        </w:rPr>
      </w:pPr>
    </w:p>
    <w:p w14:paraId="48419B42" w14:textId="77777777" w:rsidR="00682748" w:rsidRDefault="00682748" w:rsidP="00682748">
      <w:pP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0E0F88F8" wp14:editId="05065216">
            <wp:extent cx="5943600" cy="3187700"/>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2"/>
                    <a:srcRect/>
                    <a:stretch>
                      <a:fillRect/>
                    </a:stretch>
                  </pic:blipFill>
                  <pic:spPr>
                    <a:xfrm>
                      <a:off x="0" y="0"/>
                      <a:ext cx="5943600" cy="3187700"/>
                    </a:xfrm>
                    <a:prstGeom prst="rect">
                      <a:avLst/>
                    </a:prstGeom>
                    <a:ln/>
                  </pic:spPr>
                </pic:pic>
              </a:graphicData>
            </a:graphic>
          </wp:inline>
        </w:drawing>
      </w:r>
    </w:p>
    <w:p w14:paraId="17EE197B" w14:textId="77777777" w:rsidR="00682748" w:rsidRDefault="00682748" w:rsidP="00682748">
      <w:pPr>
        <w:jc w:val="both"/>
        <w:rPr>
          <w:rFonts w:ascii="Times New Roman" w:eastAsia="Times New Roman" w:hAnsi="Times New Roman" w:cs="Times New Roman"/>
        </w:rPr>
      </w:pPr>
      <w:r>
        <w:rPr>
          <w:rFonts w:ascii="Times New Roman" w:eastAsia="Times New Roman" w:hAnsi="Times New Roman" w:cs="Times New Roman"/>
          <w:b/>
          <w:bCs/>
        </w:rPr>
        <w:t>Fig. A4 Regional distribution of new storage capacity deployment.</w:t>
      </w:r>
      <w:r>
        <w:rPr>
          <w:rFonts w:ascii="Times New Roman" w:eastAsia="Times New Roman" w:hAnsi="Times New Roman" w:cs="Times New Roman"/>
        </w:rPr>
        <w:t xml:space="preserve"> </w:t>
      </w:r>
      <w:r>
        <w:rPr>
          <w:rFonts w:ascii="Times New Roman" w:eastAsia="Times New Roman" w:hAnsi="Times New Roman" w:cs="Times New Roman"/>
          <w:b/>
          <w:bCs/>
        </w:rPr>
        <w:t>(a)</w:t>
      </w:r>
      <w:r>
        <w:rPr>
          <w:rFonts w:ascii="Times New Roman" w:eastAsia="Times New Roman" w:hAnsi="Times New Roman" w:cs="Times New Roman"/>
        </w:rPr>
        <w:t xml:space="preserve"> Fixed </w:t>
      </w:r>
      <w:r>
        <w:rPr>
          <w:rFonts w:ascii="Times New Roman" w:eastAsia="Times New Roman" w:hAnsi="Times New Roman" w:cs="Times New Roman"/>
          <w:b/>
          <w:bCs/>
        </w:rPr>
        <w:t>(b)</w:t>
      </w:r>
      <w:r>
        <w:rPr>
          <w:rFonts w:ascii="Times New Roman" w:eastAsia="Times New Roman" w:hAnsi="Times New Roman" w:cs="Times New Roman"/>
        </w:rPr>
        <w:t xml:space="preserve"> Expandable transmission. Circle sizes represent installed storage capacity with color bars indicating existing hydropower storage availability (TWh) in each county. Western regions deploy negligible new storage across all scenarios due to existing hydropower storage capacity. Northern regions remain with minimum new storage capacity, relying instead on transmission to southern demand centers (Related to Fig. 5).</w:t>
      </w:r>
    </w:p>
    <w:p w14:paraId="245449BE" w14:textId="77777777" w:rsidR="00682748" w:rsidRDefault="00682748" w:rsidP="00682748">
      <w:pPr>
        <w:rPr>
          <w:rFonts w:ascii="Times New Roman" w:eastAsia="Times New Roman" w:hAnsi="Times New Roman" w:cs="Times New Roman"/>
        </w:rPr>
      </w:pPr>
    </w:p>
    <w:p w14:paraId="509DD17E" w14:textId="77777777" w:rsidR="00682748" w:rsidRDefault="00682748" w:rsidP="00682748">
      <w:pPr>
        <w:jc w:val="cente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5E87CE1D" wp14:editId="1AFB0A40">
            <wp:extent cx="3828370" cy="2993412"/>
            <wp:effectExtent l="0" t="0" r="0" b="0"/>
            <wp:docPr id="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3"/>
                    <a:srcRect/>
                    <a:stretch>
                      <a:fillRect/>
                    </a:stretch>
                  </pic:blipFill>
                  <pic:spPr>
                    <a:xfrm>
                      <a:off x="0" y="0"/>
                      <a:ext cx="3828370" cy="2993412"/>
                    </a:xfrm>
                    <a:prstGeom prst="rect">
                      <a:avLst/>
                    </a:prstGeom>
                    <a:ln/>
                  </pic:spPr>
                </pic:pic>
              </a:graphicData>
            </a:graphic>
          </wp:inline>
        </w:drawing>
      </w:r>
    </w:p>
    <w:p w14:paraId="517AB5F3" w14:textId="77777777" w:rsidR="00682748" w:rsidRDefault="00682748" w:rsidP="00682748">
      <w:pPr>
        <w:jc w:val="both"/>
        <w:rPr>
          <w:rFonts w:ascii="Times New Roman" w:eastAsia="Times New Roman" w:hAnsi="Times New Roman" w:cs="Times New Roman"/>
          <w:b/>
          <w:bCs/>
        </w:rPr>
      </w:pPr>
      <w:r>
        <w:rPr>
          <w:rFonts w:ascii="Times New Roman" w:eastAsia="Times New Roman" w:hAnsi="Times New Roman" w:cs="Times New Roman"/>
          <w:b/>
          <w:bCs/>
        </w:rPr>
        <w:t>Fig. A5 Economic opportunity cost and system efficiency for offshore wind.</w:t>
      </w:r>
      <w:r>
        <w:rPr>
          <w:rFonts w:ascii="Times New Roman" w:eastAsia="Times New Roman" w:hAnsi="Times New Roman" w:cs="Times New Roman"/>
        </w:rPr>
        <w:t xml:space="preserve"> </w:t>
      </w:r>
      <w:r>
        <w:rPr>
          <w:rFonts w:ascii="Times New Roman" w:eastAsia="Times New Roman" w:hAnsi="Times New Roman" w:cs="Times New Roman"/>
          <w:b/>
          <w:bCs/>
        </w:rPr>
        <w:t>(a)</w:t>
      </w:r>
      <w:r>
        <w:rPr>
          <w:rFonts w:ascii="Times New Roman" w:eastAsia="Times New Roman" w:hAnsi="Times New Roman" w:cs="Times New Roman"/>
        </w:rPr>
        <w:t xml:space="preserve"> Fixed </w:t>
      </w:r>
      <w:r>
        <w:rPr>
          <w:rFonts w:ascii="Times New Roman" w:eastAsia="Times New Roman" w:hAnsi="Times New Roman" w:cs="Times New Roman"/>
          <w:b/>
          <w:bCs/>
        </w:rPr>
        <w:t>(b)</w:t>
      </w:r>
      <w:r>
        <w:rPr>
          <w:rFonts w:ascii="Times New Roman" w:eastAsia="Times New Roman" w:hAnsi="Times New Roman" w:cs="Times New Roman"/>
        </w:rPr>
        <w:t xml:space="preserve"> expandable transmission showing the relationship between economic opportunity cost (million NOK/GW, x-axis) and unused available offshore capacity (GW, y-axis). Circle size represents curtailment rate (TWh/GW). Economic opportunity cost represents the marginal economic value for </w:t>
      </w:r>
      <w:r>
        <w:rPr>
          <w:rFonts w:ascii="Times New Roman" w:eastAsia="Times New Roman" w:hAnsi="Times New Roman" w:cs="Times New Roman"/>
        </w:rPr>
        <w:lastRenderedPageBreak/>
        <w:t>offshore wind of relaxing land-based area constraints at the current optimum. Green and red dashed lines indicate median value (Related to Fig. 5).</w:t>
      </w:r>
    </w:p>
    <w:p w14:paraId="2A6E3611"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748"/>
    <w:rsid w:val="002C7D54"/>
    <w:rsid w:val="0033371E"/>
    <w:rsid w:val="005C0D39"/>
    <w:rsid w:val="00682748"/>
    <w:rsid w:val="0070406C"/>
    <w:rsid w:val="00724754"/>
    <w:rsid w:val="008F48C7"/>
    <w:rsid w:val="00C321FA"/>
    <w:rsid w:val="00C97210"/>
    <w:rsid w:val="00EB4A2D"/>
    <w:rsid w:val="00EE513F"/>
    <w:rsid w:val="00FC50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EB07D"/>
  <w15:chartTrackingRefBased/>
  <w15:docId w15:val="{C96FCBAE-E70B-46F4-83D9-45433D3AE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2748"/>
    <w:pPr>
      <w:spacing w:after="0" w:line="276" w:lineRule="auto"/>
    </w:pPr>
    <w:rPr>
      <w:rFonts w:ascii="Arial" w:eastAsia="Arial" w:hAnsi="Arial" w:cs="Arial"/>
      <w:kern w:val="0"/>
      <w:sz w:val="22"/>
      <w:szCs w:val="22"/>
      <w:lang w:val="en" w:eastAsia="en-IN"/>
      <w14:ligatures w14:val="none"/>
    </w:rPr>
  </w:style>
  <w:style w:type="paragraph" w:styleId="Heading1">
    <w:name w:val="heading 1"/>
    <w:basedOn w:val="Normal"/>
    <w:next w:val="Normal"/>
    <w:link w:val="Heading1Char"/>
    <w:uiPriority w:val="9"/>
    <w:qFormat/>
    <w:rsid w:val="0068274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unhideWhenUsed/>
    <w:qFormat/>
    <w:rsid w:val="0068274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68274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682748"/>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682748"/>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682748"/>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682748"/>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682748"/>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682748"/>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7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827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27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27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27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27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27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27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2748"/>
    <w:rPr>
      <w:rFonts w:eastAsiaTheme="majorEastAsia" w:cstheme="majorBidi"/>
      <w:color w:val="272727" w:themeColor="text1" w:themeTint="D8"/>
    </w:rPr>
  </w:style>
  <w:style w:type="paragraph" w:styleId="Title">
    <w:name w:val="Title"/>
    <w:basedOn w:val="Normal"/>
    <w:next w:val="Normal"/>
    <w:link w:val="TitleChar"/>
    <w:uiPriority w:val="10"/>
    <w:qFormat/>
    <w:rsid w:val="00682748"/>
    <w:pPr>
      <w:spacing w:after="80" w:line="240" w:lineRule="auto"/>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6827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274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6827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2748"/>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eastAsia="en-US"/>
      <w14:ligatures w14:val="standardContextual"/>
    </w:rPr>
  </w:style>
  <w:style w:type="character" w:customStyle="1" w:styleId="QuoteChar">
    <w:name w:val="Quote Char"/>
    <w:basedOn w:val="DefaultParagraphFont"/>
    <w:link w:val="Quote"/>
    <w:uiPriority w:val="29"/>
    <w:rsid w:val="00682748"/>
    <w:rPr>
      <w:i/>
      <w:iCs/>
      <w:color w:val="404040" w:themeColor="text1" w:themeTint="BF"/>
    </w:rPr>
  </w:style>
  <w:style w:type="paragraph" w:styleId="ListParagraph">
    <w:name w:val="List Paragraph"/>
    <w:basedOn w:val="Normal"/>
    <w:uiPriority w:val="34"/>
    <w:qFormat/>
    <w:rsid w:val="00682748"/>
    <w:pPr>
      <w:spacing w:after="160" w:line="278" w:lineRule="auto"/>
      <w:ind w:left="720"/>
      <w:contextualSpacing/>
    </w:pPr>
    <w:rPr>
      <w:rFonts w:asciiTheme="minorHAnsi" w:eastAsiaTheme="minorHAnsi" w:hAnsiTheme="minorHAnsi" w:cstheme="minorBidi"/>
      <w:kern w:val="2"/>
      <w:sz w:val="24"/>
      <w:szCs w:val="24"/>
      <w:lang w:val="en-IN" w:eastAsia="en-US"/>
      <w14:ligatures w14:val="standardContextual"/>
    </w:rPr>
  </w:style>
  <w:style w:type="character" w:styleId="IntenseEmphasis">
    <w:name w:val="Intense Emphasis"/>
    <w:basedOn w:val="DefaultParagraphFont"/>
    <w:uiPriority w:val="21"/>
    <w:qFormat/>
    <w:rsid w:val="00682748"/>
    <w:rPr>
      <w:i/>
      <w:iCs/>
      <w:color w:val="0F4761" w:themeColor="accent1" w:themeShade="BF"/>
    </w:rPr>
  </w:style>
  <w:style w:type="paragraph" w:styleId="IntenseQuote">
    <w:name w:val="Intense Quote"/>
    <w:basedOn w:val="Normal"/>
    <w:next w:val="Normal"/>
    <w:link w:val="IntenseQuoteChar"/>
    <w:uiPriority w:val="30"/>
    <w:qFormat/>
    <w:rsid w:val="0068274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682748"/>
    <w:rPr>
      <w:i/>
      <w:iCs/>
      <w:color w:val="0F4761" w:themeColor="accent1" w:themeShade="BF"/>
    </w:rPr>
  </w:style>
  <w:style w:type="character" w:styleId="IntenseReference">
    <w:name w:val="Intense Reference"/>
    <w:basedOn w:val="DefaultParagraphFont"/>
    <w:uiPriority w:val="32"/>
    <w:qFormat/>
    <w:rsid w:val="0068274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zotero.org/google-docs/?rPXnfC" TargetMode="External"/><Relationship Id="rId13" Type="http://schemas.openxmlformats.org/officeDocument/2006/relationships/hyperlink" Target="https://www.zotero.org/google-docs/?EvFWL2" TargetMode="External"/><Relationship Id="rId18" Type="http://schemas.openxmlformats.org/officeDocument/2006/relationships/image" Target="media/image1.png"/><Relationship Id="rId3" Type="http://schemas.openxmlformats.org/officeDocument/2006/relationships/webSettings" Target="webSettings.xml"/><Relationship Id="rId21" Type="http://schemas.openxmlformats.org/officeDocument/2006/relationships/image" Target="media/image3.png"/><Relationship Id="rId7" Type="http://schemas.openxmlformats.org/officeDocument/2006/relationships/hyperlink" Target="https://www.zotero.org/google-docs/?DLIGYb" TargetMode="External"/><Relationship Id="rId12" Type="http://schemas.openxmlformats.org/officeDocument/2006/relationships/hyperlink" Target="https://www.zotero.org/google-docs/?KvQzYt" TargetMode="External"/><Relationship Id="rId17" Type="http://schemas.openxmlformats.org/officeDocument/2006/relationships/hyperlink" Target="https://www.zotero.org/google-docs/?ht47Qc"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zotero.org/google-docs/?LoFNy6" TargetMode="External"/><Relationship Id="rId20" Type="http://schemas.openxmlformats.org/officeDocument/2006/relationships/image" Target="media/image2.png"/><Relationship Id="rId1" Type="http://schemas.openxmlformats.org/officeDocument/2006/relationships/styles" Target="styles.xml"/><Relationship Id="rId6" Type="http://schemas.openxmlformats.org/officeDocument/2006/relationships/hyperlink" Target="https://www.zotero.org/google-docs/?V6jjtM" TargetMode="External"/><Relationship Id="rId11" Type="http://schemas.openxmlformats.org/officeDocument/2006/relationships/hyperlink" Target="https://www.zotero.org/google-docs/?4LtrFw" TargetMode="External"/><Relationship Id="rId24" Type="http://schemas.openxmlformats.org/officeDocument/2006/relationships/fontTable" Target="fontTable.xml"/><Relationship Id="rId5" Type="http://schemas.openxmlformats.org/officeDocument/2006/relationships/hyperlink" Target="https://www.zotero.org/google-docs/?kI8j1i" TargetMode="External"/><Relationship Id="rId15" Type="http://schemas.openxmlformats.org/officeDocument/2006/relationships/hyperlink" Target="https://www.zotero.org/google-docs/?nGkBO4" TargetMode="External"/><Relationship Id="rId23" Type="http://schemas.openxmlformats.org/officeDocument/2006/relationships/image" Target="media/image5.png"/><Relationship Id="rId10" Type="http://schemas.openxmlformats.org/officeDocument/2006/relationships/hyperlink" Target="https://www.zotero.org/google-docs/?a3oJLx" TargetMode="External"/><Relationship Id="rId19" Type="http://schemas.openxmlformats.org/officeDocument/2006/relationships/hyperlink" Target="https://www.zotero.org/google-docs/?uG9v3E" TargetMode="External"/><Relationship Id="rId4" Type="http://schemas.openxmlformats.org/officeDocument/2006/relationships/hyperlink" Target="https://www.zotero.org/google-docs/?ENF2Gk" TargetMode="External"/><Relationship Id="rId9" Type="http://schemas.openxmlformats.org/officeDocument/2006/relationships/hyperlink" Target="https://www.zotero.org/google-docs/?wvDNau" TargetMode="External"/><Relationship Id="rId14" Type="http://schemas.openxmlformats.org/officeDocument/2006/relationships/hyperlink" Target="https://www.zotero.org/google-docs/?7jYNBn" TargetMode="External"/><Relationship Id="rId2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1192</Words>
  <Characters>8113</Characters>
  <Application>Microsoft Office Word</Application>
  <DocSecurity>0</DocSecurity>
  <Lines>122</Lines>
  <Paragraphs>28</Paragraphs>
  <ScaleCrop>false</ScaleCrop>
  <Company/>
  <LinksUpToDate>false</LinksUpToDate>
  <CharactersWithSpaces>9277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2026-03-20T06:57:00Z</dcterms:created>
  <dcterms:modified xsi:type="dcterms:W3CDTF">2026-03-20T06:57:00Z</dcterms:modified>
</cp:coreProperties>
</file>