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8CC" w:rsidRDefault="002928CC" w:rsidP="002928CC">
      <w:pPr>
        <w:pStyle w:val="Heading1"/>
      </w:pPr>
      <w:r>
        <w:t>Supplementary material</w:t>
      </w:r>
    </w:p>
    <w:p w:rsidR="002928CC" w:rsidRPr="00303724" w:rsidRDefault="002928CC" w:rsidP="002928CC">
      <w:pPr>
        <w:pStyle w:val="IPDbook"/>
        <w:rPr>
          <w:b/>
          <w:bCs/>
          <w:i/>
          <w:iCs/>
          <w:sz w:val="24"/>
          <w:szCs w:val="24"/>
        </w:rPr>
      </w:pPr>
      <w:r w:rsidRPr="00303724">
        <w:rPr>
          <w:b/>
          <w:bCs/>
          <w:i/>
          <w:iCs/>
          <w:sz w:val="24"/>
          <w:szCs w:val="24"/>
        </w:rPr>
        <w:t>Analytic investigation</w:t>
      </w:r>
    </w:p>
    <w:p w:rsidR="002928CC" w:rsidRPr="00786ADC" w:rsidRDefault="002928CC" w:rsidP="002928CC">
      <w:pPr>
        <w:pStyle w:val="IPDbook"/>
      </w:pPr>
      <w:r>
        <w:t xml:space="preserve">We used analytic reasoning to approximate the maximum </w:t>
      </w:r>
      <w:r>
        <w:rPr>
          <w:i/>
        </w:rPr>
        <w:t>BoS</w:t>
      </w:r>
      <w:r>
        <w:t xml:space="preserve">, denoted as </w:t>
      </w:r>
      <w:r w:rsidRPr="0031183B">
        <w:t>max</w:t>
      </w:r>
      <w:r>
        <w:t>(</w:t>
      </w:r>
      <w:r w:rsidRPr="00BC6387">
        <w:rPr>
          <w:i/>
        </w:rPr>
        <w:t>BoS</w:t>
      </w:r>
      <w:r>
        <w:t>), building on related work by Copas et al.</w:t>
      </w:r>
      <w:r>
        <w:fldChar w:fldCharType="begin"/>
      </w:r>
      <w:r>
        <w:instrText xml:space="preserve"> ADDIN EN.CITE &lt;EndNote&gt;&lt;Cite&gt;&lt;Author&gt;Copas&lt;/Author&gt;&lt;Year&gt;2018&lt;/Year&gt;&lt;RecNum&gt;1917&lt;/RecNum&gt;&lt;DisplayText&gt;[20]&lt;/DisplayText&gt;&lt;record&gt;&lt;rec-number&gt;1917&lt;/rec-number&gt;&lt;foreign-keys&gt;&lt;key app="EN" db-id="z5d2xp5xt5w0tce2te4ppstxd0st5pv2dtsp" timestamp="1553771352"&gt;1917&lt;/key&gt;&lt;/foreign-keys&gt;&lt;ref-type name="Journal Article"&gt;17&lt;/ref-type&gt;&lt;contributors&gt;&lt;authors&gt;&lt;author&gt;Copas, John B.&lt;/author&gt;&lt;author&gt;Jackson, Dan&lt;/author&gt;&lt;author&gt;White, Ian R.&lt;/author&gt;&lt;author&gt;Riley, Richard D.&lt;/author&gt;&lt;/authors&gt;&lt;/contributors&gt;&lt;titles&gt;&lt;title&gt;The role of secondary outcomes in multivariate meta-analysis&lt;/title&gt;&lt;secondary-title&gt;Journal of the Royal Statistical Society: Series C (Applied Statistics)&lt;/secondary-title&gt;&lt;/titles&gt;&lt;periodical&gt;&lt;full-title&gt;Journal of the Royal Statistical Society: Series C (Applied Statistics)&lt;/full-title&gt;&lt;/periodical&gt;&lt;pages&gt;1177-1205&lt;/pages&gt;&lt;volume&gt;67&lt;/volume&gt;&lt;number&gt;5&lt;/number&gt;&lt;dates&gt;&lt;year&gt;2018&lt;/year&gt;&lt;/dates&gt;&lt;isbn&gt;0035-9254&lt;/isbn&gt;&lt;urls&gt;&lt;related-urls&gt;&lt;url&gt;https://rss.onlinelibrary.wiley.com/doi/abs/10.1111/rssc.12274&lt;/url&gt;&lt;/related-urls&gt;&lt;/urls&gt;&lt;electronic-resource-num&gt;10.1111/rssc.12274&lt;/electronic-resource-num&gt;&lt;/record&gt;&lt;/Cite&gt;&lt;/EndNote&gt;</w:instrText>
      </w:r>
      <w:r>
        <w:fldChar w:fldCharType="separate"/>
      </w:r>
      <w:r>
        <w:rPr>
          <w:noProof/>
        </w:rPr>
        <w:t>[20]</w:t>
      </w:r>
      <w:r>
        <w:fldChar w:fldCharType="end"/>
      </w:r>
      <w:r>
        <w:t xml:space="preserve"> </w:t>
      </w:r>
      <w:r w:rsidRPr="000A7A95">
        <w:t xml:space="preserve"> </w:t>
      </w:r>
      <w:r w:rsidRPr="00786ADC">
        <w:t xml:space="preserve">Consider a meta-analysis of </w:t>
      </w:r>
      <w:r>
        <w:rPr>
          <w:i/>
        </w:rPr>
        <w:t>i</w:t>
      </w:r>
      <w:r>
        <w:t xml:space="preserve"> = 1 to </w:t>
      </w:r>
      <w:r w:rsidRPr="00786ADC">
        <w:rPr>
          <w:i/>
        </w:rPr>
        <w:t>N</w:t>
      </w:r>
      <w:r w:rsidRPr="00786ADC">
        <w:t xml:space="preserve"> studies examining a treatment effect on two outcomes. If </w:t>
      </w:r>
      <w:r w:rsidRPr="00786ADC">
        <w:rPr>
          <w:i/>
        </w:rPr>
        <w:t>M</w:t>
      </w:r>
      <w:r w:rsidRPr="00786ADC">
        <w:t xml:space="preserve"> of the studies were missing outcome 1, then the variance from a univariate meta-analysis would be </w:t>
      </w:r>
      <m:oMath>
        <m:r>
          <w:rPr>
            <w:rFonts w:ascii="Cambria Math" w:hAnsi="Cambria Math"/>
          </w:rPr>
          <m:t>var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N-M</m:t>
            </m:r>
          </m:sub>
        </m:sSub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N-M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</m:e>
                </m:nary>
              </m:e>
            </m:d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 w:rsidRPr="00786ADC">
        <w:t xml:space="preserve">, 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=1/(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i1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  <m:r>
          <w:rPr>
            <w:rFonts w:ascii="Cambria Math" w:hAnsi="Cambria Math"/>
          </w:rPr>
          <m:t>)</m:t>
        </m:r>
      </m:oMath>
      <w:r>
        <w:t xml:space="preserve">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i1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</m:oMath>
      <w:r>
        <w:rPr>
          <w:rFonts w:eastAsiaTheme="minorEastAsia"/>
        </w:rPr>
        <w:t xml:space="preserve"> is the variance of the treatment effect estimate for outcome 1 in study </w:t>
      </w:r>
      <m:oMath>
        <m:r>
          <w:rPr>
            <w:rFonts w:ascii="Cambria Math" w:eastAsiaTheme="minorEastAsia" w:hAnsi="Cambria Math"/>
          </w:rPr>
          <m:t>i</m:t>
        </m:r>
      </m:oMath>
      <w:r>
        <w:rPr>
          <w:rFonts w:eastAsiaTheme="minorEastAsia"/>
        </w:rPr>
        <w:t>.</w:t>
      </w:r>
      <w:r>
        <w:t xml:space="preserve"> </w:t>
      </w:r>
      <w:r w:rsidRPr="00786ADC">
        <w:t xml:space="preserve"> Let us assume outcome 2 is available in all</w:t>
      </w:r>
      <w:r>
        <w:t xml:space="preserve"> </w:t>
      </w:r>
      <m:oMath>
        <m:r>
          <w:rPr>
            <w:rFonts w:ascii="Cambria Math" w:hAnsi="Cambria Math"/>
          </w:rPr>
          <m:t>N</m:t>
        </m:r>
      </m:oMath>
      <w:r w:rsidRPr="00786ADC">
        <w:t xml:space="preserve"> trials and therefore a bivariate meta-analysis could be used to jointly synthesise outcome 1 and outcome 2. In terms of </w:t>
      </w:r>
      <m:oMath>
        <m:r>
          <w:rPr>
            <w:rFonts w:ascii="Cambria Math" w:hAnsi="Cambria Math"/>
          </w:rPr>
          <m:t>BoS</m:t>
        </m:r>
      </m:oMath>
      <w:r w:rsidRPr="00786ADC">
        <w:t xml:space="preserve"> for outcome 1, the maximum gain in information that a bivariate meta-analysis could achieve is to completely recover the lost information for outcome 1. If that w</w:t>
      </w:r>
      <w:r>
        <w:t>ere</w:t>
      </w:r>
      <w:r w:rsidRPr="00786ADC">
        <w:t xml:space="preserve"> so, the variance of the summary result for outcome 1 from the bivariate meta-analysis would be</w:t>
      </w:r>
      <w:r>
        <w:t xml:space="preserve"> (because very little borrowing of strength is possible when no data are missing)</w:t>
      </w:r>
      <w:r w:rsidRPr="00786ADC">
        <w:t xml:space="preserve"> approximately the same as that from a univariate meta-analysis had all </w:t>
      </w:r>
      <m:oMath>
        <m:r>
          <w:rPr>
            <w:rFonts w:ascii="Cambria Math" w:hAnsi="Cambria Math"/>
          </w:rPr>
          <m:t>N</m:t>
        </m:r>
      </m:oMath>
      <w:r w:rsidRPr="00786ADC">
        <w:t xml:space="preserve"> trials reported outcome 1; i.e. </w:t>
      </w:r>
      <m:oMath>
        <m:r>
          <w:rPr>
            <w:rFonts w:ascii="Cambria Math" w:hAnsi="Cambria Math"/>
          </w:rPr>
          <m:t>var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</m:e>
                </m:nary>
              </m:e>
            </m:d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 w:rsidRPr="00786ADC">
        <w:t xml:space="preserve">. This leads to an approximate minimum value of the efficiency, </w:t>
      </w:r>
      <m:oMath>
        <m:r>
          <w:rPr>
            <w:rFonts w:ascii="Cambria Math" w:hAnsi="Cambria Math"/>
          </w:rPr>
          <m:t>E</m:t>
        </m:r>
      </m:oMath>
      <w:r w:rsidRPr="00786ADC">
        <w:t xml:space="preserve">,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var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θ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r>
              <w:rPr>
                <w:rFonts w:ascii="Cambria Math" w:hAnsi="Cambria Math"/>
              </w:rPr>
              <m:t>var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θ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/>
                  </w:rPr>
                  <m:t>N-M</m:t>
                </m:r>
              </m:sub>
            </m:sSub>
          </m:den>
        </m:f>
      </m:oMath>
      <w:r w:rsidRPr="00786ADC">
        <w:t xml:space="preserve"> for the bivariate meta-analysis, and therefore </w:t>
      </w:r>
    </w:p>
    <w:p w:rsidR="002928CC" w:rsidRPr="00786ADC" w:rsidRDefault="002928CC" w:rsidP="002928CC">
      <m:oMathPara>
        <m:oMathParaPr>
          <m:jc m:val="center"/>
        </m:oMathParaPr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max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BoS</m:t>
                  </m:r>
                </m:e>
              </m:d>
            </m:e>
          </m:func>
          <m:r>
            <w:rPr>
              <w:rFonts w:ascii="Cambria Math" w:hAnsi="Cambria Math"/>
            </w:rPr>
            <m:t>≈100×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</m:t>
              </m:r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w:rPr>
                      <w:rFonts w:ascii="Cambria Math" w:hAnsi="Cambria Math"/>
                    </w:rPr>
                    <m:t>-</m:t>
                  </m:r>
                  <m:ctrlPr>
                    <w:rPr>
                      <w:rFonts w:ascii="Cambria Math" w:hAnsi="Cambria Math"/>
                      <w:i/>
                    </w:rPr>
                  </m:ctrlP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min</m:t>
                      </m:r>
                      <m:r>
                        <w:rPr>
                          <w:rFonts w:ascii="Cambria Math" w:hAnsi="Cambria Math"/>
                        </w:rPr>
                        <m:t>(E</m:t>
                      </m:r>
                    </m:e>
                  </m:d>
                </m:e>
              </m:func>
            </m:e>
          </m:d>
          <m:r>
            <w:rPr>
              <w:rFonts w:ascii="Cambria Math" w:hAnsi="Cambria Math"/>
            </w:rPr>
            <m:t>%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=100×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w:rPr>
                      <w:rFonts w:ascii="Cambria Math" w:hAnsi="Cambria Math"/>
                    </w:rPr>
                    <m:t>-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var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acc>
                                        <m:ac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acc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θ</m:t>
                                          </m:r>
                                        </m:e>
                                      </m:acc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</m:t>
                                      </m:r>
                                    </m:sub>
                                  </m:sSub>
                                </m:e>
                              </m:d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N</m:t>
                              </m:r>
                            </m:sub>
                          </m:sSub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var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acc>
                                        <m:acc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acc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θ</m:t>
                                          </m:r>
                                        </m:e>
                                      </m:acc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</m:t>
                                      </m:r>
                                    </m:sub>
                                  </m:sSub>
                                </m:e>
                              </m:d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N-M</m:t>
                              </m:r>
                            </m:sub>
                          </m:sSub>
                        </m:den>
                      </m:f>
                    </m:e>
                  </m:d>
                </m:e>
              </m:func>
            </m:e>
          </m:d>
          <m:r>
            <w:rPr>
              <w:rFonts w:ascii="Cambria Math" w:hAnsi="Cambria Math"/>
            </w:rPr>
            <m:t>%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=100×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N-M</m:t>
                          </m:r>
                        </m:sup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w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nary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sup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w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nary>
                    </m:e>
                  </m:d>
                </m:den>
              </m:f>
            </m:e>
          </m:d>
          <m:r>
            <w:rPr>
              <w:rFonts w:ascii="Cambria Math" w:hAnsi="Cambria Math"/>
            </w:rPr>
            <m:t>%</m:t>
          </m:r>
        </m:oMath>
      </m:oMathPara>
    </w:p>
    <w:p w:rsidR="002928CC" w:rsidRPr="00786ADC" w:rsidRDefault="002928CC" w:rsidP="002928CC">
      <w:r w:rsidRPr="00786ADC">
        <w:t>Finally, if all the study weights were the same (i.e.</w:t>
      </w:r>
      <w:r>
        <w:t xml:space="preserve"> For all </w:t>
      </w:r>
      <m:oMath>
        <m:r>
          <w:rPr>
            <w:rFonts w:ascii="Cambria Math" w:hAnsi="Cambria Math"/>
          </w:rPr>
          <m:t>i</m:t>
        </m:r>
      </m:oMath>
      <w:r>
        <w:rPr>
          <w:rFonts w:eastAsiaTheme="minorEastAsia"/>
        </w:rPr>
        <w:t>,</w:t>
      </w:r>
      <w:r w:rsidRPr="00786ADC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=w)</m:t>
        </m:r>
      </m:oMath>
      <w:r w:rsidRPr="00786ADC">
        <w:t xml:space="preserve">, then </w:t>
      </w:r>
    </w:p>
    <w:p w:rsidR="002928CC" w:rsidRPr="00786ADC" w:rsidRDefault="002928CC" w:rsidP="002928CC">
      <m:oMathPara>
        <m:oMathParaPr>
          <m:jc m:val="center"/>
        </m:oMathParaPr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max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BoS</m:t>
                  </m:r>
                </m:e>
              </m:d>
            </m:e>
          </m:func>
          <m:r>
            <w:rPr>
              <w:rFonts w:ascii="Cambria Math" w:hAnsi="Cambria Math"/>
            </w:rPr>
            <m:t>≈ 100×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N-M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</w:rPr>
                            <m:t>w</m:t>
                          </m:r>
                        </m:e>
                      </m:nary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</w:rPr>
                            <m:t>w</m:t>
                          </m:r>
                        </m:e>
                      </m:nary>
                    </m:e>
                  </m:d>
                </m:den>
              </m:f>
            </m:e>
          </m:d>
          <m:r>
            <w:rPr>
              <w:rFonts w:ascii="Cambria Math" w:hAnsi="Cambria Math"/>
            </w:rPr>
            <m:t>%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=100×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N-M</m:t>
                      </m:r>
                    </m:e>
                  </m:d>
                  <m:r>
                    <w:rPr>
                      <w:rFonts w:ascii="Cambria Math" w:hAnsi="Cambria Math"/>
                    </w:rPr>
                    <m:t>w</m:t>
                  </m:r>
                </m:num>
                <m:den>
                  <m:r>
                    <w:rPr>
                      <w:rFonts w:ascii="Cambria Math" w:hAnsi="Cambria Math"/>
                    </w:rPr>
                    <m:t>Nw</m:t>
                  </m:r>
                </m:den>
              </m:f>
            </m:e>
          </m:d>
          <m:r>
            <w:rPr>
              <w:rFonts w:ascii="Cambria Math" w:hAnsi="Cambria Math"/>
            </w:rPr>
            <m:t>%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=100×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N-M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</m:e>
          </m:d>
          <m:r>
            <w:rPr>
              <w:rFonts w:ascii="Cambria Math" w:hAnsi="Cambria Math"/>
            </w:rPr>
            <m:t>%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=100×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M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</m:e>
          </m:d>
          <m:r>
            <w:rPr>
              <w:rFonts w:ascii="Cambria Math" w:hAnsi="Cambria Math"/>
            </w:rPr>
            <m:t>%</m:t>
          </m:r>
        </m:oMath>
      </m:oMathPara>
    </w:p>
    <w:p w:rsidR="002928CC" w:rsidRDefault="002928CC" w:rsidP="002928CC">
      <w:pPr>
        <w:pStyle w:val="IPDbook"/>
      </w:pPr>
      <w:r w:rsidRPr="00786ADC">
        <w:t xml:space="preserve">Therefore, we can consider </w:t>
      </w:r>
      <m:oMath>
        <m:r>
          <w:rPr>
            <w:rFonts w:ascii="Cambria Math" w:hAnsi="Cambria Math"/>
          </w:rPr>
          <m:t>BoS</m:t>
        </m:r>
      </m:oMath>
      <w:r w:rsidRPr="00786ADC">
        <w:t xml:space="preserve"> for outcome 1 to be approximately bounded by the percentage of the total studies (</w:t>
      </w:r>
      <m:oMath>
        <m:r>
          <w:rPr>
            <w:rFonts w:ascii="Cambria Math" w:hAnsi="Cambria Math"/>
          </w:rPr>
          <m:t>N</m:t>
        </m:r>
      </m:oMath>
      <w:r w:rsidRPr="00786ADC">
        <w:t>) with missing data for outcome 1 (</w:t>
      </w:r>
      <m:oMath>
        <m:r>
          <w:rPr>
            <w:rFonts w:ascii="Cambria Math" w:hAnsi="Cambria Math"/>
          </w:rPr>
          <m:t>M</m:t>
        </m:r>
      </m:oMath>
      <w:r w:rsidRPr="00786ADC">
        <w:t xml:space="preserve">). </w:t>
      </w:r>
      <w:r>
        <w:t>This might be considered a rule-of-thumb. However, w</w:t>
      </w:r>
      <w:r w:rsidRPr="00811203">
        <w:t>e emphasise this is only an approximation</w:t>
      </w:r>
      <w:r>
        <w:t>.</w:t>
      </w:r>
      <w:r w:rsidRPr="00811203">
        <w:t xml:space="preserve"> </w:t>
      </w:r>
      <w:r w:rsidRPr="00786ADC">
        <w:t xml:space="preserve">In truth,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BoS</m:t>
                </m:r>
              </m:e>
            </m:d>
          </m:e>
        </m:func>
      </m:oMath>
      <w:r w:rsidRPr="00786ADC">
        <w:t xml:space="preserve"> is more complex than </w:t>
      </w:r>
      <w:r w:rsidRPr="00786ADC">
        <w:lastRenderedPageBreak/>
        <w:t>this, as the weights might not be similar in studies with and without missing outcomes (e.g. if there is a systematic difference in their size or number of events); also the spread of weights is important.</w:t>
      </w:r>
      <w:r>
        <w:fldChar w:fldCharType="begin"/>
      </w:r>
      <w:r>
        <w:instrText xml:space="preserve"> ADDIN EN.CITE &lt;EndNote&gt;&lt;Cite&gt;&lt;Author&gt;Copas&lt;/Author&gt;&lt;Year&gt;2018&lt;/Year&gt;&lt;RecNum&gt;1917&lt;/RecNum&gt;&lt;DisplayText&gt;[20]&lt;/DisplayText&gt;&lt;record&gt;&lt;rec-number&gt;1917&lt;/rec-number&gt;&lt;foreign-keys&gt;&lt;key app="EN" db-id="z5d2xp5xt5w0tce2te4ppstxd0st5pv2dtsp" timestamp="1553771352"&gt;1917&lt;/key&gt;&lt;/foreign-keys&gt;&lt;ref-type name="Journal Article"&gt;17&lt;/ref-type&gt;&lt;contributors&gt;&lt;authors&gt;&lt;author&gt;Copas, John B.&lt;/author&gt;&lt;author&gt;Jackson, Dan&lt;/author&gt;&lt;author&gt;White, Ian R.&lt;/author&gt;&lt;author&gt;Riley, Richard D.&lt;/author&gt;&lt;/authors&gt;&lt;/contributors&gt;&lt;titles&gt;&lt;title&gt;The role of secondary outcomes in multivariate meta-analysis&lt;/title&gt;&lt;secondary-title&gt;Journal of the Royal Statistical Society: Series C (Applied Statistics)&lt;/secondary-title&gt;&lt;/titles&gt;&lt;periodical&gt;&lt;full-title&gt;Journal of the Royal Statistical Society: Series C (Applied Statistics)&lt;/full-title&gt;&lt;/periodical&gt;&lt;pages&gt;1177-1205&lt;/pages&gt;&lt;volume&gt;67&lt;/volume&gt;&lt;number&gt;5&lt;/number&gt;&lt;dates&gt;&lt;year&gt;2018&lt;/year&gt;&lt;/dates&gt;&lt;isbn&gt;0035-9254&lt;/isbn&gt;&lt;urls&gt;&lt;related-urls&gt;&lt;url&gt;https://rss.onlinelibrary.wiley.com/doi/abs/10.1111/rssc.12274&lt;/url&gt;&lt;/related-urls&gt;&lt;/urls&gt;&lt;electronic-resource-num&gt;10.1111/rssc.12274&lt;/electronic-resource-num&gt;&lt;/record&gt;&lt;/Cite&gt;&lt;/EndNote&gt;</w:instrText>
      </w:r>
      <w:r>
        <w:fldChar w:fldCharType="separate"/>
      </w:r>
      <w:r>
        <w:rPr>
          <w:noProof/>
        </w:rPr>
        <w:t>[20]</w:t>
      </w:r>
      <w:r>
        <w:fldChar w:fldCharType="end"/>
      </w:r>
      <w:r>
        <w:t xml:space="preserve"> Indeed borrowing of strength can still occur even when there are no missing outcomes, although will usually be very small.</w:t>
      </w:r>
      <w:r>
        <w:fldChar w:fldCharType="begin">
          <w:fldData xml:space="preserve">PEVuZE5vdGU+PENpdGU+PEF1dGhvcj5SaWxleTwvQXV0aG9yPjxZZWFyPjIwMDk8L1llYXI+PFJl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</w:fldData>
        </w:fldChar>
      </w:r>
      <w:r>
        <w:instrText xml:space="preserve"> ADDIN EN.CITE </w:instrText>
      </w:r>
      <w:r>
        <w:fldChar w:fldCharType="begin">
          <w:fldData xml:space="preserve">PEVuZE5vdGU+PENpdGU+PEF1dGhvcj5SaWxleTwvQXV0aG9yPjxZZWFyPjIwMDk8L1llYXI+PFJl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>
        <w:rPr>
          <w:noProof/>
        </w:rPr>
        <w:t>[12, 15]</w:t>
      </w:r>
      <w:r>
        <w:fldChar w:fldCharType="end"/>
      </w:r>
    </w:p>
    <w:p w:rsidR="002928CC" w:rsidRPr="00303724" w:rsidRDefault="002928CC" w:rsidP="002928CC">
      <w:pPr>
        <w:rPr>
          <w:b/>
          <w:bCs/>
          <w:i/>
          <w:iCs/>
          <w:sz w:val="24"/>
          <w:szCs w:val="24"/>
        </w:rPr>
      </w:pPr>
      <w:r w:rsidRPr="00303724">
        <w:rPr>
          <w:b/>
          <w:bCs/>
          <w:i/>
          <w:iCs/>
          <w:sz w:val="24"/>
          <w:szCs w:val="24"/>
        </w:rPr>
        <w:t>Histogram of BoS statistic for outcome one and outcome two for the 43 meta-analyses</w:t>
      </w:r>
      <w:r w:rsidRPr="00303724">
        <w:rPr>
          <w:b/>
          <w:bCs/>
          <w:i/>
          <w:iCs/>
          <w:sz w:val="24"/>
          <w:szCs w:val="24"/>
        </w:rPr>
        <w:tab/>
      </w:r>
    </w:p>
    <w:p w:rsidR="002928CC" w:rsidRPr="000443D6" w:rsidRDefault="002928CC" w:rsidP="002928CC">
      <w:pPr>
        <w:pStyle w:val="Caption"/>
        <w:keepNext/>
        <w:rPr>
          <w:lang w:val="en-GB"/>
        </w:rPr>
      </w:pPr>
      <w:r>
        <w:t>Figure A: Histogram of the magnitude of BoS statistic for outcome one and outcome two for the 43 meta-analyses examined by Trikalinos et al.</w:t>
      </w:r>
    </w:p>
    <w:p w:rsidR="002928CC" w:rsidRDefault="002928CC" w:rsidP="002928CC">
      <w:pPr>
        <w:spacing w:before="0" w:after="160" w:line="259" w:lineRule="auto"/>
      </w:pPr>
      <w:r>
        <w:rPr>
          <w:noProof/>
          <w:lang w:val="en-US"/>
        </w:rPr>
        <w:drawing>
          <wp:inline distT="0" distB="0" distL="0" distR="0" wp14:anchorId="100BDF6D" wp14:editId="32870721">
            <wp:extent cx="5731510" cy="4170045"/>
            <wp:effectExtent l="0" t="0" r="2540" b="190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LBoS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7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32A0" w:rsidRDefault="002928CC">
      <w:bookmarkStart w:id="0" w:name="_GoBack"/>
      <w:bookmarkEnd w:id="0"/>
    </w:p>
    <w:sectPr w:rsidR="00DA32A0" w:rsidSect="00F53EA9">
      <w:pgSz w:w="11906" w:h="16838"/>
      <w:pgMar w:top="1134" w:right="1440" w:bottom="1134" w:left="1440" w:header="709" w:footer="709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8CC"/>
    <w:rsid w:val="0016198D"/>
    <w:rsid w:val="002928CC"/>
    <w:rsid w:val="003E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78F4EA-4E31-4D5F-B80A-208A1774B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8CC"/>
    <w:pPr>
      <w:spacing w:before="120" w:after="240" w:line="36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28CC"/>
    <w:pPr>
      <w:keepNext/>
      <w:keepLines/>
      <w:spacing w:before="60" w:after="60"/>
      <w:outlineLvl w:val="0"/>
    </w:pPr>
    <w:rPr>
      <w:rFonts w:eastAsiaTheme="majorEastAsia" w:cs="Times New Roman"/>
      <w:b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8CC"/>
    <w:rPr>
      <w:rFonts w:eastAsiaTheme="majorEastAsia" w:cs="Times New Roman"/>
      <w:b/>
      <w:color w:val="000000" w:themeColor="text1"/>
      <w:sz w:val="32"/>
      <w:szCs w:val="32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2928CC"/>
    <w:pPr>
      <w:spacing w:before="0" w:after="0" w:line="240" w:lineRule="auto"/>
    </w:pPr>
    <w:rPr>
      <w:b/>
      <w:iCs/>
      <w:color w:val="44546A" w:themeColor="text2"/>
      <w:lang w:val="en-US" w:eastAsia="en-GB"/>
    </w:rPr>
  </w:style>
  <w:style w:type="paragraph" w:customStyle="1" w:styleId="IPDbook">
    <w:name w:val="IPD book"/>
    <w:basedOn w:val="Normal"/>
    <w:link w:val="IPDbookChar"/>
    <w:qFormat/>
    <w:rsid w:val="002928CC"/>
    <w:pPr>
      <w:widowControl w:val="0"/>
    </w:pPr>
  </w:style>
  <w:style w:type="character" w:customStyle="1" w:styleId="IPDbookChar">
    <w:name w:val="IPD book Char"/>
    <w:basedOn w:val="DefaultParagraphFont"/>
    <w:link w:val="IPDbook"/>
    <w:rsid w:val="002928CC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2928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737</Words>
  <Characters>4207</Characters>
  <Application>Microsoft Office Word</Application>
  <DocSecurity>0</DocSecurity>
  <Lines>35</Lines>
  <Paragraphs>9</Paragraphs>
  <ScaleCrop>false</ScaleCrop>
  <Company>Springer Nature</Company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2021-09-21T06:32:00Z</dcterms:created>
  <dcterms:modified xsi:type="dcterms:W3CDTF">2021-09-21T06:32:00Z</dcterms:modified>
</cp:coreProperties>
</file>