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2C1364" w14:textId="6EA52134" w:rsidR="00DA3B6C" w:rsidRPr="00DA3B6C" w:rsidRDefault="00DA3B6C" w:rsidP="00DA3B6C">
      <w:pPr>
        <w:rPr>
          <w:lang w:val="en-US"/>
        </w:rPr>
      </w:pPr>
      <w:r w:rsidRPr="00DA3B6C">
        <w:rPr>
          <w:lang w:val="en-GB"/>
        </w:rPr>
        <w:drawing>
          <wp:inline distT="0" distB="0" distL="0" distR="0" wp14:anchorId="3CBE526B" wp14:editId="6364EE55">
            <wp:extent cx="5731510" cy="8214995"/>
            <wp:effectExtent l="0" t="0" r="2540" b="0"/>
            <wp:docPr id="94905688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b="26389"/>
                    <a:stretch>
                      <a:fillRect/>
                    </a:stretch>
                  </pic:blipFill>
                  <pic:spPr bwMode="auto">
                    <a:xfrm>
                      <a:off x="0" y="0"/>
                      <a:ext cx="5731510" cy="8214995"/>
                    </a:xfrm>
                    <a:prstGeom prst="rect">
                      <a:avLst/>
                    </a:prstGeom>
                    <a:noFill/>
                    <a:ln>
                      <a:noFill/>
                    </a:ln>
                  </pic:spPr>
                </pic:pic>
              </a:graphicData>
            </a:graphic>
          </wp:inline>
        </w:drawing>
      </w:r>
    </w:p>
    <w:p w14:paraId="53F0AF14" w14:textId="77777777" w:rsidR="00DA3B6C" w:rsidRPr="00DA3B6C" w:rsidRDefault="00DA3B6C" w:rsidP="00DA3B6C">
      <w:pPr>
        <w:rPr>
          <w:lang w:val="en-US"/>
        </w:rPr>
      </w:pPr>
      <w:r w:rsidRPr="00DA3B6C">
        <w:rPr>
          <w:b/>
          <w:bCs/>
          <w:lang w:val="en-GB"/>
        </w:rPr>
        <w:t>Extended Data Fig. 1 |</w:t>
      </w:r>
      <w:r w:rsidRPr="00DA3B6C">
        <w:rPr>
          <w:lang w:val="en-GB"/>
        </w:rPr>
        <w:t xml:space="preserve"> </w:t>
      </w:r>
      <w:r w:rsidRPr="00DA3B6C">
        <w:rPr>
          <w:b/>
          <w:bCs/>
          <w:lang w:val="en-GB"/>
        </w:rPr>
        <w:t>a,</w:t>
      </w:r>
      <w:r w:rsidRPr="00DA3B6C">
        <w:rPr>
          <w:lang w:val="en-GB"/>
        </w:rPr>
        <w:t xml:space="preserve"> </w:t>
      </w:r>
      <w:proofErr w:type="gramStart"/>
      <w:r w:rsidRPr="00DA3B6C">
        <w:rPr>
          <w:lang w:val="en-GB"/>
        </w:rPr>
        <w:t>The</w:t>
      </w:r>
      <w:proofErr w:type="gramEnd"/>
      <w:r w:rsidRPr="00DA3B6C">
        <w:rPr>
          <w:lang w:val="en-GB"/>
        </w:rPr>
        <w:t xml:space="preserve"> distribution of the number of fine-mapped </w:t>
      </w:r>
      <w:r w:rsidRPr="00DA3B6C">
        <w:rPr>
          <w:i/>
          <w:iCs/>
          <w:lang w:val="en-GB"/>
        </w:rPr>
        <w:t>cis</w:t>
      </w:r>
      <w:r w:rsidRPr="00DA3B6C">
        <w:rPr>
          <w:lang w:val="en-GB"/>
        </w:rPr>
        <w:t>-</w:t>
      </w:r>
      <w:proofErr w:type="spellStart"/>
      <w:r w:rsidRPr="00DA3B6C">
        <w:rPr>
          <w:lang w:val="en-GB"/>
        </w:rPr>
        <w:t>molQTL</w:t>
      </w:r>
      <w:proofErr w:type="spellEnd"/>
      <w:r w:rsidRPr="00DA3B6C">
        <w:rPr>
          <w:lang w:val="en-GB"/>
        </w:rPr>
        <w:t xml:space="preserve"> per gene across seven </w:t>
      </w:r>
      <w:proofErr w:type="spellStart"/>
      <w:r w:rsidRPr="00DA3B6C">
        <w:rPr>
          <w:lang w:val="en-GB"/>
        </w:rPr>
        <w:t>molQTL</w:t>
      </w:r>
      <w:proofErr w:type="spellEnd"/>
      <w:r w:rsidRPr="00DA3B6C">
        <w:rPr>
          <w:lang w:val="en-GB"/>
        </w:rPr>
        <w:t xml:space="preserve"> is shown as blue stacked bars across 35 tissues. Tissues are </w:t>
      </w:r>
      <w:r w:rsidRPr="00DA3B6C">
        <w:rPr>
          <w:lang w:val="en-GB"/>
        </w:rPr>
        <w:lastRenderedPageBreak/>
        <w:t xml:space="preserve">ordered by decreasing sample size. </w:t>
      </w:r>
      <w:r w:rsidRPr="00DA3B6C">
        <w:rPr>
          <w:b/>
          <w:bCs/>
          <w:lang w:val="en-GB"/>
        </w:rPr>
        <w:t>b,</w:t>
      </w:r>
      <w:r w:rsidRPr="00DA3B6C">
        <w:rPr>
          <w:lang w:val="en-GB"/>
        </w:rPr>
        <w:t xml:space="preserve"> </w:t>
      </w:r>
      <w:proofErr w:type="gramStart"/>
      <w:r w:rsidRPr="00DA3B6C">
        <w:rPr>
          <w:lang w:val="en-US"/>
        </w:rPr>
        <w:t>The</w:t>
      </w:r>
      <w:proofErr w:type="gramEnd"/>
      <w:r w:rsidRPr="00DA3B6C">
        <w:rPr>
          <w:lang w:val="en-US"/>
        </w:rPr>
        <w:t xml:space="preserve"> size distribution of fine-mapped credible sets for all identified </w:t>
      </w:r>
      <w:r w:rsidRPr="00DA3B6C">
        <w:rPr>
          <w:i/>
          <w:iCs/>
          <w:lang w:val="en-US"/>
        </w:rPr>
        <w:t>cis</w:t>
      </w:r>
      <w:r w:rsidRPr="00DA3B6C">
        <w:rPr>
          <w:lang w:val="en-US"/>
        </w:rPr>
        <w:t>-</w:t>
      </w:r>
      <w:proofErr w:type="spellStart"/>
      <w:r w:rsidRPr="00DA3B6C">
        <w:rPr>
          <w:lang w:val="en-US"/>
        </w:rPr>
        <w:t>molQTL</w:t>
      </w:r>
      <w:proofErr w:type="spellEnd"/>
      <w:r w:rsidRPr="00DA3B6C">
        <w:rPr>
          <w:lang w:val="en-US"/>
        </w:rPr>
        <w:t xml:space="preserve"> across 35 tissues. The red arrow indicates count of credible sets containing only one single candidate variant. </w:t>
      </w:r>
      <w:r w:rsidRPr="00DA3B6C">
        <w:rPr>
          <w:b/>
          <w:bCs/>
          <w:lang w:val="en-US"/>
        </w:rPr>
        <w:t>c,</w:t>
      </w:r>
      <w:r w:rsidRPr="00DA3B6C">
        <w:rPr>
          <w:lang w:val="en-US"/>
        </w:rPr>
        <w:t xml:space="preserve"> </w:t>
      </w:r>
      <w:r w:rsidRPr="00DA3B6C">
        <w:rPr>
          <w:lang w:val="en-GB"/>
        </w:rPr>
        <w:t xml:space="preserve">Functional enrichment of lead SNPs in seven </w:t>
      </w:r>
      <w:proofErr w:type="spellStart"/>
      <w:r w:rsidRPr="00DA3B6C">
        <w:rPr>
          <w:lang w:val="en-GB"/>
        </w:rPr>
        <w:t>molQTL</w:t>
      </w:r>
      <w:proofErr w:type="spellEnd"/>
      <w:r w:rsidRPr="00DA3B6C">
        <w:rPr>
          <w:lang w:val="en-GB"/>
        </w:rPr>
        <w:t xml:space="preserve"> with regulatory elements (top: SNP classification, bottom: chromatin states). </w:t>
      </w:r>
      <w:r w:rsidRPr="00DA3B6C">
        <w:rPr>
          <w:b/>
          <w:bCs/>
          <w:lang w:val="en-GB"/>
        </w:rPr>
        <w:t>d,</w:t>
      </w:r>
      <w:r w:rsidRPr="00DA3B6C">
        <w:rPr>
          <w:lang w:val="en-GB"/>
        </w:rPr>
        <w:t xml:space="preserve"> Distribution of the distance to TSS regions across lead SNPs in seven </w:t>
      </w:r>
      <w:proofErr w:type="spellStart"/>
      <w:r w:rsidRPr="00DA3B6C">
        <w:rPr>
          <w:lang w:val="en-GB"/>
        </w:rPr>
        <w:t>molQTL</w:t>
      </w:r>
      <w:proofErr w:type="spellEnd"/>
      <w:r w:rsidRPr="00DA3B6C">
        <w:rPr>
          <w:lang w:val="en-GB"/>
        </w:rPr>
        <w:t>.</w:t>
      </w:r>
      <w:r w:rsidRPr="00DA3B6C">
        <w:rPr>
          <w:lang w:val="en-US"/>
        </w:rPr>
        <w:br w:type="page"/>
      </w:r>
    </w:p>
    <w:p w14:paraId="5379849B" w14:textId="7B2A7154" w:rsidR="00DA3B6C" w:rsidRPr="00DA3B6C" w:rsidRDefault="00DA3B6C" w:rsidP="00DA3B6C">
      <w:pPr>
        <w:rPr>
          <w:lang w:val="en-US"/>
        </w:rPr>
      </w:pPr>
      <w:r w:rsidRPr="00DA3B6C">
        <w:rPr>
          <w:lang w:val="en-GB"/>
        </w:rPr>
        <w:lastRenderedPageBreak/>
        <w:drawing>
          <wp:inline distT="0" distB="0" distL="0" distR="0" wp14:anchorId="6C6CACB5" wp14:editId="41B295D2">
            <wp:extent cx="5731510" cy="6023610"/>
            <wp:effectExtent l="0" t="0" r="2540" b="0"/>
            <wp:docPr id="13863210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6023610"/>
                    </a:xfrm>
                    <a:prstGeom prst="rect">
                      <a:avLst/>
                    </a:prstGeom>
                    <a:noFill/>
                    <a:ln>
                      <a:noFill/>
                    </a:ln>
                  </pic:spPr>
                </pic:pic>
              </a:graphicData>
            </a:graphic>
          </wp:inline>
        </w:drawing>
      </w:r>
    </w:p>
    <w:p w14:paraId="77E10F30" w14:textId="77777777" w:rsidR="00DA3B6C" w:rsidRPr="00DA3B6C" w:rsidRDefault="00DA3B6C" w:rsidP="00DA3B6C">
      <w:pPr>
        <w:rPr>
          <w:lang w:val="en-US"/>
        </w:rPr>
      </w:pPr>
      <w:r w:rsidRPr="00DA3B6C">
        <w:rPr>
          <w:b/>
          <w:bCs/>
          <w:lang w:val="en-GB"/>
        </w:rPr>
        <w:t xml:space="preserve">Extended Data Fig. 2 | a, </w:t>
      </w:r>
      <w:r w:rsidRPr="00DA3B6C">
        <w:rPr>
          <w:lang w:val="en-GB"/>
        </w:rPr>
        <w:t xml:space="preserve">Internal validation of </w:t>
      </w:r>
      <w:r w:rsidRPr="00DA3B6C">
        <w:rPr>
          <w:i/>
          <w:iCs/>
          <w:lang w:val="en-GB"/>
        </w:rPr>
        <w:t>cis</w:t>
      </w:r>
      <w:r w:rsidRPr="00DA3B6C">
        <w:rPr>
          <w:lang w:val="en-GB"/>
        </w:rPr>
        <w:t>-</w:t>
      </w:r>
      <w:proofErr w:type="spellStart"/>
      <w:r w:rsidRPr="00DA3B6C">
        <w:rPr>
          <w:lang w:val="en-GB"/>
        </w:rPr>
        <w:t>eQTL</w:t>
      </w:r>
      <w:proofErr w:type="spellEnd"/>
      <w:r w:rsidRPr="00DA3B6C">
        <w:rPr>
          <w:lang w:val="en-GB"/>
        </w:rPr>
        <w:t xml:space="preserve">. We selected 28 tissues with sample sizes &gt; 100 and randomly split samples into equally sized discovery and validation cohorts. </w:t>
      </w:r>
      <w:proofErr w:type="spellStart"/>
      <w:r w:rsidRPr="00DA3B6C">
        <w:rPr>
          <w:lang w:val="en-GB"/>
        </w:rPr>
        <w:t>eQTL</w:t>
      </w:r>
      <w:proofErr w:type="spellEnd"/>
      <w:r w:rsidRPr="00DA3B6C">
        <w:rPr>
          <w:lang w:val="en-GB"/>
        </w:rPr>
        <w:t xml:space="preserve"> mapping was performed independently in each cohort. Bars show Pearson’s correlation of normalized effect sizes between the two groups, and red dots represent </w:t>
      </w:r>
      <w:bookmarkStart w:id="0" w:name="OLE_LINK55"/>
      <w:r w:rsidRPr="00DA3B6C">
        <w:rPr>
          <w:lang w:val="en-GB"/>
        </w:rPr>
        <w:t>Storey’s π</w:t>
      </w:r>
      <w:bookmarkEnd w:id="0"/>
      <w:r w:rsidRPr="00DA3B6C">
        <w:rPr>
          <w:vertAlign w:val="subscript"/>
          <w:lang w:val="en-GB"/>
        </w:rPr>
        <w:t>1</w:t>
      </w:r>
      <w:r w:rsidRPr="00DA3B6C">
        <w:rPr>
          <w:lang w:val="en-GB"/>
        </w:rPr>
        <w:t xml:space="preserve"> statistics, indicating the replication rate of </w:t>
      </w:r>
      <w:r w:rsidRPr="00DA3B6C">
        <w:rPr>
          <w:i/>
          <w:iCs/>
          <w:lang w:val="en-GB"/>
        </w:rPr>
        <w:t>cis</w:t>
      </w:r>
      <w:r w:rsidRPr="00DA3B6C">
        <w:rPr>
          <w:lang w:val="en-GB"/>
        </w:rPr>
        <w:t>-</w:t>
      </w:r>
      <w:proofErr w:type="spellStart"/>
      <w:r w:rsidRPr="00DA3B6C">
        <w:rPr>
          <w:lang w:val="en-GB"/>
        </w:rPr>
        <w:t>eQTL</w:t>
      </w:r>
      <w:proofErr w:type="spellEnd"/>
      <w:r w:rsidRPr="00DA3B6C">
        <w:rPr>
          <w:lang w:val="en-GB"/>
        </w:rPr>
        <w:t xml:space="preserve">. </w:t>
      </w:r>
      <w:r w:rsidRPr="00DA3B6C">
        <w:rPr>
          <w:b/>
          <w:bCs/>
          <w:lang w:val="en-GB"/>
        </w:rPr>
        <w:t>b,</w:t>
      </w:r>
      <w:r w:rsidRPr="00DA3B6C">
        <w:rPr>
          <w:lang w:val="en-GB"/>
        </w:rPr>
        <w:t xml:space="preserve"> Spearman’s correlation between </w:t>
      </w:r>
      <w:r w:rsidRPr="00DA3B6C">
        <w:rPr>
          <w:i/>
          <w:iCs/>
          <w:lang w:val="en-GB"/>
        </w:rPr>
        <w:t>cis</w:t>
      </w:r>
      <w:r w:rsidRPr="00DA3B6C">
        <w:rPr>
          <w:lang w:val="en-GB"/>
        </w:rPr>
        <w:t>-</w:t>
      </w:r>
      <w:proofErr w:type="spellStart"/>
      <w:r w:rsidRPr="00DA3B6C">
        <w:rPr>
          <w:lang w:val="en-GB"/>
        </w:rPr>
        <w:t>eQTL</w:t>
      </w:r>
      <w:proofErr w:type="spellEnd"/>
      <w:r w:rsidRPr="00DA3B6C">
        <w:rPr>
          <w:lang w:val="en-GB"/>
        </w:rPr>
        <w:t xml:space="preserve"> effect sizes (allelic fold change, log₂ scale) and corresponding effect sizes derived from allele-specific expression (ASE) analysis. </w:t>
      </w:r>
      <w:r w:rsidRPr="00DA3B6C">
        <w:rPr>
          <w:b/>
          <w:bCs/>
          <w:lang w:val="en-GB"/>
        </w:rPr>
        <w:t>c,</w:t>
      </w:r>
      <w:r w:rsidRPr="00DA3B6C">
        <w:rPr>
          <w:lang w:val="en-GB"/>
        </w:rPr>
        <w:t xml:space="preserve"> External validation of </w:t>
      </w:r>
      <w:r w:rsidRPr="00DA3B6C">
        <w:rPr>
          <w:i/>
          <w:iCs/>
          <w:lang w:val="en-GB"/>
        </w:rPr>
        <w:t>cis</w:t>
      </w:r>
      <w:r w:rsidRPr="00DA3B6C">
        <w:rPr>
          <w:lang w:val="en-GB"/>
        </w:rPr>
        <w:t>-</w:t>
      </w:r>
      <w:proofErr w:type="spellStart"/>
      <w:r w:rsidRPr="00DA3B6C">
        <w:rPr>
          <w:lang w:val="en-GB"/>
        </w:rPr>
        <w:t>eQTL</w:t>
      </w:r>
      <w:proofErr w:type="spellEnd"/>
      <w:r w:rsidRPr="00DA3B6C">
        <w:rPr>
          <w:lang w:val="en-GB"/>
        </w:rPr>
        <w:t xml:space="preserve"> using an independent Holstein population (</w:t>
      </w:r>
      <w:r w:rsidRPr="00DA3B6C">
        <w:rPr>
          <w:i/>
          <w:iCs/>
          <w:lang w:val="en-GB"/>
        </w:rPr>
        <w:t>n</w:t>
      </w:r>
      <w:r w:rsidRPr="00DA3B6C">
        <w:rPr>
          <w:lang w:val="en-GB"/>
        </w:rPr>
        <w:t xml:space="preserve"> = 99). </w:t>
      </w:r>
      <w:bookmarkStart w:id="1" w:name="OLE_LINK51"/>
      <w:bookmarkStart w:id="2" w:name="OLE_LINK54"/>
      <w:bookmarkStart w:id="3" w:name="OLE_LINK53"/>
      <w:r w:rsidRPr="00DA3B6C">
        <w:rPr>
          <w:lang w:val="en-GB"/>
        </w:rPr>
        <w:t>Storey’s π</w:t>
      </w:r>
      <w:bookmarkEnd w:id="1"/>
      <w:r w:rsidRPr="00DA3B6C">
        <w:rPr>
          <w:vertAlign w:val="subscript"/>
          <w:lang w:val="en-GB"/>
        </w:rPr>
        <w:t>1</w:t>
      </w:r>
      <w:bookmarkEnd w:id="2"/>
      <w:r w:rsidRPr="00DA3B6C">
        <w:rPr>
          <w:lang w:val="en-GB"/>
        </w:rPr>
        <w:t xml:space="preserve"> statistics a</w:t>
      </w:r>
      <w:bookmarkEnd w:id="3"/>
      <w:r w:rsidRPr="00DA3B6C">
        <w:rPr>
          <w:lang w:val="en-GB"/>
        </w:rPr>
        <w:t xml:space="preserve">nd Spearman’s correlation were used to assess replication between external population and </w:t>
      </w:r>
      <w:proofErr w:type="spellStart"/>
      <w:r w:rsidRPr="00DA3B6C">
        <w:rPr>
          <w:lang w:val="en-GB"/>
        </w:rPr>
        <w:t>CattleGTEx</w:t>
      </w:r>
      <w:proofErr w:type="spellEnd"/>
      <w:r w:rsidRPr="00DA3B6C">
        <w:rPr>
          <w:lang w:val="en-GB"/>
        </w:rPr>
        <w:t xml:space="preserve"> Phase1 population in blood. </w:t>
      </w:r>
      <w:r w:rsidRPr="00DA3B6C">
        <w:rPr>
          <w:b/>
          <w:bCs/>
          <w:lang w:val="en-GB"/>
        </w:rPr>
        <w:t>d,</w:t>
      </w:r>
      <w:r w:rsidRPr="00DA3B6C">
        <w:rPr>
          <w:lang w:val="en-GB"/>
        </w:rPr>
        <w:t xml:space="preserve"> Robustness of our approach by comparing </w:t>
      </w:r>
      <w:proofErr w:type="spellStart"/>
      <w:r w:rsidRPr="00DA3B6C">
        <w:rPr>
          <w:lang w:val="en-GB"/>
        </w:rPr>
        <w:t>molQTL</w:t>
      </w:r>
      <w:proofErr w:type="spellEnd"/>
      <w:r w:rsidRPr="00DA3B6C">
        <w:rPr>
          <w:lang w:val="en-GB"/>
        </w:rPr>
        <w:t xml:space="preserve"> mapping using RNA-</w:t>
      </w:r>
      <w:proofErr w:type="spellStart"/>
      <w:r w:rsidRPr="00DA3B6C">
        <w:rPr>
          <w:lang w:val="en-GB"/>
        </w:rPr>
        <w:t>seq</w:t>
      </w:r>
      <w:proofErr w:type="spellEnd"/>
      <w:r w:rsidRPr="00DA3B6C">
        <w:rPr>
          <w:lang w:val="en-GB"/>
        </w:rPr>
        <w:t xml:space="preserve"> imputed versus whole-genome sequencing (WGS)-called genotypes in an independent blood-</w:t>
      </w:r>
      <w:r w:rsidRPr="00DA3B6C">
        <w:rPr>
          <w:lang w:val="en-GB"/>
        </w:rPr>
        <w:lastRenderedPageBreak/>
        <w:t xml:space="preserve">tissue cohort (n = 99). Venne plot represents the overlapping of </w:t>
      </w:r>
      <w:proofErr w:type="spellStart"/>
      <w:r w:rsidRPr="00DA3B6C">
        <w:rPr>
          <w:lang w:val="en-GB"/>
        </w:rPr>
        <w:t>eGenes</w:t>
      </w:r>
      <w:proofErr w:type="spellEnd"/>
      <w:r w:rsidRPr="00DA3B6C">
        <w:rPr>
          <w:lang w:val="en-GB"/>
        </w:rPr>
        <w:t xml:space="preserve"> detected using imputed versus WGS–called genotypes. </w:t>
      </w:r>
      <w:r w:rsidRPr="00DA3B6C">
        <w:rPr>
          <w:b/>
          <w:bCs/>
          <w:lang w:val="en-GB"/>
        </w:rPr>
        <w:t>e,</w:t>
      </w:r>
      <w:r w:rsidRPr="00DA3B6C">
        <w:rPr>
          <w:lang w:val="en-GB"/>
        </w:rPr>
        <w:t xml:space="preserve"> Comparison of significance (-log10 P) across different gene categories. Each point represents a gene. Genes are categorized as Both (n = 5,798): </w:t>
      </w:r>
      <w:proofErr w:type="spellStart"/>
      <w:r w:rsidRPr="00DA3B6C">
        <w:rPr>
          <w:lang w:val="en-GB"/>
        </w:rPr>
        <w:t>eGene</w:t>
      </w:r>
      <w:proofErr w:type="spellEnd"/>
      <w:r w:rsidRPr="00DA3B6C">
        <w:rPr>
          <w:lang w:val="en-GB"/>
        </w:rPr>
        <w:t xml:space="preserve"> detected by both WGS–called and imputed genotypes; </w:t>
      </w:r>
      <w:proofErr w:type="spellStart"/>
      <w:r w:rsidRPr="00DA3B6C">
        <w:rPr>
          <w:lang w:val="en-GB"/>
        </w:rPr>
        <w:t>WGS_based_only</w:t>
      </w:r>
      <w:proofErr w:type="spellEnd"/>
      <w:r w:rsidRPr="00DA3B6C">
        <w:rPr>
          <w:lang w:val="en-GB"/>
        </w:rPr>
        <w:t xml:space="preserve"> (n = 552): </w:t>
      </w:r>
      <w:proofErr w:type="spellStart"/>
      <w:r w:rsidRPr="00DA3B6C">
        <w:rPr>
          <w:lang w:val="en-GB"/>
        </w:rPr>
        <w:t>eGene</w:t>
      </w:r>
      <w:proofErr w:type="spellEnd"/>
      <w:r w:rsidRPr="00DA3B6C">
        <w:rPr>
          <w:lang w:val="en-GB"/>
        </w:rPr>
        <w:t xml:space="preserve"> detected only by WGS–called genotypes; </w:t>
      </w:r>
      <w:proofErr w:type="spellStart"/>
      <w:r w:rsidRPr="00DA3B6C">
        <w:rPr>
          <w:lang w:val="en-GB"/>
        </w:rPr>
        <w:t>Imputed_based</w:t>
      </w:r>
      <w:proofErr w:type="spellEnd"/>
      <w:r w:rsidRPr="00DA3B6C">
        <w:rPr>
          <w:lang w:val="en-GB"/>
        </w:rPr>
        <w:t xml:space="preserve"> _only (n = 1,792): </w:t>
      </w:r>
      <w:proofErr w:type="spellStart"/>
      <w:r w:rsidRPr="00DA3B6C">
        <w:rPr>
          <w:lang w:val="en-GB"/>
        </w:rPr>
        <w:t>eGene</w:t>
      </w:r>
      <w:proofErr w:type="spellEnd"/>
      <w:r w:rsidRPr="00DA3B6C">
        <w:rPr>
          <w:lang w:val="en-GB"/>
        </w:rPr>
        <w:t xml:space="preserve"> detected only by imputed genotypes; Neither (n = 7,935): Non-</w:t>
      </w:r>
      <w:proofErr w:type="spellStart"/>
      <w:r w:rsidRPr="00DA3B6C">
        <w:rPr>
          <w:lang w:val="en-GB"/>
        </w:rPr>
        <w:t>eGene</w:t>
      </w:r>
      <w:proofErr w:type="spellEnd"/>
      <w:r w:rsidRPr="00DA3B6C">
        <w:rPr>
          <w:lang w:val="en-GB"/>
        </w:rPr>
        <w:t xml:space="preserve"> in either dataset. </w:t>
      </w:r>
      <w:r w:rsidRPr="00DA3B6C">
        <w:rPr>
          <w:b/>
          <w:bCs/>
          <w:lang w:val="en-GB"/>
        </w:rPr>
        <w:t>f,</w:t>
      </w:r>
      <w:r w:rsidRPr="00DA3B6C">
        <w:rPr>
          <w:lang w:val="en-GB"/>
        </w:rPr>
        <w:t xml:space="preserve"> Comparison of effect sizes (beta) of top variants across different gene categories. Each point represents a gene. </w:t>
      </w:r>
      <w:r w:rsidRPr="00DA3B6C">
        <w:rPr>
          <w:b/>
          <w:bCs/>
          <w:lang w:val="en-GB"/>
        </w:rPr>
        <w:t>g,</w:t>
      </w:r>
      <w:r w:rsidRPr="00DA3B6C">
        <w:rPr>
          <w:lang w:val="en-GB"/>
        </w:rPr>
        <w:t xml:space="preserve"> </w:t>
      </w:r>
      <w:proofErr w:type="gramStart"/>
      <w:r w:rsidRPr="00DA3B6C">
        <w:rPr>
          <w:lang w:val="en-GB"/>
        </w:rPr>
        <w:t>Overlap</w:t>
      </w:r>
      <w:proofErr w:type="gramEnd"/>
      <w:r w:rsidRPr="00DA3B6C">
        <w:rPr>
          <w:lang w:val="en-GB"/>
        </w:rPr>
        <w:t xml:space="preserve"> of top variants using imputed versus WGS–called genotypes. </w:t>
      </w:r>
      <w:r w:rsidRPr="00DA3B6C">
        <w:rPr>
          <w:b/>
          <w:bCs/>
          <w:lang w:val="en-GB"/>
        </w:rPr>
        <w:t>h,</w:t>
      </w:r>
      <w:r w:rsidRPr="00DA3B6C">
        <w:rPr>
          <w:lang w:val="en-GB"/>
        </w:rPr>
        <w:t xml:space="preserve"> Linkage disequilibrium (LD, r2) among lead variants of the same </w:t>
      </w:r>
      <w:proofErr w:type="spellStart"/>
      <w:r w:rsidRPr="00DA3B6C">
        <w:rPr>
          <w:lang w:val="en-GB"/>
        </w:rPr>
        <w:t>eGenes</w:t>
      </w:r>
      <w:proofErr w:type="spellEnd"/>
      <w:r w:rsidRPr="00DA3B6C">
        <w:rPr>
          <w:lang w:val="en-GB"/>
        </w:rPr>
        <w:t xml:space="preserve"> (n = 5,142) identified using imputed- and WGS-called. The “Distance-matched random set” contains SNP pairs with similar genomic distances as the lead variant pairs. The boxplot shows the median as the central line, the 25th–75th percentiles as the box limits, and whiskers extending 1.5× the interquartile range. Statistical significance was determined using a two-sided Student’s t-test. </w:t>
      </w:r>
      <w:proofErr w:type="spellStart"/>
      <w:r w:rsidRPr="00DA3B6C">
        <w:rPr>
          <w:b/>
          <w:bCs/>
          <w:lang w:val="en-GB"/>
        </w:rPr>
        <w:t>i</w:t>
      </w:r>
      <w:proofErr w:type="spellEnd"/>
      <w:r w:rsidRPr="00DA3B6C">
        <w:rPr>
          <w:b/>
          <w:bCs/>
          <w:lang w:val="en-GB"/>
        </w:rPr>
        <w:t>,</w:t>
      </w:r>
      <w:r w:rsidRPr="00DA3B6C">
        <w:rPr>
          <w:lang w:val="en-GB"/>
        </w:rPr>
        <w:t xml:space="preserve"> Correlation of effect sizes for lead variants of </w:t>
      </w:r>
      <w:proofErr w:type="spellStart"/>
      <w:r w:rsidRPr="00DA3B6C">
        <w:rPr>
          <w:lang w:val="en-GB"/>
        </w:rPr>
        <w:t>eGenes</w:t>
      </w:r>
      <w:proofErr w:type="spellEnd"/>
      <w:r w:rsidRPr="00DA3B6C">
        <w:rPr>
          <w:lang w:val="en-GB"/>
        </w:rPr>
        <w:t xml:space="preserve"> identified using imputed- and WGS-based genotypes. Same lead indicates that the shared </w:t>
      </w:r>
      <w:proofErr w:type="spellStart"/>
      <w:r w:rsidRPr="00DA3B6C">
        <w:rPr>
          <w:lang w:val="en-GB"/>
        </w:rPr>
        <w:t>eGenes</w:t>
      </w:r>
      <w:proofErr w:type="spellEnd"/>
      <w:r w:rsidRPr="00DA3B6C">
        <w:rPr>
          <w:lang w:val="en-GB"/>
        </w:rPr>
        <w:t xml:space="preserve"> have the same lead variant, while Diff lead indicates that the shared </w:t>
      </w:r>
      <w:proofErr w:type="spellStart"/>
      <w:r w:rsidRPr="00DA3B6C">
        <w:rPr>
          <w:lang w:val="en-GB"/>
        </w:rPr>
        <w:t>eGenes</w:t>
      </w:r>
      <w:proofErr w:type="spellEnd"/>
      <w:r w:rsidRPr="00DA3B6C">
        <w:rPr>
          <w:lang w:val="en-GB"/>
        </w:rPr>
        <w:t xml:space="preserve"> have distinct lead variants. P-values were calculated using the asymptotic t approximation. </w:t>
      </w:r>
      <w:r w:rsidRPr="00DA3B6C">
        <w:rPr>
          <w:b/>
          <w:bCs/>
          <w:lang w:val="en-GB"/>
        </w:rPr>
        <w:t>j,</w:t>
      </w:r>
      <w:r w:rsidRPr="00DA3B6C">
        <w:rPr>
          <w:lang w:val="en-GB"/>
        </w:rPr>
        <w:t xml:space="preserve"> Number of top variants detected using imputed and WGS-called genotypes, plotted by distance to the TSS and stratified by median gene expression across samples. </w:t>
      </w:r>
      <w:r w:rsidRPr="00DA3B6C">
        <w:rPr>
          <w:b/>
          <w:bCs/>
          <w:lang w:val="en-GB"/>
        </w:rPr>
        <w:t>k,</w:t>
      </w:r>
      <w:r w:rsidRPr="00DA3B6C">
        <w:rPr>
          <w:lang w:val="en-GB"/>
        </w:rPr>
        <w:t xml:space="preserve"> Functional enrichment (log2 Fold change, mean ± </w:t>
      </w:r>
      <w:proofErr w:type="spellStart"/>
      <w:r w:rsidRPr="00DA3B6C">
        <w:rPr>
          <w:lang w:val="en-GB"/>
        </w:rPr>
        <w:t>s.d.</w:t>
      </w:r>
      <w:proofErr w:type="spellEnd"/>
      <w:r w:rsidRPr="00DA3B6C">
        <w:rPr>
          <w:lang w:val="en-GB"/>
        </w:rPr>
        <w:t xml:space="preserve">, left) and proportion (right) of </w:t>
      </w:r>
      <w:proofErr w:type="spellStart"/>
      <w:r w:rsidRPr="00DA3B6C">
        <w:rPr>
          <w:lang w:val="en-GB"/>
        </w:rPr>
        <w:t>eQTL</w:t>
      </w:r>
      <w:proofErr w:type="spellEnd"/>
      <w:r w:rsidRPr="00DA3B6C">
        <w:rPr>
          <w:lang w:val="en-GB"/>
        </w:rPr>
        <w:t xml:space="preserve"> detected using WGS-called versus imputed genotypes across chromatin states. </w:t>
      </w:r>
      <w:r w:rsidRPr="00DA3B6C">
        <w:rPr>
          <w:b/>
          <w:bCs/>
          <w:lang w:val="en-GB"/>
        </w:rPr>
        <w:t>l,</w:t>
      </w:r>
      <w:r w:rsidRPr="00DA3B6C">
        <w:rPr>
          <w:lang w:val="en-GB"/>
        </w:rPr>
        <w:t xml:space="preserve"> </w:t>
      </w:r>
      <w:proofErr w:type="gramStart"/>
      <w:r w:rsidRPr="00DA3B6C">
        <w:rPr>
          <w:lang w:val="en-GB"/>
        </w:rPr>
        <w:t>The</w:t>
      </w:r>
      <w:proofErr w:type="gramEnd"/>
      <w:r w:rsidRPr="00DA3B6C">
        <w:rPr>
          <w:lang w:val="en-GB"/>
        </w:rPr>
        <w:t xml:space="preserve"> left panel represents numbers of independent </w:t>
      </w:r>
      <w:proofErr w:type="spellStart"/>
      <w:r w:rsidRPr="00DA3B6C">
        <w:rPr>
          <w:lang w:val="en-GB"/>
        </w:rPr>
        <w:t>eQTL</w:t>
      </w:r>
      <w:proofErr w:type="spellEnd"/>
      <w:r w:rsidRPr="00DA3B6C">
        <w:rPr>
          <w:lang w:val="en-GB"/>
        </w:rPr>
        <w:t xml:space="preserve"> per gene detected using WGS-called and imputed genotypes. Point size reflects the number of </w:t>
      </w:r>
      <w:proofErr w:type="spellStart"/>
      <w:r w:rsidRPr="00DA3B6C">
        <w:rPr>
          <w:lang w:val="en-GB"/>
        </w:rPr>
        <w:t>eGenes</w:t>
      </w:r>
      <w:proofErr w:type="spellEnd"/>
      <w:r w:rsidRPr="00DA3B6C">
        <w:rPr>
          <w:lang w:val="en-GB"/>
        </w:rPr>
        <w:t xml:space="preserve"> with the corresponding number of independent </w:t>
      </w:r>
      <w:proofErr w:type="spellStart"/>
      <w:r w:rsidRPr="00DA3B6C">
        <w:rPr>
          <w:lang w:val="en-GB"/>
        </w:rPr>
        <w:t>eQTL</w:t>
      </w:r>
      <w:proofErr w:type="spellEnd"/>
      <w:r w:rsidRPr="00DA3B6C">
        <w:rPr>
          <w:lang w:val="en-GB"/>
        </w:rPr>
        <w:t xml:space="preserve">. The right panel represents numbers of credible sets per gene detected in fine-mapping using WGS-called and imputed genotypes. Point size reflects the number of </w:t>
      </w:r>
      <w:proofErr w:type="spellStart"/>
      <w:r w:rsidRPr="00DA3B6C">
        <w:rPr>
          <w:lang w:val="en-GB"/>
        </w:rPr>
        <w:t>eGenes</w:t>
      </w:r>
      <w:proofErr w:type="spellEnd"/>
      <w:r w:rsidRPr="00DA3B6C">
        <w:rPr>
          <w:lang w:val="en-GB"/>
        </w:rPr>
        <w:t xml:space="preserve"> with the corresponding number of credible sets. </w:t>
      </w:r>
      <w:r w:rsidRPr="00DA3B6C">
        <w:rPr>
          <w:b/>
          <w:bCs/>
          <w:lang w:val="en-GB"/>
        </w:rPr>
        <w:t>m,</w:t>
      </w:r>
      <w:r w:rsidRPr="00DA3B6C">
        <w:rPr>
          <w:lang w:val="en-GB"/>
        </w:rPr>
        <w:t xml:space="preserve"> Percentage of fine-mapped variants detected using WGS-called and imputed genotypes, shown across different posterior inclusion probability (PIP) thresholds</w:t>
      </w:r>
      <w:r w:rsidRPr="00DA3B6C">
        <w:rPr>
          <w:lang w:val="en-US"/>
        </w:rPr>
        <w:t xml:space="preserve"> </w:t>
      </w:r>
      <w:r w:rsidRPr="00DA3B6C">
        <w:rPr>
          <w:lang w:val="en-US"/>
        </w:rPr>
        <w:br w:type="page"/>
      </w:r>
    </w:p>
    <w:p w14:paraId="10109F53" w14:textId="68BAF6F6" w:rsidR="00DA3B6C" w:rsidRPr="00DA3B6C" w:rsidRDefault="00DA3B6C" w:rsidP="00DA3B6C">
      <w:pPr>
        <w:rPr>
          <w:lang w:val="en-US"/>
        </w:rPr>
      </w:pPr>
      <w:r w:rsidRPr="00DA3B6C">
        <w:rPr>
          <w:lang w:val="en-GB"/>
        </w:rPr>
        <w:lastRenderedPageBreak/>
        <w:drawing>
          <wp:inline distT="0" distB="0" distL="0" distR="0" wp14:anchorId="202A93CB" wp14:editId="2B3343C0">
            <wp:extent cx="5727700" cy="4146550"/>
            <wp:effectExtent l="0" t="0" r="6350" b="6350"/>
            <wp:docPr id="189336056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7700" cy="4146550"/>
                    </a:xfrm>
                    <a:prstGeom prst="rect">
                      <a:avLst/>
                    </a:prstGeom>
                    <a:noFill/>
                    <a:ln>
                      <a:noFill/>
                    </a:ln>
                  </pic:spPr>
                </pic:pic>
              </a:graphicData>
            </a:graphic>
          </wp:inline>
        </w:drawing>
      </w:r>
    </w:p>
    <w:p w14:paraId="68BCE26E" w14:textId="77777777" w:rsidR="00DA3B6C" w:rsidRPr="00DA3B6C" w:rsidRDefault="00DA3B6C" w:rsidP="00DA3B6C">
      <w:pPr>
        <w:rPr>
          <w:lang w:val="en-GB"/>
        </w:rPr>
      </w:pPr>
      <w:r w:rsidRPr="00DA3B6C">
        <w:rPr>
          <w:b/>
          <w:bCs/>
          <w:lang w:val="en-GB"/>
        </w:rPr>
        <w:t xml:space="preserve">Extended Data Fig. 3 | </w:t>
      </w:r>
      <w:r w:rsidRPr="00DA3B6C">
        <w:rPr>
          <w:lang w:val="en-GB"/>
        </w:rPr>
        <w:t xml:space="preserve">The distribution of the number of conditionally independent </w:t>
      </w:r>
      <w:r w:rsidRPr="00DA3B6C">
        <w:rPr>
          <w:i/>
          <w:iCs/>
          <w:lang w:val="en-GB"/>
        </w:rPr>
        <w:t>cis</w:t>
      </w:r>
      <w:r w:rsidRPr="00DA3B6C">
        <w:rPr>
          <w:lang w:val="en-GB"/>
        </w:rPr>
        <w:t>-</w:t>
      </w:r>
      <w:proofErr w:type="spellStart"/>
      <w:r w:rsidRPr="00DA3B6C">
        <w:rPr>
          <w:lang w:val="en-GB"/>
        </w:rPr>
        <w:t>molQTL</w:t>
      </w:r>
      <w:proofErr w:type="spellEnd"/>
      <w:r w:rsidRPr="00DA3B6C">
        <w:rPr>
          <w:lang w:val="en-GB"/>
        </w:rPr>
        <w:t xml:space="preserve"> per gene across six </w:t>
      </w:r>
      <w:proofErr w:type="spellStart"/>
      <w:r w:rsidRPr="00DA3B6C">
        <w:rPr>
          <w:lang w:val="en-GB"/>
        </w:rPr>
        <w:t>molQTL</w:t>
      </w:r>
      <w:proofErr w:type="spellEnd"/>
      <w:r w:rsidRPr="00DA3B6C">
        <w:rPr>
          <w:lang w:val="en-GB"/>
        </w:rPr>
        <w:t xml:space="preserve"> is shown as blue stacked bars across 35 tissues. Tissues are ordered by decreasing sample size.</w:t>
      </w:r>
    </w:p>
    <w:p w14:paraId="31478767" w14:textId="77777777" w:rsidR="00DA3B6C" w:rsidRPr="00DA3B6C" w:rsidRDefault="00DA3B6C" w:rsidP="00DA3B6C">
      <w:pPr>
        <w:rPr>
          <w:lang w:val="en-US"/>
        </w:rPr>
      </w:pPr>
      <w:r w:rsidRPr="00DA3B6C">
        <w:rPr>
          <w:lang w:val="en-US"/>
        </w:rPr>
        <w:br w:type="page"/>
      </w:r>
    </w:p>
    <w:p w14:paraId="20225469" w14:textId="70934EAE" w:rsidR="00DA3B6C" w:rsidRPr="00DA3B6C" w:rsidRDefault="00DA3B6C" w:rsidP="00DA3B6C">
      <w:pPr>
        <w:rPr>
          <w:lang w:val="en-US"/>
        </w:rPr>
      </w:pPr>
      <w:r w:rsidRPr="00DA3B6C">
        <w:rPr>
          <w:lang w:val="en-GB"/>
        </w:rPr>
        <w:lastRenderedPageBreak/>
        <w:drawing>
          <wp:inline distT="0" distB="0" distL="0" distR="0" wp14:anchorId="1C7485ED" wp14:editId="3BC3D8E7">
            <wp:extent cx="5073650" cy="7867650"/>
            <wp:effectExtent l="0" t="0" r="0" b="0"/>
            <wp:docPr id="44545991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73650" cy="7867650"/>
                    </a:xfrm>
                    <a:prstGeom prst="rect">
                      <a:avLst/>
                    </a:prstGeom>
                    <a:noFill/>
                    <a:ln>
                      <a:noFill/>
                    </a:ln>
                  </pic:spPr>
                </pic:pic>
              </a:graphicData>
            </a:graphic>
          </wp:inline>
        </w:drawing>
      </w:r>
    </w:p>
    <w:p w14:paraId="600CF963" w14:textId="77777777" w:rsidR="00DA3B6C" w:rsidRPr="00DA3B6C" w:rsidRDefault="00DA3B6C" w:rsidP="00DA3B6C">
      <w:pPr>
        <w:rPr>
          <w:lang w:val="en-US"/>
        </w:rPr>
      </w:pPr>
      <w:r w:rsidRPr="00DA3B6C">
        <w:rPr>
          <w:b/>
          <w:bCs/>
          <w:lang w:val="en-GB"/>
        </w:rPr>
        <w:t>Extended Data Fig. 4 |</w:t>
      </w:r>
      <w:r w:rsidRPr="00DA3B6C">
        <w:rPr>
          <w:lang w:val="en-GB"/>
        </w:rPr>
        <w:t xml:space="preserve"> Functional enrichment of primary and non-primary effects in six </w:t>
      </w:r>
      <w:proofErr w:type="spellStart"/>
      <w:r w:rsidRPr="00DA3B6C">
        <w:rPr>
          <w:lang w:val="en-GB"/>
        </w:rPr>
        <w:t>molQTL</w:t>
      </w:r>
      <w:proofErr w:type="spellEnd"/>
      <w:r w:rsidRPr="00DA3B6C">
        <w:rPr>
          <w:lang w:val="en-GB"/>
        </w:rPr>
        <w:t xml:space="preserve"> with regulatory elements (left: SNP classification, right: chromatin states). </w:t>
      </w:r>
      <w:r w:rsidRPr="00DA3B6C">
        <w:rPr>
          <w:lang w:val="en-US"/>
        </w:rPr>
        <w:br w:type="page"/>
      </w:r>
    </w:p>
    <w:p w14:paraId="6CC84279" w14:textId="11DAC8FA" w:rsidR="00DA3B6C" w:rsidRPr="00DA3B6C" w:rsidRDefault="00DA3B6C" w:rsidP="00DA3B6C">
      <w:pPr>
        <w:rPr>
          <w:lang w:val="en-US"/>
        </w:rPr>
      </w:pPr>
      <w:r w:rsidRPr="00DA3B6C">
        <w:rPr>
          <w:lang w:val="en-GB"/>
        </w:rPr>
        <w:lastRenderedPageBreak/>
        <w:drawing>
          <wp:inline distT="0" distB="0" distL="0" distR="0" wp14:anchorId="3D428AE6" wp14:editId="03219E55">
            <wp:extent cx="5731510" cy="6415405"/>
            <wp:effectExtent l="0" t="0" r="2540" b="4445"/>
            <wp:docPr id="100635057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6415405"/>
                    </a:xfrm>
                    <a:prstGeom prst="rect">
                      <a:avLst/>
                    </a:prstGeom>
                    <a:noFill/>
                    <a:ln>
                      <a:noFill/>
                    </a:ln>
                  </pic:spPr>
                </pic:pic>
              </a:graphicData>
            </a:graphic>
          </wp:inline>
        </w:drawing>
      </w:r>
    </w:p>
    <w:p w14:paraId="59AB114B" w14:textId="77777777" w:rsidR="00DA3B6C" w:rsidRPr="00DA3B6C" w:rsidRDefault="00DA3B6C" w:rsidP="00DA3B6C">
      <w:pPr>
        <w:rPr>
          <w:lang w:val="en-GB"/>
        </w:rPr>
      </w:pPr>
      <w:r w:rsidRPr="00DA3B6C">
        <w:rPr>
          <w:b/>
          <w:bCs/>
          <w:lang w:val="en-GB"/>
        </w:rPr>
        <w:t xml:space="preserve">Extended Data Fig. 5 | a-c, </w:t>
      </w:r>
      <w:r w:rsidRPr="00DA3B6C">
        <w:rPr>
          <w:lang w:val="en-GB"/>
        </w:rPr>
        <w:t xml:space="preserve">Colocalization analyses </w:t>
      </w:r>
      <w:proofErr w:type="spellStart"/>
      <w:r w:rsidRPr="00DA3B6C">
        <w:rPr>
          <w:lang w:val="en-GB"/>
        </w:rPr>
        <w:t>eQTL</w:t>
      </w:r>
      <w:proofErr w:type="spellEnd"/>
      <w:r w:rsidRPr="00DA3B6C">
        <w:rPr>
          <w:lang w:val="en-GB"/>
        </w:rPr>
        <w:t xml:space="preserve"> across other six molecular phenotypes of the same </w:t>
      </w:r>
      <w:proofErr w:type="spellStart"/>
      <w:r w:rsidRPr="00DA3B6C">
        <w:rPr>
          <w:lang w:val="en-GB"/>
        </w:rPr>
        <w:t>molGene</w:t>
      </w:r>
      <w:proofErr w:type="spellEnd"/>
      <w:r w:rsidRPr="00DA3B6C">
        <w:rPr>
          <w:lang w:val="en-GB"/>
        </w:rPr>
        <w:t>. PP</w:t>
      </w:r>
      <w:r w:rsidRPr="00DA3B6C">
        <w:rPr>
          <w:vertAlign w:val="subscript"/>
          <w:lang w:val="en-GB"/>
        </w:rPr>
        <w:t>3</w:t>
      </w:r>
      <w:r w:rsidRPr="00DA3B6C">
        <w:rPr>
          <w:lang w:val="en-GB"/>
        </w:rPr>
        <w:t xml:space="preserve">: the posterior probability that the two </w:t>
      </w:r>
      <w:proofErr w:type="spellStart"/>
      <w:r w:rsidRPr="00DA3B6C">
        <w:rPr>
          <w:lang w:val="en-GB"/>
        </w:rPr>
        <w:t>molQTL</w:t>
      </w:r>
      <w:proofErr w:type="spellEnd"/>
      <w:r w:rsidRPr="00DA3B6C">
        <w:rPr>
          <w:lang w:val="en-GB"/>
        </w:rPr>
        <w:t xml:space="preserve"> are driven by distinct causal variants (</w:t>
      </w:r>
      <w:r w:rsidRPr="00DA3B6C">
        <w:rPr>
          <w:b/>
          <w:bCs/>
          <w:lang w:val="en-GB"/>
        </w:rPr>
        <w:t>a</w:t>
      </w:r>
      <w:r w:rsidRPr="00DA3B6C">
        <w:rPr>
          <w:lang w:val="en-GB"/>
        </w:rPr>
        <w:t>). PP</w:t>
      </w:r>
      <w:r w:rsidRPr="00DA3B6C">
        <w:rPr>
          <w:vertAlign w:val="subscript"/>
          <w:lang w:val="en-GB"/>
        </w:rPr>
        <w:t>4</w:t>
      </w:r>
      <w:r w:rsidRPr="00DA3B6C">
        <w:rPr>
          <w:lang w:val="en-GB"/>
        </w:rPr>
        <w:t xml:space="preserve">: the posterior probability that the two </w:t>
      </w:r>
      <w:proofErr w:type="spellStart"/>
      <w:r w:rsidRPr="00DA3B6C">
        <w:rPr>
          <w:lang w:val="en-GB"/>
        </w:rPr>
        <w:t>molQTL</w:t>
      </w:r>
      <w:proofErr w:type="spellEnd"/>
      <w:r w:rsidRPr="00DA3B6C">
        <w:rPr>
          <w:lang w:val="en-GB"/>
        </w:rPr>
        <w:t xml:space="preserve"> share a single causal variant (</w:t>
      </w:r>
      <w:r w:rsidRPr="00DA3B6C">
        <w:rPr>
          <w:b/>
          <w:bCs/>
          <w:lang w:val="en-GB"/>
        </w:rPr>
        <w:t>c</w:t>
      </w:r>
      <w:r w:rsidRPr="00DA3B6C">
        <w:rPr>
          <w:lang w:val="en-GB"/>
        </w:rPr>
        <w:t>). LD (r</w:t>
      </w:r>
      <w:r w:rsidRPr="00DA3B6C">
        <w:rPr>
          <w:vertAlign w:val="superscript"/>
          <w:lang w:val="en-GB"/>
        </w:rPr>
        <w:t>2</w:t>
      </w:r>
      <w:r w:rsidRPr="00DA3B6C">
        <w:rPr>
          <w:lang w:val="en-GB"/>
        </w:rPr>
        <w:t xml:space="preserve">): the linkage disequilibrium of lead SNPs of two molecular phenotypes derived from the </w:t>
      </w:r>
      <w:proofErr w:type="spellStart"/>
      <w:r w:rsidRPr="00DA3B6C">
        <w:rPr>
          <w:lang w:val="en-GB"/>
        </w:rPr>
        <w:t>molGene</w:t>
      </w:r>
      <w:proofErr w:type="spellEnd"/>
      <w:r w:rsidRPr="00DA3B6C">
        <w:rPr>
          <w:lang w:val="en-GB"/>
        </w:rPr>
        <w:t xml:space="preserve"> (</w:t>
      </w:r>
      <w:r w:rsidRPr="00DA3B6C">
        <w:rPr>
          <w:b/>
          <w:bCs/>
          <w:lang w:val="en-GB"/>
        </w:rPr>
        <w:t>b</w:t>
      </w:r>
      <w:r w:rsidRPr="00DA3B6C">
        <w:rPr>
          <w:lang w:val="en-GB"/>
        </w:rPr>
        <w:t xml:space="preserve">). </w:t>
      </w:r>
      <w:r w:rsidRPr="00DA3B6C">
        <w:rPr>
          <w:b/>
          <w:bCs/>
          <w:lang w:val="en-GB"/>
        </w:rPr>
        <w:t>d,</w:t>
      </w:r>
      <w:r w:rsidRPr="00DA3B6C">
        <w:rPr>
          <w:lang w:val="en-GB"/>
        </w:rPr>
        <w:t xml:space="preserve"> Examples of distinct signals between </w:t>
      </w:r>
      <w:proofErr w:type="spellStart"/>
      <w:r w:rsidRPr="00DA3B6C">
        <w:rPr>
          <w:lang w:val="en-GB"/>
        </w:rPr>
        <w:t>eQTL</w:t>
      </w:r>
      <w:proofErr w:type="spellEnd"/>
      <w:r w:rsidRPr="00DA3B6C">
        <w:rPr>
          <w:lang w:val="en-GB"/>
        </w:rPr>
        <w:t xml:space="preserve"> and other six </w:t>
      </w:r>
      <w:proofErr w:type="spellStart"/>
      <w:r w:rsidRPr="00DA3B6C">
        <w:rPr>
          <w:lang w:val="en-GB"/>
        </w:rPr>
        <w:t>molQTL</w:t>
      </w:r>
      <w:proofErr w:type="spellEnd"/>
      <w:r w:rsidRPr="00DA3B6C">
        <w:rPr>
          <w:lang w:val="en-GB"/>
        </w:rPr>
        <w:t xml:space="preserve"> within the same </w:t>
      </w:r>
      <w:proofErr w:type="spellStart"/>
      <w:r w:rsidRPr="00DA3B6C">
        <w:rPr>
          <w:lang w:val="en-GB"/>
        </w:rPr>
        <w:t>molGene</w:t>
      </w:r>
      <w:proofErr w:type="spellEnd"/>
      <w:r w:rsidRPr="00DA3B6C">
        <w:rPr>
          <w:lang w:val="en-GB"/>
        </w:rPr>
        <w:t xml:space="preserve">. The two-sided P values of lead SNPs were calculated by the linear mixed regression model. </w:t>
      </w:r>
      <w:r w:rsidRPr="00DA3B6C">
        <w:rPr>
          <w:b/>
          <w:bCs/>
          <w:lang w:val="en-GB"/>
        </w:rPr>
        <w:t>e,</w:t>
      </w:r>
      <w:r w:rsidRPr="00DA3B6C">
        <w:rPr>
          <w:lang w:val="en-GB"/>
        </w:rPr>
        <w:t xml:space="preserve"> Functional enrichment of pleiotropic </w:t>
      </w:r>
      <w:proofErr w:type="spellStart"/>
      <w:r w:rsidRPr="00DA3B6C">
        <w:rPr>
          <w:lang w:val="en-GB"/>
        </w:rPr>
        <w:t>eQTL</w:t>
      </w:r>
      <w:proofErr w:type="spellEnd"/>
      <w:r w:rsidRPr="00DA3B6C">
        <w:rPr>
          <w:lang w:val="en-GB"/>
        </w:rPr>
        <w:t xml:space="preserve"> with regulatory elements (left: SNP classification, right: chromatin states).</w:t>
      </w:r>
      <w:r w:rsidRPr="00DA3B6C">
        <w:rPr>
          <w:lang w:val="en-GB"/>
        </w:rPr>
        <w:br w:type="page"/>
      </w:r>
    </w:p>
    <w:p w14:paraId="12C35579" w14:textId="7D393B32" w:rsidR="00DA3B6C" w:rsidRPr="00DA3B6C" w:rsidRDefault="00DA3B6C" w:rsidP="00DA3B6C">
      <w:pPr>
        <w:rPr>
          <w:lang w:val="en-GB"/>
        </w:rPr>
      </w:pPr>
      <w:r w:rsidRPr="00DA3B6C">
        <w:rPr>
          <w:lang w:val="en-GB"/>
        </w:rPr>
        <w:lastRenderedPageBreak/>
        <w:drawing>
          <wp:inline distT="0" distB="0" distL="0" distR="0" wp14:anchorId="3CD75D11" wp14:editId="66CA8A1E">
            <wp:extent cx="5731510" cy="5142865"/>
            <wp:effectExtent l="0" t="0" r="2540" b="635"/>
            <wp:docPr id="193467940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5142865"/>
                    </a:xfrm>
                    <a:prstGeom prst="rect">
                      <a:avLst/>
                    </a:prstGeom>
                    <a:noFill/>
                    <a:ln>
                      <a:noFill/>
                    </a:ln>
                  </pic:spPr>
                </pic:pic>
              </a:graphicData>
            </a:graphic>
          </wp:inline>
        </w:drawing>
      </w:r>
    </w:p>
    <w:p w14:paraId="6AB2B3A8" w14:textId="77777777" w:rsidR="00DA3B6C" w:rsidRPr="00DA3B6C" w:rsidRDefault="00DA3B6C" w:rsidP="00DA3B6C">
      <w:pPr>
        <w:rPr>
          <w:i/>
          <w:iCs/>
          <w:lang w:val="en-GB"/>
        </w:rPr>
      </w:pPr>
      <w:r w:rsidRPr="00DA3B6C">
        <w:rPr>
          <w:b/>
          <w:bCs/>
          <w:lang w:val="en-GB"/>
        </w:rPr>
        <w:t>Extended Data Fig. 6 | a,</w:t>
      </w:r>
      <w:r w:rsidRPr="00DA3B6C">
        <w:rPr>
          <w:lang w:val="en-GB"/>
        </w:rPr>
        <w:t xml:space="preserve"> Storey’s π</w:t>
      </w:r>
      <w:r w:rsidRPr="00DA3B6C">
        <w:rPr>
          <w:vertAlign w:val="subscript"/>
          <w:lang w:val="en-GB"/>
        </w:rPr>
        <w:t>1</w:t>
      </w:r>
      <w:r w:rsidRPr="00DA3B6C">
        <w:rPr>
          <w:lang w:val="en-GB"/>
        </w:rPr>
        <w:t xml:space="preserve"> statistics implemented in the </w:t>
      </w:r>
      <w:proofErr w:type="spellStart"/>
      <w:r w:rsidRPr="00DA3B6C">
        <w:rPr>
          <w:lang w:val="en-GB"/>
        </w:rPr>
        <w:t>qvalue</w:t>
      </w:r>
      <w:proofErr w:type="spellEnd"/>
      <w:r w:rsidRPr="00DA3B6C">
        <w:rPr>
          <w:lang w:val="en-GB"/>
        </w:rPr>
        <w:t xml:space="preserve"> package (v2.32.0)</w:t>
      </w:r>
      <w:r w:rsidRPr="00DA3B6C">
        <w:rPr>
          <w:lang w:val="en-GB"/>
        </w:rPr>
        <w:fldChar w:fldCharType="begin"/>
      </w:r>
      <w:r w:rsidRPr="00DA3B6C">
        <w:rPr>
          <w:lang w:val="en-GB"/>
        </w:rPr>
        <w:instrText xml:space="preserve"> ADDIN EN.CITE &lt;EndNote&gt;&lt;Cite&gt;&lt;Author&gt;Storey&lt;/Author&gt;&lt;RecNum&gt;86&lt;/RecNum&gt;&lt;DisplayText&gt;&lt;style face="superscript"&gt;119&lt;/style&gt;&lt;/DisplayText&gt;&lt;record&gt;&lt;rec-number&gt;86&lt;/rec-number&gt;&lt;foreign-keys&gt;&lt;key app="EN" db-id="5vwfzpztmzssvmefwrpxfevg52w5wax0r9r5" timestamp="1772079778"&gt;86&lt;/key&gt;&lt;/foreign-keys&gt;&lt;ref-type name="Journal Article"&gt;17&lt;/ref-type&gt;&lt;contributors&gt;&lt;authors&gt;&lt;author&gt;Storey, J. D.&lt;/author&gt;&lt;author&gt;Tibshirani, R.&lt;/author&gt;&lt;/authors&gt;&lt;translated-authors&gt;&lt;author&gt;Proc Natl Acad Sci, U. S. A.&lt;/author&gt;&lt;/translated-authors&gt;&lt;/contributors&gt;&lt;auth-address&gt;Department of Biostatistics, University of Washington, Seattle, WA 98195, USA. jstorey@u.washington.edu FAU - Tibshirani, Robert&lt;/auth-address&gt;&lt;titles&gt;&lt;title&gt;Statistical significance for genomewide studies&lt;/title&gt;&lt;/titles&gt;&lt;number&gt;0027-8424 (Print)&lt;/number&gt;&lt;dates&gt;&lt;/dates&gt;&lt;urls&gt;&lt;/urls&gt;&lt;remote-database-provider&gt;2003 Aug 5&lt;/remote-database-provider&gt;&lt;language&gt;eng&lt;/language&gt;&lt;/record&gt;&lt;/Cite&gt;&lt;/EndNote&gt;</w:instrText>
      </w:r>
      <w:r w:rsidRPr="00DA3B6C">
        <w:rPr>
          <w:lang w:val="en-GB"/>
        </w:rPr>
        <w:fldChar w:fldCharType="separate"/>
      </w:r>
      <w:r w:rsidRPr="00DA3B6C">
        <w:rPr>
          <w:vertAlign w:val="superscript"/>
          <w:lang w:val="en-GB"/>
        </w:rPr>
        <w:t>119</w:t>
      </w:r>
      <w:r w:rsidRPr="00DA3B6C">
        <w:fldChar w:fldCharType="end"/>
      </w:r>
      <w:r w:rsidRPr="00DA3B6C">
        <w:rPr>
          <w:lang w:val="en-GB"/>
        </w:rPr>
        <w:t xml:space="preserve"> and Spearman’s correlation were used to assess replication of effect sizes between </w:t>
      </w:r>
      <w:r w:rsidRPr="00DA3B6C">
        <w:rPr>
          <w:i/>
          <w:iCs/>
          <w:lang w:val="en-GB"/>
        </w:rPr>
        <w:t>B. taurus</w:t>
      </w:r>
      <w:r w:rsidRPr="00DA3B6C">
        <w:rPr>
          <w:lang w:val="en-GB"/>
        </w:rPr>
        <w:t xml:space="preserve"> and </w:t>
      </w:r>
      <w:r w:rsidRPr="00DA3B6C">
        <w:rPr>
          <w:i/>
          <w:iCs/>
          <w:lang w:val="en-GB"/>
        </w:rPr>
        <w:t>B. indicus</w:t>
      </w:r>
      <w:r w:rsidRPr="00DA3B6C">
        <w:rPr>
          <w:lang w:val="en-GB"/>
        </w:rPr>
        <w:t xml:space="preserve"> across eight tissues. In each tissue, the p-value of the </w:t>
      </w:r>
      <w:proofErr w:type="spellStart"/>
      <w:r w:rsidRPr="00DA3B6C">
        <w:rPr>
          <w:lang w:val="en-GB"/>
        </w:rPr>
        <w:t>eQTL</w:t>
      </w:r>
      <w:proofErr w:type="spellEnd"/>
      <w:r w:rsidRPr="00DA3B6C">
        <w:rPr>
          <w:lang w:val="en-GB"/>
        </w:rPr>
        <w:t xml:space="preserve"> of </w:t>
      </w:r>
      <w:r w:rsidRPr="00DA3B6C">
        <w:rPr>
          <w:i/>
          <w:iCs/>
          <w:lang w:val="en-GB"/>
        </w:rPr>
        <w:t>B. taurus</w:t>
      </w:r>
      <w:r w:rsidRPr="00DA3B6C">
        <w:rPr>
          <w:lang w:val="en-GB"/>
        </w:rPr>
        <w:t xml:space="preserve"> was used as observation (</w:t>
      </w:r>
      <w:r w:rsidRPr="00DA3B6C">
        <w:rPr>
          <w:b/>
          <w:bCs/>
          <w:lang w:val="en-GB"/>
        </w:rPr>
        <w:t>left</w:t>
      </w:r>
      <w:r w:rsidRPr="00DA3B6C">
        <w:rPr>
          <w:lang w:val="en-GB"/>
        </w:rPr>
        <w:t>) and validation data (</w:t>
      </w:r>
      <w:r w:rsidRPr="00DA3B6C">
        <w:rPr>
          <w:b/>
          <w:bCs/>
          <w:lang w:val="en-GB"/>
        </w:rPr>
        <w:t>mid</w:t>
      </w:r>
      <w:r w:rsidRPr="00DA3B6C">
        <w:rPr>
          <w:lang w:val="en-GB"/>
        </w:rPr>
        <w:t xml:space="preserve">), respectively. </w:t>
      </w:r>
      <w:r w:rsidRPr="00DA3B6C">
        <w:rPr>
          <w:b/>
          <w:bCs/>
          <w:lang w:val="en-GB"/>
        </w:rPr>
        <w:t>b,</w:t>
      </w:r>
      <w:r w:rsidRPr="00DA3B6C">
        <w:rPr>
          <w:lang w:val="en-GB"/>
        </w:rPr>
        <w:t xml:space="preserve"> Spearman’s correlation between odds ratio (OR) of enrichment between tissue-specific </w:t>
      </w:r>
      <w:proofErr w:type="spellStart"/>
      <w:r w:rsidRPr="00DA3B6C">
        <w:rPr>
          <w:lang w:val="en-GB"/>
        </w:rPr>
        <w:t>eQTL</w:t>
      </w:r>
      <w:proofErr w:type="spellEnd"/>
      <w:r w:rsidRPr="00DA3B6C">
        <w:rPr>
          <w:lang w:val="en-GB"/>
        </w:rPr>
        <w:t xml:space="preserve"> and strongly selected regions and spearman’s correlation of effect sizes between </w:t>
      </w:r>
      <w:r w:rsidRPr="00DA3B6C">
        <w:rPr>
          <w:i/>
          <w:iCs/>
          <w:lang w:val="en-GB"/>
        </w:rPr>
        <w:t>B. taurus</w:t>
      </w:r>
      <w:r w:rsidRPr="00DA3B6C">
        <w:rPr>
          <w:lang w:val="en-GB"/>
        </w:rPr>
        <w:t xml:space="preserve"> and </w:t>
      </w:r>
      <w:r w:rsidRPr="00DA3B6C">
        <w:rPr>
          <w:i/>
          <w:iCs/>
          <w:lang w:val="en-GB"/>
        </w:rPr>
        <w:t>B. indicus.</w:t>
      </w:r>
      <w:r w:rsidRPr="00DA3B6C">
        <w:rPr>
          <w:i/>
          <w:iCs/>
          <w:lang w:val="en-GB"/>
        </w:rPr>
        <w:br w:type="page"/>
      </w:r>
    </w:p>
    <w:p w14:paraId="64A336C7" w14:textId="63EAD59C" w:rsidR="00DA3B6C" w:rsidRPr="00DA3B6C" w:rsidRDefault="00DA3B6C" w:rsidP="00DA3B6C">
      <w:pPr>
        <w:rPr>
          <w:lang w:val="en-GB"/>
        </w:rPr>
      </w:pPr>
      <w:r w:rsidRPr="00DA3B6C">
        <w:rPr>
          <w:lang w:val="en-GB"/>
        </w:rPr>
        <w:lastRenderedPageBreak/>
        <w:drawing>
          <wp:inline distT="0" distB="0" distL="0" distR="0" wp14:anchorId="2D1A21E7" wp14:editId="503D8A2E">
            <wp:extent cx="5727700" cy="5892800"/>
            <wp:effectExtent l="0" t="0" r="6350" b="0"/>
            <wp:docPr id="192867771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7700" cy="5892800"/>
                    </a:xfrm>
                    <a:prstGeom prst="rect">
                      <a:avLst/>
                    </a:prstGeom>
                    <a:noFill/>
                    <a:ln>
                      <a:noFill/>
                    </a:ln>
                  </pic:spPr>
                </pic:pic>
              </a:graphicData>
            </a:graphic>
          </wp:inline>
        </w:drawing>
      </w:r>
    </w:p>
    <w:p w14:paraId="64796F12" w14:textId="77777777" w:rsidR="00DA3B6C" w:rsidRPr="00DA3B6C" w:rsidRDefault="00DA3B6C" w:rsidP="00DA3B6C">
      <w:pPr>
        <w:rPr>
          <w:lang w:val="en-GB"/>
        </w:rPr>
      </w:pPr>
      <w:r w:rsidRPr="00DA3B6C">
        <w:rPr>
          <w:b/>
          <w:bCs/>
          <w:lang w:val="en-GB"/>
        </w:rPr>
        <w:t xml:space="preserve">Extended Data Fig. 7 | </w:t>
      </w:r>
      <w:r w:rsidRPr="00DA3B6C">
        <w:rPr>
          <w:lang w:val="en-GB"/>
        </w:rPr>
        <w:t>Storey’s π</w:t>
      </w:r>
      <w:r w:rsidRPr="00DA3B6C">
        <w:rPr>
          <w:vertAlign w:val="subscript"/>
          <w:lang w:val="en-GB"/>
        </w:rPr>
        <w:t>1</w:t>
      </w:r>
      <w:r w:rsidRPr="00DA3B6C">
        <w:rPr>
          <w:lang w:val="en-GB"/>
        </w:rPr>
        <w:t xml:space="preserve"> statistics implemented in the </w:t>
      </w:r>
      <w:proofErr w:type="spellStart"/>
      <w:r w:rsidRPr="00DA3B6C">
        <w:rPr>
          <w:lang w:val="en-GB"/>
        </w:rPr>
        <w:t>qvalue</w:t>
      </w:r>
      <w:proofErr w:type="spellEnd"/>
      <w:r w:rsidRPr="00DA3B6C">
        <w:rPr>
          <w:lang w:val="en-GB"/>
        </w:rPr>
        <w:t xml:space="preserve"> package (v2.32.0)</w:t>
      </w:r>
      <w:r w:rsidRPr="00DA3B6C">
        <w:rPr>
          <w:lang w:val="en-GB"/>
        </w:rPr>
        <w:fldChar w:fldCharType="begin"/>
      </w:r>
      <w:r w:rsidRPr="00DA3B6C">
        <w:rPr>
          <w:lang w:val="en-GB"/>
        </w:rPr>
        <w:instrText xml:space="preserve"> ADDIN EN.CITE &lt;EndNote&gt;&lt;Cite&gt;&lt;Author&gt;Storey&lt;/Author&gt;&lt;RecNum&gt;86&lt;/RecNum&gt;&lt;DisplayText&gt;&lt;style face="superscript"&gt;119&lt;/style&gt;&lt;/DisplayText&gt;&lt;record&gt;&lt;rec-number&gt;86&lt;/rec-number&gt;&lt;foreign-keys&gt;&lt;key app="EN" db-id="5vwfzpztmzssvmefwrpxfevg52w5wax0r9r5" timestamp="1772079778"&gt;86&lt;/key&gt;&lt;/foreign-keys&gt;&lt;ref-type name="Journal Article"&gt;17&lt;/ref-type&gt;&lt;contributors&gt;&lt;authors&gt;&lt;author&gt;Storey, J. D.&lt;/author&gt;&lt;author&gt;Tibshirani, R.&lt;/author&gt;&lt;/authors&gt;&lt;translated-authors&gt;&lt;author&gt;Proc Natl Acad Sci, U. S. A.&lt;/author&gt;&lt;/translated-authors&gt;&lt;/contributors&gt;&lt;auth-address&gt;Department of Biostatistics, University of Washington, Seattle, WA 98195, USA. jstorey@u.washington.edu FAU - Tibshirani, Robert&lt;/auth-address&gt;&lt;titles&gt;&lt;title&gt;Statistical significance for genomewide studies&lt;/title&gt;&lt;/titles&gt;&lt;number&gt;0027-8424 (Print)&lt;/number&gt;&lt;dates&gt;&lt;/dates&gt;&lt;urls&gt;&lt;/urls&gt;&lt;remote-database-provider&gt;2003 Aug 5&lt;/remote-database-provider&gt;&lt;language&gt;eng&lt;/language&gt;&lt;/record&gt;&lt;/Cite&gt;&lt;/EndNote&gt;</w:instrText>
      </w:r>
      <w:r w:rsidRPr="00DA3B6C">
        <w:rPr>
          <w:lang w:val="en-GB"/>
        </w:rPr>
        <w:fldChar w:fldCharType="separate"/>
      </w:r>
      <w:r w:rsidRPr="00DA3B6C">
        <w:rPr>
          <w:vertAlign w:val="superscript"/>
          <w:lang w:val="en-GB"/>
        </w:rPr>
        <w:t>119</w:t>
      </w:r>
      <w:r w:rsidRPr="00DA3B6C">
        <w:fldChar w:fldCharType="end"/>
      </w:r>
      <w:r w:rsidRPr="00DA3B6C">
        <w:rPr>
          <w:lang w:val="en-GB"/>
        </w:rPr>
        <w:t xml:space="preserve"> and Spearman’s correlation were used to assess replication of effect sizes between dairy cattle and beef cattle across 11 tissues</w:t>
      </w:r>
      <w:r w:rsidRPr="00DA3B6C">
        <w:rPr>
          <w:b/>
          <w:bCs/>
          <w:lang w:val="en-GB"/>
        </w:rPr>
        <w:t xml:space="preserve">. </w:t>
      </w:r>
      <w:r w:rsidRPr="00DA3B6C">
        <w:rPr>
          <w:lang w:val="en-GB"/>
        </w:rPr>
        <w:t xml:space="preserve">In each tissue, the p-value of the </w:t>
      </w:r>
      <w:proofErr w:type="spellStart"/>
      <w:r w:rsidRPr="00DA3B6C">
        <w:rPr>
          <w:lang w:val="en-GB"/>
        </w:rPr>
        <w:t>eQTL</w:t>
      </w:r>
      <w:proofErr w:type="spellEnd"/>
      <w:r w:rsidRPr="00DA3B6C">
        <w:rPr>
          <w:lang w:val="en-GB"/>
        </w:rPr>
        <w:t xml:space="preserve"> of dairy cattle was used as observation (</w:t>
      </w:r>
      <w:r w:rsidRPr="00DA3B6C">
        <w:rPr>
          <w:b/>
          <w:bCs/>
          <w:lang w:val="en-GB"/>
        </w:rPr>
        <w:t>left</w:t>
      </w:r>
      <w:r w:rsidRPr="00DA3B6C">
        <w:rPr>
          <w:lang w:val="en-GB"/>
        </w:rPr>
        <w:t>) and validation data (</w:t>
      </w:r>
      <w:r w:rsidRPr="00DA3B6C">
        <w:rPr>
          <w:b/>
          <w:bCs/>
          <w:lang w:val="en-GB"/>
        </w:rPr>
        <w:t>mid</w:t>
      </w:r>
      <w:r w:rsidRPr="00DA3B6C">
        <w:rPr>
          <w:lang w:val="en-GB"/>
        </w:rPr>
        <w:t>), respectively.</w:t>
      </w:r>
    </w:p>
    <w:p w14:paraId="21A6EC45" w14:textId="77777777" w:rsidR="00DA3B6C" w:rsidRPr="00DA3B6C" w:rsidRDefault="00DA3B6C" w:rsidP="00DA3B6C">
      <w:pPr>
        <w:rPr>
          <w:lang w:val="en-GB"/>
        </w:rPr>
      </w:pPr>
    </w:p>
    <w:p w14:paraId="1BC2C7AB" w14:textId="77777777" w:rsidR="00DA3B6C" w:rsidRPr="00DA3B6C" w:rsidRDefault="00DA3B6C" w:rsidP="00DA3B6C">
      <w:pPr>
        <w:rPr>
          <w:lang w:val="en-GB"/>
        </w:rPr>
      </w:pPr>
      <w:r w:rsidRPr="00DA3B6C">
        <w:rPr>
          <w:lang w:val="en-GB"/>
        </w:rPr>
        <w:br w:type="page"/>
      </w:r>
    </w:p>
    <w:p w14:paraId="1A72B23B" w14:textId="2C7B0E3A" w:rsidR="00DA3B6C" w:rsidRPr="00DA3B6C" w:rsidRDefault="00DA3B6C" w:rsidP="00DA3B6C">
      <w:pPr>
        <w:rPr>
          <w:lang w:val="en-GB"/>
        </w:rPr>
      </w:pPr>
      <w:r w:rsidRPr="00DA3B6C">
        <w:rPr>
          <w:lang w:val="en-GB"/>
        </w:rPr>
        <w:lastRenderedPageBreak/>
        <w:drawing>
          <wp:inline distT="0" distB="0" distL="0" distR="0" wp14:anchorId="5E9374C1" wp14:editId="68CBA01E">
            <wp:extent cx="5731510" cy="7039610"/>
            <wp:effectExtent l="0" t="0" r="2540" b="8890"/>
            <wp:docPr id="97787957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7039610"/>
                    </a:xfrm>
                    <a:prstGeom prst="rect">
                      <a:avLst/>
                    </a:prstGeom>
                    <a:noFill/>
                    <a:ln>
                      <a:noFill/>
                    </a:ln>
                  </pic:spPr>
                </pic:pic>
              </a:graphicData>
            </a:graphic>
          </wp:inline>
        </w:drawing>
      </w:r>
    </w:p>
    <w:p w14:paraId="3D2C435F" w14:textId="77777777" w:rsidR="00DA3B6C" w:rsidRPr="00DA3B6C" w:rsidRDefault="00DA3B6C" w:rsidP="00DA3B6C">
      <w:pPr>
        <w:rPr>
          <w:lang w:val="en-GB"/>
        </w:rPr>
      </w:pPr>
      <w:r w:rsidRPr="00DA3B6C">
        <w:rPr>
          <w:b/>
          <w:bCs/>
          <w:lang w:val="en-GB"/>
        </w:rPr>
        <w:t xml:space="preserve">Extended Data Fig. 8 | a, </w:t>
      </w:r>
      <w:r w:rsidRPr="00DA3B6C">
        <w:rPr>
          <w:lang w:val="en-GB"/>
        </w:rPr>
        <w:t xml:space="preserve">Enrichment (odds ratio) of tissue specific/shared </w:t>
      </w:r>
      <w:proofErr w:type="spellStart"/>
      <w:r w:rsidRPr="00DA3B6C">
        <w:rPr>
          <w:lang w:val="en-GB"/>
        </w:rPr>
        <w:t>molQTL</w:t>
      </w:r>
      <w:proofErr w:type="spellEnd"/>
      <w:r w:rsidRPr="00DA3B6C">
        <w:rPr>
          <w:lang w:val="en-GB"/>
        </w:rPr>
        <w:t xml:space="preserve"> with genome-wide associations (GWAS) of 44 cattle traits using </w:t>
      </w:r>
      <w:proofErr w:type="spellStart"/>
      <w:r w:rsidRPr="00DA3B6C">
        <w:rPr>
          <w:lang w:val="en-GB"/>
        </w:rPr>
        <w:t>QTLenrich</w:t>
      </w:r>
      <w:proofErr w:type="spellEnd"/>
      <w:r w:rsidRPr="00DA3B6C">
        <w:rPr>
          <w:lang w:val="en-GB"/>
        </w:rPr>
        <w:t xml:space="preserve"> (v.2.0)</w:t>
      </w:r>
      <w:r w:rsidRPr="00DA3B6C">
        <w:rPr>
          <w:lang w:val="en-GB"/>
        </w:rPr>
        <w:fldChar w:fldCharType="begin">
          <w:fldData xml:space="preserve">PEVuZE5vdGU+PENpdGU+PEF1dGhvcj5UaGU8L0F1dGhvcj48WWVhcj4yMDIwPC9ZZWFyPjxSZWNO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</w:fldData>
        </w:fldChar>
      </w:r>
      <w:r w:rsidRPr="00DA3B6C">
        <w:rPr>
          <w:lang w:val="en-GB"/>
        </w:rPr>
        <w:instrText xml:space="preserve"> ADDIN EN.CITE </w:instrText>
      </w:r>
      <w:r w:rsidRPr="00DA3B6C">
        <w:rPr>
          <w:lang w:val="en-GB"/>
        </w:rPr>
        <w:fldChar w:fldCharType="begin">
          <w:fldData xml:space="preserve">PEVuZE5vdGU+PENpdGU+PEF1dGhvcj5UaGU8L0F1dGhvcj48WWVhcj4yMDIwPC9ZZWFyPjxSZWNO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</w:fldData>
        </w:fldChar>
      </w:r>
      <w:r w:rsidRPr="00DA3B6C">
        <w:rPr>
          <w:lang w:val="en-GB"/>
        </w:rPr>
        <w:instrText xml:space="preserve"> ADDIN EN.CITE.DATA </w:instrText>
      </w:r>
      <w:r w:rsidRPr="00DA3B6C">
        <w:rPr>
          <w:lang w:val="en-GB"/>
        </w:rPr>
      </w:r>
      <w:r w:rsidRPr="00DA3B6C">
        <w:fldChar w:fldCharType="end"/>
      </w:r>
      <w:r w:rsidRPr="00DA3B6C">
        <w:rPr>
          <w:lang w:val="en-GB"/>
        </w:rPr>
      </w:r>
      <w:r w:rsidRPr="00DA3B6C">
        <w:rPr>
          <w:lang w:val="en-GB"/>
        </w:rPr>
        <w:fldChar w:fldCharType="separate"/>
      </w:r>
      <w:r w:rsidRPr="00DA3B6C">
        <w:rPr>
          <w:vertAlign w:val="superscript"/>
          <w:lang w:val="en-GB"/>
        </w:rPr>
        <w:t>54</w:t>
      </w:r>
      <w:r w:rsidRPr="00DA3B6C">
        <w:fldChar w:fldCharType="end"/>
      </w:r>
      <w:r w:rsidRPr="00DA3B6C">
        <w:rPr>
          <w:lang w:val="en-GB"/>
        </w:rPr>
        <w:t xml:space="preserve">. </w:t>
      </w:r>
      <w:r w:rsidRPr="00DA3B6C">
        <w:rPr>
          <w:b/>
          <w:bCs/>
          <w:lang w:val="en-GB"/>
        </w:rPr>
        <w:t>b,</w:t>
      </w:r>
      <w:r w:rsidRPr="00DA3B6C">
        <w:rPr>
          <w:lang w:val="en-GB"/>
        </w:rPr>
        <w:t xml:space="preserve"> Functional enrichment between tissue specific/shared </w:t>
      </w:r>
      <w:proofErr w:type="spellStart"/>
      <w:r w:rsidRPr="00DA3B6C">
        <w:rPr>
          <w:lang w:val="en-GB"/>
        </w:rPr>
        <w:t>molQTL</w:t>
      </w:r>
      <w:proofErr w:type="spellEnd"/>
      <w:r w:rsidRPr="00DA3B6C">
        <w:rPr>
          <w:lang w:val="en-GB"/>
        </w:rPr>
        <w:t xml:space="preserve"> and regulatory elements. </w:t>
      </w:r>
      <w:r w:rsidRPr="00DA3B6C">
        <w:rPr>
          <w:b/>
          <w:bCs/>
          <w:lang w:val="en-GB"/>
        </w:rPr>
        <w:t>c,</w:t>
      </w:r>
      <w:r w:rsidRPr="00DA3B6C">
        <w:rPr>
          <w:lang w:val="en-GB"/>
        </w:rPr>
        <w:t xml:space="preserve"> Functional enrichment between pleiotropic </w:t>
      </w:r>
      <w:proofErr w:type="spellStart"/>
      <w:r w:rsidRPr="00DA3B6C">
        <w:rPr>
          <w:lang w:val="en-GB"/>
        </w:rPr>
        <w:t>eQTL</w:t>
      </w:r>
      <w:proofErr w:type="spellEnd"/>
      <w:r w:rsidRPr="00DA3B6C">
        <w:rPr>
          <w:lang w:val="en-GB"/>
        </w:rPr>
        <w:t xml:space="preserve"> and regulatory elements.</w:t>
      </w:r>
      <w:r w:rsidRPr="00DA3B6C">
        <w:rPr>
          <w:lang w:val="en-GB"/>
        </w:rPr>
        <w:br w:type="page"/>
      </w:r>
    </w:p>
    <w:p w14:paraId="6621675B" w14:textId="0F7A7CF6" w:rsidR="00DA3B6C" w:rsidRPr="00DA3B6C" w:rsidRDefault="00DA3B6C" w:rsidP="00DA3B6C">
      <w:pPr>
        <w:rPr>
          <w:lang w:val="en-GB"/>
        </w:rPr>
      </w:pPr>
      <w:r w:rsidRPr="00DA3B6C">
        <w:rPr>
          <w:lang w:val="en-GB"/>
        </w:rPr>
        <w:lastRenderedPageBreak/>
        <w:drawing>
          <wp:inline distT="0" distB="0" distL="0" distR="0" wp14:anchorId="59F30826" wp14:editId="39911FB7">
            <wp:extent cx="5727700" cy="7562850"/>
            <wp:effectExtent l="0" t="0" r="6350" b="0"/>
            <wp:docPr id="174717057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0" cy="7562850"/>
                    </a:xfrm>
                    <a:prstGeom prst="rect">
                      <a:avLst/>
                    </a:prstGeom>
                    <a:noFill/>
                    <a:ln>
                      <a:noFill/>
                    </a:ln>
                  </pic:spPr>
                </pic:pic>
              </a:graphicData>
            </a:graphic>
          </wp:inline>
        </w:drawing>
      </w:r>
    </w:p>
    <w:p w14:paraId="2A86F1B7" w14:textId="77777777" w:rsidR="00DA3B6C" w:rsidRPr="00DA3B6C" w:rsidRDefault="00DA3B6C" w:rsidP="00DA3B6C">
      <w:pPr>
        <w:rPr>
          <w:lang w:val="en-GB"/>
        </w:rPr>
      </w:pPr>
      <w:r w:rsidRPr="00DA3B6C">
        <w:rPr>
          <w:b/>
          <w:bCs/>
          <w:lang w:val="en-GB"/>
        </w:rPr>
        <w:t xml:space="preserve">Extended Data Fig. 9 | </w:t>
      </w:r>
      <w:r w:rsidRPr="00DA3B6C">
        <w:rPr>
          <w:lang w:val="en-GB"/>
        </w:rPr>
        <w:t xml:space="preserve">Manhattan plots showing the -log₁₀(p) distribution of distinct colocalization between GWAS loci and each of seven </w:t>
      </w:r>
      <w:proofErr w:type="spellStart"/>
      <w:r w:rsidRPr="00DA3B6C">
        <w:rPr>
          <w:lang w:val="en-GB"/>
        </w:rPr>
        <w:t>molQTL</w:t>
      </w:r>
      <w:proofErr w:type="spellEnd"/>
      <w:r w:rsidRPr="00DA3B6C">
        <w:rPr>
          <w:lang w:val="en-GB"/>
        </w:rPr>
        <w:t xml:space="preserve">, including udder cleft (GWAS) and </w:t>
      </w:r>
      <w:proofErr w:type="spellStart"/>
      <w:r w:rsidRPr="00DA3B6C">
        <w:rPr>
          <w:lang w:val="en-GB"/>
        </w:rPr>
        <w:t>isoQTL</w:t>
      </w:r>
      <w:proofErr w:type="spellEnd"/>
      <w:r w:rsidRPr="00DA3B6C">
        <w:rPr>
          <w:lang w:val="en-GB"/>
        </w:rPr>
        <w:t xml:space="preserve"> in whole blood across genetic variants within the locus of </w:t>
      </w:r>
      <w:r w:rsidRPr="00DA3B6C">
        <w:rPr>
          <w:i/>
          <w:iCs/>
          <w:lang w:val="en-GB"/>
        </w:rPr>
        <w:t>PHACTR2</w:t>
      </w:r>
      <w:r w:rsidRPr="00DA3B6C">
        <w:rPr>
          <w:lang w:val="en-GB"/>
        </w:rPr>
        <w:t xml:space="preserve">, rump width (GWAS) and </w:t>
      </w:r>
      <w:proofErr w:type="spellStart"/>
      <w:r w:rsidRPr="00DA3B6C">
        <w:rPr>
          <w:lang w:val="en-GB"/>
        </w:rPr>
        <w:t>sQTL</w:t>
      </w:r>
      <w:proofErr w:type="spellEnd"/>
      <w:r w:rsidRPr="00DA3B6C">
        <w:rPr>
          <w:lang w:val="en-GB"/>
        </w:rPr>
        <w:t xml:space="preserve"> in corpus </w:t>
      </w:r>
      <w:proofErr w:type="spellStart"/>
      <w:r w:rsidRPr="00DA3B6C">
        <w:rPr>
          <w:lang w:val="en-GB"/>
        </w:rPr>
        <w:t>leteum</w:t>
      </w:r>
      <w:proofErr w:type="spellEnd"/>
      <w:r w:rsidRPr="00DA3B6C">
        <w:rPr>
          <w:lang w:val="en-GB"/>
        </w:rPr>
        <w:t xml:space="preserve"> across genetic variants within the locus of </w:t>
      </w:r>
      <w:r w:rsidRPr="00DA3B6C">
        <w:rPr>
          <w:i/>
          <w:iCs/>
          <w:lang w:val="en-GB"/>
        </w:rPr>
        <w:t>NUDT6</w:t>
      </w:r>
      <w:r w:rsidRPr="00DA3B6C">
        <w:rPr>
          <w:lang w:val="en-GB"/>
        </w:rPr>
        <w:t xml:space="preserve">, SCS (GWAS) and </w:t>
      </w:r>
      <w:proofErr w:type="spellStart"/>
      <w:r w:rsidRPr="00DA3B6C">
        <w:rPr>
          <w:lang w:val="en-GB"/>
        </w:rPr>
        <w:t>stQTL</w:t>
      </w:r>
      <w:proofErr w:type="spellEnd"/>
      <w:r w:rsidRPr="00DA3B6C">
        <w:rPr>
          <w:lang w:val="en-GB"/>
        </w:rPr>
        <w:t xml:space="preserve"> in liver across genetic variants within </w:t>
      </w:r>
      <w:r w:rsidRPr="00DA3B6C">
        <w:rPr>
          <w:lang w:val="en-GB"/>
        </w:rPr>
        <w:lastRenderedPageBreak/>
        <w:t>the locus of </w:t>
      </w:r>
      <w:r w:rsidRPr="00DA3B6C">
        <w:rPr>
          <w:i/>
          <w:iCs/>
          <w:lang w:val="en-GB"/>
        </w:rPr>
        <w:t xml:space="preserve">CTIF, </w:t>
      </w:r>
      <w:r w:rsidRPr="00DA3B6C">
        <w:rPr>
          <w:lang w:val="en-GB"/>
        </w:rPr>
        <w:t xml:space="preserve">stature (GWAS) and </w:t>
      </w:r>
      <w:proofErr w:type="spellStart"/>
      <w:r w:rsidRPr="00DA3B6C">
        <w:rPr>
          <w:lang w:val="en-GB"/>
        </w:rPr>
        <w:t>eQTL</w:t>
      </w:r>
      <w:proofErr w:type="spellEnd"/>
      <w:r w:rsidRPr="00DA3B6C">
        <w:rPr>
          <w:lang w:val="en-GB"/>
        </w:rPr>
        <w:t xml:space="preserve"> in jejunum across genetic variants within the locus of </w:t>
      </w:r>
      <w:r w:rsidRPr="00DA3B6C">
        <w:rPr>
          <w:i/>
          <w:iCs/>
          <w:lang w:val="en-GB"/>
        </w:rPr>
        <w:t xml:space="preserve">SFMBT1, </w:t>
      </w:r>
      <w:r w:rsidRPr="00DA3B6C">
        <w:rPr>
          <w:lang w:val="en-GB"/>
        </w:rPr>
        <w:t xml:space="preserve">conception rates (GWAS) and </w:t>
      </w:r>
      <w:proofErr w:type="spellStart"/>
      <w:r w:rsidRPr="00DA3B6C">
        <w:rPr>
          <w:lang w:val="en-GB"/>
        </w:rPr>
        <w:t>eeQTL</w:t>
      </w:r>
      <w:proofErr w:type="spellEnd"/>
      <w:r w:rsidRPr="00DA3B6C">
        <w:rPr>
          <w:lang w:val="en-GB"/>
        </w:rPr>
        <w:t xml:space="preserve"> in adipose across genetic variants within the locus of </w:t>
      </w:r>
      <w:r w:rsidRPr="00DA3B6C">
        <w:rPr>
          <w:i/>
          <w:iCs/>
          <w:lang w:val="en-GB"/>
        </w:rPr>
        <w:t xml:space="preserve">RRP12 </w:t>
      </w:r>
      <w:r w:rsidRPr="00DA3B6C">
        <w:rPr>
          <w:lang w:val="en-GB"/>
        </w:rPr>
        <w:t>and gestation length (GWAS) and 3’aQTL in large intestine across genetic variants within the locus of </w:t>
      </w:r>
      <w:r w:rsidRPr="00DA3B6C">
        <w:rPr>
          <w:i/>
          <w:iCs/>
          <w:lang w:val="en-GB"/>
        </w:rPr>
        <w:t>RRN3</w:t>
      </w:r>
      <w:r w:rsidRPr="00DA3B6C">
        <w:rPr>
          <w:lang w:val="en-GB"/>
        </w:rPr>
        <w:t xml:space="preserve">. Variants are </w:t>
      </w:r>
      <w:proofErr w:type="spellStart"/>
      <w:r w:rsidRPr="00DA3B6C">
        <w:rPr>
          <w:lang w:val="en-GB"/>
        </w:rPr>
        <w:t>colored</w:t>
      </w:r>
      <w:proofErr w:type="spellEnd"/>
      <w:r w:rsidRPr="00DA3B6C">
        <w:rPr>
          <w:lang w:val="en-GB"/>
        </w:rPr>
        <w:t xml:space="preserve"> according to their linkage disequilibrium (LD, r²) with the lead SNP. The two-sided P values of SNPs were calculated by the linear mixed regression model.</w:t>
      </w:r>
      <w:r w:rsidRPr="00DA3B6C">
        <w:rPr>
          <w:lang w:val="en-GB"/>
        </w:rPr>
        <w:br w:type="page"/>
      </w:r>
    </w:p>
    <w:p w14:paraId="15F3C34A" w14:textId="05EE460E" w:rsidR="00DA3B6C" w:rsidRPr="00DA3B6C" w:rsidRDefault="00DA3B6C" w:rsidP="00DA3B6C">
      <w:pPr>
        <w:rPr>
          <w:lang w:val="en-GB"/>
        </w:rPr>
      </w:pPr>
      <w:r w:rsidRPr="00DA3B6C">
        <w:rPr>
          <w:lang w:val="en-GB"/>
        </w:rPr>
        <w:lastRenderedPageBreak/>
        <w:drawing>
          <wp:inline distT="0" distB="0" distL="0" distR="0" wp14:anchorId="5B8C7331" wp14:editId="3903FB47">
            <wp:extent cx="5731510" cy="7051675"/>
            <wp:effectExtent l="0" t="0" r="2540" b="0"/>
            <wp:docPr id="41719355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7051675"/>
                    </a:xfrm>
                    <a:prstGeom prst="rect">
                      <a:avLst/>
                    </a:prstGeom>
                    <a:noFill/>
                    <a:ln>
                      <a:noFill/>
                    </a:ln>
                  </pic:spPr>
                </pic:pic>
              </a:graphicData>
            </a:graphic>
          </wp:inline>
        </w:drawing>
      </w:r>
    </w:p>
    <w:p w14:paraId="43979E23" w14:textId="77777777" w:rsidR="00DA3B6C" w:rsidRPr="00DA3B6C" w:rsidRDefault="00DA3B6C" w:rsidP="00DA3B6C">
      <w:pPr>
        <w:rPr>
          <w:lang w:val="en-GB"/>
        </w:rPr>
      </w:pPr>
      <w:r w:rsidRPr="00DA3B6C">
        <w:rPr>
          <w:b/>
          <w:bCs/>
          <w:lang w:val="en-GB"/>
        </w:rPr>
        <w:t>Extended Data Fig. 10 | a,</w:t>
      </w:r>
      <w:r w:rsidRPr="00DA3B6C">
        <w:rPr>
          <w:lang w:val="en-GB"/>
        </w:rPr>
        <w:t xml:space="preserve"> Correlation between enrichment odds ratios (ORs) for different cattle </w:t>
      </w:r>
      <w:proofErr w:type="spellStart"/>
      <w:r w:rsidRPr="00DA3B6C">
        <w:rPr>
          <w:lang w:val="en-GB"/>
        </w:rPr>
        <w:t>eQTL</w:t>
      </w:r>
      <w:proofErr w:type="spellEnd"/>
      <w:r w:rsidRPr="00DA3B6C">
        <w:rPr>
          <w:lang w:val="en-GB"/>
        </w:rPr>
        <w:t xml:space="preserve"> groups in cattle FAANG annotations and the corresponding enrichment ORs after </w:t>
      </w:r>
      <w:proofErr w:type="spellStart"/>
      <w:r w:rsidRPr="00DA3B6C">
        <w:rPr>
          <w:lang w:val="en-GB"/>
        </w:rPr>
        <w:t>liftOver</w:t>
      </w:r>
      <w:proofErr w:type="spellEnd"/>
      <w:r w:rsidRPr="00DA3B6C">
        <w:rPr>
          <w:lang w:val="en-GB"/>
        </w:rPr>
        <w:t xml:space="preserve"> to the human genome in ENCODE annotations. </w:t>
      </w:r>
      <w:r w:rsidRPr="00DA3B6C">
        <w:rPr>
          <w:b/>
          <w:bCs/>
          <w:lang w:val="en-GB"/>
        </w:rPr>
        <w:t>b,</w:t>
      </w:r>
      <w:r w:rsidRPr="00DA3B6C">
        <w:rPr>
          <w:lang w:val="en-GB"/>
        </w:rPr>
        <w:t xml:space="preserve"> Comparison of stratified LD score regression (S-LDSC) heritability enrichment of tissue-specific </w:t>
      </w:r>
      <w:proofErr w:type="spellStart"/>
      <w:r w:rsidRPr="00DA3B6C">
        <w:rPr>
          <w:lang w:val="en-GB"/>
        </w:rPr>
        <w:t>eQTL</w:t>
      </w:r>
      <w:proofErr w:type="spellEnd"/>
      <w:r w:rsidRPr="00DA3B6C">
        <w:rPr>
          <w:lang w:val="en-GB"/>
        </w:rPr>
        <w:t xml:space="preserve"> annotations from cattle and humans across immune versus non-immune traits. P values were calculated using two-sided unpaired t tests; P &lt; 0.05 (), P &lt; 0.01 (), and P &lt; 0.001 (). </w:t>
      </w:r>
      <w:r w:rsidRPr="00DA3B6C">
        <w:rPr>
          <w:b/>
          <w:bCs/>
          <w:lang w:val="en-GB"/>
        </w:rPr>
        <w:t>c,</w:t>
      </w:r>
      <w:r w:rsidRPr="00DA3B6C">
        <w:rPr>
          <w:lang w:val="en-GB"/>
        </w:rPr>
        <w:t xml:space="preserve"> Schematic of filtering steps and counts used to derive cattle </w:t>
      </w:r>
      <w:r w:rsidRPr="00DA3B6C">
        <w:rPr>
          <w:lang w:val="en-GB"/>
        </w:rPr>
        <w:lastRenderedPageBreak/>
        <w:t xml:space="preserve">orthologous, segregating trios from 508,191 gene–variant–trait trios obtained by colocalization between human </w:t>
      </w:r>
      <w:proofErr w:type="spellStart"/>
      <w:r w:rsidRPr="00DA3B6C">
        <w:rPr>
          <w:lang w:val="en-GB"/>
        </w:rPr>
        <w:t>GTEx</w:t>
      </w:r>
      <w:proofErr w:type="spellEnd"/>
      <w:r w:rsidRPr="00DA3B6C">
        <w:rPr>
          <w:lang w:val="en-GB"/>
        </w:rPr>
        <w:t xml:space="preserve"> </w:t>
      </w:r>
      <w:proofErr w:type="spellStart"/>
      <w:r w:rsidRPr="00DA3B6C">
        <w:rPr>
          <w:lang w:val="en-GB"/>
        </w:rPr>
        <w:t>eQTL</w:t>
      </w:r>
      <w:proofErr w:type="spellEnd"/>
      <w:r w:rsidRPr="00DA3B6C">
        <w:rPr>
          <w:lang w:val="en-GB"/>
        </w:rPr>
        <w:t xml:space="preserve"> and 133 human complex traits. Filters were applied sequentially: (1) the human variant could be lifted over from the human genome to the cattle genome; (2) the corresponding </w:t>
      </w:r>
      <w:proofErr w:type="spellStart"/>
      <w:r w:rsidRPr="00DA3B6C">
        <w:rPr>
          <w:lang w:val="en-GB"/>
        </w:rPr>
        <w:t>eGene</w:t>
      </w:r>
      <w:proofErr w:type="spellEnd"/>
      <w:r w:rsidRPr="00DA3B6C">
        <w:rPr>
          <w:lang w:val="en-GB"/>
        </w:rPr>
        <w:t xml:space="preserve"> had an ortholog in cattle; (3) the corresponding tissue was available in the cattle dataset; and (4) the lifted-over cattle locus </w:t>
      </w:r>
      <w:proofErr w:type="spellStart"/>
      <w:r w:rsidRPr="00DA3B6C">
        <w:rPr>
          <w:lang w:val="en-GB"/>
        </w:rPr>
        <w:t>harbored</w:t>
      </w:r>
      <w:proofErr w:type="spellEnd"/>
      <w:r w:rsidRPr="00DA3B6C">
        <w:rPr>
          <w:lang w:val="en-GB"/>
        </w:rPr>
        <w:t xml:space="preserve"> a segregating SNP. This yielded 344 retained trios. </w:t>
      </w:r>
      <w:r w:rsidRPr="00DA3B6C">
        <w:rPr>
          <w:b/>
          <w:bCs/>
          <w:lang w:val="en-GB"/>
        </w:rPr>
        <w:t>d,</w:t>
      </w:r>
      <w:r w:rsidRPr="00DA3B6C">
        <w:rPr>
          <w:lang w:val="en-GB"/>
        </w:rPr>
        <w:t xml:space="preserve"> Comparison of association significance in cattle for the 344 retained trios tested using a single-variant linear mixed model versus a random set of matched orthologous loci. P values were calculated using two-sided unpaired t tests.</w:t>
      </w:r>
    </w:p>
    <w:p w14:paraId="2A9A7DA8" w14:textId="77777777" w:rsidR="00DA3B6C" w:rsidRPr="00DA3B6C" w:rsidRDefault="00DA3B6C" w:rsidP="00DA3B6C">
      <w:pPr>
        <w:rPr>
          <w:lang w:val="en-GB"/>
        </w:rPr>
      </w:pPr>
    </w:p>
    <w:p w14:paraId="5932F893"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B6C"/>
    <w:rsid w:val="00767E38"/>
    <w:rsid w:val="00866F7D"/>
    <w:rsid w:val="00DA3B6C"/>
    <w:rsid w:val="00DC03EC"/>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D73EF"/>
  <w15:chartTrackingRefBased/>
  <w15:docId w15:val="{CB85DBC8-3E9D-45FD-90C4-532EF7825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3B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3B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3B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3B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3B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3B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3B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3B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3B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3B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3B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3B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3B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3B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3B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3B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3B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3B6C"/>
    <w:rPr>
      <w:rFonts w:eastAsiaTheme="majorEastAsia" w:cstheme="majorBidi"/>
      <w:color w:val="272727" w:themeColor="text1" w:themeTint="D8"/>
    </w:rPr>
  </w:style>
  <w:style w:type="paragraph" w:styleId="Title">
    <w:name w:val="Title"/>
    <w:basedOn w:val="Normal"/>
    <w:next w:val="Normal"/>
    <w:link w:val="TitleChar"/>
    <w:uiPriority w:val="10"/>
    <w:qFormat/>
    <w:rsid w:val="00DA3B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3B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3B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3B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3B6C"/>
    <w:pPr>
      <w:spacing w:before="160"/>
      <w:jc w:val="center"/>
    </w:pPr>
    <w:rPr>
      <w:i/>
      <w:iCs/>
      <w:color w:val="404040" w:themeColor="text1" w:themeTint="BF"/>
    </w:rPr>
  </w:style>
  <w:style w:type="character" w:customStyle="1" w:styleId="QuoteChar">
    <w:name w:val="Quote Char"/>
    <w:basedOn w:val="DefaultParagraphFont"/>
    <w:link w:val="Quote"/>
    <w:uiPriority w:val="29"/>
    <w:rsid w:val="00DA3B6C"/>
    <w:rPr>
      <w:i/>
      <w:iCs/>
      <w:color w:val="404040" w:themeColor="text1" w:themeTint="BF"/>
    </w:rPr>
  </w:style>
  <w:style w:type="paragraph" w:styleId="ListParagraph">
    <w:name w:val="List Paragraph"/>
    <w:basedOn w:val="Normal"/>
    <w:uiPriority w:val="34"/>
    <w:qFormat/>
    <w:rsid w:val="00DA3B6C"/>
    <w:pPr>
      <w:ind w:left="720"/>
      <w:contextualSpacing/>
    </w:pPr>
  </w:style>
  <w:style w:type="character" w:styleId="IntenseEmphasis">
    <w:name w:val="Intense Emphasis"/>
    <w:basedOn w:val="DefaultParagraphFont"/>
    <w:uiPriority w:val="21"/>
    <w:qFormat/>
    <w:rsid w:val="00DA3B6C"/>
    <w:rPr>
      <w:i/>
      <w:iCs/>
      <w:color w:val="0F4761" w:themeColor="accent1" w:themeShade="BF"/>
    </w:rPr>
  </w:style>
  <w:style w:type="paragraph" w:styleId="IntenseQuote">
    <w:name w:val="Intense Quote"/>
    <w:basedOn w:val="Normal"/>
    <w:next w:val="Normal"/>
    <w:link w:val="IntenseQuoteChar"/>
    <w:uiPriority w:val="30"/>
    <w:qFormat/>
    <w:rsid w:val="00DA3B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3B6C"/>
    <w:rPr>
      <w:i/>
      <w:iCs/>
      <w:color w:val="0F4761" w:themeColor="accent1" w:themeShade="BF"/>
    </w:rPr>
  </w:style>
  <w:style w:type="character" w:styleId="IntenseReference">
    <w:name w:val="Intense Reference"/>
    <w:basedOn w:val="DefaultParagraphFont"/>
    <w:uiPriority w:val="32"/>
    <w:qFormat/>
    <w:rsid w:val="00DA3B6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1570</Words>
  <Characters>8949</Characters>
  <Application>Microsoft Office Word</Application>
  <DocSecurity>0</DocSecurity>
  <Lines>74</Lines>
  <Paragraphs>20</Paragraphs>
  <ScaleCrop>false</ScaleCrop>
  <Company/>
  <LinksUpToDate>false</LinksUpToDate>
  <CharactersWithSpaces>10499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2026-04-17T10:00:00Z</dcterms:created>
  <dcterms:modified xsi:type="dcterms:W3CDTF">2026-04-17T10:01:00Z</dcterms:modified>
</cp:coreProperties>
</file>