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A3153" w14:textId="05308434" w:rsidR="006E3D10" w:rsidRPr="0035305E" w:rsidRDefault="006E3D10" w:rsidP="001A7559">
      <w:pPr>
        <w:widowControl/>
        <w:autoSpaceDE/>
        <w:autoSpaceDN/>
        <w:rPr>
          <w:rFonts w:ascii="Arial" w:hAnsi="Arial" w:cs="Arial"/>
          <w:b/>
          <w:sz w:val="24"/>
          <w:szCs w:val="24"/>
        </w:rPr>
      </w:pPr>
      <w:r w:rsidRPr="0035305E">
        <w:rPr>
          <w:rFonts w:ascii="Arial" w:hAnsi="Arial" w:cs="Arial"/>
          <w:b/>
          <w:sz w:val="24"/>
          <w:szCs w:val="24"/>
        </w:rPr>
        <w:t xml:space="preserve">Supplementary </w:t>
      </w:r>
      <w:r w:rsidR="009B0695" w:rsidRPr="0035305E">
        <w:rPr>
          <w:rFonts w:ascii="Arial" w:hAnsi="Arial" w:cs="Arial"/>
          <w:b/>
          <w:sz w:val="24"/>
          <w:szCs w:val="24"/>
        </w:rPr>
        <w:t>Information</w:t>
      </w:r>
    </w:p>
    <w:p w14:paraId="47907113" w14:textId="538EBF2C" w:rsidR="006E3D10" w:rsidRPr="0035305E" w:rsidRDefault="006E3D10" w:rsidP="001A7559">
      <w:pPr>
        <w:rPr>
          <w:rFonts w:ascii="Arial" w:hAnsi="Arial" w:cs="Arial"/>
          <w:b/>
          <w:sz w:val="24"/>
          <w:szCs w:val="24"/>
        </w:rPr>
      </w:pPr>
    </w:p>
    <w:p w14:paraId="21151369" w14:textId="0D3E58B3" w:rsidR="00FF0DBF" w:rsidRDefault="00013144" w:rsidP="00B92078">
      <w:pPr>
        <w:spacing w:line="240" w:lineRule="auto"/>
        <w:ind w:left="400"/>
        <w:rPr>
          <w:rFonts w:ascii="Arial" w:hAnsi="Arial" w:cs="Arial"/>
          <w:b/>
          <w:sz w:val="24"/>
          <w:szCs w:val="24"/>
        </w:rPr>
      </w:pPr>
      <w:r w:rsidRPr="00013144">
        <w:rPr>
          <w:rFonts w:ascii="Arial" w:hAnsi="Arial" w:cs="Arial"/>
          <w:b/>
          <w:sz w:val="24"/>
          <w:szCs w:val="24"/>
        </w:rPr>
        <w:t>Integrative Transcriptomic Profiling Reveals Convergent coding and non-coding Signatures in Pediatric Bone Marrow Failure Syndromes</w:t>
      </w:r>
    </w:p>
    <w:p w14:paraId="2BDD7178" w14:textId="77777777" w:rsidR="00B92078" w:rsidRPr="0035305E" w:rsidRDefault="00B92078" w:rsidP="00B92078">
      <w:pPr>
        <w:spacing w:line="240" w:lineRule="auto"/>
        <w:ind w:left="400"/>
        <w:rPr>
          <w:rFonts w:ascii="Arial" w:hAnsi="Arial" w:cs="Arial"/>
          <w:sz w:val="24"/>
          <w:szCs w:val="24"/>
        </w:rPr>
      </w:pPr>
    </w:p>
    <w:p w14:paraId="416C97AD" w14:textId="3C26A320" w:rsidR="00013144" w:rsidRPr="00013144" w:rsidRDefault="00013144" w:rsidP="00013144">
      <w:pPr>
        <w:pStyle w:val="a4"/>
        <w:numPr>
          <w:ilvl w:val="0"/>
          <w:numId w:val="14"/>
        </w:numPr>
        <w:spacing w:line="480" w:lineRule="auto"/>
        <w:ind w:leftChars="0"/>
        <w:rPr>
          <w:rFonts w:ascii="Arial" w:eastAsia="맑은 고딕" w:hAnsi="Arial" w:cs="Arial"/>
          <w:b/>
          <w:kern w:val="3"/>
          <w:sz w:val="24"/>
          <w:szCs w:val="24"/>
          <w:lang w:val="de-DE"/>
        </w:rPr>
      </w:pPr>
      <w:r w:rsidRPr="00013144"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t>Supplementary Methods for Whole-Genome Sequencing</w:t>
      </w:r>
    </w:p>
    <w:p w14:paraId="77F38C43" w14:textId="77777777" w:rsidR="00AA6F5B" w:rsidRPr="0035305E" w:rsidRDefault="00AA6F5B" w:rsidP="00013144">
      <w:pPr>
        <w:pStyle w:val="Standard1"/>
        <w:numPr>
          <w:ilvl w:val="0"/>
          <w:numId w:val="14"/>
        </w:numPr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  <w:r w:rsidRPr="0035305E">
        <w:rPr>
          <w:rFonts w:ascii="Arial" w:eastAsia="맑은 고딕" w:hAnsi="Arial" w:cs="Arial"/>
          <w:b/>
          <w:lang w:eastAsia="ko-KR"/>
        </w:rPr>
        <w:t>Clinical data of genetically defined BMF</w:t>
      </w:r>
    </w:p>
    <w:p w14:paraId="7ABA83E5" w14:textId="03FC9ACC" w:rsidR="006E3D10" w:rsidRPr="0035305E" w:rsidRDefault="006E3D10" w:rsidP="00013144">
      <w:pPr>
        <w:numPr>
          <w:ilvl w:val="0"/>
          <w:numId w:val="14"/>
        </w:numPr>
        <w:spacing w:line="480" w:lineRule="auto"/>
        <w:rPr>
          <w:rFonts w:ascii="Arial" w:eastAsia="맑은 고딕" w:hAnsi="Arial" w:cs="Arial"/>
          <w:b/>
          <w:kern w:val="3"/>
          <w:sz w:val="24"/>
          <w:szCs w:val="24"/>
          <w:lang w:val="de-DE"/>
        </w:rPr>
      </w:pPr>
      <w:r w:rsidRPr="0035305E"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t xml:space="preserve">Supplementary </w:t>
      </w:r>
      <w:r w:rsidR="004B7C11" w:rsidRPr="0035305E"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t>Figures</w:t>
      </w:r>
    </w:p>
    <w:p w14:paraId="6062F488" w14:textId="77777777" w:rsidR="006E3D10" w:rsidRPr="0035305E" w:rsidRDefault="006E3D10" w:rsidP="001A7559">
      <w:pPr>
        <w:rPr>
          <w:rFonts w:ascii="Arial" w:hAnsi="Arial" w:cs="Arial"/>
          <w:sz w:val="24"/>
          <w:szCs w:val="24"/>
        </w:rPr>
      </w:pPr>
      <w:r w:rsidRPr="0035305E">
        <w:rPr>
          <w:rFonts w:ascii="Arial" w:hAnsi="Arial" w:cs="Arial"/>
          <w:sz w:val="24"/>
          <w:szCs w:val="24"/>
        </w:rPr>
        <w:t xml:space="preserve"> </w:t>
      </w:r>
    </w:p>
    <w:p w14:paraId="4F4BE77D" w14:textId="77777777" w:rsidR="006E3D10" w:rsidRPr="0035305E" w:rsidRDefault="006E3D10" w:rsidP="001A7559">
      <w:pPr>
        <w:widowControl/>
        <w:autoSpaceDE/>
        <w:autoSpaceDN/>
        <w:rPr>
          <w:rFonts w:ascii="Arial" w:hAnsi="Arial" w:cs="Arial"/>
          <w:sz w:val="24"/>
          <w:szCs w:val="24"/>
        </w:rPr>
      </w:pPr>
      <w:r w:rsidRPr="0035305E">
        <w:rPr>
          <w:rFonts w:ascii="Arial" w:hAnsi="Arial" w:cs="Arial"/>
          <w:sz w:val="24"/>
          <w:szCs w:val="24"/>
        </w:rPr>
        <w:br w:type="page"/>
      </w:r>
    </w:p>
    <w:p w14:paraId="4EF5FD04" w14:textId="77777777" w:rsidR="00013144" w:rsidRPr="00013144" w:rsidRDefault="00013144" w:rsidP="00B92078">
      <w:pPr>
        <w:pStyle w:val="Standard1"/>
        <w:numPr>
          <w:ilvl w:val="0"/>
          <w:numId w:val="15"/>
        </w:numPr>
        <w:wordWrap w:val="0"/>
        <w:spacing w:after="140" w:line="480" w:lineRule="auto"/>
        <w:ind w:left="360"/>
        <w:contextualSpacing/>
        <w:jc w:val="both"/>
        <w:rPr>
          <w:rFonts w:ascii="Arial" w:eastAsia="맑은 고딕" w:hAnsi="Arial" w:cs="Arial"/>
          <w:b/>
        </w:rPr>
      </w:pPr>
      <w:r w:rsidRPr="00013144">
        <w:rPr>
          <w:rFonts w:ascii="Arial" w:eastAsiaTheme="minorEastAsia" w:hAnsi="Arial" w:cs="Arial"/>
          <w:b/>
          <w:kern w:val="0"/>
          <w:szCs w:val="22"/>
          <w:lang w:val="en-US" w:eastAsia="ko-KR"/>
        </w:rPr>
        <w:lastRenderedPageBreak/>
        <w:t>Supplementary Methods for Whole-Genome Sequencing</w:t>
      </w:r>
    </w:p>
    <w:p w14:paraId="20B5F9CC" w14:textId="77777777" w:rsidR="00013144" w:rsidRDefault="00013144" w:rsidP="00B92078">
      <w:pPr>
        <w:pStyle w:val="Standard1"/>
        <w:spacing w:line="360" w:lineRule="auto"/>
        <w:contextualSpacing/>
        <w:jc w:val="both"/>
        <w:rPr>
          <w:rFonts w:ascii="Arial" w:eastAsia="맑은 고딕" w:hAnsi="Arial" w:cs="Arial"/>
        </w:rPr>
      </w:pPr>
    </w:p>
    <w:p w14:paraId="7612E99E" w14:textId="5AC42CFE" w:rsidR="00013144" w:rsidRPr="00013144" w:rsidRDefault="00013144" w:rsidP="00B92078">
      <w:pPr>
        <w:pStyle w:val="Standard1"/>
        <w:numPr>
          <w:ilvl w:val="0"/>
          <w:numId w:val="28"/>
        </w:numPr>
        <w:spacing w:after="288" w:line="360" w:lineRule="auto"/>
        <w:ind w:leftChars="180" w:left="717" w:hanging="357"/>
        <w:contextualSpacing/>
        <w:jc w:val="both"/>
        <w:rPr>
          <w:rFonts w:ascii="Arial" w:eastAsia="맑은 고딕" w:hAnsi="Arial" w:cs="Arial"/>
        </w:rPr>
      </w:pPr>
      <w:r w:rsidRPr="00013144">
        <w:rPr>
          <w:rFonts w:ascii="Arial" w:eastAsia="맑은 고딕" w:hAnsi="Arial" w:cs="Arial"/>
        </w:rPr>
        <w:t>Whole-Genome Sequencing, Alignment, and Variant Calling.</w:t>
      </w:r>
    </w:p>
    <w:p w14:paraId="3668E4CC" w14:textId="0ADDB26E" w:rsidR="007C281B" w:rsidRPr="0035305E" w:rsidRDefault="00994A0A" w:rsidP="00B92078">
      <w:pPr>
        <w:wordWrap/>
        <w:spacing w:after="0" w:line="360" w:lineRule="auto"/>
        <w:ind w:leftChars="180" w:left="360"/>
        <w:rPr>
          <w:rFonts w:ascii="Arial" w:eastAsia="맑은 고딕" w:hAnsi="Arial" w:cs="Arial"/>
          <w:kern w:val="3"/>
          <w:sz w:val="24"/>
          <w:szCs w:val="24"/>
          <w:lang w:eastAsia="de-DE"/>
        </w:rPr>
      </w:pPr>
      <w:r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Library was prepared using </w:t>
      </w:r>
      <w:proofErr w:type="gramStart"/>
      <w:r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a</w:t>
      </w:r>
      <w:proofErr w:type="gramEnd"/>
      <w:r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Illumina </w:t>
      </w:r>
      <w:proofErr w:type="spellStart"/>
      <w:r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TruSeq</w:t>
      </w:r>
      <w:proofErr w:type="spellEnd"/>
      <w:r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DNA PCR-Free kit and sequenced on the </w:t>
      </w:r>
      <w:r w:rsidR="006631E7" w:rsidRPr="0035305E">
        <w:rPr>
          <w:rFonts w:ascii="Arial" w:eastAsia="맑은 고딕" w:hAnsi="Arial" w:cs="Arial"/>
          <w:kern w:val="3"/>
          <w:sz w:val="24"/>
          <w:szCs w:val="24"/>
        </w:rPr>
        <w:t xml:space="preserve">NovaSeq6000 </w:t>
      </w:r>
      <w:r w:rsidR="006631E7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(Illumina).</w:t>
      </w:r>
      <w:r w:rsidR="002F7355" w:rsidRPr="0035305E">
        <w:rPr>
          <w:rFonts w:ascii="Arial" w:eastAsia="맑은 고딕" w:hAnsi="Arial" w:cs="Arial"/>
          <w:kern w:val="3"/>
          <w:sz w:val="24"/>
          <w:szCs w:val="24"/>
        </w:rPr>
        <w:t xml:space="preserve">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T</w:t>
      </w:r>
      <w:r w:rsidR="003676AE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he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sequencing </w:t>
      </w:r>
      <w:r w:rsidR="003676AE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reads were aligned to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GRCh38</w:t>
      </w:r>
      <w:r w:rsidR="003676AE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using Burrows-Wheeler Aligner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(BWA-MEM2)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v.2.2.1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)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hyperlink r:id="rId8" w:history="1">
        <w:r w:rsidR="007C281B" w:rsidRPr="0035305E">
          <w:rPr>
            <w:rStyle w:val="ad"/>
            <w:rFonts w:ascii="Arial" w:eastAsia="맑은 고딕" w:hAnsi="Arial" w:cs="Arial"/>
            <w:kern w:val="3"/>
            <w:sz w:val="24"/>
            <w:szCs w:val="24"/>
            <w:lang w:eastAsia="de-DE"/>
          </w:rPr>
          <w:t>http://bio-bwa.sourceforge.net/</w:t>
        </w:r>
      </w:hyperlink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). </w:t>
      </w:r>
      <w:proofErr w:type="spellStart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Samtools</w:t>
      </w:r>
      <w:proofErr w:type="spellEnd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v.1.12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)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was used for further processing. SNVs and short indels were called using the GATK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v.4.2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)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, while structural variant (SV) were analyzed using MANTA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v.1.6.0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)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and </w:t>
      </w:r>
      <w:proofErr w:type="spellStart"/>
      <w:proofErr w:type="gramStart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cn.MOPS</w:t>
      </w:r>
      <w:proofErr w:type="spellEnd"/>
      <w:proofErr w:type="gramEnd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v.1.38.0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)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. The </w:t>
      </w:r>
      <w:r w:rsidR="007B7D80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SNVs/short indels and SVs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were annotated and analyzed using </w:t>
      </w:r>
      <w:proofErr w:type="spellStart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Ensembl</w:t>
      </w:r>
      <w:proofErr w:type="spellEnd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Variant Effect Predictor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.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104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) 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and </w:t>
      </w:r>
      <w:proofErr w:type="spellStart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AnnotSV</w:t>
      </w:r>
      <w:proofErr w:type="spellEnd"/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 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(</w:t>
      </w:r>
      <w:r w:rsidR="007C281B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v.3.1</w:t>
      </w:r>
      <w:r w:rsidR="0095478F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>)</w:t>
      </w:r>
      <w:r w:rsidR="007B7D80" w:rsidRPr="0035305E">
        <w:rPr>
          <w:rFonts w:ascii="Arial" w:eastAsia="맑은 고딕" w:hAnsi="Arial" w:cs="Arial"/>
          <w:kern w:val="3"/>
          <w:sz w:val="24"/>
          <w:szCs w:val="24"/>
          <w:lang w:eastAsia="de-DE"/>
        </w:rPr>
        <w:t xml:space="preserve">, respectively. </w:t>
      </w:r>
    </w:p>
    <w:p w14:paraId="0E7CEAF0" w14:textId="74DAD8AE" w:rsidR="00D85F7B" w:rsidRDefault="00D85F7B" w:rsidP="00B92078">
      <w:pPr>
        <w:spacing w:after="0" w:line="360" w:lineRule="auto"/>
        <w:rPr>
          <w:rFonts w:ascii="Arial" w:eastAsia="맑은 고딕" w:hAnsi="Arial" w:cs="Arial"/>
          <w:kern w:val="3"/>
          <w:sz w:val="24"/>
          <w:szCs w:val="24"/>
          <w:lang w:eastAsia="de-DE"/>
        </w:rPr>
      </w:pPr>
    </w:p>
    <w:p w14:paraId="2DA5EB2C" w14:textId="0BBD1E39" w:rsidR="00013144" w:rsidRPr="00013144" w:rsidRDefault="00013144" w:rsidP="00B92078">
      <w:pPr>
        <w:pStyle w:val="a4"/>
        <w:numPr>
          <w:ilvl w:val="0"/>
          <w:numId w:val="28"/>
        </w:numPr>
        <w:spacing w:after="288" w:line="360" w:lineRule="auto"/>
        <w:ind w:leftChars="180" w:left="717" w:hanging="357"/>
        <w:rPr>
          <w:rFonts w:ascii="Arial" w:eastAsia="맑은 고딕" w:hAnsi="Arial" w:cs="Arial"/>
          <w:kern w:val="3"/>
          <w:sz w:val="24"/>
          <w:szCs w:val="24"/>
          <w:lang w:val="de-DE" w:eastAsia="de-DE"/>
        </w:rPr>
      </w:pPr>
      <w:r w:rsidRPr="00013144">
        <w:rPr>
          <w:rFonts w:ascii="Arial" w:eastAsia="맑은 고딕" w:hAnsi="Arial" w:cs="Arial"/>
          <w:kern w:val="3"/>
          <w:sz w:val="24"/>
          <w:szCs w:val="24"/>
          <w:lang w:val="de-DE" w:eastAsia="de-DE"/>
        </w:rPr>
        <w:t>Variant Filtering, Annotation, and Classification</w:t>
      </w:r>
    </w:p>
    <w:p w14:paraId="390CE33A" w14:textId="6F3A60F1" w:rsidR="000E4C41" w:rsidRPr="0035305E" w:rsidRDefault="00F4774D" w:rsidP="00B92078">
      <w:pPr>
        <w:spacing w:line="360" w:lineRule="auto"/>
        <w:ind w:leftChars="180" w:left="360"/>
        <w:rPr>
          <w:rFonts w:ascii="Arial" w:hAnsi="Arial" w:cs="Arial"/>
          <w:sz w:val="24"/>
        </w:rPr>
      </w:pPr>
      <w:r w:rsidRPr="0035305E">
        <w:rPr>
          <w:rFonts w:ascii="Arial" w:hAnsi="Arial" w:cs="Arial"/>
          <w:sz w:val="24"/>
        </w:rPr>
        <w:t xml:space="preserve">We imported all retrieved genetic variants to the Variant interpreter (Illumina). </w:t>
      </w:r>
      <w:r w:rsidR="000E4C41" w:rsidRPr="0035305E">
        <w:rPr>
          <w:rFonts w:ascii="Arial" w:hAnsi="Arial" w:cs="Arial"/>
          <w:sz w:val="24"/>
        </w:rPr>
        <w:t xml:space="preserve">Firstly, we applied </w:t>
      </w:r>
      <w:r w:rsidR="001059F7" w:rsidRPr="0035305E">
        <w:rPr>
          <w:rFonts w:ascii="Arial" w:hAnsi="Arial" w:cs="Arial"/>
          <w:sz w:val="24"/>
        </w:rPr>
        <w:t xml:space="preserve">combined </w:t>
      </w:r>
      <w:r w:rsidR="000E4C41" w:rsidRPr="0035305E">
        <w:rPr>
          <w:rFonts w:ascii="Arial" w:hAnsi="Arial" w:cs="Arial"/>
          <w:sz w:val="24"/>
        </w:rPr>
        <w:t>filter groups including population data frequency [&lt;0.1% or &lt;1% by Exome Aggregation Consortium (</w:t>
      </w:r>
      <w:proofErr w:type="spellStart"/>
      <w:r w:rsidR="000E4C41" w:rsidRPr="0035305E">
        <w:rPr>
          <w:rFonts w:ascii="Arial" w:hAnsi="Arial" w:cs="Arial"/>
          <w:sz w:val="24"/>
        </w:rPr>
        <w:t>ExAC</w:t>
      </w:r>
      <w:proofErr w:type="spellEnd"/>
      <w:r w:rsidR="000E4C41" w:rsidRPr="0035305E">
        <w:rPr>
          <w:rFonts w:ascii="Arial" w:hAnsi="Arial" w:cs="Arial"/>
          <w:sz w:val="24"/>
        </w:rPr>
        <w:t>) and Genome Aggregation Database (</w:t>
      </w:r>
      <w:proofErr w:type="spellStart"/>
      <w:r w:rsidR="000E4C41" w:rsidRPr="0035305E">
        <w:rPr>
          <w:rFonts w:ascii="Arial" w:hAnsi="Arial" w:cs="Arial"/>
          <w:sz w:val="24"/>
        </w:rPr>
        <w:t>gnomAD</w:t>
      </w:r>
      <w:proofErr w:type="spellEnd"/>
      <w:r w:rsidR="000E4C41" w:rsidRPr="0035305E">
        <w:rPr>
          <w:rFonts w:ascii="Arial" w:hAnsi="Arial" w:cs="Arial"/>
          <w:sz w:val="24"/>
        </w:rPr>
        <w:t xml:space="preserve"> Exomes)</w:t>
      </w:r>
      <w:r w:rsidR="001059F7" w:rsidRPr="0035305E">
        <w:rPr>
          <w:rFonts w:ascii="Arial" w:hAnsi="Arial" w:cs="Arial"/>
          <w:sz w:val="24"/>
        </w:rPr>
        <w:t>]</w:t>
      </w:r>
      <w:r w:rsidR="000E4C41" w:rsidRPr="0035305E">
        <w:rPr>
          <w:rFonts w:ascii="Arial" w:hAnsi="Arial" w:cs="Arial"/>
          <w:sz w:val="24"/>
        </w:rPr>
        <w:t>, quality metrics [Total read depth &gt;4, variant read frequency &gt;0.2], and variant consequences [all coding consequences]. Then we searched the causal variant using virtual panel comprising 819 genes</w:t>
      </w:r>
      <w:r w:rsidR="00837702" w:rsidRPr="0035305E">
        <w:rPr>
          <w:rFonts w:ascii="Arial" w:hAnsi="Arial" w:cs="Arial"/>
          <w:sz w:val="24"/>
        </w:rPr>
        <w:t xml:space="preserve"> related to IBMFS</w:t>
      </w:r>
      <w:r w:rsidR="000E4C41" w:rsidRPr="0035305E">
        <w:rPr>
          <w:rFonts w:ascii="Arial" w:hAnsi="Arial" w:cs="Arial"/>
          <w:sz w:val="24"/>
        </w:rPr>
        <w:t xml:space="preserve">. </w:t>
      </w:r>
      <w:r w:rsidR="001059F7" w:rsidRPr="0035305E">
        <w:rPr>
          <w:rFonts w:ascii="Arial" w:hAnsi="Arial" w:cs="Arial"/>
          <w:sz w:val="24"/>
        </w:rPr>
        <w:t xml:space="preserve">The potential functional impacts of the retained variants were assessed using </w:t>
      </w:r>
      <w:proofErr w:type="spellStart"/>
      <w:r w:rsidR="001059F7" w:rsidRPr="0035305E">
        <w:rPr>
          <w:rFonts w:ascii="Arial" w:hAnsi="Arial" w:cs="Arial"/>
          <w:sz w:val="24"/>
        </w:rPr>
        <w:t>VarSome</w:t>
      </w:r>
      <w:proofErr w:type="spellEnd"/>
      <w:r w:rsidR="001059F7" w:rsidRPr="0035305E">
        <w:rPr>
          <w:rFonts w:ascii="Arial" w:hAnsi="Arial" w:cs="Arial"/>
          <w:sz w:val="24"/>
        </w:rPr>
        <w:t xml:space="preserve"> (</w:t>
      </w:r>
      <w:hyperlink r:id="rId9" w:tgtFrame="_blank" w:history="1">
        <w:r w:rsidR="001059F7" w:rsidRPr="0035305E">
          <w:rPr>
            <w:rFonts w:ascii="Arial" w:hAnsi="Arial" w:cs="Arial"/>
            <w:sz w:val="24"/>
          </w:rPr>
          <w:t>https://Varsome.com/</w:t>
        </w:r>
      </w:hyperlink>
      <w:r w:rsidR="001059F7" w:rsidRPr="0035305E">
        <w:rPr>
          <w:rFonts w:ascii="Arial" w:hAnsi="Arial" w:cs="Arial"/>
          <w:sz w:val="24"/>
        </w:rPr>
        <w:t>)</w:t>
      </w:r>
      <w:r w:rsidR="001B012D" w:rsidRPr="0035305E">
        <w:rPr>
          <w:rFonts w:ascii="Arial" w:hAnsi="Arial" w:cs="Arial"/>
          <w:sz w:val="24"/>
        </w:rPr>
        <w:t xml:space="preserve">, </w:t>
      </w:r>
      <w:r w:rsidR="001059F7" w:rsidRPr="0035305E">
        <w:rPr>
          <w:rFonts w:ascii="Arial" w:hAnsi="Arial" w:cs="Arial"/>
          <w:sz w:val="24"/>
        </w:rPr>
        <w:t>HGMD (</w:t>
      </w:r>
      <w:hyperlink r:id="rId10" w:tgtFrame="_blank" w:history="1">
        <w:r w:rsidR="001059F7" w:rsidRPr="0035305E">
          <w:rPr>
            <w:rFonts w:ascii="Arial" w:hAnsi="Arial" w:cs="Arial"/>
            <w:sz w:val="24"/>
          </w:rPr>
          <w:t>http://www.hgmd.cf.ac.uk/</w:t>
        </w:r>
      </w:hyperlink>
      <w:r w:rsidR="001059F7" w:rsidRPr="0035305E">
        <w:rPr>
          <w:rFonts w:ascii="Arial" w:hAnsi="Arial" w:cs="Arial"/>
          <w:sz w:val="24"/>
        </w:rPr>
        <w:t xml:space="preserve">), and </w:t>
      </w:r>
      <w:proofErr w:type="spellStart"/>
      <w:r w:rsidR="001059F7" w:rsidRPr="0035305E">
        <w:rPr>
          <w:rFonts w:ascii="Arial" w:hAnsi="Arial" w:cs="Arial"/>
          <w:sz w:val="24"/>
        </w:rPr>
        <w:t>Clinvar</w:t>
      </w:r>
      <w:proofErr w:type="spellEnd"/>
      <w:r w:rsidR="00837702" w:rsidRPr="0035305E">
        <w:rPr>
          <w:rFonts w:ascii="Arial" w:hAnsi="Arial" w:cs="Arial"/>
          <w:sz w:val="24"/>
        </w:rPr>
        <w:t xml:space="preserve"> </w:t>
      </w:r>
      <w:r w:rsidR="001059F7" w:rsidRPr="0035305E">
        <w:rPr>
          <w:rFonts w:ascii="Arial" w:hAnsi="Arial" w:cs="Arial"/>
          <w:sz w:val="24"/>
        </w:rPr>
        <w:t>(</w:t>
      </w:r>
      <w:hyperlink r:id="rId11" w:tgtFrame="_blank" w:history="1">
        <w:r w:rsidR="001059F7" w:rsidRPr="0035305E">
          <w:rPr>
            <w:rFonts w:ascii="Arial" w:hAnsi="Arial" w:cs="Arial"/>
            <w:sz w:val="24"/>
          </w:rPr>
          <w:t>https://www.ncbi.nlm.nih.gov/clinvar/</w:t>
        </w:r>
      </w:hyperlink>
      <w:r w:rsidR="001059F7" w:rsidRPr="0035305E">
        <w:rPr>
          <w:rFonts w:ascii="Arial" w:hAnsi="Arial" w:cs="Arial"/>
          <w:sz w:val="24"/>
        </w:rPr>
        <w:t>). The</w:t>
      </w:r>
      <w:r w:rsidR="000E4C41" w:rsidRPr="0035305E">
        <w:rPr>
          <w:rFonts w:ascii="Arial" w:hAnsi="Arial" w:cs="Arial"/>
          <w:sz w:val="24"/>
        </w:rPr>
        <w:t xml:space="preserve"> retained </w:t>
      </w:r>
      <w:r w:rsidR="001059F7" w:rsidRPr="0035305E">
        <w:rPr>
          <w:rFonts w:ascii="Arial" w:hAnsi="Arial" w:cs="Arial"/>
          <w:sz w:val="24"/>
        </w:rPr>
        <w:t xml:space="preserve">causal </w:t>
      </w:r>
      <w:r w:rsidR="000E4C41" w:rsidRPr="0035305E">
        <w:rPr>
          <w:rFonts w:ascii="Arial" w:hAnsi="Arial" w:cs="Arial"/>
          <w:sz w:val="24"/>
        </w:rPr>
        <w:t xml:space="preserve">variants were confirmed by visual inspection of the BAM files. </w:t>
      </w:r>
      <w:r w:rsidR="001059F7" w:rsidRPr="0035305E">
        <w:rPr>
          <w:rFonts w:ascii="Arial" w:hAnsi="Arial" w:cs="Arial"/>
          <w:sz w:val="24"/>
        </w:rPr>
        <w:t>Phenotype-genotype correlations were thoroughly reviewed using Human Phenotype Ontology</w:t>
      </w:r>
      <w:r w:rsidR="00837702" w:rsidRPr="0035305E">
        <w:rPr>
          <w:rFonts w:ascii="Arial" w:hAnsi="Arial" w:cs="Arial"/>
          <w:sz w:val="24"/>
        </w:rPr>
        <w:t xml:space="preserve"> (https://hpo.jax.org/)</w:t>
      </w:r>
      <w:r w:rsidR="001059F7" w:rsidRPr="0035305E">
        <w:rPr>
          <w:rFonts w:ascii="Arial" w:hAnsi="Arial" w:cs="Arial"/>
          <w:sz w:val="24"/>
        </w:rPr>
        <w:t xml:space="preserve">, and </w:t>
      </w:r>
      <w:r w:rsidR="00837702" w:rsidRPr="0035305E">
        <w:rPr>
          <w:rFonts w:ascii="Arial" w:hAnsi="Arial" w:cs="Arial"/>
          <w:sz w:val="24"/>
        </w:rPr>
        <w:t>Online Catalog of Human Genes and Genetic Disorders (</w:t>
      </w:r>
      <w:r w:rsidR="001059F7" w:rsidRPr="0035305E">
        <w:rPr>
          <w:rFonts w:ascii="Arial" w:hAnsi="Arial" w:cs="Arial"/>
          <w:sz w:val="24"/>
        </w:rPr>
        <w:t>OMIM</w:t>
      </w:r>
      <w:r w:rsidR="00837702" w:rsidRPr="0035305E">
        <w:rPr>
          <w:rFonts w:ascii="Arial" w:hAnsi="Arial" w:cs="Arial"/>
          <w:sz w:val="24"/>
        </w:rPr>
        <w:t>, https://omim.org/)</w:t>
      </w:r>
      <w:r w:rsidR="001059F7" w:rsidRPr="0035305E">
        <w:rPr>
          <w:rFonts w:ascii="Arial" w:hAnsi="Arial" w:cs="Arial"/>
          <w:sz w:val="24"/>
        </w:rPr>
        <w:t xml:space="preserve">. </w:t>
      </w:r>
      <w:r w:rsidR="00656D25" w:rsidRPr="0035305E">
        <w:rPr>
          <w:rFonts w:ascii="Arial" w:hAnsi="Arial" w:cs="Arial"/>
          <w:sz w:val="24"/>
        </w:rPr>
        <w:t>If there was no causal variant remained, we repeated all</w:t>
      </w:r>
      <w:r w:rsidR="00837702" w:rsidRPr="0035305E">
        <w:rPr>
          <w:rFonts w:ascii="Arial" w:hAnsi="Arial" w:cs="Arial"/>
          <w:sz w:val="24"/>
        </w:rPr>
        <w:t xml:space="preserve"> process omitting virtual panel </w:t>
      </w:r>
      <w:r w:rsidR="00656D25" w:rsidRPr="0035305E">
        <w:rPr>
          <w:rFonts w:ascii="Arial" w:hAnsi="Arial" w:cs="Arial"/>
          <w:sz w:val="24"/>
        </w:rPr>
        <w:t>and</w:t>
      </w:r>
      <w:r w:rsidR="00837702" w:rsidRPr="0035305E">
        <w:rPr>
          <w:rFonts w:ascii="Arial" w:hAnsi="Arial" w:cs="Arial"/>
          <w:sz w:val="24"/>
        </w:rPr>
        <w:t>/or</w:t>
      </w:r>
      <w:r w:rsidR="00656D25" w:rsidRPr="0035305E">
        <w:rPr>
          <w:rFonts w:ascii="Arial" w:hAnsi="Arial" w:cs="Arial"/>
          <w:sz w:val="24"/>
        </w:rPr>
        <w:t xml:space="preserve"> filter groups. </w:t>
      </w:r>
    </w:p>
    <w:p w14:paraId="3F804C93" w14:textId="5D7A6FCD" w:rsidR="004F719C" w:rsidRDefault="004F719C" w:rsidP="001A7559">
      <w:pPr>
        <w:spacing w:line="360" w:lineRule="auto"/>
        <w:ind w:left="400"/>
        <w:rPr>
          <w:rFonts w:ascii="Arial" w:hAnsi="Arial" w:cs="Arial"/>
          <w:sz w:val="24"/>
        </w:rPr>
      </w:pPr>
    </w:p>
    <w:p w14:paraId="17057BFF" w14:textId="4FCEABC0" w:rsidR="00AD68B0" w:rsidRPr="0035305E" w:rsidRDefault="00AD68B0" w:rsidP="00B92078">
      <w:pPr>
        <w:pStyle w:val="Standard1"/>
        <w:numPr>
          <w:ilvl w:val="0"/>
          <w:numId w:val="15"/>
        </w:numPr>
        <w:wordWrap w:val="0"/>
        <w:spacing w:after="140" w:line="480" w:lineRule="auto"/>
        <w:ind w:left="360"/>
        <w:contextualSpacing/>
        <w:jc w:val="both"/>
        <w:rPr>
          <w:rFonts w:ascii="Arial" w:eastAsia="맑은 고딕" w:hAnsi="Arial" w:cs="Arial"/>
          <w:b/>
        </w:rPr>
      </w:pPr>
      <w:r w:rsidRPr="0035305E">
        <w:rPr>
          <w:rFonts w:ascii="Arial" w:eastAsia="맑은 고딕" w:hAnsi="Arial" w:cs="Arial"/>
          <w:b/>
          <w:lang w:eastAsia="ko-KR"/>
        </w:rPr>
        <w:lastRenderedPageBreak/>
        <w:t>Clinical data</w:t>
      </w:r>
      <w:r w:rsidR="00D2232E" w:rsidRPr="0035305E">
        <w:rPr>
          <w:rFonts w:ascii="Arial" w:eastAsia="맑은 고딕" w:hAnsi="Arial" w:cs="Arial"/>
          <w:b/>
          <w:lang w:eastAsia="ko-KR"/>
        </w:rPr>
        <w:t xml:space="preserve"> of genetically defined BMF</w:t>
      </w:r>
    </w:p>
    <w:p w14:paraId="70855267" w14:textId="07DA74EE" w:rsidR="00AD68B0" w:rsidRPr="0035305E" w:rsidRDefault="00AA0DB0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  <w:r w:rsidRPr="0035305E">
        <w:rPr>
          <w:rFonts w:ascii="Arial" w:eastAsia="맑은 고딕" w:hAnsi="Arial" w:cs="Arial"/>
          <w:b/>
          <w:lang w:eastAsia="ko-KR"/>
        </w:rPr>
        <w:t>Patient ID – G1</w:t>
      </w:r>
    </w:p>
    <w:p w14:paraId="0B2A639B" w14:textId="3517D248" w:rsidR="00630B27" w:rsidRPr="005507BF" w:rsidRDefault="00630B27" w:rsidP="00B92078">
      <w:pPr>
        <w:pStyle w:val="Standard1"/>
        <w:wordWrap w:val="0"/>
        <w:spacing w:after="140" w:line="360" w:lineRule="auto"/>
        <w:contextualSpacing/>
        <w:jc w:val="both"/>
        <w:rPr>
          <w:rFonts w:ascii="Arial" w:eastAsiaTheme="minorEastAsia" w:hAnsi="Arial" w:cs="Arial"/>
          <w:kern w:val="2"/>
          <w:szCs w:val="22"/>
          <w:lang w:val="en-US" w:eastAsia="ko-KR"/>
        </w:rPr>
      </w:pPr>
      <w:r w:rsidRPr="005507BF">
        <w:rPr>
          <w:rFonts w:ascii="Arial" w:eastAsiaTheme="minorEastAsia" w:hAnsi="Arial" w:cs="Arial"/>
          <w:kern w:val="2"/>
          <w:szCs w:val="22"/>
          <w:lang w:val="en-US" w:eastAsia="ko-KR"/>
        </w:rPr>
        <w:t>A one-year-old male presented with multiple café-au-lait macules and hypopigmented patches on the lower limbs, buttocks, chest, back, and chin. He was born at 36 weeks of gestation via cesarean section due to oligohydramnios, with a birth weight of 1.8 kg, and required NICU care for poor feeding during the neonatal period. Physical findings included café-au-lait spots, hypopigmented skin lesions, and a horseshoe kidney. WGS identified a homozygous splice-site variant in FANCG (NM_004629.2:c.307+1G&gt;C), consistent with a diagnosis of Fanconi anemia. Both parents were heterozygous carriers, and the patient’s older sibling was a heterozygous carrier as well. At age 3 years, he was referred for hematopoietic stem cell transplantation due to progressive pancytopenia (WBC 6.86 × 10⁹/L, Hb 10.6 g/dL, Plt 79 × 10⁹/L, reticulocyte 1.37%). Bone marrow biopsy at age 4 years showed hypocellularity (~20%) with less than 1% blasts. He underwent a matched unrelated donor bone marrow transplantation with subsequent hematologic recovery.</w:t>
      </w:r>
    </w:p>
    <w:p w14:paraId="45467921" w14:textId="77777777" w:rsidR="00630B27" w:rsidRPr="0035305E" w:rsidRDefault="00630B27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</w:p>
    <w:p w14:paraId="18DF6675" w14:textId="41832C48" w:rsidR="00AA0DB0" w:rsidRPr="0035305E" w:rsidRDefault="00AA0DB0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  <w:r w:rsidRPr="0035305E">
        <w:rPr>
          <w:rFonts w:ascii="Arial" w:eastAsia="맑은 고딕" w:hAnsi="Arial" w:cs="Arial"/>
          <w:b/>
          <w:lang w:eastAsia="ko-KR"/>
        </w:rPr>
        <w:t>Patient ID – G2</w:t>
      </w:r>
    </w:p>
    <w:p w14:paraId="1E4B821F" w14:textId="25C3E27B" w:rsidR="00A81E75" w:rsidRPr="0035305E" w:rsidRDefault="00A81E75" w:rsidP="00B92078">
      <w:pPr>
        <w:pStyle w:val="Standard1"/>
        <w:wordWrap w:val="0"/>
        <w:spacing w:after="140" w:line="360" w:lineRule="auto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lang w:eastAsia="ko-KR"/>
        </w:rPr>
        <w:t>A 5-year-old female was referred for a second opinion due to persistent cytopenia and short stature. She had café-au-lait macules over the flanks, She presented with bicytopenia (WBC 3.53 × 10⁹/L, Hb 11.9 g/dL, and platelet count 86 × 10⁹/L), which revealed markedly hypocellular marrow (5% cellularity), A chromosomal breakage test was positive, supporting the diagnosis of Fanconi anemia.</w:t>
      </w:r>
    </w:p>
    <w:p w14:paraId="09A98FC2" w14:textId="47D27A0F" w:rsidR="00A81E75" w:rsidRPr="0035305E" w:rsidRDefault="00A81E75" w:rsidP="00B92078">
      <w:pPr>
        <w:pStyle w:val="Standard1"/>
        <w:wordWrap w:val="0"/>
        <w:spacing w:after="140" w:line="360" w:lineRule="auto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lang w:eastAsia="ko-KR"/>
        </w:rPr>
        <w:t xml:space="preserve">WGS identified two heterozygous pathogenic variants: </w:t>
      </w:r>
      <w:r w:rsidRPr="00013144">
        <w:rPr>
          <w:rFonts w:ascii="Arial" w:eastAsia="맑은 고딕" w:hAnsi="Arial" w:cs="Arial"/>
          <w:i/>
          <w:lang w:eastAsia="ko-KR"/>
        </w:rPr>
        <w:t>FANCD2</w:t>
      </w:r>
      <w:r w:rsidRPr="0035305E">
        <w:rPr>
          <w:rFonts w:ascii="Arial" w:eastAsia="맑은 고딕" w:hAnsi="Arial" w:cs="Arial"/>
          <w:lang w:eastAsia="ko-KR"/>
        </w:rPr>
        <w:t xml:space="preserve"> (NM_033084.4:c.3817C&gt;T; p.Arg1273Ter) inherited from the mother, and </w:t>
      </w:r>
      <w:r w:rsidRPr="00013144">
        <w:rPr>
          <w:rFonts w:ascii="Arial" w:eastAsia="맑은 고딕" w:hAnsi="Arial" w:cs="Arial"/>
          <w:i/>
          <w:lang w:eastAsia="ko-KR"/>
        </w:rPr>
        <w:t>BRCA2</w:t>
      </w:r>
      <w:r w:rsidRPr="0035305E">
        <w:rPr>
          <w:rFonts w:ascii="Arial" w:eastAsia="맑은 고딕" w:hAnsi="Arial" w:cs="Arial"/>
          <w:lang w:eastAsia="ko-KR"/>
        </w:rPr>
        <w:t xml:space="preserve"> (</w:t>
      </w:r>
      <w:r w:rsidRPr="00013144">
        <w:rPr>
          <w:rFonts w:ascii="Arial" w:eastAsia="맑은 고딕" w:hAnsi="Arial" w:cs="Arial"/>
          <w:i/>
          <w:lang w:eastAsia="ko-KR"/>
        </w:rPr>
        <w:t>FANCD1</w:t>
      </w:r>
      <w:r w:rsidRPr="0035305E">
        <w:rPr>
          <w:rFonts w:ascii="Arial" w:eastAsia="맑은 고딕" w:hAnsi="Arial" w:cs="Arial"/>
          <w:lang w:eastAsia="ko-KR"/>
        </w:rPr>
        <w:t>) (NM_000059.4:c.5795_5799del; p.His1932ProfsTer11) inherited from the father. Both variants have been previously associated with autosomal recessive Fanconi anemia subtypes.</w:t>
      </w:r>
    </w:p>
    <w:p w14:paraId="3C506D4E" w14:textId="4D86D102" w:rsidR="00D142E4" w:rsidRPr="0035305E" w:rsidRDefault="00A81E75" w:rsidP="00B92078">
      <w:pPr>
        <w:pStyle w:val="Standard1"/>
        <w:wordWrap w:val="0"/>
        <w:spacing w:after="140" w:line="360" w:lineRule="auto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lang w:eastAsia="ko-KR"/>
        </w:rPr>
        <w:t>Given the biallelic involvement of different FA complementation groups, a digenic mechanism (</w:t>
      </w:r>
      <w:r w:rsidRPr="00013144">
        <w:rPr>
          <w:rFonts w:ascii="Arial" w:eastAsia="맑은 고딕" w:hAnsi="Arial" w:cs="Arial"/>
          <w:i/>
          <w:lang w:eastAsia="ko-KR"/>
        </w:rPr>
        <w:t>FANCD2</w:t>
      </w:r>
      <w:r w:rsidRPr="0035305E">
        <w:rPr>
          <w:rFonts w:ascii="Arial" w:eastAsia="맑은 고딕" w:hAnsi="Arial" w:cs="Arial"/>
          <w:lang w:eastAsia="ko-KR"/>
        </w:rPr>
        <w:t xml:space="preserve"> +</w:t>
      </w:r>
      <w:r w:rsidRPr="00013144">
        <w:rPr>
          <w:rFonts w:ascii="Arial" w:eastAsia="맑은 고딕" w:hAnsi="Arial" w:cs="Arial"/>
          <w:i/>
          <w:lang w:eastAsia="ko-KR"/>
        </w:rPr>
        <w:t xml:space="preserve"> BRCA2</w:t>
      </w:r>
      <w:r w:rsidRPr="0035305E">
        <w:rPr>
          <w:rFonts w:ascii="Arial" w:eastAsia="맑은 고딕" w:hAnsi="Arial" w:cs="Arial"/>
          <w:lang w:eastAsia="ko-KR"/>
        </w:rPr>
        <w:t xml:space="preserve">) was considered possible, though not yet established in the literature. </w:t>
      </w:r>
    </w:p>
    <w:p w14:paraId="480D288C" w14:textId="047AD009" w:rsidR="00975DF9" w:rsidRPr="0035305E" w:rsidRDefault="00975DF9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noProof/>
          <w:lang w:val="en-US" w:eastAsia="ko-KR"/>
        </w:rPr>
        <w:lastRenderedPageBreak/>
        <w:drawing>
          <wp:anchor distT="0" distB="0" distL="114300" distR="114300" simplePos="0" relativeHeight="251659264" behindDoc="0" locked="0" layoutInCell="1" allowOverlap="1" wp14:anchorId="79404AE9" wp14:editId="62D94AA4">
            <wp:simplePos x="0" y="0"/>
            <wp:positionH relativeFrom="column">
              <wp:posOffset>257175</wp:posOffset>
            </wp:positionH>
            <wp:positionV relativeFrom="paragraph">
              <wp:posOffset>1905</wp:posOffset>
            </wp:positionV>
            <wp:extent cx="3787200" cy="4348800"/>
            <wp:effectExtent l="0" t="0" r="3810" b="0"/>
            <wp:wrapThrough wrapText="bothSides">
              <wp:wrapPolygon edited="0">
                <wp:start x="0" y="0"/>
                <wp:lineTo x="0" y="21480"/>
                <wp:lineTo x="21513" y="21480"/>
                <wp:lineTo x="21513" y="0"/>
                <wp:lineTo x="0" y="0"/>
              </wp:wrapPolygon>
            </wp:wrapThrough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5963CF9-D88C-470C-AEEE-4D3F54D5B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5963CF9-D88C-470C-AEEE-4D3F54D5B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05E">
        <w:rPr>
          <w:rFonts w:ascii="Arial" w:eastAsia="맑은 고딕" w:hAnsi="Arial" w:cs="Arial"/>
          <w:noProof/>
          <w:lang w:val="en-US" w:eastAsia="ko-KR"/>
        </w:rPr>
        <w:drawing>
          <wp:inline distT="0" distB="0" distL="0" distR="0" wp14:anchorId="44687A91" wp14:editId="225B7D4B">
            <wp:extent cx="3258725" cy="4347210"/>
            <wp:effectExtent l="0" t="0" r="0" b="4445"/>
            <wp:docPr id="10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86ABCD0C-D2F9-40E4-B214-B4DEB62DD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86ABCD0C-D2F9-40E4-B214-B4DEB62DD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3"/>
                    <a:stretch/>
                  </pic:blipFill>
                  <pic:spPr>
                    <a:xfrm>
                      <a:off x="0" y="0"/>
                      <a:ext cx="325872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9601" w14:textId="4B976D73" w:rsidR="00A81E75" w:rsidRPr="0035305E" w:rsidRDefault="0035305E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lang w:eastAsia="ko-KR"/>
        </w:rPr>
      </w:pPr>
      <w:r>
        <w:rPr>
          <w:rFonts w:ascii="Arial" w:eastAsia="맑은 고딕" w:hAnsi="Arial" w:cs="Arial" w:hint="eastAsia"/>
          <w:lang w:eastAsia="ko-KR"/>
        </w:rPr>
        <w:t xml:space="preserve"> </w:t>
      </w:r>
      <w:r>
        <w:rPr>
          <w:rFonts w:ascii="Arial" w:eastAsia="맑은 고딕" w:hAnsi="Arial" w:cs="Arial"/>
          <w:lang w:eastAsia="ko-KR"/>
        </w:rPr>
        <w:t xml:space="preserve">  </w:t>
      </w:r>
    </w:p>
    <w:p w14:paraId="4D6A640E" w14:textId="012FE5DD" w:rsidR="00AA0DB0" w:rsidRPr="0035305E" w:rsidRDefault="00AA0DB0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  <w:r w:rsidRPr="0035305E">
        <w:rPr>
          <w:rFonts w:ascii="Arial" w:eastAsia="맑은 고딕" w:hAnsi="Arial" w:cs="Arial"/>
          <w:b/>
          <w:lang w:eastAsia="ko-KR"/>
        </w:rPr>
        <w:t>Patient ID – G3</w:t>
      </w:r>
    </w:p>
    <w:p w14:paraId="1D72E53E" w14:textId="0C418FC3" w:rsidR="00AD68B0" w:rsidRPr="0035305E" w:rsidRDefault="000E59F4" w:rsidP="00B92078">
      <w:pPr>
        <w:pStyle w:val="Standard1"/>
        <w:spacing w:after="140" w:line="360" w:lineRule="auto"/>
        <w:ind w:leftChars="1" w:left="2"/>
        <w:contextualSpacing/>
        <w:jc w:val="both"/>
        <w:rPr>
          <w:rFonts w:ascii="Arial" w:eastAsia="맑은 고딕" w:hAnsi="Arial" w:cs="Arial"/>
          <w:b/>
        </w:rPr>
      </w:pPr>
      <w:r w:rsidRPr="0035305E">
        <w:rPr>
          <w:rFonts w:ascii="Arial" w:eastAsia="맑은 고딕" w:hAnsi="Arial" w:cs="Arial"/>
          <w:lang w:eastAsia="ko-KR"/>
        </w:rPr>
        <w:t xml:space="preserve">A 7-year-old male presented with pancytopenia identified incidentally during a school health screening. Bone marrow examination showed markedly hypocellular marrow with decreased trilineage hematopoiesis, consistent with aplastic anemia. Chromosomal breakage testing </w:t>
      </w:r>
      <w:r w:rsidRPr="0035305E">
        <w:rPr>
          <w:rFonts w:ascii="Arial" w:eastAsia="맑은 고딕" w:hAnsi="Arial" w:cs="Arial"/>
          <w:lang w:eastAsia="ko-KR"/>
        </w:rPr>
        <w:lastRenderedPageBreak/>
        <w:t>confirmed the diagnosis of Fanconi anemia.Targeted sequencing revealed compound heterozygous variants in FANCA:c.3520_3522del (p.Trp1147del), inherited from the mother, and c.4168-2A&gt;G, inherited from the father. Physical examination demonstrated short stature (3–5th percentile), multiple café-au-lait macules, a small depigmented patch on the abdomen, and prominent palmar creases, with no limb anomalies.CBC at presentation showed WBC 3.48×10⁹/L, Hb 8.1 g/dL, platelets 42×10⁹/L, ANC 420/µL, and HbF 6.5%. He underwent fludarabine–melphalan–mesna (FMM)–conditioned PBSCT at the age of 8 years but subsequently developed graft-versus-host disease and CMV pneumonitis, and died of transplant-related complications.</w:t>
      </w:r>
    </w:p>
    <w:p w14:paraId="0626E098" w14:textId="4A34F173" w:rsidR="00AD68B0" w:rsidRPr="0035305E" w:rsidRDefault="00C956AB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</w:rPr>
      </w:pPr>
      <w:r w:rsidRPr="0035305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3AF617F" wp14:editId="201DDFE1">
            <wp:simplePos x="0" y="0"/>
            <wp:positionH relativeFrom="column">
              <wp:posOffset>4914900</wp:posOffset>
            </wp:positionH>
            <wp:positionV relativeFrom="paragraph">
              <wp:posOffset>22860</wp:posOffset>
            </wp:positionV>
            <wp:extent cx="44577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08" y="21415"/>
                <wp:lineTo x="21508" y="0"/>
                <wp:lineTo x="0" y="0"/>
              </wp:wrapPolygon>
            </wp:wrapTight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20" w:rsidRPr="0035305E">
        <w:rPr>
          <w:rFonts w:ascii="Arial" w:hAnsi="Arial" w:cs="Arial"/>
          <w:noProof/>
        </w:rPr>
        <w:drawing>
          <wp:inline distT="0" distB="0" distL="0" distR="0" wp14:anchorId="7EBAC14D" wp14:editId="6CC58576">
            <wp:extent cx="4429125" cy="2214563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6560" cy="22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330D" w14:textId="33418797" w:rsidR="00C83520" w:rsidRPr="0035305E" w:rsidRDefault="00C83520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</w:rPr>
      </w:pPr>
    </w:p>
    <w:p w14:paraId="4F4CE828" w14:textId="606E4584" w:rsidR="000E59F4" w:rsidRPr="0035305E" w:rsidRDefault="000E59F4" w:rsidP="00B92078">
      <w:pPr>
        <w:pStyle w:val="Standard1"/>
        <w:wordWrap w:val="0"/>
        <w:spacing w:after="140" w:line="480" w:lineRule="auto"/>
        <w:contextualSpacing/>
        <w:jc w:val="both"/>
        <w:rPr>
          <w:rFonts w:ascii="Arial" w:eastAsia="맑은 고딕" w:hAnsi="Arial" w:cs="Arial"/>
          <w:b/>
          <w:lang w:eastAsia="ko-KR"/>
        </w:rPr>
      </w:pPr>
      <w:r w:rsidRPr="0035305E">
        <w:rPr>
          <w:rFonts w:ascii="Arial" w:eastAsia="맑은 고딕" w:hAnsi="Arial" w:cs="Arial"/>
          <w:b/>
          <w:lang w:eastAsia="ko-KR"/>
        </w:rPr>
        <w:t>Patient ID – G4</w:t>
      </w:r>
    </w:p>
    <w:p w14:paraId="2736C0E5" w14:textId="6D29E070" w:rsidR="00D2232E" w:rsidRPr="0035305E" w:rsidRDefault="00D2232E" w:rsidP="00B92078">
      <w:pPr>
        <w:pStyle w:val="Standard1"/>
        <w:spacing w:after="140" w:line="360" w:lineRule="auto"/>
        <w:ind w:leftChars="1" w:left="2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lang w:eastAsia="ko-KR"/>
        </w:rPr>
        <w:t xml:space="preserve">A 7-year-old male was first noted to have thrombocytopenia (61×10⁹/L) and leukopenia (3.3×10⁹/L) during hospitalization for influenza. Follow-up testing showed further cytopenia, and bone marrow examination revealed marked hypocellularity, consistent with aplastic anemia. At follow-up, CBC showed WBC 4.55×10⁹/L, Hb 10.5 g/dL, platelets 68×10⁹/L, and reticulocytes 2.79%. PNH testing was negative, while serum erythropoietin was markedly elevated (1063 mIU/mL). </w:t>
      </w:r>
    </w:p>
    <w:p w14:paraId="336365D6" w14:textId="7AF64F1B" w:rsidR="00D2232E" w:rsidRPr="0035305E" w:rsidRDefault="00D2232E" w:rsidP="00B92078">
      <w:pPr>
        <w:pStyle w:val="Standard1"/>
        <w:spacing w:after="140" w:line="360" w:lineRule="auto"/>
        <w:ind w:leftChars="1" w:left="2"/>
        <w:contextualSpacing/>
        <w:jc w:val="both"/>
        <w:rPr>
          <w:rFonts w:ascii="Arial" w:eastAsia="맑은 고딕" w:hAnsi="Arial" w:cs="Arial"/>
          <w:lang w:eastAsia="ko-KR"/>
        </w:rPr>
      </w:pPr>
      <w:r w:rsidRPr="0035305E">
        <w:rPr>
          <w:rFonts w:ascii="Arial" w:eastAsia="맑은 고딕" w:hAnsi="Arial" w:cs="Arial"/>
          <w:lang w:eastAsia="ko-KR"/>
        </w:rPr>
        <w:lastRenderedPageBreak/>
        <w:t xml:space="preserve">Targeted sequencing identified a heterozygous pathogenic variant in </w:t>
      </w:r>
      <w:r w:rsidRPr="00013144">
        <w:rPr>
          <w:rFonts w:ascii="Arial" w:eastAsia="맑은 고딕" w:hAnsi="Arial" w:cs="Arial"/>
          <w:i/>
          <w:lang w:eastAsia="ko-KR"/>
        </w:rPr>
        <w:t>TERT</w:t>
      </w:r>
      <w:r w:rsidRPr="0035305E">
        <w:rPr>
          <w:rFonts w:ascii="Arial" w:eastAsia="맑은 고딕" w:hAnsi="Arial" w:cs="Arial"/>
          <w:lang w:eastAsia="ko-KR"/>
        </w:rPr>
        <w:t xml:space="preserve"> (c.1892G&gt;A; p.Arg631Gln), confirming telomere biology disorder–associated bone marrow failure.</w:t>
      </w:r>
    </w:p>
    <w:p w14:paraId="5645A9BB" w14:textId="25CE8F85" w:rsidR="00975DF9" w:rsidRPr="0035305E" w:rsidRDefault="00975DF9" w:rsidP="001A7559">
      <w:pPr>
        <w:pStyle w:val="Standard1"/>
        <w:wordWrap w:val="0"/>
        <w:spacing w:after="140" w:line="480" w:lineRule="auto"/>
        <w:ind w:left="400"/>
        <w:contextualSpacing/>
        <w:jc w:val="both"/>
        <w:rPr>
          <w:rFonts w:ascii="Arial" w:eastAsia="맑은 고딕" w:hAnsi="Arial" w:cs="Arial"/>
        </w:rPr>
      </w:pPr>
      <w:r w:rsidRPr="0035305E">
        <w:rPr>
          <w:rFonts w:ascii="Arial" w:eastAsia="맑은 고딕" w:hAnsi="Arial" w:cs="Arial"/>
          <w:noProof/>
          <w:lang w:val="en-US"/>
        </w:rPr>
        <w:drawing>
          <wp:inline distT="0" distB="0" distL="0" distR="0" wp14:anchorId="0064958C" wp14:editId="2DC9C020">
            <wp:extent cx="2376308" cy="3867325"/>
            <wp:effectExtent l="0" t="0" r="5080" b="0"/>
            <wp:docPr id="8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CFACAF31-2C0F-45B1-BA12-79B8B560B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CFACAF31-2C0F-45B1-BA12-79B8B560B5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6308" cy="38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3066" w14:textId="77777777" w:rsidR="002A215E" w:rsidRPr="0035305E" w:rsidRDefault="002A215E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</w:p>
    <w:p w14:paraId="39693744" w14:textId="77777777" w:rsidR="002A215E" w:rsidRPr="0035305E" w:rsidRDefault="002A215E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</w:p>
    <w:p w14:paraId="287B53F0" w14:textId="77777777" w:rsidR="002A215E" w:rsidRPr="0035305E" w:rsidRDefault="002A215E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</w:p>
    <w:p w14:paraId="528B17B9" w14:textId="6E62769C" w:rsidR="0035305E" w:rsidRPr="005507BF" w:rsidRDefault="005507BF" w:rsidP="00B92078">
      <w:pPr>
        <w:spacing w:line="480" w:lineRule="auto"/>
        <w:rPr>
          <w:rFonts w:ascii="Arial" w:eastAsia="맑은 고딕" w:hAnsi="Arial" w:cs="Arial"/>
          <w:b/>
          <w:kern w:val="3"/>
          <w:sz w:val="24"/>
          <w:szCs w:val="24"/>
          <w:lang w:val="de-DE"/>
        </w:rPr>
      </w:pPr>
      <w:r w:rsidRPr="005507BF"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lastRenderedPageBreak/>
        <w:t>3.</w:t>
      </w:r>
      <w:r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t xml:space="preserve"> </w:t>
      </w:r>
      <w:r w:rsidR="0035305E" w:rsidRPr="005507BF">
        <w:rPr>
          <w:rFonts w:ascii="Arial" w:eastAsia="맑은 고딕" w:hAnsi="Arial" w:cs="Arial"/>
          <w:b/>
          <w:kern w:val="3"/>
          <w:sz w:val="24"/>
          <w:szCs w:val="24"/>
          <w:lang w:val="de-DE"/>
        </w:rPr>
        <w:t>Supplementary Figures</w:t>
      </w:r>
    </w:p>
    <w:p w14:paraId="07FCAE30" w14:textId="67DB8C62" w:rsidR="005507BF" w:rsidRPr="0035305E" w:rsidRDefault="005507BF" w:rsidP="00B92078">
      <w:pPr>
        <w:pStyle w:val="p1"/>
        <w:wordWrap w:val="0"/>
        <w:jc w:val="both"/>
        <w:rPr>
          <w:rFonts w:ascii="Arial" w:hAnsi="Arial" w:cs="Arial"/>
        </w:rPr>
      </w:pPr>
      <w:r w:rsidRPr="0035305E">
        <w:rPr>
          <w:rFonts w:ascii="Arial" w:hAnsi="Arial" w:cs="Arial"/>
          <w:b/>
          <w:bCs/>
        </w:rPr>
        <w:t>Supplementary Figure 1. Distribution of detected gene biotypes across the cohort (</w:t>
      </w:r>
      <w:r w:rsidR="00F93D3D">
        <w:rPr>
          <w:rFonts w:ascii="Arial" w:hAnsi="Arial" w:cs="Arial"/>
          <w:b/>
          <w:bCs/>
        </w:rPr>
        <w:t>Control</w:t>
      </w:r>
      <w:r w:rsidRPr="0035305E">
        <w:rPr>
          <w:rFonts w:ascii="Arial" w:hAnsi="Arial" w:cs="Arial"/>
          <w:b/>
          <w:bCs/>
        </w:rPr>
        <w:t>, g-BMF, and u-BMF).</w:t>
      </w:r>
    </w:p>
    <w:p w14:paraId="0CB069E4" w14:textId="41E19119" w:rsidR="002A215E" w:rsidRPr="005507BF" w:rsidRDefault="002B33B4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eastAsia="ko-KR"/>
        </w:rPr>
      </w:pPr>
      <w:r>
        <w:rPr>
          <w:rFonts w:ascii="Arial" w:eastAsiaTheme="minorEastAsia" w:hAnsi="Arial" w:cs="Arial"/>
          <w:b/>
          <w:noProof/>
          <w:kern w:val="0"/>
          <w:szCs w:val="22"/>
          <w:lang w:val="en-US" w:eastAsia="ko-KR"/>
        </w:rPr>
        <w:drawing>
          <wp:inline distT="0" distB="0" distL="0" distR="0" wp14:anchorId="3343911E" wp14:editId="7AEF3E37">
            <wp:extent cx="4429125" cy="3690938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28" cy="3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7E2F" w14:textId="5B8EC4D3" w:rsidR="00866560" w:rsidRPr="00C956AB" w:rsidRDefault="00866560" w:rsidP="00C956AB">
      <w:pPr>
        <w:pStyle w:val="p2"/>
        <w:wordWrap w:val="0"/>
        <w:jc w:val="both"/>
        <w:rPr>
          <w:rFonts w:ascii="Arial" w:hAnsi="Arial" w:cs="Arial"/>
          <w:sz w:val="22"/>
        </w:rPr>
      </w:pPr>
      <w:r w:rsidRPr="00C956AB">
        <w:rPr>
          <w:rFonts w:ascii="Arial" w:hAnsi="Arial" w:cs="Arial"/>
          <w:sz w:val="22"/>
        </w:rPr>
        <w:t xml:space="preserve">Total RNA sequencing detected </w:t>
      </w:r>
      <w:r w:rsidR="002B33B4">
        <w:rPr>
          <w:rFonts w:ascii="Arial" w:hAnsi="Arial" w:cs="Arial"/>
          <w:sz w:val="22"/>
        </w:rPr>
        <w:t>62,653</w:t>
      </w:r>
      <w:r w:rsidRPr="00C956AB">
        <w:rPr>
          <w:rFonts w:ascii="Arial" w:hAnsi="Arial" w:cs="Arial"/>
          <w:sz w:val="22"/>
        </w:rPr>
        <w:t xml:space="preserve"> genes across all samples. Gene biotypes were annotated using GENCODE v44 and are shown as percentages of all detected genes</w:t>
      </w:r>
      <w:r w:rsidR="002B33B4">
        <w:rPr>
          <w:rFonts w:ascii="Arial" w:hAnsi="Arial" w:cs="Arial"/>
          <w:sz w:val="22"/>
        </w:rPr>
        <w:t xml:space="preserve">. </w:t>
      </w:r>
      <w:r w:rsidRPr="00C956AB">
        <w:rPr>
          <w:rStyle w:val="s1"/>
          <w:rFonts w:ascii="Arial" w:hAnsi="Arial" w:cs="Arial"/>
          <w:b/>
          <w:bCs/>
          <w:sz w:val="22"/>
        </w:rPr>
        <w:t>Abbreviations:</w:t>
      </w:r>
      <w:r w:rsidRPr="00C956AB">
        <w:rPr>
          <w:rFonts w:ascii="Arial" w:hAnsi="Arial" w:cs="Arial"/>
          <w:sz w:val="22"/>
        </w:rPr>
        <w:t xml:space="preserve"> </w:t>
      </w:r>
      <w:r w:rsidR="00F93D3D">
        <w:rPr>
          <w:rFonts w:ascii="Arial" w:hAnsi="Arial" w:cs="Arial"/>
          <w:sz w:val="22"/>
        </w:rPr>
        <w:t>Control</w:t>
      </w:r>
      <w:r w:rsidRPr="00C956AB">
        <w:rPr>
          <w:rFonts w:ascii="Arial" w:hAnsi="Arial" w:cs="Arial"/>
          <w:sz w:val="22"/>
        </w:rPr>
        <w:t>, control; g-BMF, genetically defined bone marrow failure; u-BMF, genetically undefined bone marrow failure; mRNA, messenger RNA; lncRNA, long non-coding RNA; snRNA, small nuclear RNA; miRNA, microRNA; snoRNA, small nucleolar RNA.</w:t>
      </w:r>
      <w:r w:rsidR="002B33B4">
        <w:rPr>
          <w:rFonts w:ascii="Arial" w:hAnsi="Arial" w:cs="Arial"/>
          <w:sz w:val="22"/>
        </w:rPr>
        <w:t xml:space="preserve"> </w:t>
      </w:r>
      <w:r w:rsidR="00F93D3D" w:rsidRPr="002B33B4">
        <w:rPr>
          <w:rFonts w:ascii="Arial" w:hAnsi="Arial" w:cs="Arial"/>
          <w:sz w:val="22"/>
        </w:rPr>
        <w:t>Created in https://BioRender.com</w:t>
      </w:r>
    </w:p>
    <w:p w14:paraId="79224A96" w14:textId="43448819" w:rsidR="006D3A6E" w:rsidRPr="0035305E" w:rsidRDefault="006D3A6E" w:rsidP="006D3A6E">
      <w:pPr>
        <w:pStyle w:val="p1"/>
        <w:wordWrap w:val="0"/>
        <w:jc w:val="both"/>
        <w:rPr>
          <w:rFonts w:ascii="Arial" w:hAnsi="Arial" w:cs="Arial"/>
        </w:rPr>
      </w:pPr>
      <w:r w:rsidRPr="0035305E">
        <w:rPr>
          <w:rFonts w:ascii="Arial" w:hAnsi="Arial" w:cs="Arial"/>
          <w:b/>
          <w:bCs/>
        </w:rPr>
        <w:lastRenderedPageBreak/>
        <w:t>Supplementary Figure 2. PCA of RNA-seq samples across the cohort (</w:t>
      </w:r>
      <w:r w:rsidR="00F93D3D">
        <w:rPr>
          <w:rFonts w:ascii="Arial" w:hAnsi="Arial" w:cs="Arial"/>
          <w:b/>
          <w:bCs/>
        </w:rPr>
        <w:t>Control</w:t>
      </w:r>
      <w:r w:rsidRPr="0035305E">
        <w:rPr>
          <w:rFonts w:ascii="Arial" w:hAnsi="Arial" w:cs="Arial"/>
          <w:b/>
          <w:bCs/>
        </w:rPr>
        <w:t>, g-BMF, and u-BMF).</w:t>
      </w:r>
    </w:p>
    <w:p w14:paraId="3182CA05" w14:textId="54EC4172" w:rsidR="00C40131" w:rsidRPr="0035305E" w:rsidRDefault="0077180B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  <w:r w:rsidRPr="0035305E">
        <w:rPr>
          <w:rFonts w:ascii="Arial" w:hAnsi="Arial" w:cs="Arial"/>
          <w:noProof/>
        </w:rPr>
        <w:drawing>
          <wp:inline distT="0" distB="0" distL="0" distR="0" wp14:anchorId="06978B35" wp14:editId="7097FBDC">
            <wp:extent cx="5457825" cy="4374117"/>
            <wp:effectExtent l="0" t="0" r="0" b="762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4098" cy="43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3AA8" w14:textId="35B684AC" w:rsidR="00DE613A" w:rsidRPr="00C956AB" w:rsidRDefault="00866560" w:rsidP="00773D11">
      <w:pPr>
        <w:pStyle w:val="p2"/>
        <w:wordWrap w:val="0"/>
        <w:spacing w:line="240" w:lineRule="atLeast"/>
        <w:jc w:val="both"/>
        <w:rPr>
          <w:rFonts w:ascii="Arial" w:hAnsi="Arial" w:cs="Arial"/>
          <w:sz w:val="22"/>
        </w:rPr>
      </w:pPr>
      <w:r w:rsidRPr="00C956AB">
        <w:rPr>
          <w:rFonts w:ascii="Arial" w:hAnsi="Arial" w:cs="Arial"/>
          <w:sz w:val="22"/>
        </w:rPr>
        <w:t xml:space="preserve">PCA was performed using VST-normalized gene expression profiles, demonstrating separation between BMF samples and </w:t>
      </w:r>
      <w:r w:rsidR="00F93D3D">
        <w:rPr>
          <w:rFonts w:ascii="Arial" w:hAnsi="Arial" w:cs="Arial"/>
          <w:sz w:val="22"/>
        </w:rPr>
        <w:t>Control</w:t>
      </w:r>
      <w:r w:rsidRPr="00C956AB">
        <w:rPr>
          <w:rFonts w:ascii="Arial" w:hAnsi="Arial" w:cs="Arial"/>
          <w:sz w:val="22"/>
        </w:rPr>
        <w:t xml:space="preserve">, while g-BMF and u-BMF showed substantial overlap and intra-group heterogeneity. </w:t>
      </w:r>
      <w:r w:rsidRPr="00C956AB">
        <w:rPr>
          <w:rStyle w:val="s1"/>
          <w:rFonts w:ascii="Arial" w:hAnsi="Arial" w:cs="Arial"/>
          <w:b/>
          <w:bCs/>
          <w:sz w:val="22"/>
        </w:rPr>
        <w:t>Abbreviations:</w:t>
      </w:r>
      <w:r w:rsidRPr="00C956AB">
        <w:rPr>
          <w:rFonts w:ascii="Arial" w:hAnsi="Arial" w:cs="Arial"/>
          <w:sz w:val="22"/>
        </w:rPr>
        <w:t xml:space="preserve"> PCA, principal component analysis; </w:t>
      </w:r>
      <w:r w:rsidR="00F93D3D">
        <w:rPr>
          <w:rFonts w:ascii="Arial" w:hAnsi="Arial" w:cs="Arial"/>
          <w:sz w:val="22"/>
        </w:rPr>
        <w:t>Control</w:t>
      </w:r>
      <w:r w:rsidRPr="00C956AB">
        <w:rPr>
          <w:rFonts w:ascii="Arial" w:hAnsi="Arial" w:cs="Arial"/>
          <w:sz w:val="22"/>
        </w:rPr>
        <w:t>, control; g-BMF, genetically defined bone marrow failure; u-BMF, genetically undefined bone marrow failure; VST, variance stabilizing transformation.</w:t>
      </w:r>
    </w:p>
    <w:p w14:paraId="588D3DAC" w14:textId="77777777" w:rsidR="00C956AB" w:rsidRDefault="006D3A6E" w:rsidP="006D3A6E">
      <w:pPr>
        <w:widowControl/>
        <w:autoSpaceDE/>
        <w:autoSpaceDN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</w:rPr>
      </w:pPr>
      <w:r w:rsidRPr="0035305E">
        <w:rPr>
          <w:rFonts w:ascii="Arial" w:eastAsia="Times New Roman" w:hAnsi="Arial" w:cs="Arial"/>
          <w:b/>
          <w:bCs/>
          <w:kern w:val="0"/>
          <w:sz w:val="24"/>
          <w:szCs w:val="24"/>
        </w:rPr>
        <w:lastRenderedPageBreak/>
        <w:t>Supplementary Figure 3. Representative enriched Hallmark pathways in pediatric bone marrow failure (g-BMF and u-BMF).</w:t>
      </w:r>
    </w:p>
    <w:p w14:paraId="467EB23D" w14:textId="2D2DFE9B" w:rsidR="006D3A6E" w:rsidRPr="0035305E" w:rsidRDefault="00C956AB" w:rsidP="006D3A6E">
      <w:pPr>
        <w:widowControl/>
        <w:autoSpaceDE/>
        <w:autoSpaceDN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</w:rPr>
      </w:pPr>
      <w:r w:rsidRPr="00C956AB">
        <w:rPr>
          <w:rFonts w:ascii="Arial" w:hAnsi="Arial" w:cs="Arial"/>
          <w:b/>
          <w:noProof/>
          <w:kern w:val="0"/>
        </w:rPr>
        <w:t xml:space="preserve"> </w:t>
      </w:r>
      <w:r w:rsidRPr="0035305E">
        <w:rPr>
          <w:rFonts w:ascii="Arial" w:hAnsi="Arial" w:cs="Arial"/>
          <w:b/>
          <w:noProof/>
          <w:kern w:val="0"/>
        </w:rPr>
        <w:drawing>
          <wp:inline distT="0" distB="0" distL="0" distR="0" wp14:anchorId="3B6C9625" wp14:editId="54CCFD68">
            <wp:extent cx="8756532" cy="5362575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77" cy="537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ABCF1" w14:textId="26BDD706" w:rsidR="00DE613A" w:rsidRPr="0035305E" w:rsidRDefault="00C956AB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  <w:r w:rsidRPr="0035305E">
        <w:rPr>
          <w:rFonts w:ascii="Arial" w:eastAsiaTheme="minorEastAsia" w:hAnsi="Arial" w:cs="Arial"/>
          <w:b/>
          <w:noProof/>
          <w:kern w:val="0"/>
          <w:szCs w:val="22"/>
          <w:lang w:val="en-US" w:eastAsia="ko-KR"/>
        </w:rPr>
        <w:lastRenderedPageBreak/>
        <w:drawing>
          <wp:inline distT="0" distB="0" distL="0" distR="0" wp14:anchorId="5BEEC2D1" wp14:editId="456B3B06">
            <wp:extent cx="8891140" cy="5378860"/>
            <wp:effectExtent l="0" t="0" r="571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323" cy="53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19F41" w14:textId="0D087601" w:rsidR="00DE613A" w:rsidRPr="0035305E" w:rsidRDefault="00DE613A" w:rsidP="001A7559">
      <w:pPr>
        <w:pStyle w:val="Standard1"/>
        <w:widowControl/>
        <w:wordWrap w:val="0"/>
        <w:autoSpaceDN/>
        <w:spacing w:after="140" w:line="480" w:lineRule="auto"/>
        <w:ind w:left="400"/>
        <w:contextualSpacing/>
        <w:jc w:val="both"/>
        <w:rPr>
          <w:rFonts w:ascii="Arial" w:eastAsiaTheme="minorEastAsia" w:hAnsi="Arial" w:cs="Arial"/>
          <w:b/>
          <w:kern w:val="0"/>
          <w:szCs w:val="22"/>
          <w:lang w:val="en-US" w:eastAsia="ko-KR"/>
        </w:rPr>
      </w:pPr>
    </w:p>
    <w:p w14:paraId="5EACD668" w14:textId="607BB740" w:rsidR="00BE28C1" w:rsidRPr="00C956AB" w:rsidRDefault="00BE28C1" w:rsidP="006D3A6E">
      <w:pPr>
        <w:widowControl/>
        <w:wordWrap/>
        <w:autoSpaceDE/>
        <w:autoSpaceDN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4"/>
        </w:rPr>
      </w:pPr>
      <w:r w:rsidRPr="00C956AB">
        <w:rPr>
          <w:rFonts w:ascii="Arial" w:eastAsia="Times New Roman" w:hAnsi="Arial" w:cs="Arial"/>
          <w:kern w:val="0"/>
          <w:sz w:val="22"/>
          <w:szCs w:val="24"/>
        </w:rPr>
        <w:lastRenderedPageBreak/>
        <w:t>Representative Gene Set Enrichment Analysis (GSEA) plots show Hallmark pathways significantly associated with genetically defined bone marrow failure (g-BMF) and genetically undefined bone marrow failure (u-BMF) relative to controls. Positively enriched pathways include oxidative phosphorylation, allograft rejection, myogenesis, complement, and interferon-α response, indicating coordinated activation of immune- and metabolic-related programs. Negatively enriched pathways include cell-cycle–related programs such as G2M checkpoint and E2F targets. Normalized enrichment scores (NES) and false discovery rate (FDR q-values) are indicated in each panel.</w:t>
      </w:r>
      <w:r w:rsidRPr="00C956AB">
        <w:rPr>
          <w:rFonts w:ascii="Arial" w:eastAsia="Times New Roman" w:hAnsi="Arial" w:cs="Arial"/>
          <w:b/>
          <w:bCs/>
          <w:kern w:val="0"/>
          <w:sz w:val="22"/>
          <w:szCs w:val="24"/>
        </w:rPr>
        <w:t>Abbreviations:</w:t>
      </w:r>
      <w:r w:rsidRPr="00C956AB">
        <w:rPr>
          <w:rFonts w:ascii="Arial" w:eastAsia="Times New Roman" w:hAnsi="Arial" w:cs="Arial"/>
          <w:kern w:val="0"/>
          <w:sz w:val="22"/>
          <w:szCs w:val="24"/>
        </w:rPr>
        <w:t xml:space="preserve"> g-BMF, genetically defined bone marrow failure; u-BMF, genetically undefined bone marrow failure; GSEA, gene set enrichment analysis; NES, normalized enrichment score; FDR, false discovery rate.</w:t>
      </w:r>
    </w:p>
    <w:p w14:paraId="160A7933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465F98ED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63336840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377809A3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6435992D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44DFCD2A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098E3704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71BC39AE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0DF0286A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4B53EC80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669C9D4D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65F0755A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3C0A41BF" w14:textId="77777777" w:rsidR="006D3A6E" w:rsidRDefault="006D3A6E" w:rsidP="006D3A6E">
      <w:pPr>
        <w:pStyle w:val="p1"/>
        <w:wordWrap w:val="0"/>
        <w:jc w:val="both"/>
        <w:rPr>
          <w:rFonts w:ascii="Arial" w:hAnsi="Arial" w:cs="Arial"/>
          <w:b/>
          <w:bCs/>
        </w:rPr>
      </w:pPr>
    </w:p>
    <w:p w14:paraId="75EE87AA" w14:textId="77777777" w:rsidR="00B92078" w:rsidRDefault="006D3A6E" w:rsidP="006D3A6E">
      <w:pPr>
        <w:pStyle w:val="p1"/>
        <w:wordWrap w:val="0"/>
        <w:jc w:val="both"/>
        <w:rPr>
          <w:rFonts w:ascii="Arial" w:eastAsiaTheme="minorEastAsia" w:hAnsi="Arial" w:cs="Arial"/>
          <w:b/>
          <w:noProof/>
          <w:szCs w:val="22"/>
        </w:rPr>
      </w:pPr>
      <w:r w:rsidRPr="0035305E">
        <w:rPr>
          <w:rFonts w:ascii="Arial" w:hAnsi="Arial" w:cs="Arial"/>
          <w:b/>
          <w:bCs/>
        </w:rPr>
        <w:lastRenderedPageBreak/>
        <w:t>Supplementary Figure 4. RT-qPCR validation of selected DE-lncRNAs in pediatric bone marrow failure.</w:t>
      </w:r>
      <w:r w:rsidR="00B92078" w:rsidRPr="00B92078">
        <w:rPr>
          <w:rFonts w:ascii="Arial" w:eastAsiaTheme="minorEastAsia" w:hAnsi="Arial" w:cs="Arial"/>
          <w:b/>
          <w:noProof/>
          <w:szCs w:val="22"/>
        </w:rPr>
        <w:t xml:space="preserve"> </w:t>
      </w:r>
    </w:p>
    <w:p w14:paraId="7BE65A4D" w14:textId="2A34BC3D" w:rsidR="006D3A6E" w:rsidRPr="0035305E" w:rsidRDefault="00B3502C" w:rsidP="006D3A6E">
      <w:pPr>
        <w:pStyle w:val="p1"/>
        <w:wordWrap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0D60AA" wp14:editId="25705998">
            <wp:extent cx="6400800" cy="4177712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 b="4270"/>
                    <a:stretch/>
                  </pic:blipFill>
                  <pic:spPr bwMode="auto">
                    <a:xfrm>
                      <a:off x="0" y="0"/>
                      <a:ext cx="6447982" cy="42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96F40" w14:textId="22CCD614" w:rsidR="00BE28C1" w:rsidRPr="00B92078" w:rsidRDefault="00BE28C1" w:rsidP="006D3A6E">
      <w:pPr>
        <w:pStyle w:val="p2"/>
        <w:jc w:val="both"/>
        <w:rPr>
          <w:rFonts w:ascii="Arial" w:hAnsi="Arial" w:cs="Arial"/>
          <w:sz w:val="22"/>
        </w:rPr>
      </w:pPr>
      <w:r w:rsidRPr="00B92078">
        <w:rPr>
          <w:rFonts w:ascii="Arial" w:hAnsi="Arial" w:cs="Arial"/>
          <w:sz w:val="22"/>
        </w:rPr>
        <w:t xml:space="preserve">RT-qPCR was performed to validate the expression of selected DE-lncRNAs identified by RNA-seq in </w:t>
      </w:r>
      <w:r w:rsidR="00F93D3D">
        <w:rPr>
          <w:rFonts w:ascii="Arial" w:hAnsi="Arial" w:cs="Arial"/>
          <w:sz w:val="22"/>
        </w:rPr>
        <w:t>Control</w:t>
      </w:r>
      <w:r w:rsidRPr="00B92078">
        <w:rPr>
          <w:rFonts w:ascii="Arial" w:hAnsi="Arial" w:cs="Arial"/>
          <w:sz w:val="22"/>
        </w:rPr>
        <w:t xml:space="preserve">, g-BMF, and u-BMF samples. Among the tested candidates, </w:t>
      </w:r>
      <w:r w:rsidRPr="002B33B4">
        <w:rPr>
          <w:rStyle w:val="s1"/>
          <w:rFonts w:ascii="Arial" w:hAnsi="Arial" w:cs="Arial"/>
          <w:i/>
          <w:sz w:val="22"/>
        </w:rPr>
        <w:t>ATP1A1-AS1, USP3-AS1</w:t>
      </w:r>
      <w:r w:rsidRPr="00B92078">
        <w:rPr>
          <w:rStyle w:val="s1"/>
          <w:rFonts w:ascii="Arial" w:hAnsi="Arial" w:cs="Arial"/>
          <w:sz w:val="22"/>
        </w:rPr>
        <w:t xml:space="preserve">, and </w:t>
      </w:r>
      <w:r w:rsidRPr="002B33B4">
        <w:rPr>
          <w:rStyle w:val="s1"/>
          <w:rFonts w:ascii="Arial" w:hAnsi="Arial" w:cs="Arial"/>
          <w:i/>
          <w:sz w:val="22"/>
        </w:rPr>
        <w:t>SNHG32</w:t>
      </w:r>
      <w:r w:rsidRPr="00B92078">
        <w:rPr>
          <w:rFonts w:ascii="Arial" w:hAnsi="Arial" w:cs="Arial"/>
          <w:sz w:val="22"/>
        </w:rPr>
        <w:t xml:space="preserve"> were </w:t>
      </w:r>
      <w:r w:rsidRPr="00B92078">
        <w:rPr>
          <w:rStyle w:val="s1"/>
          <w:rFonts w:ascii="Arial" w:hAnsi="Arial" w:cs="Arial"/>
          <w:sz w:val="22"/>
        </w:rPr>
        <w:t>significantly upregulated</w:t>
      </w:r>
      <w:r w:rsidRPr="00B92078">
        <w:rPr>
          <w:rFonts w:ascii="Arial" w:hAnsi="Arial" w:cs="Arial"/>
          <w:sz w:val="22"/>
        </w:rPr>
        <w:t xml:space="preserve"> in BMF relative to </w:t>
      </w:r>
      <w:r w:rsidR="00F93D3D">
        <w:rPr>
          <w:rFonts w:ascii="Arial" w:hAnsi="Arial" w:cs="Arial"/>
          <w:sz w:val="22"/>
        </w:rPr>
        <w:t>Control</w:t>
      </w:r>
      <w:r w:rsidRPr="00B92078">
        <w:rPr>
          <w:rFonts w:ascii="Arial" w:hAnsi="Arial" w:cs="Arial"/>
          <w:sz w:val="22"/>
        </w:rPr>
        <w:t xml:space="preserve"> (P &lt; 0.05), consistent with the RNA-seq results, whereas the remaining lncRNAs did not reach statistical significance. P-values for group comparisons are indicated in each panel. </w:t>
      </w:r>
      <w:r w:rsidRPr="00B92078">
        <w:rPr>
          <w:rStyle w:val="s1"/>
          <w:rFonts w:ascii="Arial" w:hAnsi="Arial" w:cs="Arial"/>
          <w:b/>
          <w:sz w:val="22"/>
        </w:rPr>
        <w:t>Abbreviations:</w:t>
      </w:r>
      <w:r w:rsidRPr="00B92078">
        <w:rPr>
          <w:rFonts w:ascii="Arial" w:hAnsi="Arial" w:cs="Arial"/>
          <w:sz w:val="22"/>
        </w:rPr>
        <w:t xml:space="preserve"> RT-qPCR, reverse transcription quantitative polymerase chain reaction; DE-lncRNA, differentially expressed long non-coding RNA; </w:t>
      </w:r>
      <w:r w:rsidR="00F93D3D">
        <w:rPr>
          <w:rFonts w:ascii="Arial" w:hAnsi="Arial" w:cs="Arial"/>
          <w:sz w:val="22"/>
        </w:rPr>
        <w:t>Control</w:t>
      </w:r>
      <w:r w:rsidRPr="00B92078">
        <w:rPr>
          <w:rFonts w:ascii="Arial" w:hAnsi="Arial" w:cs="Arial"/>
          <w:sz w:val="22"/>
        </w:rPr>
        <w:t>, control; g-BMF, genetically defined bone marrow failure; u-BMF, genetically undefined bone marrow failure; BMF, bone marrow failure.</w:t>
      </w:r>
      <w:r w:rsidR="002B33B4" w:rsidRPr="002B33B4">
        <w:t xml:space="preserve"> </w:t>
      </w:r>
      <w:r w:rsidR="002B33B4" w:rsidRPr="002B33B4">
        <w:rPr>
          <w:rFonts w:ascii="Arial" w:hAnsi="Arial" w:cs="Arial"/>
          <w:sz w:val="22"/>
        </w:rPr>
        <w:t>Created in https://BioRender.com</w:t>
      </w:r>
      <w:bookmarkStart w:id="0" w:name="_GoBack"/>
      <w:bookmarkEnd w:id="0"/>
    </w:p>
    <w:sectPr w:rsidR="00BE28C1" w:rsidRPr="00B92078" w:rsidSect="00013144">
      <w:pgSz w:w="16838" w:h="11906" w:orient="landscape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A282E" w14:textId="77777777" w:rsidR="006A429E" w:rsidRDefault="006A429E" w:rsidP="00545921">
      <w:pPr>
        <w:spacing w:after="0" w:line="240" w:lineRule="auto"/>
      </w:pPr>
      <w:r>
        <w:separator/>
      </w:r>
    </w:p>
  </w:endnote>
  <w:endnote w:type="continuationSeparator" w:id="0">
    <w:p w14:paraId="29C81753" w14:textId="77777777" w:rsidR="006A429E" w:rsidRDefault="006A429E" w:rsidP="0054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23774" w14:textId="77777777" w:rsidR="006A429E" w:rsidRDefault="006A429E" w:rsidP="00545921">
      <w:pPr>
        <w:spacing w:after="0" w:line="240" w:lineRule="auto"/>
      </w:pPr>
      <w:r>
        <w:separator/>
      </w:r>
    </w:p>
  </w:footnote>
  <w:footnote w:type="continuationSeparator" w:id="0">
    <w:p w14:paraId="36084D2C" w14:textId="77777777" w:rsidR="006A429E" w:rsidRDefault="006A429E" w:rsidP="00545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76548"/>
    <w:multiLevelType w:val="hybridMultilevel"/>
    <w:tmpl w:val="7564DEC8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D883FC5"/>
    <w:multiLevelType w:val="hybridMultilevel"/>
    <w:tmpl w:val="684C9E16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" w15:restartNumberingAfterBreak="0">
    <w:nsid w:val="173F0B4E"/>
    <w:multiLevelType w:val="hybridMultilevel"/>
    <w:tmpl w:val="6B5E6114"/>
    <w:lvl w:ilvl="0" w:tplc="411E9C36">
      <w:start w:val="19"/>
      <w:numFmt w:val="upperLetter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1B0C628D"/>
    <w:multiLevelType w:val="hybridMultilevel"/>
    <w:tmpl w:val="DB1A1244"/>
    <w:lvl w:ilvl="0" w:tplc="D8C0B882">
      <w:start w:val="1"/>
      <w:numFmt w:val="lowerLetter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21B015BA"/>
    <w:multiLevelType w:val="hybridMultilevel"/>
    <w:tmpl w:val="653057FA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3732012"/>
    <w:multiLevelType w:val="hybridMultilevel"/>
    <w:tmpl w:val="F824467E"/>
    <w:lvl w:ilvl="0" w:tplc="C81A1780">
      <w:start w:val="10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915425F"/>
    <w:multiLevelType w:val="hybridMultilevel"/>
    <w:tmpl w:val="4648B65C"/>
    <w:lvl w:ilvl="0" w:tplc="E1DC34D6">
      <w:start w:val="1"/>
      <w:numFmt w:val="upperLetter"/>
      <w:lvlText w:val="(%1)"/>
      <w:lvlJc w:val="left"/>
      <w:pPr>
        <w:ind w:left="112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32FE77E1"/>
    <w:multiLevelType w:val="hybridMultilevel"/>
    <w:tmpl w:val="90A0E590"/>
    <w:lvl w:ilvl="0" w:tplc="131207AC">
      <w:start w:val="1"/>
      <w:numFmt w:val="upperLetter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364A6B64"/>
    <w:multiLevelType w:val="hybridMultilevel"/>
    <w:tmpl w:val="72BC16BE"/>
    <w:lvl w:ilvl="0" w:tplc="D0B67798">
      <w:numFmt w:val="bullet"/>
      <w:lvlText w:val=""/>
      <w:lvlJc w:val="left"/>
      <w:pPr>
        <w:ind w:left="52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9" w15:restartNumberingAfterBreak="0">
    <w:nsid w:val="38055068"/>
    <w:multiLevelType w:val="hybridMultilevel"/>
    <w:tmpl w:val="57CEFF90"/>
    <w:lvl w:ilvl="0" w:tplc="D23E0C62">
      <w:numFmt w:val="bullet"/>
      <w:lvlText w:val=""/>
      <w:lvlJc w:val="left"/>
      <w:pPr>
        <w:ind w:left="52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0" w15:restartNumberingAfterBreak="0">
    <w:nsid w:val="38C359B2"/>
    <w:multiLevelType w:val="hybridMultilevel"/>
    <w:tmpl w:val="D3503A52"/>
    <w:lvl w:ilvl="0" w:tplc="25463AF2">
      <w:numFmt w:val="bullet"/>
      <w:lvlText w:val=""/>
      <w:lvlJc w:val="left"/>
      <w:pPr>
        <w:ind w:left="52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1" w15:restartNumberingAfterBreak="0">
    <w:nsid w:val="3BD5278C"/>
    <w:multiLevelType w:val="hybridMultilevel"/>
    <w:tmpl w:val="83388B58"/>
    <w:lvl w:ilvl="0" w:tplc="457630D4">
      <w:start w:val="6"/>
      <w:numFmt w:val="bullet"/>
      <w:lvlText w:val=""/>
      <w:lvlJc w:val="left"/>
      <w:pPr>
        <w:ind w:left="55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2" w15:restartNumberingAfterBreak="0">
    <w:nsid w:val="42D34C57"/>
    <w:multiLevelType w:val="hybridMultilevel"/>
    <w:tmpl w:val="FC5E4DBA"/>
    <w:lvl w:ilvl="0" w:tplc="DEF03120">
      <w:start w:val="10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491227B"/>
    <w:multiLevelType w:val="hybridMultilevel"/>
    <w:tmpl w:val="CC8CB288"/>
    <w:lvl w:ilvl="0" w:tplc="54B079EC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44DF5328"/>
    <w:multiLevelType w:val="hybridMultilevel"/>
    <w:tmpl w:val="7B62CDDC"/>
    <w:lvl w:ilvl="0" w:tplc="810633EE">
      <w:numFmt w:val="bullet"/>
      <w:lvlText w:val="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7585126"/>
    <w:multiLevelType w:val="hybridMultilevel"/>
    <w:tmpl w:val="7ED05060"/>
    <w:lvl w:ilvl="0" w:tplc="0A640036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8B33219"/>
    <w:multiLevelType w:val="hybridMultilevel"/>
    <w:tmpl w:val="E578B982"/>
    <w:lvl w:ilvl="0" w:tplc="1C94DFBC">
      <w:numFmt w:val="bullet"/>
      <w:lvlText w:val=""/>
      <w:lvlJc w:val="left"/>
      <w:pPr>
        <w:ind w:left="525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7" w15:restartNumberingAfterBreak="0">
    <w:nsid w:val="4A5432AD"/>
    <w:multiLevelType w:val="multilevel"/>
    <w:tmpl w:val="779ACFBE"/>
    <w:lvl w:ilvl="0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0" w:hanging="2160"/>
      </w:pPr>
      <w:rPr>
        <w:rFonts w:hint="default"/>
      </w:rPr>
    </w:lvl>
  </w:abstractNum>
  <w:abstractNum w:abstractNumId="18" w15:restartNumberingAfterBreak="0">
    <w:nsid w:val="4D560F3E"/>
    <w:multiLevelType w:val="hybridMultilevel"/>
    <w:tmpl w:val="271846F2"/>
    <w:lvl w:ilvl="0" w:tplc="A0F8C2B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0F339C7"/>
    <w:multiLevelType w:val="multilevel"/>
    <w:tmpl w:val="76BA1BEC"/>
    <w:lvl w:ilvl="0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0" w:hanging="2160"/>
      </w:pPr>
      <w:rPr>
        <w:rFonts w:hint="default"/>
      </w:rPr>
    </w:lvl>
  </w:abstractNum>
  <w:abstractNum w:abstractNumId="20" w15:restartNumberingAfterBreak="0">
    <w:nsid w:val="53454B7C"/>
    <w:multiLevelType w:val="hybridMultilevel"/>
    <w:tmpl w:val="C74C33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5A0A0651"/>
    <w:multiLevelType w:val="hybridMultilevel"/>
    <w:tmpl w:val="969A125A"/>
    <w:lvl w:ilvl="0" w:tplc="AF2A88E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020098F"/>
    <w:multiLevelType w:val="hybridMultilevel"/>
    <w:tmpl w:val="E37ED86E"/>
    <w:lvl w:ilvl="0" w:tplc="8124A38C">
      <w:numFmt w:val="bullet"/>
      <w:lvlText w:val="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17C1752"/>
    <w:multiLevelType w:val="hybridMultilevel"/>
    <w:tmpl w:val="E07EC7C6"/>
    <w:lvl w:ilvl="0" w:tplc="6E8EB972">
      <w:start w:val="10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64EB5CE2"/>
    <w:multiLevelType w:val="hybridMultilevel"/>
    <w:tmpl w:val="EC422DA0"/>
    <w:lvl w:ilvl="0" w:tplc="71F65B52">
      <w:start w:val="1"/>
      <w:numFmt w:val="upperLetter"/>
      <w:lvlText w:val="(%1)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5" w15:restartNumberingAfterBreak="0">
    <w:nsid w:val="68C64DF4"/>
    <w:multiLevelType w:val="hybridMultilevel"/>
    <w:tmpl w:val="590805AA"/>
    <w:lvl w:ilvl="0" w:tplc="B9465AD6">
      <w:numFmt w:val="bullet"/>
      <w:lvlText w:val=""/>
      <w:lvlJc w:val="left"/>
      <w:pPr>
        <w:ind w:left="525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26" w15:restartNumberingAfterBreak="0">
    <w:nsid w:val="762F4B17"/>
    <w:multiLevelType w:val="hybridMultilevel"/>
    <w:tmpl w:val="2788D0A2"/>
    <w:lvl w:ilvl="0" w:tplc="71F65B52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C680708"/>
    <w:multiLevelType w:val="hybridMultilevel"/>
    <w:tmpl w:val="DD3A8526"/>
    <w:lvl w:ilvl="0" w:tplc="882A3A3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3EDA9948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0862F286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82D6EAA2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D24EB3D0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D32CDEEA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7C068D30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CD748F96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D558361C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4"/>
  </w:num>
  <w:num w:numId="3">
    <w:abstractNumId w:val="22"/>
  </w:num>
  <w:num w:numId="4">
    <w:abstractNumId w:val="18"/>
  </w:num>
  <w:num w:numId="5">
    <w:abstractNumId w:val="25"/>
  </w:num>
  <w:num w:numId="6">
    <w:abstractNumId w:val="9"/>
  </w:num>
  <w:num w:numId="7">
    <w:abstractNumId w:val="16"/>
  </w:num>
  <w:num w:numId="8">
    <w:abstractNumId w:val="10"/>
  </w:num>
  <w:num w:numId="9">
    <w:abstractNumId w:val="8"/>
  </w:num>
  <w:num w:numId="10">
    <w:abstractNumId w:val="21"/>
  </w:num>
  <w:num w:numId="11">
    <w:abstractNumId w:val="20"/>
  </w:num>
  <w:num w:numId="12">
    <w:abstractNumId w:val="26"/>
  </w:num>
  <w:num w:numId="13">
    <w:abstractNumId w:val="1"/>
  </w:num>
  <w:num w:numId="14">
    <w:abstractNumId w:val="0"/>
  </w:num>
  <w:num w:numId="15">
    <w:abstractNumId w:val="19"/>
  </w:num>
  <w:num w:numId="16">
    <w:abstractNumId w:val="4"/>
  </w:num>
  <w:num w:numId="17">
    <w:abstractNumId w:val="15"/>
  </w:num>
  <w:num w:numId="18">
    <w:abstractNumId w:val="24"/>
  </w:num>
  <w:num w:numId="19">
    <w:abstractNumId w:val="23"/>
  </w:num>
  <w:num w:numId="20">
    <w:abstractNumId w:val="5"/>
  </w:num>
  <w:num w:numId="21">
    <w:abstractNumId w:val="12"/>
  </w:num>
  <w:num w:numId="22">
    <w:abstractNumId w:val="17"/>
  </w:num>
  <w:num w:numId="23">
    <w:abstractNumId w:val="27"/>
  </w:num>
  <w:num w:numId="24">
    <w:abstractNumId w:val="3"/>
  </w:num>
  <w:num w:numId="25">
    <w:abstractNumId w:val="6"/>
  </w:num>
  <w:num w:numId="26">
    <w:abstractNumId w:val="2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eukemia&lt;/Style&gt;&lt;LeftDelim&gt;{&lt;/LeftDelim&gt;&lt;RightDelim&gt;}&lt;/RightDelim&gt;&lt;FontName&gt;Times New Roman&lt;/FontName&gt;&lt;FontSize&gt;10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p2z0tzxy5x9v6esaft5vt0nwfdvdsftrxs0&quot;&gt;Supple NGS-MRD AML&lt;record-ids&gt;&lt;item&gt;1&lt;/item&gt;&lt;item&gt;2&lt;/item&gt;&lt;item&gt;58&lt;/item&gt;&lt;item&gt;59&lt;/item&gt;&lt;item&gt;60&lt;/item&gt;&lt;/record-ids&gt;&lt;/item&gt;&lt;/Libraries&gt;"/>
  </w:docVars>
  <w:rsids>
    <w:rsidRoot w:val="001A407A"/>
    <w:rsid w:val="00000ABE"/>
    <w:rsid w:val="0000195F"/>
    <w:rsid w:val="00006D76"/>
    <w:rsid w:val="00010061"/>
    <w:rsid w:val="000110B6"/>
    <w:rsid w:val="00012A06"/>
    <w:rsid w:val="00013144"/>
    <w:rsid w:val="00013A30"/>
    <w:rsid w:val="000150FC"/>
    <w:rsid w:val="00021DCC"/>
    <w:rsid w:val="00022890"/>
    <w:rsid w:val="00025532"/>
    <w:rsid w:val="00034B13"/>
    <w:rsid w:val="00035718"/>
    <w:rsid w:val="00037D9A"/>
    <w:rsid w:val="00040E5A"/>
    <w:rsid w:val="00042562"/>
    <w:rsid w:val="000439D8"/>
    <w:rsid w:val="00052274"/>
    <w:rsid w:val="000538D1"/>
    <w:rsid w:val="00056FDE"/>
    <w:rsid w:val="00061FEC"/>
    <w:rsid w:val="00070A03"/>
    <w:rsid w:val="00071999"/>
    <w:rsid w:val="00073F8C"/>
    <w:rsid w:val="00074B51"/>
    <w:rsid w:val="00080CC1"/>
    <w:rsid w:val="00081C6F"/>
    <w:rsid w:val="00084F7D"/>
    <w:rsid w:val="000856A5"/>
    <w:rsid w:val="00090C24"/>
    <w:rsid w:val="000912B3"/>
    <w:rsid w:val="000915C2"/>
    <w:rsid w:val="00091772"/>
    <w:rsid w:val="00096605"/>
    <w:rsid w:val="000A2DB5"/>
    <w:rsid w:val="000A53D2"/>
    <w:rsid w:val="000A7E4F"/>
    <w:rsid w:val="000B106F"/>
    <w:rsid w:val="000B4743"/>
    <w:rsid w:val="000C485B"/>
    <w:rsid w:val="000C5489"/>
    <w:rsid w:val="000C54E9"/>
    <w:rsid w:val="000C79FE"/>
    <w:rsid w:val="000E1361"/>
    <w:rsid w:val="000E1AAC"/>
    <w:rsid w:val="000E4C41"/>
    <w:rsid w:val="000E4D12"/>
    <w:rsid w:val="000E59F4"/>
    <w:rsid w:val="000F35C8"/>
    <w:rsid w:val="000F4799"/>
    <w:rsid w:val="000F5ADA"/>
    <w:rsid w:val="000F6742"/>
    <w:rsid w:val="00104D61"/>
    <w:rsid w:val="00105249"/>
    <w:rsid w:val="001059F7"/>
    <w:rsid w:val="0010799B"/>
    <w:rsid w:val="00111312"/>
    <w:rsid w:val="00111DD5"/>
    <w:rsid w:val="00112554"/>
    <w:rsid w:val="00113784"/>
    <w:rsid w:val="00115B60"/>
    <w:rsid w:val="00133AB4"/>
    <w:rsid w:val="00133F29"/>
    <w:rsid w:val="0014048D"/>
    <w:rsid w:val="0014653C"/>
    <w:rsid w:val="00153053"/>
    <w:rsid w:val="00154C17"/>
    <w:rsid w:val="00155B39"/>
    <w:rsid w:val="00156676"/>
    <w:rsid w:val="00156B78"/>
    <w:rsid w:val="0016523E"/>
    <w:rsid w:val="00166013"/>
    <w:rsid w:val="001661F2"/>
    <w:rsid w:val="00172398"/>
    <w:rsid w:val="0018027B"/>
    <w:rsid w:val="00181B7E"/>
    <w:rsid w:val="00184FE4"/>
    <w:rsid w:val="001A407A"/>
    <w:rsid w:val="001A54B0"/>
    <w:rsid w:val="001A6242"/>
    <w:rsid w:val="001A7048"/>
    <w:rsid w:val="001A7559"/>
    <w:rsid w:val="001A7B6D"/>
    <w:rsid w:val="001B012D"/>
    <w:rsid w:val="001B0A02"/>
    <w:rsid w:val="001B238A"/>
    <w:rsid w:val="001B2B42"/>
    <w:rsid w:val="001B7A2B"/>
    <w:rsid w:val="001C029A"/>
    <w:rsid w:val="001C22B2"/>
    <w:rsid w:val="001C380B"/>
    <w:rsid w:val="001C4045"/>
    <w:rsid w:val="001C5AE9"/>
    <w:rsid w:val="001C5B77"/>
    <w:rsid w:val="001C636D"/>
    <w:rsid w:val="001C714B"/>
    <w:rsid w:val="001D475B"/>
    <w:rsid w:val="001D4B2F"/>
    <w:rsid w:val="001D58BA"/>
    <w:rsid w:val="001D598E"/>
    <w:rsid w:val="001E0BFE"/>
    <w:rsid w:val="001E2D71"/>
    <w:rsid w:val="001F4F5D"/>
    <w:rsid w:val="00205A2A"/>
    <w:rsid w:val="002076D6"/>
    <w:rsid w:val="00212B60"/>
    <w:rsid w:val="00213190"/>
    <w:rsid w:val="00214361"/>
    <w:rsid w:val="0021534F"/>
    <w:rsid w:val="00216526"/>
    <w:rsid w:val="00216E9A"/>
    <w:rsid w:val="00223638"/>
    <w:rsid w:val="00224D25"/>
    <w:rsid w:val="00224F0B"/>
    <w:rsid w:val="00231985"/>
    <w:rsid w:val="0023423D"/>
    <w:rsid w:val="00237ECC"/>
    <w:rsid w:val="0024423A"/>
    <w:rsid w:val="00244B61"/>
    <w:rsid w:val="00244BB1"/>
    <w:rsid w:val="002459A2"/>
    <w:rsid w:val="00250E25"/>
    <w:rsid w:val="002573BB"/>
    <w:rsid w:val="002577BD"/>
    <w:rsid w:val="00261300"/>
    <w:rsid w:val="002613AB"/>
    <w:rsid w:val="0026278D"/>
    <w:rsid w:val="00263455"/>
    <w:rsid w:val="002654CD"/>
    <w:rsid w:val="0027558E"/>
    <w:rsid w:val="002816D0"/>
    <w:rsid w:val="002827FD"/>
    <w:rsid w:val="002923BC"/>
    <w:rsid w:val="002926F0"/>
    <w:rsid w:val="00294C86"/>
    <w:rsid w:val="00295352"/>
    <w:rsid w:val="00295994"/>
    <w:rsid w:val="002A215E"/>
    <w:rsid w:val="002A4E06"/>
    <w:rsid w:val="002A747E"/>
    <w:rsid w:val="002B04F3"/>
    <w:rsid w:val="002B09BD"/>
    <w:rsid w:val="002B33B4"/>
    <w:rsid w:val="002B73B3"/>
    <w:rsid w:val="002C05B5"/>
    <w:rsid w:val="002C1BD8"/>
    <w:rsid w:val="002C2EEB"/>
    <w:rsid w:val="002C57E2"/>
    <w:rsid w:val="002C6D64"/>
    <w:rsid w:val="002C79A8"/>
    <w:rsid w:val="002D158B"/>
    <w:rsid w:val="002D3910"/>
    <w:rsid w:val="002E7AD4"/>
    <w:rsid w:val="002E7B5B"/>
    <w:rsid w:val="002F0FD2"/>
    <w:rsid w:val="002F20D7"/>
    <w:rsid w:val="002F21BC"/>
    <w:rsid w:val="002F3B45"/>
    <w:rsid w:val="002F459C"/>
    <w:rsid w:val="002F5F39"/>
    <w:rsid w:val="002F60A9"/>
    <w:rsid w:val="002F7023"/>
    <w:rsid w:val="002F7355"/>
    <w:rsid w:val="002F7421"/>
    <w:rsid w:val="002F7A3A"/>
    <w:rsid w:val="0030055B"/>
    <w:rsid w:val="003022D5"/>
    <w:rsid w:val="003026C6"/>
    <w:rsid w:val="00303603"/>
    <w:rsid w:val="003051B6"/>
    <w:rsid w:val="0031430C"/>
    <w:rsid w:val="00314A7B"/>
    <w:rsid w:val="00320C3A"/>
    <w:rsid w:val="003215A4"/>
    <w:rsid w:val="00323463"/>
    <w:rsid w:val="00326D83"/>
    <w:rsid w:val="00330BB8"/>
    <w:rsid w:val="003329DA"/>
    <w:rsid w:val="00332C63"/>
    <w:rsid w:val="00336812"/>
    <w:rsid w:val="00336F7D"/>
    <w:rsid w:val="00345CE5"/>
    <w:rsid w:val="0035084A"/>
    <w:rsid w:val="0035305E"/>
    <w:rsid w:val="00353AD5"/>
    <w:rsid w:val="003548A0"/>
    <w:rsid w:val="00355634"/>
    <w:rsid w:val="00364117"/>
    <w:rsid w:val="00365E3B"/>
    <w:rsid w:val="003676AE"/>
    <w:rsid w:val="00371542"/>
    <w:rsid w:val="00374481"/>
    <w:rsid w:val="0037458B"/>
    <w:rsid w:val="00375B67"/>
    <w:rsid w:val="00375B81"/>
    <w:rsid w:val="00384157"/>
    <w:rsid w:val="00384979"/>
    <w:rsid w:val="00384A76"/>
    <w:rsid w:val="00384CD0"/>
    <w:rsid w:val="00386B17"/>
    <w:rsid w:val="00390932"/>
    <w:rsid w:val="00390FE4"/>
    <w:rsid w:val="003926A6"/>
    <w:rsid w:val="00393765"/>
    <w:rsid w:val="003A293D"/>
    <w:rsid w:val="003A3045"/>
    <w:rsid w:val="003A3D3B"/>
    <w:rsid w:val="003A4EF1"/>
    <w:rsid w:val="003A59EE"/>
    <w:rsid w:val="003B236D"/>
    <w:rsid w:val="003B2ADA"/>
    <w:rsid w:val="003C15D7"/>
    <w:rsid w:val="003C7522"/>
    <w:rsid w:val="003D12D8"/>
    <w:rsid w:val="003D144E"/>
    <w:rsid w:val="003D172D"/>
    <w:rsid w:val="003D3F14"/>
    <w:rsid w:val="003D67AF"/>
    <w:rsid w:val="003D72E5"/>
    <w:rsid w:val="003E10A0"/>
    <w:rsid w:val="003E2850"/>
    <w:rsid w:val="003E5BED"/>
    <w:rsid w:val="003E6F1B"/>
    <w:rsid w:val="003E79CD"/>
    <w:rsid w:val="003F034B"/>
    <w:rsid w:val="003F490F"/>
    <w:rsid w:val="003F5B6F"/>
    <w:rsid w:val="003F79AF"/>
    <w:rsid w:val="0040092C"/>
    <w:rsid w:val="004014F9"/>
    <w:rsid w:val="00402332"/>
    <w:rsid w:val="00404707"/>
    <w:rsid w:val="0041003C"/>
    <w:rsid w:val="00410CB1"/>
    <w:rsid w:val="00410E5A"/>
    <w:rsid w:val="00412273"/>
    <w:rsid w:val="00413110"/>
    <w:rsid w:val="00414A90"/>
    <w:rsid w:val="004242BD"/>
    <w:rsid w:val="00424B52"/>
    <w:rsid w:val="00426307"/>
    <w:rsid w:val="00427CFA"/>
    <w:rsid w:val="004368B1"/>
    <w:rsid w:val="00436E01"/>
    <w:rsid w:val="004377EA"/>
    <w:rsid w:val="00441637"/>
    <w:rsid w:val="00444681"/>
    <w:rsid w:val="004478DF"/>
    <w:rsid w:val="00447BE4"/>
    <w:rsid w:val="004504EC"/>
    <w:rsid w:val="004524F2"/>
    <w:rsid w:val="0045335F"/>
    <w:rsid w:val="0045345E"/>
    <w:rsid w:val="0045521D"/>
    <w:rsid w:val="00460A92"/>
    <w:rsid w:val="00460AAC"/>
    <w:rsid w:val="00461238"/>
    <w:rsid w:val="004629FC"/>
    <w:rsid w:val="00463580"/>
    <w:rsid w:val="00464AC1"/>
    <w:rsid w:val="00472A36"/>
    <w:rsid w:val="0047409C"/>
    <w:rsid w:val="00474E7A"/>
    <w:rsid w:val="00475379"/>
    <w:rsid w:val="00475C82"/>
    <w:rsid w:val="00476B46"/>
    <w:rsid w:val="004870FE"/>
    <w:rsid w:val="004872B4"/>
    <w:rsid w:val="00497470"/>
    <w:rsid w:val="00497EB6"/>
    <w:rsid w:val="004A0318"/>
    <w:rsid w:val="004A04C6"/>
    <w:rsid w:val="004A5C8E"/>
    <w:rsid w:val="004A5FFC"/>
    <w:rsid w:val="004B46BB"/>
    <w:rsid w:val="004B6C0D"/>
    <w:rsid w:val="004B7C11"/>
    <w:rsid w:val="004C0B65"/>
    <w:rsid w:val="004C322E"/>
    <w:rsid w:val="004D1658"/>
    <w:rsid w:val="004D3CEE"/>
    <w:rsid w:val="004E02BF"/>
    <w:rsid w:val="004E3B4A"/>
    <w:rsid w:val="004E4AA1"/>
    <w:rsid w:val="004E5328"/>
    <w:rsid w:val="004E56C6"/>
    <w:rsid w:val="004E633D"/>
    <w:rsid w:val="004E6C19"/>
    <w:rsid w:val="004F049F"/>
    <w:rsid w:val="004F272C"/>
    <w:rsid w:val="004F55B1"/>
    <w:rsid w:val="004F6829"/>
    <w:rsid w:val="004F719C"/>
    <w:rsid w:val="004F7827"/>
    <w:rsid w:val="004F7901"/>
    <w:rsid w:val="00500F04"/>
    <w:rsid w:val="00503584"/>
    <w:rsid w:val="00504F71"/>
    <w:rsid w:val="0051019E"/>
    <w:rsid w:val="00510AF5"/>
    <w:rsid w:val="005177C9"/>
    <w:rsid w:val="005263C1"/>
    <w:rsid w:val="00526F04"/>
    <w:rsid w:val="00532185"/>
    <w:rsid w:val="0053458E"/>
    <w:rsid w:val="005350FC"/>
    <w:rsid w:val="0053561F"/>
    <w:rsid w:val="0054277C"/>
    <w:rsid w:val="00543333"/>
    <w:rsid w:val="00544406"/>
    <w:rsid w:val="00544EB3"/>
    <w:rsid w:val="00545921"/>
    <w:rsid w:val="00545CD5"/>
    <w:rsid w:val="00546F45"/>
    <w:rsid w:val="005507BF"/>
    <w:rsid w:val="00551315"/>
    <w:rsid w:val="0055301E"/>
    <w:rsid w:val="005541F0"/>
    <w:rsid w:val="00560649"/>
    <w:rsid w:val="00563DFD"/>
    <w:rsid w:val="00565FEB"/>
    <w:rsid w:val="00570739"/>
    <w:rsid w:val="00573E6A"/>
    <w:rsid w:val="0057441F"/>
    <w:rsid w:val="00577864"/>
    <w:rsid w:val="005805AE"/>
    <w:rsid w:val="005809EC"/>
    <w:rsid w:val="00581F59"/>
    <w:rsid w:val="005858E2"/>
    <w:rsid w:val="00586AFB"/>
    <w:rsid w:val="00590F00"/>
    <w:rsid w:val="005917E6"/>
    <w:rsid w:val="005920EB"/>
    <w:rsid w:val="005A0541"/>
    <w:rsid w:val="005A23E7"/>
    <w:rsid w:val="005A2CB6"/>
    <w:rsid w:val="005A63F8"/>
    <w:rsid w:val="005A668E"/>
    <w:rsid w:val="005B3D74"/>
    <w:rsid w:val="005B48CF"/>
    <w:rsid w:val="005B6B87"/>
    <w:rsid w:val="005C3B10"/>
    <w:rsid w:val="005C5C83"/>
    <w:rsid w:val="005D31D1"/>
    <w:rsid w:val="005D4648"/>
    <w:rsid w:val="005E02E5"/>
    <w:rsid w:val="005E0903"/>
    <w:rsid w:val="005E151E"/>
    <w:rsid w:val="005E17A6"/>
    <w:rsid w:val="005E1BC0"/>
    <w:rsid w:val="005E7F3E"/>
    <w:rsid w:val="005F0E92"/>
    <w:rsid w:val="005F1527"/>
    <w:rsid w:val="005F2D37"/>
    <w:rsid w:val="005F3CB0"/>
    <w:rsid w:val="005F4257"/>
    <w:rsid w:val="0060084E"/>
    <w:rsid w:val="00600D0E"/>
    <w:rsid w:val="00604B3B"/>
    <w:rsid w:val="00611229"/>
    <w:rsid w:val="00612611"/>
    <w:rsid w:val="0061460B"/>
    <w:rsid w:val="00614A5A"/>
    <w:rsid w:val="00614A71"/>
    <w:rsid w:val="0061509E"/>
    <w:rsid w:val="0061515A"/>
    <w:rsid w:val="00615696"/>
    <w:rsid w:val="00622979"/>
    <w:rsid w:val="00622D90"/>
    <w:rsid w:val="00622E0D"/>
    <w:rsid w:val="00623C78"/>
    <w:rsid w:val="00625189"/>
    <w:rsid w:val="006251E7"/>
    <w:rsid w:val="006268C3"/>
    <w:rsid w:val="006274AB"/>
    <w:rsid w:val="00630B27"/>
    <w:rsid w:val="00631A14"/>
    <w:rsid w:val="00631CCB"/>
    <w:rsid w:val="00631F01"/>
    <w:rsid w:val="006356A2"/>
    <w:rsid w:val="006364CB"/>
    <w:rsid w:val="00637007"/>
    <w:rsid w:val="00640AE8"/>
    <w:rsid w:val="00640CA3"/>
    <w:rsid w:val="006418D1"/>
    <w:rsid w:val="00642EC4"/>
    <w:rsid w:val="006432D3"/>
    <w:rsid w:val="006446CB"/>
    <w:rsid w:val="006461EA"/>
    <w:rsid w:val="00647959"/>
    <w:rsid w:val="006529FB"/>
    <w:rsid w:val="0065334A"/>
    <w:rsid w:val="00655DAA"/>
    <w:rsid w:val="00656D25"/>
    <w:rsid w:val="006631E7"/>
    <w:rsid w:val="006636E0"/>
    <w:rsid w:val="00665C33"/>
    <w:rsid w:val="006718E0"/>
    <w:rsid w:val="00672C8F"/>
    <w:rsid w:val="00674873"/>
    <w:rsid w:val="006756E2"/>
    <w:rsid w:val="00677A40"/>
    <w:rsid w:val="00680A46"/>
    <w:rsid w:val="00683F3B"/>
    <w:rsid w:val="00684ECA"/>
    <w:rsid w:val="00690B98"/>
    <w:rsid w:val="0069290F"/>
    <w:rsid w:val="00694D68"/>
    <w:rsid w:val="0069657E"/>
    <w:rsid w:val="006A0AAD"/>
    <w:rsid w:val="006A1EF2"/>
    <w:rsid w:val="006A429E"/>
    <w:rsid w:val="006A6621"/>
    <w:rsid w:val="006A6EF1"/>
    <w:rsid w:val="006B0CE8"/>
    <w:rsid w:val="006B18A4"/>
    <w:rsid w:val="006B2115"/>
    <w:rsid w:val="006B2432"/>
    <w:rsid w:val="006B3B2F"/>
    <w:rsid w:val="006B601D"/>
    <w:rsid w:val="006B6D6C"/>
    <w:rsid w:val="006C0AD6"/>
    <w:rsid w:val="006C361D"/>
    <w:rsid w:val="006C5621"/>
    <w:rsid w:val="006C5D4B"/>
    <w:rsid w:val="006D1136"/>
    <w:rsid w:val="006D228F"/>
    <w:rsid w:val="006D34C2"/>
    <w:rsid w:val="006D3A6E"/>
    <w:rsid w:val="006E0FAB"/>
    <w:rsid w:val="006E1703"/>
    <w:rsid w:val="006E2838"/>
    <w:rsid w:val="006E2D41"/>
    <w:rsid w:val="006E3D10"/>
    <w:rsid w:val="006E45C1"/>
    <w:rsid w:val="006E46DA"/>
    <w:rsid w:val="006E4AD0"/>
    <w:rsid w:val="006E7559"/>
    <w:rsid w:val="006F108A"/>
    <w:rsid w:val="006F235F"/>
    <w:rsid w:val="00700EF2"/>
    <w:rsid w:val="00703EF1"/>
    <w:rsid w:val="007040E3"/>
    <w:rsid w:val="00705B35"/>
    <w:rsid w:val="00705B81"/>
    <w:rsid w:val="007072C6"/>
    <w:rsid w:val="00710C56"/>
    <w:rsid w:val="007117B5"/>
    <w:rsid w:val="00711E9D"/>
    <w:rsid w:val="00715A59"/>
    <w:rsid w:val="00720F02"/>
    <w:rsid w:val="00722D7C"/>
    <w:rsid w:val="0072690E"/>
    <w:rsid w:val="00727570"/>
    <w:rsid w:val="007330FB"/>
    <w:rsid w:val="00734F58"/>
    <w:rsid w:val="007456F8"/>
    <w:rsid w:val="007617BD"/>
    <w:rsid w:val="0077180B"/>
    <w:rsid w:val="007722A0"/>
    <w:rsid w:val="00773B1D"/>
    <w:rsid w:val="00773D11"/>
    <w:rsid w:val="00776192"/>
    <w:rsid w:val="00781C03"/>
    <w:rsid w:val="00782E29"/>
    <w:rsid w:val="007831EC"/>
    <w:rsid w:val="00783C14"/>
    <w:rsid w:val="00790E8E"/>
    <w:rsid w:val="007931AF"/>
    <w:rsid w:val="0079744E"/>
    <w:rsid w:val="00797B48"/>
    <w:rsid w:val="00797B70"/>
    <w:rsid w:val="00797FF3"/>
    <w:rsid w:val="007A2BEC"/>
    <w:rsid w:val="007A5D09"/>
    <w:rsid w:val="007B6DB8"/>
    <w:rsid w:val="007B7D80"/>
    <w:rsid w:val="007C0439"/>
    <w:rsid w:val="007C1825"/>
    <w:rsid w:val="007C281B"/>
    <w:rsid w:val="007C4038"/>
    <w:rsid w:val="007D0BFF"/>
    <w:rsid w:val="007D17E1"/>
    <w:rsid w:val="007D1FD7"/>
    <w:rsid w:val="007D33D3"/>
    <w:rsid w:val="007D4827"/>
    <w:rsid w:val="007D4C77"/>
    <w:rsid w:val="007D6F67"/>
    <w:rsid w:val="007E1A1C"/>
    <w:rsid w:val="007E2A44"/>
    <w:rsid w:val="007F04B4"/>
    <w:rsid w:val="007F119D"/>
    <w:rsid w:val="008032B5"/>
    <w:rsid w:val="008119D1"/>
    <w:rsid w:val="008133BF"/>
    <w:rsid w:val="00813EEA"/>
    <w:rsid w:val="00821117"/>
    <w:rsid w:val="008245AE"/>
    <w:rsid w:val="00830BFA"/>
    <w:rsid w:val="00836560"/>
    <w:rsid w:val="00836A6A"/>
    <w:rsid w:val="00836A7E"/>
    <w:rsid w:val="00837286"/>
    <w:rsid w:val="00837702"/>
    <w:rsid w:val="008449E9"/>
    <w:rsid w:val="00846B98"/>
    <w:rsid w:val="00847C7D"/>
    <w:rsid w:val="00847CDA"/>
    <w:rsid w:val="0085094F"/>
    <w:rsid w:val="008519DA"/>
    <w:rsid w:val="00852C80"/>
    <w:rsid w:val="00853943"/>
    <w:rsid w:val="00855C63"/>
    <w:rsid w:val="00862F32"/>
    <w:rsid w:val="00863D7B"/>
    <w:rsid w:val="00866560"/>
    <w:rsid w:val="00867442"/>
    <w:rsid w:val="00870C63"/>
    <w:rsid w:val="00871044"/>
    <w:rsid w:val="00871A7C"/>
    <w:rsid w:val="008776A1"/>
    <w:rsid w:val="0087784E"/>
    <w:rsid w:val="008811B3"/>
    <w:rsid w:val="008811C4"/>
    <w:rsid w:val="008864F1"/>
    <w:rsid w:val="00886612"/>
    <w:rsid w:val="00886DC5"/>
    <w:rsid w:val="00890452"/>
    <w:rsid w:val="00891CD1"/>
    <w:rsid w:val="0089412E"/>
    <w:rsid w:val="00894AA3"/>
    <w:rsid w:val="00896224"/>
    <w:rsid w:val="008A3A68"/>
    <w:rsid w:val="008A501D"/>
    <w:rsid w:val="008A5275"/>
    <w:rsid w:val="008A53D7"/>
    <w:rsid w:val="008B125F"/>
    <w:rsid w:val="008B44E5"/>
    <w:rsid w:val="008B4C5C"/>
    <w:rsid w:val="008B5ABC"/>
    <w:rsid w:val="008B5F0B"/>
    <w:rsid w:val="008B62DB"/>
    <w:rsid w:val="008B72B6"/>
    <w:rsid w:val="008C1526"/>
    <w:rsid w:val="008C5462"/>
    <w:rsid w:val="008C6E85"/>
    <w:rsid w:val="008C789D"/>
    <w:rsid w:val="008D3980"/>
    <w:rsid w:val="008D7AE9"/>
    <w:rsid w:val="008E3751"/>
    <w:rsid w:val="008E54BC"/>
    <w:rsid w:val="008E6455"/>
    <w:rsid w:val="008E6790"/>
    <w:rsid w:val="008E69F5"/>
    <w:rsid w:val="008F0435"/>
    <w:rsid w:val="008F0C73"/>
    <w:rsid w:val="008F5623"/>
    <w:rsid w:val="009034A5"/>
    <w:rsid w:val="00903940"/>
    <w:rsid w:val="009048DB"/>
    <w:rsid w:val="00907CD1"/>
    <w:rsid w:val="00910D2A"/>
    <w:rsid w:val="00912D9A"/>
    <w:rsid w:val="00917515"/>
    <w:rsid w:val="0092189B"/>
    <w:rsid w:val="00921B20"/>
    <w:rsid w:val="00922C10"/>
    <w:rsid w:val="00922CBA"/>
    <w:rsid w:val="00925768"/>
    <w:rsid w:val="00932327"/>
    <w:rsid w:val="00932B66"/>
    <w:rsid w:val="00942FF3"/>
    <w:rsid w:val="0094347C"/>
    <w:rsid w:val="00946EAC"/>
    <w:rsid w:val="009471A0"/>
    <w:rsid w:val="0095191E"/>
    <w:rsid w:val="0095234F"/>
    <w:rsid w:val="00952503"/>
    <w:rsid w:val="0095478F"/>
    <w:rsid w:val="009600BA"/>
    <w:rsid w:val="00960849"/>
    <w:rsid w:val="00960B9F"/>
    <w:rsid w:val="00961240"/>
    <w:rsid w:val="009627B9"/>
    <w:rsid w:val="00962CC0"/>
    <w:rsid w:val="00963F2A"/>
    <w:rsid w:val="00965768"/>
    <w:rsid w:val="00973D3D"/>
    <w:rsid w:val="00975C70"/>
    <w:rsid w:val="00975DF9"/>
    <w:rsid w:val="00977537"/>
    <w:rsid w:val="009804BA"/>
    <w:rsid w:val="00981251"/>
    <w:rsid w:val="00983B7E"/>
    <w:rsid w:val="00985AAE"/>
    <w:rsid w:val="00986170"/>
    <w:rsid w:val="00987D28"/>
    <w:rsid w:val="00994A0A"/>
    <w:rsid w:val="009978E2"/>
    <w:rsid w:val="009A09E1"/>
    <w:rsid w:val="009A6F2B"/>
    <w:rsid w:val="009B02B4"/>
    <w:rsid w:val="009B0695"/>
    <w:rsid w:val="009B4DCA"/>
    <w:rsid w:val="009B6DB3"/>
    <w:rsid w:val="009B76EC"/>
    <w:rsid w:val="009C0FF8"/>
    <w:rsid w:val="009C2875"/>
    <w:rsid w:val="009C4F6D"/>
    <w:rsid w:val="009D0FCC"/>
    <w:rsid w:val="009D1042"/>
    <w:rsid w:val="009D3987"/>
    <w:rsid w:val="009D4B72"/>
    <w:rsid w:val="009E1431"/>
    <w:rsid w:val="009E38B5"/>
    <w:rsid w:val="009F1163"/>
    <w:rsid w:val="009F5A0B"/>
    <w:rsid w:val="009F6ECB"/>
    <w:rsid w:val="00A02D75"/>
    <w:rsid w:val="00A043D2"/>
    <w:rsid w:val="00A04E5B"/>
    <w:rsid w:val="00A126D6"/>
    <w:rsid w:val="00A13B82"/>
    <w:rsid w:val="00A146D5"/>
    <w:rsid w:val="00A1636B"/>
    <w:rsid w:val="00A16F1D"/>
    <w:rsid w:val="00A22BFE"/>
    <w:rsid w:val="00A23725"/>
    <w:rsid w:val="00A2757A"/>
    <w:rsid w:val="00A365CE"/>
    <w:rsid w:val="00A378AF"/>
    <w:rsid w:val="00A42721"/>
    <w:rsid w:val="00A43BF3"/>
    <w:rsid w:val="00A452A3"/>
    <w:rsid w:val="00A54B3C"/>
    <w:rsid w:val="00A560B9"/>
    <w:rsid w:val="00A6230C"/>
    <w:rsid w:val="00A6430A"/>
    <w:rsid w:val="00A66F3C"/>
    <w:rsid w:val="00A70166"/>
    <w:rsid w:val="00A717A3"/>
    <w:rsid w:val="00A74135"/>
    <w:rsid w:val="00A81E75"/>
    <w:rsid w:val="00A84772"/>
    <w:rsid w:val="00A854BD"/>
    <w:rsid w:val="00A86EF7"/>
    <w:rsid w:val="00A90239"/>
    <w:rsid w:val="00A911D3"/>
    <w:rsid w:val="00A91E8F"/>
    <w:rsid w:val="00A92B1B"/>
    <w:rsid w:val="00A930A2"/>
    <w:rsid w:val="00A93940"/>
    <w:rsid w:val="00A93F8E"/>
    <w:rsid w:val="00A94B12"/>
    <w:rsid w:val="00A95808"/>
    <w:rsid w:val="00AA0403"/>
    <w:rsid w:val="00AA0DB0"/>
    <w:rsid w:val="00AA3AAF"/>
    <w:rsid w:val="00AA655D"/>
    <w:rsid w:val="00AA6F5B"/>
    <w:rsid w:val="00AB5F41"/>
    <w:rsid w:val="00AC0F5A"/>
    <w:rsid w:val="00AC1DFE"/>
    <w:rsid w:val="00AC7496"/>
    <w:rsid w:val="00AC7A72"/>
    <w:rsid w:val="00AD1768"/>
    <w:rsid w:val="00AD6110"/>
    <w:rsid w:val="00AD68B0"/>
    <w:rsid w:val="00AE015A"/>
    <w:rsid w:val="00AE08C9"/>
    <w:rsid w:val="00AE26C8"/>
    <w:rsid w:val="00AE4A96"/>
    <w:rsid w:val="00AE5F0C"/>
    <w:rsid w:val="00AF1EA5"/>
    <w:rsid w:val="00AF4D9A"/>
    <w:rsid w:val="00AF58C5"/>
    <w:rsid w:val="00AF666B"/>
    <w:rsid w:val="00AF7188"/>
    <w:rsid w:val="00B00C62"/>
    <w:rsid w:val="00B00EB5"/>
    <w:rsid w:val="00B01065"/>
    <w:rsid w:val="00B030F3"/>
    <w:rsid w:val="00B06A1F"/>
    <w:rsid w:val="00B10233"/>
    <w:rsid w:val="00B113D2"/>
    <w:rsid w:val="00B14F90"/>
    <w:rsid w:val="00B162BD"/>
    <w:rsid w:val="00B16EBA"/>
    <w:rsid w:val="00B17182"/>
    <w:rsid w:val="00B21F0E"/>
    <w:rsid w:val="00B222B7"/>
    <w:rsid w:val="00B22771"/>
    <w:rsid w:val="00B24F72"/>
    <w:rsid w:val="00B259BD"/>
    <w:rsid w:val="00B25BEA"/>
    <w:rsid w:val="00B30835"/>
    <w:rsid w:val="00B30A19"/>
    <w:rsid w:val="00B31D6C"/>
    <w:rsid w:val="00B3502C"/>
    <w:rsid w:val="00B37A4D"/>
    <w:rsid w:val="00B40B7A"/>
    <w:rsid w:val="00B42896"/>
    <w:rsid w:val="00B4451E"/>
    <w:rsid w:val="00B447E5"/>
    <w:rsid w:val="00B4741A"/>
    <w:rsid w:val="00B50356"/>
    <w:rsid w:val="00B53FDB"/>
    <w:rsid w:val="00B548BB"/>
    <w:rsid w:val="00B54BFF"/>
    <w:rsid w:val="00B569E8"/>
    <w:rsid w:val="00B573C0"/>
    <w:rsid w:val="00B57CBC"/>
    <w:rsid w:val="00B61C5A"/>
    <w:rsid w:val="00B6772D"/>
    <w:rsid w:val="00B67AA0"/>
    <w:rsid w:val="00B7094E"/>
    <w:rsid w:val="00B70FDF"/>
    <w:rsid w:val="00B73755"/>
    <w:rsid w:val="00B74AA9"/>
    <w:rsid w:val="00B76FD8"/>
    <w:rsid w:val="00B85FED"/>
    <w:rsid w:val="00B86C7F"/>
    <w:rsid w:val="00B87600"/>
    <w:rsid w:val="00B92078"/>
    <w:rsid w:val="00B935E8"/>
    <w:rsid w:val="00B97A58"/>
    <w:rsid w:val="00BA026A"/>
    <w:rsid w:val="00BA0571"/>
    <w:rsid w:val="00BA094D"/>
    <w:rsid w:val="00BA1C98"/>
    <w:rsid w:val="00BA2DD7"/>
    <w:rsid w:val="00BA5937"/>
    <w:rsid w:val="00BA5DF8"/>
    <w:rsid w:val="00BA6492"/>
    <w:rsid w:val="00BB1842"/>
    <w:rsid w:val="00BB1A35"/>
    <w:rsid w:val="00BB1ED1"/>
    <w:rsid w:val="00BB3419"/>
    <w:rsid w:val="00BB70F2"/>
    <w:rsid w:val="00BB7394"/>
    <w:rsid w:val="00BB7E01"/>
    <w:rsid w:val="00BC007C"/>
    <w:rsid w:val="00BC6360"/>
    <w:rsid w:val="00BD2010"/>
    <w:rsid w:val="00BD51B7"/>
    <w:rsid w:val="00BD5A8D"/>
    <w:rsid w:val="00BD793F"/>
    <w:rsid w:val="00BE191B"/>
    <w:rsid w:val="00BE28C1"/>
    <w:rsid w:val="00BE4EAA"/>
    <w:rsid w:val="00BE5B75"/>
    <w:rsid w:val="00BF168E"/>
    <w:rsid w:val="00BF3DCA"/>
    <w:rsid w:val="00BF57FE"/>
    <w:rsid w:val="00BF6F84"/>
    <w:rsid w:val="00C01C52"/>
    <w:rsid w:val="00C021E8"/>
    <w:rsid w:val="00C05C8E"/>
    <w:rsid w:val="00C0754D"/>
    <w:rsid w:val="00C104A6"/>
    <w:rsid w:val="00C21F0E"/>
    <w:rsid w:val="00C22511"/>
    <w:rsid w:val="00C26163"/>
    <w:rsid w:val="00C30024"/>
    <w:rsid w:val="00C35D84"/>
    <w:rsid w:val="00C40131"/>
    <w:rsid w:val="00C409AD"/>
    <w:rsid w:val="00C43C37"/>
    <w:rsid w:val="00C63237"/>
    <w:rsid w:val="00C64A51"/>
    <w:rsid w:val="00C650CF"/>
    <w:rsid w:val="00C651A0"/>
    <w:rsid w:val="00C67E69"/>
    <w:rsid w:val="00C7377C"/>
    <w:rsid w:val="00C753E7"/>
    <w:rsid w:val="00C75523"/>
    <w:rsid w:val="00C7618B"/>
    <w:rsid w:val="00C76329"/>
    <w:rsid w:val="00C82F20"/>
    <w:rsid w:val="00C83520"/>
    <w:rsid w:val="00C83919"/>
    <w:rsid w:val="00C8552C"/>
    <w:rsid w:val="00C90D7E"/>
    <w:rsid w:val="00C9363C"/>
    <w:rsid w:val="00C94ACA"/>
    <w:rsid w:val="00C956AB"/>
    <w:rsid w:val="00C960CD"/>
    <w:rsid w:val="00C97185"/>
    <w:rsid w:val="00C9727D"/>
    <w:rsid w:val="00CA083C"/>
    <w:rsid w:val="00CA18BC"/>
    <w:rsid w:val="00CA2C61"/>
    <w:rsid w:val="00CA436A"/>
    <w:rsid w:val="00CA7B5F"/>
    <w:rsid w:val="00CB1E8F"/>
    <w:rsid w:val="00CB38B1"/>
    <w:rsid w:val="00CB4B53"/>
    <w:rsid w:val="00CB7760"/>
    <w:rsid w:val="00CC1329"/>
    <w:rsid w:val="00CC3DF3"/>
    <w:rsid w:val="00CC3EB5"/>
    <w:rsid w:val="00CC5665"/>
    <w:rsid w:val="00CC7847"/>
    <w:rsid w:val="00CD230B"/>
    <w:rsid w:val="00CE09E4"/>
    <w:rsid w:val="00CE6F50"/>
    <w:rsid w:val="00CF16AD"/>
    <w:rsid w:val="00CF4B65"/>
    <w:rsid w:val="00CF69D9"/>
    <w:rsid w:val="00D0093F"/>
    <w:rsid w:val="00D010EA"/>
    <w:rsid w:val="00D042FA"/>
    <w:rsid w:val="00D0634A"/>
    <w:rsid w:val="00D07932"/>
    <w:rsid w:val="00D13923"/>
    <w:rsid w:val="00D142E4"/>
    <w:rsid w:val="00D14731"/>
    <w:rsid w:val="00D15548"/>
    <w:rsid w:val="00D2138A"/>
    <w:rsid w:val="00D2232E"/>
    <w:rsid w:val="00D2247F"/>
    <w:rsid w:val="00D231E7"/>
    <w:rsid w:val="00D26215"/>
    <w:rsid w:val="00D377AD"/>
    <w:rsid w:val="00D41990"/>
    <w:rsid w:val="00D42761"/>
    <w:rsid w:val="00D47035"/>
    <w:rsid w:val="00D5316C"/>
    <w:rsid w:val="00D57D38"/>
    <w:rsid w:val="00D61B19"/>
    <w:rsid w:val="00D678EC"/>
    <w:rsid w:val="00D70DE8"/>
    <w:rsid w:val="00D77027"/>
    <w:rsid w:val="00D77BB4"/>
    <w:rsid w:val="00D83806"/>
    <w:rsid w:val="00D842A7"/>
    <w:rsid w:val="00D84493"/>
    <w:rsid w:val="00D85C19"/>
    <w:rsid w:val="00D85F7B"/>
    <w:rsid w:val="00D979B8"/>
    <w:rsid w:val="00DA09E0"/>
    <w:rsid w:val="00DA7229"/>
    <w:rsid w:val="00DA7DEC"/>
    <w:rsid w:val="00DB0B47"/>
    <w:rsid w:val="00DB17A1"/>
    <w:rsid w:val="00DB2DE0"/>
    <w:rsid w:val="00DB32B3"/>
    <w:rsid w:val="00DB726F"/>
    <w:rsid w:val="00DB7E71"/>
    <w:rsid w:val="00DC19CD"/>
    <w:rsid w:val="00DC43A8"/>
    <w:rsid w:val="00DC77D3"/>
    <w:rsid w:val="00DD341F"/>
    <w:rsid w:val="00DD4CDA"/>
    <w:rsid w:val="00DD50C3"/>
    <w:rsid w:val="00DD7402"/>
    <w:rsid w:val="00DE0A08"/>
    <w:rsid w:val="00DE195E"/>
    <w:rsid w:val="00DE613A"/>
    <w:rsid w:val="00DF1069"/>
    <w:rsid w:val="00E01D1F"/>
    <w:rsid w:val="00E03D93"/>
    <w:rsid w:val="00E04CF1"/>
    <w:rsid w:val="00E06F77"/>
    <w:rsid w:val="00E108F9"/>
    <w:rsid w:val="00E16EF9"/>
    <w:rsid w:val="00E17A05"/>
    <w:rsid w:val="00E17FF9"/>
    <w:rsid w:val="00E20311"/>
    <w:rsid w:val="00E212D2"/>
    <w:rsid w:val="00E21754"/>
    <w:rsid w:val="00E24F0C"/>
    <w:rsid w:val="00E277AB"/>
    <w:rsid w:val="00E316D9"/>
    <w:rsid w:val="00E31A5C"/>
    <w:rsid w:val="00E32AAE"/>
    <w:rsid w:val="00E33572"/>
    <w:rsid w:val="00E33603"/>
    <w:rsid w:val="00E35C14"/>
    <w:rsid w:val="00E37346"/>
    <w:rsid w:val="00E42687"/>
    <w:rsid w:val="00E42BA5"/>
    <w:rsid w:val="00E43134"/>
    <w:rsid w:val="00E43780"/>
    <w:rsid w:val="00E45C75"/>
    <w:rsid w:val="00E50097"/>
    <w:rsid w:val="00E502B1"/>
    <w:rsid w:val="00E51000"/>
    <w:rsid w:val="00E60974"/>
    <w:rsid w:val="00E60EF1"/>
    <w:rsid w:val="00E65FF6"/>
    <w:rsid w:val="00E67785"/>
    <w:rsid w:val="00E704AD"/>
    <w:rsid w:val="00E73DF1"/>
    <w:rsid w:val="00E743A2"/>
    <w:rsid w:val="00E75A4E"/>
    <w:rsid w:val="00E7788F"/>
    <w:rsid w:val="00E805C7"/>
    <w:rsid w:val="00E875A4"/>
    <w:rsid w:val="00E90BEF"/>
    <w:rsid w:val="00E92DD6"/>
    <w:rsid w:val="00E93453"/>
    <w:rsid w:val="00E94887"/>
    <w:rsid w:val="00EA2802"/>
    <w:rsid w:val="00EA653B"/>
    <w:rsid w:val="00EB1770"/>
    <w:rsid w:val="00EB3E20"/>
    <w:rsid w:val="00EB4FD9"/>
    <w:rsid w:val="00EB5480"/>
    <w:rsid w:val="00EC11CA"/>
    <w:rsid w:val="00EC1AFC"/>
    <w:rsid w:val="00EC296B"/>
    <w:rsid w:val="00EC5D4C"/>
    <w:rsid w:val="00EC624D"/>
    <w:rsid w:val="00EC77AE"/>
    <w:rsid w:val="00ED6B71"/>
    <w:rsid w:val="00ED74D1"/>
    <w:rsid w:val="00EE3243"/>
    <w:rsid w:val="00EE7DD8"/>
    <w:rsid w:val="00EF4A35"/>
    <w:rsid w:val="00EF5B95"/>
    <w:rsid w:val="00F00C01"/>
    <w:rsid w:val="00F01A46"/>
    <w:rsid w:val="00F057B0"/>
    <w:rsid w:val="00F057CD"/>
    <w:rsid w:val="00F06B64"/>
    <w:rsid w:val="00F12501"/>
    <w:rsid w:val="00F12D6E"/>
    <w:rsid w:val="00F13400"/>
    <w:rsid w:val="00F145AD"/>
    <w:rsid w:val="00F211B4"/>
    <w:rsid w:val="00F21492"/>
    <w:rsid w:val="00F23115"/>
    <w:rsid w:val="00F25F19"/>
    <w:rsid w:val="00F27278"/>
    <w:rsid w:val="00F27AEA"/>
    <w:rsid w:val="00F30D52"/>
    <w:rsid w:val="00F323E5"/>
    <w:rsid w:val="00F34FFF"/>
    <w:rsid w:val="00F35A6E"/>
    <w:rsid w:val="00F360E3"/>
    <w:rsid w:val="00F36257"/>
    <w:rsid w:val="00F374C6"/>
    <w:rsid w:val="00F41CF6"/>
    <w:rsid w:val="00F42ED3"/>
    <w:rsid w:val="00F4524A"/>
    <w:rsid w:val="00F45C4D"/>
    <w:rsid w:val="00F4774D"/>
    <w:rsid w:val="00F51E00"/>
    <w:rsid w:val="00F671C4"/>
    <w:rsid w:val="00F7144F"/>
    <w:rsid w:val="00F756DA"/>
    <w:rsid w:val="00F76878"/>
    <w:rsid w:val="00F77403"/>
    <w:rsid w:val="00F7762E"/>
    <w:rsid w:val="00F777B4"/>
    <w:rsid w:val="00F80973"/>
    <w:rsid w:val="00F84587"/>
    <w:rsid w:val="00F84783"/>
    <w:rsid w:val="00F86D9A"/>
    <w:rsid w:val="00F878A8"/>
    <w:rsid w:val="00F92113"/>
    <w:rsid w:val="00F93D3D"/>
    <w:rsid w:val="00F94EE9"/>
    <w:rsid w:val="00F9538A"/>
    <w:rsid w:val="00FA004A"/>
    <w:rsid w:val="00FA6311"/>
    <w:rsid w:val="00FA738D"/>
    <w:rsid w:val="00FA7C23"/>
    <w:rsid w:val="00FB1064"/>
    <w:rsid w:val="00FB1EE6"/>
    <w:rsid w:val="00FB77B3"/>
    <w:rsid w:val="00FC11E0"/>
    <w:rsid w:val="00FC23AF"/>
    <w:rsid w:val="00FC4848"/>
    <w:rsid w:val="00FC754F"/>
    <w:rsid w:val="00FD12FC"/>
    <w:rsid w:val="00FD222E"/>
    <w:rsid w:val="00FD2EAB"/>
    <w:rsid w:val="00FD5E8B"/>
    <w:rsid w:val="00FE2D34"/>
    <w:rsid w:val="00FE58AC"/>
    <w:rsid w:val="00FF0DBF"/>
    <w:rsid w:val="00FF33C9"/>
    <w:rsid w:val="00FF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BAD4B"/>
  <w15:docId w15:val="{3515991F-1491-4252-A919-E92697BB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5E8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407A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4592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45921"/>
  </w:style>
  <w:style w:type="paragraph" w:styleId="a6">
    <w:name w:val="footer"/>
    <w:basedOn w:val="a"/>
    <w:link w:val="Char0"/>
    <w:uiPriority w:val="99"/>
    <w:unhideWhenUsed/>
    <w:rsid w:val="0054592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45921"/>
  </w:style>
  <w:style w:type="paragraph" w:styleId="a7">
    <w:name w:val="Balloon Text"/>
    <w:basedOn w:val="a"/>
    <w:link w:val="Char1"/>
    <w:uiPriority w:val="99"/>
    <w:semiHidden/>
    <w:unhideWhenUsed/>
    <w:rsid w:val="00715A5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715A59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94EE9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F94EE9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F94EE9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F94EE9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F94EE9"/>
    <w:rPr>
      <w:b/>
      <w:bCs/>
    </w:rPr>
  </w:style>
  <w:style w:type="table" w:customStyle="1" w:styleId="1">
    <w:name w:val="표 구분선1"/>
    <w:basedOn w:val="a1"/>
    <w:next w:val="a3"/>
    <w:uiPriority w:val="59"/>
    <w:rsid w:val="00F25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15305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b">
    <w:name w:val="Grid Table Light"/>
    <w:basedOn w:val="a1"/>
    <w:uiPriority w:val="40"/>
    <w:rsid w:val="001530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">
    <w:name w:val="EndNote Bibliography"/>
    <w:basedOn w:val="a"/>
    <w:link w:val="EndNoteBibliographyChar"/>
    <w:rsid w:val="006E3D10"/>
    <w:pPr>
      <w:spacing w:line="240" w:lineRule="auto"/>
    </w:pPr>
    <w:rPr>
      <w:rFonts w:ascii="Times New Roman" w:eastAsia="Times New Roman" w:hAnsi="Times New Roman" w:cs="Times New Roman"/>
      <w:noProof/>
      <w:szCs w:val="20"/>
    </w:rPr>
  </w:style>
  <w:style w:type="character" w:customStyle="1" w:styleId="EndNoteBibliographyChar">
    <w:name w:val="EndNote Bibliography Char"/>
    <w:basedOn w:val="a0"/>
    <w:link w:val="EndNoteBibliography"/>
    <w:rsid w:val="006E3D10"/>
    <w:rPr>
      <w:rFonts w:ascii="Times New Roman" w:eastAsia="Times New Roman" w:hAnsi="Times New Roman" w:cs="Times New Roman"/>
      <w:noProof/>
      <w:szCs w:val="20"/>
    </w:rPr>
  </w:style>
  <w:style w:type="paragraph" w:customStyle="1" w:styleId="Standard1">
    <w:name w:val="Standard1"/>
    <w:rsid w:val="006E3D10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de-DE"/>
    </w:rPr>
  </w:style>
  <w:style w:type="paragraph" w:styleId="ac">
    <w:name w:val="Normal (Web)"/>
    <w:basedOn w:val="a"/>
    <w:uiPriority w:val="99"/>
    <w:semiHidden/>
    <w:unhideWhenUsed/>
    <w:rsid w:val="00AF1EA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61460B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61460B"/>
    <w:rPr>
      <w:rFonts w:ascii="Times New Roman" w:hAnsi="Times New Roman" w:cs="Times New Roman"/>
      <w:noProof/>
    </w:rPr>
  </w:style>
  <w:style w:type="character" w:styleId="ad">
    <w:name w:val="Hyperlink"/>
    <w:basedOn w:val="a0"/>
    <w:uiPriority w:val="99"/>
    <w:unhideWhenUsed/>
    <w:rsid w:val="00332C63"/>
    <w:rPr>
      <w:color w:val="0563C1" w:themeColor="hyperlink"/>
      <w:u w:val="single"/>
    </w:rPr>
  </w:style>
  <w:style w:type="paragraph" w:styleId="ae">
    <w:name w:val="No Spacing"/>
    <w:uiPriority w:val="1"/>
    <w:qFormat/>
    <w:rsid w:val="00BB70F2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af">
    <w:name w:val="바탕글"/>
    <w:basedOn w:val="a"/>
    <w:rsid w:val="00D142E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p1">
    <w:name w:val="p1"/>
    <w:basedOn w:val="a"/>
    <w:rsid w:val="0086656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p2">
    <w:name w:val="p2"/>
    <w:basedOn w:val="a"/>
    <w:rsid w:val="0086656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s1">
    <w:name w:val="s1"/>
    <w:basedOn w:val="a0"/>
    <w:rsid w:val="00866560"/>
  </w:style>
  <w:style w:type="character" w:customStyle="1" w:styleId="s2">
    <w:name w:val="s2"/>
    <w:basedOn w:val="a0"/>
    <w:rsid w:val="00BE28C1"/>
  </w:style>
  <w:style w:type="paragraph" w:customStyle="1" w:styleId="p3">
    <w:name w:val="p3"/>
    <w:basedOn w:val="a"/>
    <w:rsid w:val="00BE28C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F93D3D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70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-bwa.sourceforge.net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clinva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hgmd.cf.ac.uk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varsome.com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9A0D9-48F1-4749-8B86-DD4F7315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1328</Words>
  <Characters>7576</Characters>
  <Application>Microsoft Office Word</Application>
  <DocSecurity>0</DocSecurity>
  <Lines>63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CMC</cp:lastModifiedBy>
  <cp:revision>2</cp:revision>
  <cp:lastPrinted>2023-08-14T06:57:00Z</cp:lastPrinted>
  <dcterms:created xsi:type="dcterms:W3CDTF">2026-03-29T12:13:00Z</dcterms:created>
  <dcterms:modified xsi:type="dcterms:W3CDTF">2026-03-29T12:13:00Z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soo_Trace_ID">
    <vt:lpwstr>eyJub2RlMSI6eyJkc2QiOiIwMTAwMDAwMDAwMDAzMTk0IiwibG9nVGltZSI6IjIwMjMtMDktMTFUMTA6MzA6MjNaIiwicElEIjoxLCJ0cmFjZUlkIjoiM0E3NzVBQTBFMUQyNDQ1MDg5MUM2ODI5NzAxMDg0RUUiLCJ1c2VyQ29kZSI6IjIxMjAxMjI0In0sIm5vZGUyIjp7ImRzZCI6IjAxMDAwMDAwMDAwMDMxOTQiLCJsb2dUaW1lIjoiMjA</vt:lpwstr>
  </property>
  <property fmtid="{D5CDD505-2E9C-101B-9397-08002B2CF9AE}" pid="3" name="FDRClass">
    <vt:lpwstr>0</vt:lpwstr>
  </property>
  <property fmtid="{D5CDD505-2E9C-101B-9397-08002B2CF9AE}" pid="4" name="FDRSet">
    <vt:lpwstr>manual</vt:lpwstr>
  </property>
</Properties>
</file>