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0.svg" ContentType="image/svg+xml"/>
  <Override PartName="/word/media/image12.svg" ContentType="image/svg+xml"/>
  <Override PartName="/word/media/image14.svg" ContentType="image/svg+xml"/>
  <Override PartName="/word/media/image2.svg" ContentType="image/svg+xml"/>
  <Override PartName="/word/media/image4.svg" ContentType="image/svg+xml"/>
  <Override PartName="/word/media/image8.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DCD61">
      <w:pPr>
        <w:spacing w:line="480" w:lineRule="auto"/>
        <w:rPr>
          <w:rFonts w:cs="Times New Roman"/>
          <w:b w:val="0"/>
          <w:bCs/>
          <w:i/>
          <w:iCs w:val="0"/>
          <w:sz w:val="24"/>
          <w:szCs w:val="24"/>
        </w:rPr>
      </w:pPr>
      <w:r>
        <w:rPr>
          <w:rFonts w:cs="Times New Roman"/>
          <w:b w:val="0"/>
          <w:bCs/>
          <w:i/>
          <w:iCs w:val="0"/>
          <w:sz w:val="24"/>
          <w:szCs w:val="24"/>
          <w:lang w:bidi="ar"/>
        </w:rPr>
        <w:t>Title page</w:t>
      </w:r>
      <w:r>
        <w:rPr>
          <w:rFonts w:cs="Times New Roman"/>
          <w:b w:val="0"/>
          <w:bCs/>
          <w:i/>
          <w:iCs w:val="0"/>
          <w:sz w:val="24"/>
          <w:szCs w:val="24"/>
          <w:lang w:bidi="ar"/>
        </w:rPr>
        <w:t xml:space="preserve"> </w:t>
      </w:r>
    </w:p>
    <w:p w14:paraId="74FCC49F">
      <w:pPr>
        <w:spacing w:line="480" w:lineRule="auto"/>
        <w:rPr>
          <w:sz w:val="24"/>
        </w:rPr>
      </w:pPr>
      <w:r>
        <w:rPr>
          <w:rFonts w:cs="Times New Roman"/>
          <w:sz w:val="24"/>
          <w:lang w:bidi="ar"/>
        </w:rPr>
        <w:t>Guselkumab Emerges as a Superior Therapy for Inducing Clinical Remission in Crohn's Disease:</w:t>
      </w:r>
      <w:r>
        <w:rPr>
          <w:rFonts w:ascii="Segoe UI" w:hAnsi="Segoe UI" w:eastAsia="Segoe UI" w:cs="Segoe UI"/>
          <w:color w:val="0F1115"/>
          <w:shd w:val="clear" w:color="auto" w:fill="FFFFFF"/>
          <w:lang w:bidi="ar"/>
        </w:rPr>
        <w:t xml:space="preserve"> </w:t>
      </w:r>
      <w:r>
        <w:rPr>
          <w:rFonts w:cs="Times New Roman"/>
          <w:sz w:val="24"/>
          <w:lang w:bidi="ar"/>
        </w:rPr>
        <w:t>A Systematic Review and Network Meta-Analysis of IL-23p19 Inhibitors and Small Molecule Drugs</w:t>
      </w:r>
    </w:p>
    <w:p w14:paraId="2010056C">
      <w:pPr>
        <w:spacing w:line="480" w:lineRule="auto"/>
        <w:rPr>
          <w:b w:val="0"/>
          <w:bCs/>
          <w:i/>
          <w:sz w:val="24"/>
        </w:rPr>
      </w:pPr>
    </w:p>
    <w:p w14:paraId="21ACBBCE">
      <w:pPr>
        <w:spacing w:line="480" w:lineRule="auto"/>
        <w:rPr>
          <w:rFonts w:cs="Times New Roman"/>
          <w:b w:val="0"/>
          <w:bCs/>
          <w:i/>
          <w:iCs w:val="0"/>
          <w:sz w:val="24"/>
          <w:szCs w:val="24"/>
          <w:lang w:bidi="ar"/>
        </w:rPr>
      </w:pPr>
      <w:r>
        <w:rPr>
          <w:rFonts w:cs="Times New Roman"/>
          <w:b w:val="0"/>
          <w:bCs/>
          <w:i/>
          <w:iCs w:val="0"/>
          <w:sz w:val="24"/>
          <w:szCs w:val="24"/>
          <w:lang w:bidi="ar"/>
        </w:rPr>
        <w:t>Authors</w:t>
      </w:r>
    </w:p>
    <w:p w14:paraId="7AAD90D2">
      <w:pPr>
        <w:spacing w:line="480" w:lineRule="auto"/>
        <w:rPr>
          <w:sz w:val="24"/>
          <w:szCs w:val="24"/>
          <w:vertAlign w:val="superscript"/>
        </w:rPr>
      </w:pPr>
      <w:r>
        <w:rPr>
          <w:rFonts w:cs="Times New Roman"/>
          <w:sz w:val="24"/>
          <w:szCs w:val="21"/>
          <w:lang w:bidi="ar"/>
        </w:rPr>
        <w:t>Yuting Shi</w:t>
      </w:r>
      <w:r>
        <w:rPr>
          <w:rFonts w:eastAsia="等线" w:cs="Times New Roman"/>
          <w:sz w:val="24"/>
          <w:szCs w:val="21"/>
          <w:lang w:bidi="ar"/>
        </w:rPr>
        <w:t>*</w:t>
      </w:r>
      <w:r>
        <w:rPr>
          <w:rFonts w:cs="Times New Roman"/>
          <w:sz w:val="24"/>
          <w:szCs w:val="21"/>
          <w:lang w:bidi="ar"/>
        </w:rPr>
        <w:t>; Zhenyi Tian</w:t>
      </w:r>
      <w:r>
        <w:rPr>
          <w:rFonts w:eastAsia="等线" w:cs="Times New Roman"/>
          <w:sz w:val="24"/>
          <w:szCs w:val="21"/>
          <w:lang w:bidi="ar"/>
        </w:rPr>
        <w:t>*</w:t>
      </w:r>
      <w:r>
        <w:rPr>
          <w:rFonts w:cs="Times New Roman"/>
          <w:sz w:val="24"/>
          <w:szCs w:val="21"/>
          <w:lang w:bidi="ar"/>
        </w:rPr>
        <w:t xml:space="preserve">; Xixi He; Xiaoling Wang; </w:t>
      </w:r>
      <w:bookmarkStart w:id="0" w:name="OLE_LINK35"/>
      <w:r>
        <w:rPr>
          <w:rFonts w:cs="Times New Roman"/>
          <w:sz w:val="24"/>
          <w:szCs w:val="21"/>
          <w:lang w:bidi="ar"/>
        </w:rPr>
        <w:t>Zhipeng Liu</w:t>
      </w:r>
      <w:bookmarkEnd w:id="0"/>
      <w:r>
        <w:rPr>
          <w:rFonts w:cs="Times New Roman"/>
          <w:sz w:val="24"/>
          <w:szCs w:val="24"/>
          <w:vertAlign w:val="superscript"/>
          <w:lang w:bidi="ar"/>
        </w:rPr>
        <w:t>†</w:t>
      </w:r>
      <w:r>
        <w:rPr>
          <w:rFonts w:cs="Times New Roman"/>
          <w:sz w:val="24"/>
          <w:szCs w:val="21"/>
          <w:lang w:bidi="ar"/>
        </w:rPr>
        <w:t>; Xinying Wang</w:t>
      </w:r>
      <w:r>
        <w:rPr>
          <w:rFonts w:cs="Times New Roman"/>
          <w:sz w:val="24"/>
          <w:szCs w:val="24"/>
          <w:vertAlign w:val="superscript"/>
          <w:lang w:bidi="ar"/>
        </w:rPr>
        <w:t>†</w:t>
      </w:r>
    </w:p>
    <w:p w14:paraId="6F99B0F6">
      <w:pPr>
        <w:spacing w:line="480" w:lineRule="auto"/>
        <w:rPr>
          <w:rFonts w:cs="Times New Roman"/>
          <w:szCs w:val="21"/>
        </w:rPr>
      </w:pPr>
      <w:r>
        <w:rPr>
          <w:rFonts w:eastAsia="等线" w:cs="Times New Roman"/>
          <w:sz w:val="24"/>
          <w:lang w:bidi="ar"/>
        </w:rPr>
        <w:t>*Authors share co-first authorship</w:t>
      </w:r>
    </w:p>
    <w:p w14:paraId="7626C420">
      <w:pPr>
        <w:spacing w:line="480" w:lineRule="auto"/>
        <w:rPr>
          <w:rFonts w:cs="Times New Roman"/>
          <w:sz w:val="24"/>
          <w:szCs w:val="24"/>
        </w:rPr>
      </w:pPr>
      <w:r>
        <w:rPr>
          <w:rFonts w:cs="Times New Roman"/>
          <w:sz w:val="24"/>
          <w:szCs w:val="24"/>
          <w:lang w:bidi="ar"/>
        </w:rPr>
        <w:t>†Authors share co-corresponding authors.</w:t>
      </w:r>
    </w:p>
    <w:p w14:paraId="483EFC15">
      <w:pPr>
        <w:spacing w:line="480" w:lineRule="auto"/>
        <w:rPr>
          <w:b w:val="0"/>
          <w:bCs/>
          <w:i/>
          <w:sz w:val="24"/>
        </w:rPr>
      </w:pPr>
    </w:p>
    <w:p w14:paraId="3359803B">
      <w:pPr>
        <w:spacing w:line="480" w:lineRule="auto"/>
        <w:rPr>
          <w:rFonts w:cs="Times New Roman"/>
          <w:b w:val="0"/>
          <w:bCs/>
          <w:i/>
          <w:iCs w:val="0"/>
          <w:sz w:val="24"/>
          <w:szCs w:val="24"/>
          <w:lang w:bidi="ar"/>
        </w:rPr>
      </w:pPr>
      <w:r>
        <w:rPr>
          <w:rFonts w:cs="Times New Roman"/>
          <w:b w:val="0"/>
          <w:bCs/>
          <w:i/>
          <w:iCs w:val="0"/>
          <w:sz w:val="24"/>
          <w:szCs w:val="24"/>
          <w:lang w:bidi="ar"/>
        </w:rPr>
        <w:t>Affiliations</w:t>
      </w:r>
    </w:p>
    <w:p w14:paraId="0B991FAB">
      <w:pPr>
        <w:spacing w:line="480" w:lineRule="auto"/>
        <w:rPr>
          <w:sz w:val="24"/>
        </w:rPr>
      </w:pPr>
      <w:r>
        <w:rPr>
          <w:rFonts w:cs="Times New Roman"/>
          <w:sz w:val="24"/>
          <w:lang w:bidi="ar"/>
        </w:rPr>
        <w:t>Department of Gastroenterology, Zhujiang Hospital, Southern Medical University, Guangzhou 510282, China</w:t>
      </w:r>
    </w:p>
    <w:p w14:paraId="0C609A7F">
      <w:pPr>
        <w:spacing w:line="480" w:lineRule="auto"/>
        <w:rPr>
          <w:b w:val="0"/>
          <w:bCs/>
          <w:i/>
          <w:sz w:val="24"/>
        </w:rPr>
      </w:pPr>
    </w:p>
    <w:p w14:paraId="7113B687">
      <w:pPr>
        <w:spacing w:line="480" w:lineRule="auto"/>
        <w:rPr>
          <w:rFonts w:cs="Times New Roman"/>
          <w:b w:val="0"/>
          <w:bCs/>
          <w:i/>
          <w:iCs w:val="0"/>
          <w:sz w:val="24"/>
          <w:szCs w:val="24"/>
          <w:lang w:bidi="ar"/>
        </w:rPr>
      </w:pPr>
      <w:r>
        <w:rPr>
          <w:rFonts w:cs="Times New Roman"/>
          <w:b w:val="0"/>
          <w:bCs/>
          <w:i/>
          <w:iCs w:val="0"/>
          <w:sz w:val="24"/>
          <w:szCs w:val="24"/>
          <w:lang w:bidi="ar"/>
        </w:rPr>
        <w:t>Correspondence</w:t>
      </w:r>
    </w:p>
    <w:p w14:paraId="1C4E4252">
      <w:pPr>
        <w:adjustRightInd w:val="0"/>
        <w:snapToGrid w:val="0"/>
        <w:spacing w:line="480" w:lineRule="auto"/>
        <w:ind w:firstLine="240" w:firstLineChars="100"/>
        <w:jc w:val="left"/>
        <w:rPr>
          <w:rFonts w:cs="Times New Roman"/>
          <w:color w:val="000000"/>
          <w:sz w:val="24"/>
          <w:szCs w:val="21"/>
        </w:rPr>
      </w:pPr>
      <w:r>
        <w:rPr>
          <w:rFonts w:cs="Times New Roman"/>
          <w:color w:val="000000"/>
          <w:sz w:val="24"/>
          <w:szCs w:val="21"/>
          <w:lang w:bidi="ar"/>
        </w:rPr>
        <w:t>Prof. Xinying Wang MD, PhD</w:t>
      </w:r>
    </w:p>
    <w:p w14:paraId="0152FF36">
      <w:pPr>
        <w:adjustRightInd w:val="0"/>
        <w:snapToGrid w:val="0"/>
        <w:spacing w:line="480" w:lineRule="auto"/>
        <w:ind w:firstLine="240" w:firstLineChars="100"/>
        <w:jc w:val="left"/>
        <w:rPr>
          <w:color w:val="000000"/>
          <w:sz w:val="24"/>
          <w:szCs w:val="21"/>
        </w:rPr>
      </w:pPr>
      <w:r>
        <w:rPr>
          <w:rFonts w:cs="Times New Roman"/>
          <w:color w:val="000000"/>
          <w:sz w:val="24"/>
          <w:szCs w:val="21"/>
          <w:lang w:bidi="ar"/>
        </w:rPr>
        <w:t>Department of Gastroenterology, Zhujiang Hospital, Southern Medical University</w:t>
      </w:r>
    </w:p>
    <w:p w14:paraId="68156FAA">
      <w:pPr>
        <w:adjustRightInd w:val="0"/>
        <w:snapToGrid w:val="0"/>
        <w:spacing w:line="480" w:lineRule="auto"/>
        <w:ind w:firstLine="240" w:firstLineChars="100"/>
        <w:jc w:val="left"/>
        <w:rPr>
          <w:color w:val="000000"/>
          <w:sz w:val="24"/>
          <w:szCs w:val="21"/>
        </w:rPr>
      </w:pPr>
      <w:r>
        <w:rPr>
          <w:rFonts w:cs="Times New Roman"/>
          <w:color w:val="000000"/>
          <w:sz w:val="24"/>
          <w:szCs w:val="21"/>
          <w:lang w:bidi="ar"/>
        </w:rPr>
        <w:t xml:space="preserve">Guangzhou, 510282 China; </w:t>
      </w:r>
    </w:p>
    <w:p w14:paraId="1969BDAE">
      <w:pPr>
        <w:adjustRightInd w:val="0"/>
        <w:snapToGrid w:val="0"/>
        <w:spacing w:line="480" w:lineRule="auto"/>
        <w:ind w:firstLine="240" w:firstLineChars="100"/>
        <w:jc w:val="left"/>
        <w:rPr>
          <w:rFonts w:cs="Times New Roman"/>
          <w:sz w:val="24"/>
          <w:lang w:bidi="ar"/>
        </w:rPr>
      </w:pPr>
      <w:r>
        <w:rPr>
          <w:rFonts w:cs="Times New Roman"/>
          <w:color w:val="000000"/>
          <w:sz w:val="24"/>
          <w:szCs w:val="21"/>
          <w:lang w:bidi="ar"/>
        </w:rPr>
        <w:t>Tel</w:t>
      </w:r>
      <w:r>
        <w:rPr>
          <w:rFonts w:cs="Times New Roman"/>
          <w:sz w:val="24"/>
          <w:lang w:bidi="ar"/>
        </w:rPr>
        <w:t>ephone number: 020-62782281;</w:t>
      </w:r>
    </w:p>
    <w:p w14:paraId="089E70E4">
      <w:pPr>
        <w:adjustRightInd w:val="0"/>
        <w:snapToGrid w:val="0"/>
        <w:spacing w:line="480" w:lineRule="auto"/>
        <w:ind w:firstLine="240" w:firstLineChars="100"/>
        <w:jc w:val="left"/>
        <w:rPr>
          <w:sz w:val="24"/>
        </w:rPr>
      </w:pPr>
      <w:r>
        <w:rPr>
          <w:rFonts w:cs="Times New Roman"/>
          <w:sz w:val="24"/>
          <w:lang w:bidi="ar"/>
        </w:rPr>
        <w:t xml:space="preserve">E-mail: </w:t>
      </w:r>
      <w:r>
        <w:fldChar w:fldCharType="begin"/>
      </w:r>
      <w:r>
        <w:instrText xml:space="preserve"> HYPERLINK "mailto:xinyingwang06@163.com" </w:instrText>
      </w:r>
      <w:r>
        <w:fldChar w:fldCharType="separate"/>
      </w:r>
      <w:r>
        <w:rPr>
          <w:rStyle w:val="22"/>
          <w:sz w:val="24"/>
        </w:rPr>
        <w:t>xinyingwang06@163.com</w:t>
      </w:r>
      <w:r>
        <w:rPr>
          <w:rStyle w:val="22"/>
          <w:sz w:val="24"/>
        </w:rPr>
        <w:fldChar w:fldCharType="end"/>
      </w:r>
    </w:p>
    <w:p w14:paraId="11A74393">
      <w:pPr>
        <w:rPr>
          <w:rFonts w:cs="Times New Roman"/>
          <w:sz w:val="24"/>
          <w:lang w:bidi="ar"/>
        </w:rPr>
      </w:pPr>
      <w:r>
        <w:rPr>
          <w:rFonts w:cs="Times New Roman"/>
          <w:sz w:val="24"/>
          <w:lang w:bidi="ar"/>
        </w:rPr>
        <w:br w:type="page"/>
      </w:r>
    </w:p>
    <w:p w14:paraId="5107E62A">
      <w:pPr>
        <w:adjustRightInd w:val="0"/>
        <w:snapToGrid w:val="0"/>
        <w:spacing w:line="480" w:lineRule="auto"/>
        <w:ind w:firstLine="240" w:firstLineChars="100"/>
        <w:jc w:val="left"/>
        <w:rPr>
          <w:rFonts w:cs="Times New Roman"/>
          <w:sz w:val="24"/>
          <w:lang w:bidi="ar"/>
        </w:rPr>
      </w:pPr>
    </w:p>
    <w:sdt>
      <w:sdtPr>
        <w:rPr>
          <w:color w:val="000000"/>
          <w:sz w:val="24"/>
          <w:szCs w:val="21"/>
        </w:rPr>
        <w:id w:val="147465641"/>
        <w15:color w:val="DBDBDB"/>
        <w:docPartObj>
          <w:docPartGallery w:val="Table of Contents"/>
          <w:docPartUnique/>
        </w:docPartObj>
      </w:sdtPr>
      <w:sdtEndPr>
        <w:rPr>
          <w:color w:val="000000"/>
          <w:sz w:val="21"/>
          <w:szCs w:val="22"/>
        </w:rPr>
      </w:sdtEndPr>
      <w:sdtContent>
        <w:p w14:paraId="4B5BED48">
          <w:pPr>
            <w:adjustRightInd w:val="0"/>
            <w:snapToGrid w:val="0"/>
            <w:spacing w:line="480" w:lineRule="auto"/>
            <w:ind w:firstLine="240" w:firstLineChars="100"/>
            <w:jc w:val="center"/>
            <w:rPr>
              <w:color w:val="000000"/>
              <w:sz w:val="24"/>
              <w:szCs w:val="21"/>
            </w:rPr>
          </w:pPr>
          <w:r>
            <w:rPr>
              <w:rFonts w:hint="eastAsia" w:cs="Times New Roman"/>
              <w:b w:val="0"/>
              <w:bCs/>
              <w:i/>
              <w:iCs w:val="0"/>
              <w:sz w:val="24"/>
              <w:szCs w:val="24"/>
              <w:lang w:bidi="ar"/>
            </w:rPr>
            <w:t>Directory</w:t>
          </w:r>
        </w:p>
        <w:p w14:paraId="20AAC34B">
          <w:pPr>
            <w:pStyle w:val="14"/>
            <w:tabs>
              <w:tab w:val="right" w:leader="dot" w:pos="8306"/>
            </w:tabs>
          </w:pPr>
          <w:r>
            <w:fldChar w:fldCharType="begin"/>
          </w:r>
          <w:r>
            <w:instrText xml:space="preserve">TOC \o "1-1" \h \u </w:instrText>
          </w:r>
          <w:r>
            <w:fldChar w:fldCharType="separate"/>
          </w:r>
          <w:r>
            <w:fldChar w:fldCharType="begin"/>
          </w:r>
          <w:r>
            <w:instrText xml:space="preserve"> HYPERLINK \l "_Toc9076" </w:instrText>
          </w:r>
          <w:r>
            <w:fldChar w:fldCharType="separate"/>
          </w:r>
          <w:r>
            <w:rPr>
              <w:rFonts w:hint="eastAsia"/>
            </w:rPr>
            <w:t xml:space="preserve">Supplementary Table 1: Detail of </w:t>
          </w:r>
          <w:r>
            <w:t>search strategy</w:t>
          </w:r>
          <w:r>
            <w:rPr>
              <w:rFonts w:hint="eastAsia"/>
            </w:rPr>
            <w:t>.</w:t>
          </w:r>
          <w:r>
            <w:tab/>
          </w:r>
          <w:r>
            <w:fldChar w:fldCharType="begin"/>
          </w:r>
          <w:r>
            <w:instrText xml:space="preserve"> PAGEREF _Toc9076 \h </w:instrText>
          </w:r>
          <w:r>
            <w:fldChar w:fldCharType="separate"/>
          </w:r>
          <w:r>
            <w:t>3</w:t>
          </w:r>
          <w:r>
            <w:fldChar w:fldCharType="end"/>
          </w:r>
          <w:r>
            <w:fldChar w:fldCharType="end"/>
          </w:r>
        </w:p>
        <w:p w14:paraId="5212C972">
          <w:pPr>
            <w:pStyle w:val="14"/>
            <w:tabs>
              <w:tab w:val="right" w:leader="dot" w:pos="8306"/>
            </w:tabs>
          </w:pPr>
          <w:r>
            <w:fldChar w:fldCharType="begin"/>
          </w:r>
          <w:r>
            <w:instrText xml:space="preserve"> HYPERLINK \l "_Toc4899" </w:instrText>
          </w:r>
          <w:r>
            <w:fldChar w:fldCharType="separate"/>
          </w:r>
          <w:r>
            <w:rPr>
              <w:rFonts w:hint="eastAsia"/>
            </w:rPr>
            <w:t xml:space="preserve">Supplementary Figure 1: Risk of bias </w:t>
          </w:r>
          <w:r>
            <w:t>assessment</w:t>
          </w:r>
          <w:r>
            <w:tab/>
          </w:r>
          <w:r>
            <w:fldChar w:fldCharType="begin"/>
          </w:r>
          <w:r>
            <w:instrText xml:space="preserve"> PAGEREF _Toc4899 \h </w:instrText>
          </w:r>
          <w:r>
            <w:fldChar w:fldCharType="separate"/>
          </w:r>
          <w:r>
            <w:t>8</w:t>
          </w:r>
          <w:r>
            <w:fldChar w:fldCharType="end"/>
          </w:r>
          <w:r>
            <w:fldChar w:fldCharType="end"/>
          </w:r>
        </w:p>
        <w:p w14:paraId="35C6F2E8">
          <w:pPr>
            <w:pStyle w:val="14"/>
            <w:tabs>
              <w:tab w:val="right" w:leader="dot" w:pos="8306"/>
            </w:tabs>
          </w:pPr>
          <w:r>
            <w:fldChar w:fldCharType="begin"/>
          </w:r>
          <w:r>
            <w:instrText xml:space="preserve"> HYPERLINK \l "_Toc10433" </w:instrText>
          </w:r>
          <w:r>
            <w:fldChar w:fldCharType="separate"/>
          </w:r>
          <w:r>
            <w:rPr>
              <w:rFonts w:hint="eastAsia"/>
            </w:rPr>
            <w:t xml:space="preserve">Supplementary </w:t>
          </w:r>
          <w:r>
            <w:t>Table 2</w:t>
          </w:r>
          <w:r>
            <w:rPr>
              <w:rFonts w:hint="eastAsia"/>
            </w:rPr>
            <w:t xml:space="preserve">: </w:t>
          </w:r>
          <w:r>
            <w:t xml:space="preserve">Confidence in </w:t>
          </w:r>
          <w:r>
            <w:rPr>
              <w:rFonts w:hint="eastAsia"/>
            </w:rPr>
            <w:t>estimates from network meta-analysis.</w:t>
          </w:r>
          <w:r>
            <w:tab/>
          </w:r>
          <w:r>
            <w:fldChar w:fldCharType="begin"/>
          </w:r>
          <w:r>
            <w:instrText xml:space="preserve"> PAGEREF _Toc10433 \h </w:instrText>
          </w:r>
          <w:r>
            <w:fldChar w:fldCharType="separate"/>
          </w:r>
          <w:r>
            <w:t>9</w:t>
          </w:r>
          <w:r>
            <w:fldChar w:fldCharType="end"/>
          </w:r>
          <w:r>
            <w:fldChar w:fldCharType="end"/>
          </w:r>
        </w:p>
        <w:p w14:paraId="2C61759D">
          <w:pPr>
            <w:pStyle w:val="14"/>
            <w:tabs>
              <w:tab w:val="right" w:leader="dot" w:pos="8306"/>
            </w:tabs>
          </w:pPr>
          <w:r>
            <w:fldChar w:fldCharType="begin"/>
          </w:r>
          <w:r>
            <w:instrText xml:space="preserve"> HYPERLINK \l "_Toc13717" </w:instrText>
          </w:r>
          <w:r>
            <w:fldChar w:fldCharType="separate"/>
          </w:r>
          <w:r>
            <w:rPr>
              <w:rFonts w:hint="eastAsia"/>
            </w:rPr>
            <w:t>Supplementary Figure 2: Funnel plots of different outcomes in network meta-analysis.</w:t>
          </w:r>
          <w:r>
            <w:tab/>
          </w:r>
          <w:r>
            <w:fldChar w:fldCharType="begin"/>
          </w:r>
          <w:r>
            <w:instrText xml:space="preserve"> PAGEREF _Toc13717 \h </w:instrText>
          </w:r>
          <w:r>
            <w:fldChar w:fldCharType="separate"/>
          </w:r>
          <w:r>
            <w:t>10</w:t>
          </w:r>
          <w:r>
            <w:fldChar w:fldCharType="end"/>
          </w:r>
          <w:r>
            <w:fldChar w:fldCharType="end"/>
          </w:r>
        </w:p>
        <w:p w14:paraId="31E9DEE1">
          <w:pPr>
            <w:pStyle w:val="14"/>
            <w:tabs>
              <w:tab w:val="right" w:leader="dot" w:pos="8306"/>
            </w:tabs>
          </w:pPr>
          <w:r>
            <w:fldChar w:fldCharType="begin"/>
          </w:r>
          <w:r>
            <w:instrText xml:space="preserve"> HYPERLINK \l "_Toc29438" </w:instrText>
          </w:r>
          <w:r>
            <w:fldChar w:fldCharType="separate"/>
          </w:r>
          <w:r>
            <w:rPr>
              <w:rFonts w:hint="eastAsia"/>
            </w:rPr>
            <w:t>Supplemetary Figure 3 : Network map for induction trials assessing secondary outcomes.</w:t>
          </w:r>
          <w:r>
            <w:tab/>
          </w:r>
          <w:r>
            <w:fldChar w:fldCharType="begin"/>
          </w:r>
          <w:r>
            <w:instrText xml:space="preserve"> PAGEREF _Toc29438 \h </w:instrText>
          </w:r>
          <w:r>
            <w:fldChar w:fldCharType="separate"/>
          </w:r>
          <w:r>
            <w:t>11</w:t>
          </w:r>
          <w:r>
            <w:fldChar w:fldCharType="end"/>
          </w:r>
          <w:r>
            <w:fldChar w:fldCharType="end"/>
          </w:r>
        </w:p>
        <w:p w14:paraId="74182538">
          <w:pPr>
            <w:pStyle w:val="14"/>
            <w:tabs>
              <w:tab w:val="right" w:leader="dot" w:pos="8306"/>
            </w:tabs>
          </w:pPr>
          <w:r>
            <w:fldChar w:fldCharType="begin"/>
          </w:r>
          <w:r>
            <w:instrText xml:space="preserve"> HYPERLINK \l "_Toc26693" </w:instrText>
          </w:r>
          <w:r>
            <w:fldChar w:fldCharType="separate"/>
          </w:r>
          <w:r>
            <w:rPr>
              <w:rFonts w:hint="eastAsia"/>
            </w:rPr>
            <w:t>Supplementary Figure 4: Pair-wise meta-analysis for induction of clinical remission.</w:t>
          </w:r>
          <w:r>
            <w:tab/>
          </w:r>
          <w:r>
            <w:fldChar w:fldCharType="begin"/>
          </w:r>
          <w:r>
            <w:instrText xml:space="preserve"> PAGEREF _Toc26693 \h </w:instrText>
          </w:r>
          <w:r>
            <w:fldChar w:fldCharType="separate"/>
          </w:r>
          <w:r>
            <w:t>12</w:t>
          </w:r>
          <w:r>
            <w:fldChar w:fldCharType="end"/>
          </w:r>
          <w:r>
            <w:fldChar w:fldCharType="end"/>
          </w:r>
        </w:p>
        <w:p w14:paraId="5D58BA1F">
          <w:pPr>
            <w:pStyle w:val="14"/>
            <w:tabs>
              <w:tab w:val="right" w:leader="dot" w:pos="8306"/>
            </w:tabs>
          </w:pPr>
          <w:r>
            <w:fldChar w:fldCharType="begin"/>
          </w:r>
          <w:r>
            <w:instrText xml:space="preserve"> HYPERLINK \l "_Toc13403" </w:instrText>
          </w:r>
          <w:r>
            <w:fldChar w:fldCharType="separate"/>
          </w:r>
          <w:r>
            <w:rPr>
              <w:rFonts w:hint="eastAsia"/>
            </w:rPr>
            <w:t>Supplementary Figure 5: Pair-wise meta-analysis for induction of endoscopic improvement.</w:t>
          </w:r>
          <w:r>
            <w:tab/>
          </w:r>
          <w:r>
            <w:fldChar w:fldCharType="begin"/>
          </w:r>
          <w:r>
            <w:instrText xml:space="preserve"> PAGEREF _Toc13403 \h </w:instrText>
          </w:r>
          <w:r>
            <w:fldChar w:fldCharType="separate"/>
          </w:r>
          <w:r>
            <w:t>13</w:t>
          </w:r>
          <w:r>
            <w:fldChar w:fldCharType="end"/>
          </w:r>
          <w:r>
            <w:fldChar w:fldCharType="end"/>
          </w:r>
        </w:p>
        <w:p w14:paraId="2FE91CF1">
          <w:pPr>
            <w:pStyle w:val="14"/>
            <w:tabs>
              <w:tab w:val="right" w:leader="dot" w:pos="8306"/>
            </w:tabs>
          </w:pPr>
          <w:r>
            <w:fldChar w:fldCharType="begin"/>
          </w:r>
          <w:r>
            <w:instrText xml:space="preserve"> HYPERLINK \l "_Toc28429" </w:instrText>
          </w:r>
          <w:r>
            <w:fldChar w:fldCharType="separate"/>
          </w:r>
          <w:r>
            <w:rPr>
              <w:rFonts w:hint="eastAsia"/>
            </w:rPr>
            <w:t>Supplementary Figure 6: Pair-wise meta-analysis for induction of endoscopic remission.</w:t>
          </w:r>
          <w:r>
            <w:tab/>
          </w:r>
          <w:r>
            <w:fldChar w:fldCharType="begin"/>
          </w:r>
          <w:r>
            <w:instrText xml:space="preserve"> PAGEREF _Toc28429 \h </w:instrText>
          </w:r>
          <w:r>
            <w:fldChar w:fldCharType="separate"/>
          </w:r>
          <w:r>
            <w:t>14</w:t>
          </w:r>
          <w:r>
            <w:fldChar w:fldCharType="end"/>
          </w:r>
          <w:r>
            <w:fldChar w:fldCharType="end"/>
          </w:r>
        </w:p>
        <w:p w14:paraId="1D080FB0">
          <w:pPr>
            <w:pStyle w:val="14"/>
            <w:tabs>
              <w:tab w:val="right" w:leader="dot" w:pos="8306"/>
            </w:tabs>
          </w:pPr>
          <w:r>
            <w:fldChar w:fldCharType="begin"/>
          </w:r>
          <w:r>
            <w:instrText xml:space="preserve"> HYPERLINK \l "_Toc14855" </w:instrText>
          </w:r>
          <w:r>
            <w:fldChar w:fldCharType="separate"/>
          </w:r>
          <w:r>
            <w:rPr>
              <w:rFonts w:hint="eastAsia"/>
            </w:rPr>
            <w:t xml:space="preserve">Supplementary Figure 7: Pair-wise meta-analysis for induction of </w:t>
          </w:r>
          <w:r>
            <w:rPr>
              <w:rFonts w:cs="Times New Roman"/>
              <w:lang w:bidi="ar"/>
            </w:rPr>
            <w:t>patient-reported outcome</w:t>
          </w:r>
          <w:r>
            <w:rPr>
              <w:rFonts w:hint="eastAsia"/>
            </w:rPr>
            <w:t xml:space="preserve"> remission.</w:t>
          </w:r>
          <w:r>
            <w:tab/>
          </w:r>
          <w:r>
            <w:fldChar w:fldCharType="begin"/>
          </w:r>
          <w:r>
            <w:instrText xml:space="preserve"> PAGEREF _Toc14855 \h </w:instrText>
          </w:r>
          <w:r>
            <w:fldChar w:fldCharType="separate"/>
          </w:r>
          <w:r>
            <w:t>15</w:t>
          </w:r>
          <w:r>
            <w:fldChar w:fldCharType="end"/>
          </w:r>
          <w:r>
            <w:fldChar w:fldCharType="end"/>
          </w:r>
        </w:p>
        <w:p w14:paraId="594E8703">
          <w:pPr>
            <w:pStyle w:val="14"/>
            <w:tabs>
              <w:tab w:val="right" w:leader="dot" w:pos="8306"/>
            </w:tabs>
          </w:pPr>
          <w:r>
            <w:fldChar w:fldCharType="begin"/>
          </w:r>
          <w:r>
            <w:instrText xml:space="preserve"> HYPERLINK \l "_Toc8216" </w:instrText>
          </w:r>
          <w:r>
            <w:fldChar w:fldCharType="separate"/>
          </w:r>
          <w:r>
            <w:rPr>
              <w:rFonts w:cs="Times New Roman"/>
              <w:lang w:bidi="ar"/>
            </w:rPr>
            <w:t>Supplementary Table 3</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clinical remission</w:t>
          </w:r>
          <w:r>
            <w:rPr>
              <w:rFonts w:cs="Times New Roman"/>
              <w:lang w:bidi="ar"/>
            </w:rPr>
            <w:t xml:space="preserve"> in network meta-analysis.</w:t>
          </w:r>
          <w:r>
            <w:tab/>
          </w:r>
          <w:r>
            <w:fldChar w:fldCharType="begin"/>
          </w:r>
          <w:r>
            <w:instrText xml:space="preserve"> PAGEREF _Toc8216 \h </w:instrText>
          </w:r>
          <w:r>
            <w:fldChar w:fldCharType="separate"/>
          </w:r>
          <w:r>
            <w:t>16</w:t>
          </w:r>
          <w:r>
            <w:fldChar w:fldCharType="end"/>
          </w:r>
          <w:r>
            <w:fldChar w:fldCharType="end"/>
          </w:r>
        </w:p>
        <w:p w14:paraId="349E6125">
          <w:pPr>
            <w:pStyle w:val="14"/>
            <w:tabs>
              <w:tab w:val="right" w:leader="dot" w:pos="8306"/>
            </w:tabs>
          </w:pPr>
          <w:r>
            <w:fldChar w:fldCharType="begin"/>
          </w:r>
          <w:r>
            <w:instrText xml:space="preserve"> HYPERLINK \l "_Toc12376" </w:instrText>
          </w:r>
          <w:r>
            <w:fldChar w:fldCharType="separate"/>
          </w:r>
          <w:r>
            <w:rPr>
              <w:rFonts w:cs="Times New Roman"/>
              <w:lang w:bidi="ar"/>
            </w:rPr>
            <w:t xml:space="preserve">Supplementary </w:t>
          </w:r>
          <w:r>
            <w:rPr>
              <w:rFonts w:hint="eastAsia"/>
            </w:rPr>
            <w:t xml:space="preserve">Table </w:t>
          </w:r>
          <w:r>
            <w:rPr>
              <w:rFonts w:cs="Times New Roman"/>
              <w:lang w:bidi="ar"/>
            </w:rPr>
            <w:t>4</w:t>
          </w:r>
          <w:r>
            <w:rPr>
              <w:rFonts w:hint="eastAsia" w:cs="Times New Roman"/>
              <w:lang w:bidi="ar"/>
            </w:rPr>
            <w:t xml:space="preserve">: </w:t>
          </w:r>
          <w:r>
            <w:rPr>
              <w:rFonts w:cs="Times New Roman"/>
              <w:lang w:bidi="ar"/>
            </w:rPr>
            <w:t xml:space="preserve">Indirect comparison of IL-23p19 inhibitors and small molecule drugs for the induction of endoscopic </w:t>
          </w:r>
          <w:r>
            <w:rPr>
              <w:rFonts w:hint="eastAsia" w:cs="Times New Roman"/>
              <w:lang w:bidi="ar"/>
            </w:rPr>
            <w:t xml:space="preserve">improvement </w:t>
          </w:r>
          <w:r>
            <w:rPr>
              <w:rFonts w:cs="Times New Roman"/>
              <w:lang w:bidi="ar"/>
            </w:rPr>
            <w:t>in network meta-analysis.</w:t>
          </w:r>
          <w:r>
            <w:tab/>
          </w:r>
          <w:r>
            <w:fldChar w:fldCharType="begin"/>
          </w:r>
          <w:r>
            <w:instrText xml:space="preserve"> PAGEREF _Toc12376 \h </w:instrText>
          </w:r>
          <w:r>
            <w:fldChar w:fldCharType="separate"/>
          </w:r>
          <w:r>
            <w:t>16</w:t>
          </w:r>
          <w:r>
            <w:fldChar w:fldCharType="end"/>
          </w:r>
          <w:r>
            <w:fldChar w:fldCharType="end"/>
          </w:r>
        </w:p>
        <w:p w14:paraId="3B01A73A">
          <w:pPr>
            <w:pStyle w:val="14"/>
            <w:tabs>
              <w:tab w:val="right" w:leader="dot" w:pos="8306"/>
            </w:tabs>
          </w:pPr>
          <w:r>
            <w:fldChar w:fldCharType="begin"/>
          </w:r>
          <w:r>
            <w:instrText xml:space="preserve"> HYPERLINK \l "_Toc12783" </w:instrText>
          </w:r>
          <w:r>
            <w:fldChar w:fldCharType="separate"/>
          </w:r>
          <w:r>
            <w:rPr>
              <w:rFonts w:cs="Times New Roman"/>
              <w:lang w:bidi="ar"/>
            </w:rPr>
            <w:t>Supplementary Table 5</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patient-reported outcomes remission</w:t>
          </w:r>
          <w:r>
            <w:rPr>
              <w:rFonts w:cs="Times New Roman"/>
              <w:lang w:bidi="ar"/>
            </w:rPr>
            <w:t xml:space="preserve"> in network meta-analysis.</w:t>
          </w:r>
          <w:r>
            <w:tab/>
          </w:r>
          <w:r>
            <w:fldChar w:fldCharType="begin"/>
          </w:r>
          <w:r>
            <w:instrText xml:space="preserve"> PAGEREF _Toc12783 \h </w:instrText>
          </w:r>
          <w:r>
            <w:fldChar w:fldCharType="separate"/>
          </w:r>
          <w:r>
            <w:t>17</w:t>
          </w:r>
          <w:r>
            <w:fldChar w:fldCharType="end"/>
          </w:r>
          <w:r>
            <w:fldChar w:fldCharType="end"/>
          </w:r>
        </w:p>
        <w:p w14:paraId="49792D4B">
          <w:pPr>
            <w:pStyle w:val="14"/>
            <w:tabs>
              <w:tab w:val="right" w:leader="dot" w:pos="8306"/>
            </w:tabs>
          </w:pPr>
          <w:r>
            <w:fldChar w:fldCharType="begin"/>
          </w:r>
          <w:r>
            <w:instrText xml:space="preserve"> HYPERLINK \l "_Toc26899" </w:instrText>
          </w:r>
          <w:r>
            <w:fldChar w:fldCharType="separate"/>
          </w:r>
          <w:r>
            <w:rPr>
              <w:rFonts w:cs="Times New Roman"/>
              <w:lang w:bidi="ar"/>
            </w:rPr>
            <w:t>Supplementary Table 6</w:t>
          </w:r>
          <w:r>
            <w:rPr>
              <w:rFonts w:hint="eastAsia" w:cs="Times New Roman"/>
              <w:lang w:bidi="ar"/>
            </w:rPr>
            <w:t xml:space="preserve">: </w:t>
          </w:r>
          <w:r>
            <w:rPr>
              <w:rFonts w:hint="eastAsia"/>
            </w:rPr>
            <w:t xml:space="preserve">Indirect </w:t>
          </w:r>
          <w:r>
            <w:rPr>
              <w:rFonts w:cs="Times New Roman"/>
              <w:lang w:bidi="ar"/>
            </w:rPr>
            <w:t xml:space="preserve">comparison of IL-23p19 inhibitors and small molecule drugs for the induction of endoscopic </w:t>
          </w:r>
          <w:r>
            <w:rPr>
              <w:rFonts w:hint="eastAsia" w:cs="Times New Roman"/>
              <w:lang w:bidi="ar"/>
            </w:rPr>
            <w:t xml:space="preserve">remission </w:t>
          </w:r>
          <w:r>
            <w:rPr>
              <w:rFonts w:cs="Times New Roman"/>
              <w:lang w:bidi="ar"/>
            </w:rPr>
            <w:t>in network meta-analysis.</w:t>
          </w:r>
          <w:r>
            <w:tab/>
          </w:r>
          <w:r>
            <w:fldChar w:fldCharType="begin"/>
          </w:r>
          <w:r>
            <w:instrText xml:space="preserve"> PAGEREF _Toc26899 \h </w:instrText>
          </w:r>
          <w:r>
            <w:fldChar w:fldCharType="separate"/>
          </w:r>
          <w:r>
            <w:t>17</w:t>
          </w:r>
          <w:r>
            <w:fldChar w:fldCharType="end"/>
          </w:r>
          <w:r>
            <w:fldChar w:fldCharType="end"/>
          </w:r>
        </w:p>
        <w:p w14:paraId="48CB6C30">
          <w:pPr>
            <w:pStyle w:val="14"/>
            <w:tabs>
              <w:tab w:val="right" w:leader="dot" w:pos="8306"/>
            </w:tabs>
          </w:pPr>
          <w:r>
            <w:fldChar w:fldCharType="begin"/>
          </w:r>
          <w:r>
            <w:instrText xml:space="preserve"> HYPERLINK \l "_Toc22304" </w:instrText>
          </w:r>
          <w:r>
            <w:fldChar w:fldCharType="separate"/>
          </w:r>
          <w:r>
            <w:rPr>
              <w:rFonts w:cs="Times New Roman"/>
              <w:lang w:bidi="ar"/>
            </w:rPr>
            <w:t xml:space="preserve">Supplementary </w:t>
          </w:r>
          <w:r>
            <w:rPr>
              <w:rFonts w:hint="eastAsia"/>
            </w:rPr>
            <w:t xml:space="preserve">Table </w:t>
          </w:r>
          <w:r>
            <w:rPr>
              <w:rFonts w:cs="Times New Roman"/>
              <w:lang w:bidi="ar"/>
            </w:rPr>
            <w:t>7</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clinical remission </w:t>
          </w:r>
          <w:r>
            <w:rPr>
              <w:rFonts w:cs="Times New Roman"/>
              <w:lang w:bidi="ar"/>
            </w:rPr>
            <w:t xml:space="preserve">in </w:t>
          </w:r>
          <w:r>
            <w:rPr>
              <w:rFonts w:hint="eastAsia" w:cs="Times New Roman"/>
              <w:lang w:bidi="ar"/>
            </w:rPr>
            <w:t>patients without biologic failure.</w:t>
          </w:r>
          <w:r>
            <w:tab/>
          </w:r>
          <w:r>
            <w:fldChar w:fldCharType="begin"/>
          </w:r>
          <w:r>
            <w:instrText xml:space="preserve"> PAGEREF _Toc22304 \h </w:instrText>
          </w:r>
          <w:r>
            <w:fldChar w:fldCharType="separate"/>
          </w:r>
          <w:r>
            <w:t>18</w:t>
          </w:r>
          <w:r>
            <w:fldChar w:fldCharType="end"/>
          </w:r>
          <w:r>
            <w:fldChar w:fldCharType="end"/>
          </w:r>
        </w:p>
        <w:p w14:paraId="3F025464">
          <w:pPr>
            <w:pStyle w:val="14"/>
            <w:tabs>
              <w:tab w:val="right" w:leader="dot" w:pos="8306"/>
            </w:tabs>
          </w:pPr>
          <w:r>
            <w:fldChar w:fldCharType="begin"/>
          </w:r>
          <w:r>
            <w:instrText xml:space="preserve"> HYPERLINK \l "_Toc15616" </w:instrText>
          </w:r>
          <w:r>
            <w:fldChar w:fldCharType="separate"/>
          </w:r>
          <w:r>
            <w:rPr>
              <w:rFonts w:cs="Times New Roman"/>
              <w:lang w:bidi="ar"/>
            </w:rPr>
            <w:t xml:space="preserve">Supplementary </w:t>
          </w:r>
          <w:r>
            <w:rPr>
              <w:rFonts w:hint="eastAsia"/>
            </w:rPr>
            <w:t xml:space="preserve">Table </w:t>
          </w:r>
          <w:r>
            <w:rPr>
              <w:rFonts w:cs="Times New Roman"/>
              <w:lang w:bidi="ar"/>
            </w:rPr>
            <w:t>8</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clinical remission </w:t>
          </w:r>
          <w:r>
            <w:rPr>
              <w:rFonts w:cs="Times New Roman"/>
              <w:lang w:bidi="ar"/>
            </w:rPr>
            <w:t xml:space="preserve">in </w:t>
          </w:r>
          <w:r>
            <w:rPr>
              <w:rFonts w:hint="eastAsia" w:cs="Times New Roman"/>
              <w:lang w:bidi="ar"/>
            </w:rPr>
            <w:t>patients with biologic failure.</w:t>
          </w:r>
          <w:r>
            <w:tab/>
          </w:r>
          <w:r>
            <w:fldChar w:fldCharType="begin"/>
          </w:r>
          <w:r>
            <w:instrText xml:space="preserve"> PAGEREF _Toc15616 \h </w:instrText>
          </w:r>
          <w:r>
            <w:fldChar w:fldCharType="separate"/>
          </w:r>
          <w:r>
            <w:t>19</w:t>
          </w:r>
          <w:r>
            <w:fldChar w:fldCharType="end"/>
          </w:r>
          <w:r>
            <w:fldChar w:fldCharType="end"/>
          </w:r>
        </w:p>
        <w:p w14:paraId="576C49D5">
          <w:pPr>
            <w:pStyle w:val="14"/>
            <w:tabs>
              <w:tab w:val="right" w:leader="dot" w:pos="8306"/>
            </w:tabs>
          </w:pPr>
          <w:r>
            <w:fldChar w:fldCharType="begin"/>
          </w:r>
          <w:r>
            <w:instrText xml:space="preserve"> HYPERLINK \l "_Toc31736" </w:instrText>
          </w:r>
          <w:r>
            <w:fldChar w:fldCharType="separate"/>
          </w:r>
          <w:r>
            <w:rPr>
              <w:rFonts w:cs="Times New Roman"/>
              <w:lang w:bidi="ar"/>
            </w:rPr>
            <w:t xml:space="preserve">Supplementary </w:t>
          </w:r>
          <w:r>
            <w:rPr>
              <w:rFonts w:hint="eastAsia"/>
            </w:rPr>
            <w:t xml:space="preserve">Table </w:t>
          </w:r>
          <w:r>
            <w:rPr>
              <w:rFonts w:cs="Times New Roman"/>
              <w:lang w:bidi="ar"/>
            </w:rPr>
            <w:t>9</w:t>
          </w:r>
          <w:r>
            <w:rPr>
              <w:rFonts w:hint="eastAsia" w:cs="Times New Roman"/>
              <w:lang w:bidi="ar"/>
            </w:rPr>
            <w:t xml:space="preserve">: </w:t>
          </w:r>
          <w:r>
            <w:rPr>
              <w:rFonts w:cs="Times New Roman"/>
              <w:lang w:bidi="ar"/>
            </w:rPr>
            <w:t>Indirect comparison of IL-23p19 inhibitors and small molecule drugs for the induction of endoscopic</w:t>
          </w:r>
          <w:r>
            <w:rPr>
              <w:rFonts w:hint="eastAsia" w:cs="Times New Roman"/>
              <w:lang w:bidi="ar"/>
            </w:rPr>
            <w:t xml:space="preserve"> improvement </w:t>
          </w:r>
          <w:r>
            <w:rPr>
              <w:rFonts w:cs="Times New Roman"/>
              <w:lang w:bidi="ar"/>
            </w:rPr>
            <w:t xml:space="preserve">in </w:t>
          </w:r>
          <w:r>
            <w:rPr>
              <w:rFonts w:hint="eastAsia" w:cs="Times New Roman"/>
              <w:lang w:bidi="ar"/>
            </w:rPr>
            <w:t>patients without biologic failure.</w:t>
          </w:r>
          <w:r>
            <w:tab/>
          </w:r>
          <w:r>
            <w:fldChar w:fldCharType="begin"/>
          </w:r>
          <w:r>
            <w:instrText xml:space="preserve"> PAGEREF _Toc31736 \h </w:instrText>
          </w:r>
          <w:r>
            <w:fldChar w:fldCharType="separate"/>
          </w:r>
          <w:r>
            <w:t>20</w:t>
          </w:r>
          <w:r>
            <w:fldChar w:fldCharType="end"/>
          </w:r>
          <w:r>
            <w:fldChar w:fldCharType="end"/>
          </w:r>
        </w:p>
        <w:p w14:paraId="7059517C">
          <w:pPr>
            <w:pStyle w:val="14"/>
            <w:tabs>
              <w:tab w:val="right" w:leader="dot" w:pos="8306"/>
            </w:tabs>
          </w:pPr>
          <w:r>
            <w:fldChar w:fldCharType="begin"/>
          </w:r>
          <w:r>
            <w:instrText xml:space="preserve"> HYPERLINK \l "_Toc11066" </w:instrText>
          </w:r>
          <w:r>
            <w:fldChar w:fldCharType="separate"/>
          </w:r>
          <w:r>
            <w:rPr>
              <w:rFonts w:cs="Times New Roman"/>
              <w:lang w:bidi="ar"/>
            </w:rPr>
            <w:t xml:space="preserve">Supplementary </w:t>
          </w:r>
          <w:r>
            <w:rPr>
              <w:rFonts w:hint="eastAsia"/>
            </w:rPr>
            <w:t xml:space="preserve">Table </w:t>
          </w:r>
          <w:r>
            <w:rPr>
              <w:rFonts w:cs="Times New Roman"/>
              <w:lang w:bidi="ar"/>
            </w:rPr>
            <w:t>10</w:t>
          </w:r>
          <w:r>
            <w:rPr>
              <w:rFonts w:hint="eastAsia" w:cs="Times New Roman"/>
              <w:lang w:bidi="ar"/>
            </w:rPr>
            <w:t xml:space="preserve">: </w:t>
          </w:r>
          <w:r>
            <w:rPr>
              <w:rFonts w:cs="Times New Roman"/>
              <w:lang w:bidi="ar"/>
            </w:rPr>
            <w:t>Indirect comparison of IL-23p19 inhibitors and small molecule drugs for the induction of endoscopic</w:t>
          </w:r>
          <w:r>
            <w:rPr>
              <w:rFonts w:hint="eastAsia" w:cs="Times New Roman"/>
              <w:lang w:bidi="ar"/>
            </w:rPr>
            <w:t xml:space="preserve"> improvement </w:t>
          </w:r>
          <w:r>
            <w:rPr>
              <w:rFonts w:cs="Times New Roman"/>
              <w:lang w:bidi="ar"/>
            </w:rPr>
            <w:t xml:space="preserve">in </w:t>
          </w:r>
          <w:r>
            <w:rPr>
              <w:rFonts w:hint="eastAsia" w:cs="Times New Roman"/>
              <w:lang w:bidi="ar"/>
            </w:rPr>
            <w:t>patients with biologic failure.</w:t>
          </w:r>
          <w:r>
            <w:tab/>
          </w:r>
          <w:r>
            <w:fldChar w:fldCharType="begin"/>
          </w:r>
          <w:r>
            <w:instrText xml:space="preserve"> PAGEREF _Toc11066 \h </w:instrText>
          </w:r>
          <w:r>
            <w:fldChar w:fldCharType="separate"/>
          </w:r>
          <w:r>
            <w:t>21</w:t>
          </w:r>
          <w:r>
            <w:fldChar w:fldCharType="end"/>
          </w:r>
          <w:r>
            <w:fldChar w:fldCharType="end"/>
          </w:r>
        </w:p>
        <w:p w14:paraId="2D97EB79">
          <w:pPr>
            <w:pStyle w:val="14"/>
            <w:tabs>
              <w:tab w:val="right" w:leader="dot" w:pos="8306"/>
            </w:tabs>
          </w:pPr>
          <w:r>
            <w:fldChar w:fldCharType="begin"/>
          </w:r>
          <w:r>
            <w:instrText xml:space="preserve"> HYPERLINK \l "_Toc24353" </w:instrText>
          </w:r>
          <w:r>
            <w:fldChar w:fldCharType="separate"/>
          </w:r>
          <w:r>
            <w:rPr>
              <w:rFonts w:cs="Times New Roman"/>
              <w:lang w:bidi="ar"/>
            </w:rPr>
            <w:t xml:space="preserve">Supplementary </w:t>
          </w:r>
          <w:r>
            <w:rPr>
              <w:rFonts w:hint="eastAsia"/>
            </w:rPr>
            <w:t xml:space="preserve">Table </w:t>
          </w:r>
          <w:r>
            <w:rPr>
              <w:rFonts w:cs="Times New Roman"/>
              <w:lang w:bidi="ar"/>
            </w:rPr>
            <w:t>11</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patient-reported outcomes remission </w:t>
          </w:r>
          <w:r>
            <w:rPr>
              <w:rFonts w:cs="Times New Roman"/>
              <w:lang w:bidi="ar"/>
            </w:rPr>
            <w:t xml:space="preserve">in </w:t>
          </w:r>
          <w:r>
            <w:rPr>
              <w:rFonts w:hint="eastAsia" w:cs="Times New Roman"/>
              <w:lang w:bidi="ar"/>
            </w:rPr>
            <w:t>patients without biologic failure.</w:t>
          </w:r>
          <w:r>
            <w:tab/>
          </w:r>
          <w:r>
            <w:fldChar w:fldCharType="begin"/>
          </w:r>
          <w:r>
            <w:instrText xml:space="preserve"> PAGEREF _Toc24353 \h </w:instrText>
          </w:r>
          <w:r>
            <w:fldChar w:fldCharType="separate"/>
          </w:r>
          <w:r>
            <w:t>22</w:t>
          </w:r>
          <w:r>
            <w:fldChar w:fldCharType="end"/>
          </w:r>
          <w:r>
            <w:fldChar w:fldCharType="end"/>
          </w:r>
        </w:p>
        <w:p w14:paraId="38314A50">
          <w:pPr>
            <w:pStyle w:val="14"/>
            <w:tabs>
              <w:tab w:val="right" w:leader="dot" w:pos="8306"/>
            </w:tabs>
          </w:pPr>
          <w:r>
            <w:fldChar w:fldCharType="begin"/>
          </w:r>
          <w:r>
            <w:instrText xml:space="preserve"> HYPERLINK \l "_Toc11223" </w:instrText>
          </w:r>
          <w:r>
            <w:fldChar w:fldCharType="separate"/>
          </w:r>
          <w:r>
            <w:rPr>
              <w:rFonts w:cs="Times New Roman"/>
              <w:lang w:bidi="ar"/>
            </w:rPr>
            <w:t xml:space="preserve">Supplementary </w:t>
          </w:r>
          <w:r>
            <w:rPr>
              <w:rFonts w:hint="eastAsia"/>
            </w:rPr>
            <w:t xml:space="preserve">Table </w:t>
          </w:r>
          <w:r>
            <w:rPr>
              <w:rFonts w:cs="Times New Roman"/>
              <w:lang w:bidi="ar"/>
            </w:rPr>
            <w:t>12</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patient-reported outcomes remission </w:t>
          </w:r>
          <w:r>
            <w:rPr>
              <w:rFonts w:cs="Times New Roman"/>
              <w:lang w:bidi="ar"/>
            </w:rPr>
            <w:t xml:space="preserve">in </w:t>
          </w:r>
          <w:r>
            <w:rPr>
              <w:rFonts w:hint="eastAsia" w:cs="Times New Roman"/>
              <w:lang w:bidi="ar"/>
            </w:rPr>
            <w:t>patients with biologic failure.</w:t>
          </w:r>
          <w:r>
            <w:tab/>
          </w:r>
          <w:r>
            <w:fldChar w:fldCharType="begin"/>
          </w:r>
          <w:r>
            <w:instrText xml:space="preserve"> PAGEREF _Toc11223 \h </w:instrText>
          </w:r>
          <w:r>
            <w:fldChar w:fldCharType="separate"/>
          </w:r>
          <w:r>
            <w:t>23</w:t>
          </w:r>
          <w:r>
            <w:fldChar w:fldCharType="end"/>
          </w:r>
          <w:r>
            <w:fldChar w:fldCharType="end"/>
          </w:r>
        </w:p>
        <w:p w14:paraId="55FCB23B">
          <w:pPr>
            <w:pStyle w:val="14"/>
            <w:tabs>
              <w:tab w:val="right" w:leader="dot" w:pos="8306"/>
            </w:tabs>
          </w:pPr>
          <w:r>
            <w:fldChar w:fldCharType="begin"/>
          </w:r>
          <w:r>
            <w:instrText xml:space="preserve"> HYPERLINK \l "_Toc17447" </w:instrText>
          </w:r>
          <w:r>
            <w:fldChar w:fldCharType="separate"/>
          </w:r>
          <w:r>
            <w:rPr>
              <w:rFonts w:cs="Times New Roman"/>
              <w:lang w:bidi="ar"/>
            </w:rPr>
            <w:t xml:space="preserve">Supplementary </w:t>
          </w:r>
          <w:r>
            <w:rPr>
              <w:rFonts w:hint="eastAsia"/>
            </w:rPr>
            <w:t xml:space="preserve">Table </w:t>
          </w:r>
          <w:r>
            <w:rPr>
              <w:rFonts w:cs="Times New Roman"/>
              <w:lang w:bidi="ar"/>
            </w:rPr>
            <w:t>13</w:t>
          </w:r>
          <w:r>
            <w:rPr>
              <w:rFonts w:hint="eastAsia" w:cs="Times New Roman"/>
              <w:lang w:bidi="ar"/>
            </w:rPr>
            <w:t xml:space="preserve">: </w:t>
          </w:r>
          <w:r>
            <w:rPr>
              <w:rFonts w:cs="Times New Roman"/>
              <w:lang w:bidi="ar"/>
            </w:rPr>
            <w:t xml:space="preserve">Indirect comparison of IL-23p19 inhibitors and small molecule drugs for the induction of endoscopic </w:t>
          </w:r>
          <w:r>
            <w:rPr>
              <w:rFonts w:hint="eastAsia" w:cs="Times New Roman"/>
              <w:lang w:bidi="ar"/>
            </w:rPr>
            <w:t xml:space="preserve">remission </w:t>
          </w:r>
          <w:r>
            <w:rPr>
              <w:rFonts w:cs="Times New Roman"/>
              <w:lang w:bidi="ar"/>
            </w:rPr>
            <w:t xml:space="preserve">in </w:t>
          </w:r>
          <w:r>
            <w:rPr>
              <w:rFonts w:hint="eastAsia" w:cs="Times New Roman"/>
              <w:lang w:bidi="ar"/>
            </w:rPr>
            <w:t>patients without biologic failure.</w:t>
          </w:r>
          <w:r>
            <w:tab/>
          </w:r>
          <w:r>
            <w:fldChar w:fldCharType="begin"/>
          </w:r>
          <w:r>
            <w:instrText xml:space="preserve"> PAGEREF _Toc17447 \h </w:instrText>
          </w:r>
          <w:r>
            <w:fldChar w:fldCharType="separate"/>
          </w:r>
          <w:r>
            <w:t>24</w:t>
          </w:r>
          <w:r>
            <w:fldChar w:fldCharType="end"/>
          </w:r>
          <w:r>
            <w:fldChar w:fldCharType="end"/>
          </w:r>
        </w:p>
        <w:p w14:paraId="5A4E7319">
          <w:pPr>
            <w:pStyle w:val="14"/>
            <w:tabs>
              <w:tab w:val="right" w:leader="dot" w:pos="8306"/>
            </w:tabs>
          </w:pPr>
          <w:r>
            <w:fldChar w:fldCharType="begin"/>
          </w:r>
          <w:r>
            <w:instrText xml:space="preserve"> HYPERLINK \l "_Toc6353" </w:instrText>
          </w:r>
          <w:r>
            <w:fldChar w:fldCharType="separate"/>
          </w:r>
          <w:r>
            <w:rPr>
              <w:rFonts w:cs="Times New Roman"/>
              <w:lang w:bidi="ar"/>
            </w:rPr>
            <w:t xml:space="preserve">Supplementary </w:t>
          </w:r>
          <w:r>
            <w:rPr>
              <w:rFonts w:hint="eastAsia"/>
            </w:rPr>
            <w:t xml:space="preserve">Table </w:t>
          </w:r>
          <w:r>
            <w:rPr>
              <w:rFonts w:cs="Times New Roman"/>
              <w:lang w:bidi="ar"/>
            </w:rPr>
            <w:t>14</w:t>
          </w:r>
          <w:r>
            <w:rPr>
              <w:rFonts w:hint="eastAsia" w:cs="Times New Roman"/>
              <w:lang w:bidi="ar"/>
            </w:rPr>
            <w:t xml:space="preserve">: </w:t>
          </w:r>
          <w:r>
            <w:rPr>
              <w:rFonts w:cs="Times New Roman"/>
              <w:lang w:bidi="ar"/>
            </w:rPr>
            <w:t xml:space="preserve">Indirect comparison of IL-23p19 inhibitors and small molecule drugs for the induction of endoscopic </w:t>
          </w:r>
          <w:r>
            <w:rPr>
              <w:rFonts w:hint="eastAsia" w:cs="Times New Roman"/>
              <w:lang w:bidi="ar"/>
            </w:rPr>
            <w:t xml:space="preserve">remission </w:t>
          </w:r>
          <w:r>
            <w:rPr>
              <w:rFonts w:cs="Times New Roman"/>
              <w:lang w:bidi="ar"/>
            </w:rPr>
            <w:t xml:space="preserve">in </w:t>
          </w:r>
          <w:r>
            <w:rPr>
              <w:rFonts w:hint="eastAsia" w:cs="Times New Roman"/>
              <w:lang w:bidi="ar"/>
            </w:rPr>
            <w:t>patients with biologic failure.</w:t>
          </w:r>
          <w:r>
            <w:tab/>
          </w:r>
          <w:r>
            <w:fldChar w:fldCharType="begin"/>
          </w:r>
          <w:r>
            <w:instrText xml:space="preserve"> PAGEREF _Toc6353 \h </w:instrText>
          </w:r>
          <w:r>
            <w:fldChar w:fldCharType="separate"/>
          </w:r>
          <w:r>
            <w:t>24</w:t>
          </w:r>
          <w:r>
            <w:fldChar w:fldCharType="end"/>
          </w:r>
          <w:r>
            <w:fldChar w:fldCharType="end"/>
          </w:r>
        </w:p>
        <w:p w14:paraId="0EA274FB">
          <w:pPr>
            <w:pStyle w:val="14"/>
            <w:tabs>
              <w:tab w:val="right" w:leader="dot" w:pos="8306"/>
            </w:tabs>
          </w:pPr>
          <w:r>
            <w:fldChar w:fldCharType="begin"/>
          </w:r>
          <w:r>
            <w:instrText xml:space="preserve"> HYPERLINK \l "_Toc14130" </w:instrText>
          </w:r>
          <w:r>
            <w:fldChar w:fldCharType="separate"/>
          </w:r>
          <w:r>
            <w:rPr>
              <w:rFonts w:cs="Times New Roman"/>
              <w:lang w:bidi="ar"/>
            </w:rPr>
            <w:t xml:space="preserve">Supplementary </w:t>
          </w:r>
          <w:r>
            <w:rPr>
              <w:rFonts w:hint="eastAsia"/>
            </w:rPr>
            <w:t xml:space="preserve">Table </w:t>
          </w:r>
          <w:r>
            <w:rPr>
              <w:rFonts w:cs="Times New Roman"/>
              <w:lang w:bidi="ar"/>
            </w:rPr>
            <w:t>15</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adverse events </w:t>
          </w:r>
          <w:r>
            <w:rPr>
              <w:rFonts w:cs="Times New Roman"/>
              <w:lang w:bidi="ar"/>
            </w:rPr>
            <w:t>in network meta-analysis.</w:t>
          </w:r>
          <w:r>
            <w:tab/>
          </w:r>
          <w:r>
            <w:fldChar w:fldCharType="begin"/>
          </w:r>
          <w:r>
            <w:instrText xml:space="preserve"> PAGEREF _Toc14130 \h </w:instrText>
          </w:r>
          <w:r>
            <w:fldChar w:fldCharType="separate"/>
          </w:r>
          <w:r>
            <w:t>25</w:t>
          </w:r>
          <w:r>
            <w:fldChar w:fldCharType="end"/>
          </w:r>
          <w:r>
            <w:fldChar w:fldCharType="end"/>
          </w:r>
        </w:p>
        <w:p w14:paraId="096E6E12">
          <w:pPr>
            <w:pStyle w:val="14"/>
            <w:tabs>
              <w:tab w:val="right" w:leader="dot" w:pos="8306"/>
            </w:tabs>
          </w:pPr>
          <w:r>
            <w:fldChar w:fldCharType="begin"/>
          </w:r>
          <w:r>
            <w:instrText xml:space="preserve"> HYPERLINK \l "_Toc26470" </w:instrText>
          </w:r>
          <w:r>
            <w:fldChar w:fldCharType="separate"/>
          </w:r>
          <w:r>
            <w:rPr>
              <w:rFonts w:cs="Times New Roman"/>
              <w:lang w:bidi="ar"/>
            </w:rPr>
            <w:t xml:space="preserve">Supplementary </w:t>
          </w:r>
          <w:r>
            <w:rPr>
              <w:rFonts w:hint="eastAsia"/>
            </w:rPr>
            <w:t xml:space="preserve">Table </w:t>
          </w:r>
          <w:r>
            <w:rPr>
              <w:rFonts w:cs="Times New Roman"/>
              <w:lang w:bidi="ar"/>
            </w:rPr>
            <w:t>16</w:t>
          </w:r>
          <w:r>
            <w:rPr>
              <w:rFonts w:hint="eastAsia" w:cs="Times New Roman"/>
              <w:lang w:bidi="ar"/>
            </w:rPr>
            <w:t xml:space="preserve">: </w:t>
          </w:r>
          <w:r>
            <w:rPr>
              <w:rFonts w:cs="Times New Roman"/>
              <w:lang w:bidi="ar"/>
            </w:rPr>
            <w:t xml:space="preserve">Indirect comparison of IL-23p19 inhibitors and small molecule drugs for the induction of </w:t>
          </w:r>
          <w:r>
            <w:rPr>
              <w:rFonts w:hint="eastAsia" w:cs="Times New Roman"/>
              <w:lang w:bidi="ar"/>
            </w:rPr>
            <w:t xml:space="preserve">serious adverse events </w:t>
          </w:r>
          <w:r>
            <w:rPr>
              <w:rFonts w:cs="Times New Roman"/>
              <w:lang w:bidi="ar"/>
            </w:rPr>
            <w:t>in network meta-analysis.</w:t>
          </w:r>
          <w:r>
            <w:tab/>
          </w:r>
          <w:r>
            <w:fldChar w:fldCharType="begin"/>
          </w:r>
          <w:r>
            <w:instrText xml:space="preserve"> PAGEREF _Toc26470 \h </w:instrText>
          </w:r>
          <w:r>
            <w:fldChar w:fldCharType="separate"/>
          </w:r>
          <w:r>
            <w:t>25</w:t>
          </w:r>
          <w:r>
            <w:fldChar w:fldCharType="end"/>
          </w:r>
          <w:r>
            <w:fldChar w:fldCharType="end"/>
          </w:r>
        </w:p>
        <w:p w14:paraId="6C815472">
          <w:r>
            <w:fldChar w:fldCharType="end"/>
          </w:r>
        </w:p>
      </w:sdtContent>
    </w:sdt>
    <w:p w14:paraId="38918430"/>
    <w:p w14:paraId="4188F922">
      <w:r>
        <w:br w:type="page"/>
      </w:r>
    </w:p>
    <w:p w14:paraId="3ECA6312">
      <w:pPr>
        <w:pStyle w:val="11"/>
        <w:outlineLvl w:val="0"/>
        <w:rPr>
          <w:rFonts w:ascii="Times New Roman" w:hAnsi="Times New Roman" w:cs="Times New Roman"/>
        </w:rPr>
      </w:pPr>
      <w:bookmarkStart w:id="1" w:name="_Toc9076"/>
      <w:r>
        <w:rPr>
          <w:rFonts w:hint="eastAsia" w:ascii="Times New Roman" w:hAnsi="Times New Roman"/>
        </w:rPr>
        <w:t xml:space="preserve">Supplementary Table </w:t>
      </w:r>
      <w:r>
        <w:rPr>
          <w:rFonts w:hint="eastAsia" w:ascii="Times New Roman" w:hAnsi="Times New Roman"/>
        </w:rPr>
        <w:fldChar w:fldCharType="begin"/>
      </w:r>
      <w:r>
        <w:rPr>
          <w:rFonts w:hint="eastAsia" w:ascii="Times New Roman" w:hAnsi="Times New Roman"/>
        </w:rPr>
        <w:instrText xml:space="preserve"> SEQ Supplementary_Table \* ARABIC </w:instrText>
      </w:r>
      <w:r>
        <w:rPr>
          <w:rFonts w:hint="eastAsia" w:ascii="Times New Roman" w:hAnsi="Times New Roman"/>
        </w:rPr>
        <w:fldChar w:fldCharType="separate"/>
      </w:r>
      <w:r>
        <w:rPr>
          <w:rFonts w:hint="eastAsia" w:ascii="Times New Roman" w:hAnsi="Times New Roman"/>
        </w:rPr>
        <w:t>1</w:t>
      </w:r>
      <w:r>
        <w:rPr>
          <w:rFonts w:hint="eastAsia" w:ascii="Times New Roman" w:hAnsi="Times New Roman"/>
        </w:rPr>
        <w:fldChar w:fldCharType="end"/>
      </w:r>
      <w:r>
        <w:rPr>
          <w:rFonts w:hint="eastAsia" w:ascii="Times New Roman" w:hAnsi="Times New Roman"/>
        </w:rPr>
        <w:t xml:space="preserve">: Detail of </w:t>
      </w:r>
      <w:r>
        <w:rPr>
          <w:rFonts w:ascii="Times New Roman" w:hAnsi="Times New Roman"/>
        </w:rPr>
        <w:t>search strategy</w:t>
      </w:r>
      <w:r>
        <w:rPr>
          <w:rFonts w:hint="eastAsia" w:ascii="Times New Roman" w:hAnsi="Times New Roman"/>
        </w:rPr>
        <w:t>.</w:t>
      </w:r>
      <w:bookmarkEnd w:id="1"/>
    </w:p>
    <w:tbl>
      <w:tblPr>
        <w:tblStyle w:val="18"/>
        <w:tblW w:w="8422" w:type="dxa"/>
        <w:tblInd w:w="100" w:type="dxa"/>
        <w:tblLayout w:type="fixed"/>
        <w:tblCellMar>
          <w:top w:w="0" w:type="dxa"/>
          <w:left w:w="108" w:type="dxa"/>
          <w:bottom w:w="0" w:type="dxa"/>
          <w:right w:w="108" w:type="dxa"/>
        </w:tblCellMar>
      </w:tblPr>
      <w:tblGrid>
        <w:gridCol w:w="541"/>
        <w:gridCol w:w="7881"/>
      </w:tblGrid>
      <w:tr w14:paraId="525CFF5C">
        <w:tblPrEx>
          <w:tblCellMar>
            <w:top w:w="0" w:type="dxa"/>
            <w:left w:w="108" w:type="dxa"/>
            <w:bottom w:w="0" w:type="dxa"/>
            <w:right w:w="108" w:type="dxa"/>
          </w:tblCellMar>
        </w:tblPrEx>
        <w:trPr>
          <w:trHeight w:val="350" w:hRule="atLeast"/>
        </w:trPr>
        <w:tc>
          <w:tcPr>
            <w:tcW w:w="8422" w:type="dxa"/>
            <w:gridSpan w:val="2"/>
            <w:tcBorders>
              <w:top w:val="single" w:color="000000" w:sz="4" w:space="0"/>
              <w:left w:val="single" w:color="000000" w:sz="4" w:space="0"/>
              <w:bottom w:val="single" w:color="000000" w:sz="4" w:space="0"/>
              <w:right w:val="single" w:color="000000" w:sz="4" w:space="0"/>
            </w:tcBorders>
            <w:vAlign w:val="center"/>
          </w:tcPr>
          <w:p w14:paraId="75477B95">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val="0"/>
                <w:bCs w:val="0"/>
                <w:i/>
                <w:iCs/>
                <w:color w:val="000000"/>
                <w:kern w:val="0"/>
                <w:sz w:val="20"/>
                <w:szCs w:val="20"/>
                <w:lang w:bidi="ar"/>
              </w:rPr>
              <w:t>Embase</w:t>
            </w:r>
          </w:p>
        </w:tc>
      </w:tr>
      <w:tr w14:paraId="0567ED4D">
        <w:tblPrEx>
          <w:tblCellMar>
            <w:top w:w="0" w:type="dxa"/>
            <w:left w:w="108" w:type="dxa"/>
            <w:bottom w:w="0" w:type="dxa"/>
            <w:right w:w="108" w:type="dxa"/>
          </w:tblCellMar>
        </w:tblPrEx>
        <w:trPr>
          <w:trHeight w:val="9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4BD4C8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w:t>
            </w:r>
          </w:p>
        </w:tc>
        <w:tc>
          <w:tcPr>
            <w:tcW w:w="7881" w:type="dxa"/>
            <w:tcBorders>
              <w:top w:val="single" w:color="000000" w:sz="4" w:space="0"/>
              <w:left w:val="single" w:color="000000" w:sz="4" w:space="0"/>
              <w:bottom w:val="single" w:color="000000" w:sz="4" w:space="0"/>
              <w:right w:val="single" w:color="000000" w:sz="4" w:space="0"/>
            </w:tcBorders>
            <w:vAlign w:val="center"/>
          </w:tcPr>
          <w:p w14:paraId="7D2EBF25">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janus kinase inhibitor'/exp OR 'jak inhibitor' OR 'janus kinase inhibitors' OR 'janus tyrosine kinase inhibitor' OR 'janus kinase inhibitor'</w:t>
            </w:r>
          </w:p>
        </w:tc>
      </w:tr>
      <w:tr w14:paraId="448D9310">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F074403">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w:t>
            </w:r>
          </w:p>
        </w:tc>
        <w:tc>
          <w:tcPr>
            <w:tcW w:w="7881" w:type="dxa"/>
            <w:tcBorders>
              <w:top w:val="single" w:color="000000" w:sz="4" w:space="0"/>
              <w:left w:val="single" w:color="000000" w:sz="4" w:space="0"/>
              <w:bottom w:val="single" w:color="000000" w:sz="4" w:space="0"/>
              <w:right w:val="single" w:color="000000" w:sz="4" w:space="0"/>
            </w:tcBorders>
            <w:vAlign w:val="center"/>
          </w:tcPr>
          <w:p w14:paraId="54C92B43">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'sphingosine 1 phosphate receptor'/exp OR 'sphingosine-1-phosphate receptor' OR 'sphingosine-1-phosphate receptors' OR 'sphingosine 1 phosphate receptor'</w:t>
            </w:r>
          </w:p>
        </w:tc>
      </w:tr>
      <w:tr w14:paraId="3D89267C">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64FB1F8">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w:t>
            </w:r>
          </w:p>
        </w:tc>
        <w:tc>
          <w:tcPr>
            <w:tcW w:w="7881" w:type="dxa"/>
            <w:tcBorders>
              <w:top w:val="single" w:color="000000" w:sz="4" w:space="0"/>
              <w:left w:val="single" w:color="000000" w:sz="4" w:space="0"/>
              <w:bottom w:val="single" w:color="000000" w:sz="4" w:space="0"/>
              <w:right w:val="single" w:color="000000" w:sz="4" w:space="0"/>
            </w:tcBorders>
            <w:vAlign w:val="center"/>
          </w:tcPr>
          <w:p w14:paraId="3A6B32D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'small molecule drugs'</w:t>
            </w:r>
          </w:p>
        </w:tc>
      </w:tr>
      <w:tr w14:paraId="144F587C">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196437B">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#4</w:t>
            </w:r>
          </w:p>
        </w:tc>
        <w:tc>
          <w:tcPr>
            <w:tcW w:w="7881" w:type="dxa"/>
            <w:tcBorders>
              <w:top w:val="single" w:color="000000" w:sz="4" w:space="0"/>
              <w:left w:val="single" w:color="000000" w:sz="4" w:space="0"/>
              <w:bottom w:val="single" w:color="000000" w:sz="4" w:space="0"/>
              <w:right w:val="single" w:color="000000" w:sz="4" w:space="0"/>
            </w:tcBorders>
            <w:vAlign w:val="center"/>
          </w:tcPr>
          <w:p w14:paraId="0CA796C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tofacitinib'/exp OR 'cp 690 550' OR 'tasocitinib citrate' OR 'xeljanz'</w:t>
            </w:r>
          </w:p>
        </w:tc>
      </w:tr>
      <w:tr w14:paraId="229A06ED">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430255E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#5</w:t>
            </w:r>
          </w:p>
        </w:tc>
        <w:tc>
          <w:tcPr>
            <w:tcW w:w="7881" w:type="dxa"/>
            <w:tcBorders>
              <w:top w:val="single" w:color="000000" w:sz="4" w:space="0"/>
              <w:left w:val="single" w:color="000000" w:sz="4" w:space="0"/>
              <w:bottom w:val="single" w:color="000000" w:sz="4" w:space="0"/>
              <w:right w:val="single" w:color="000000" w:sz="4" w:space="0"/>
            </w:tcBorders>
            <w:vAlign w:val="center"/>
          </w:tcPr>
          <w:p w14:paraId="4BA5617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filgotinib'/exp OR 'glpg 0634' OR 'g 146034' OR 'jyseleca'</w:t>
            </w:r>
          </w:p>
        </w:tc>
      </w:tr>
      <w:tr w14:paraId="08C09566">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A087802">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#6</w:t>
            </w:r>
          </w:p>
        </w:tc>
        <w:tc>
          <w:tcPr>
            <w:tcW w:w="7881" w:type="dxa"/>
            <w:tcBorders>
              <w:top w:val="single" w:color="000000" w:sz="4" w:space="0"/>
              <w:left w:val="single" w:color="000000" w:sz="4" w:space="0"/>
              <w:bottom w:val="single" w:color="000000" w:sz="4" w:space="0"/>
              <w:right w:val="single" w:color="000000" w:sz="4" w:space="0"/>
            </w:tcBorders>
            <w:vAlign w:val="center"/>
          </w:tcPr>
          <w:p w14:paraId="01F0AA44">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upadacitinib'/exp OR 'abt 494' OR 'rinvoq' OR 'upadacitinib tartrate'</w:t>
            </w:r>
          </w:p>
        </w:tc>
      </w:tr>
      <w:tr w14:paraId="445A595D">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F30215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#7</w:t>
            </w:r>
          </w:p>
        </w:tc>
        <w:tc>
          <w:tcPr>
            <w:tcW w:w="7881" w:type="dxa"/>
            <w:tcBorders>
              <w:top w:val="single" w:color="000000" w:sz="4" w:space="0"/>
              <w:left w:val="single" w:color="000000" w:sz="4" w:space="0"/>
              <w:bottom w:val="single" w:color="000000" w:sz="4" w:space="0"/>
              <w:right w:val="single" w:color="000000" w:sz="4" w:space="0"/>
            </w:tcBorders>
            <w:vAlign w:val="center"/>
          </w:tcPr>
          <w:p w14:paraId="547C6C7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ivarmacitinib'/exp OR 'arq 252' OR 'shr0302' OR 'ivarmacitinib sulfate'</w:t>
            </w:r>
          </w:p>
        </w:tc>
      </w:tr>
      <w:tr w14:paraId="7A380D6C">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92324D8">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#8</w:t>
            </w:r>
          </w:p>
        </w:tc>
        <w:tc>
          <w:tcPr>
            <w:tcW w:w="7881" w:type="dxa"/>
            <w:tcBorders>
              <w:top w:val="single" w:color="000000" w:sz="4" w:space="0"/>
              <w:left w:val="single" w:color="000000" w:sz="4" w:space="0"/>
              <w:bottom w:val="single" w:color="000000" w:sz="4" w:space="0"/>
              <w:right w:val="single" w:color="000000" w:sz="4" w:space="0"/>
            </w:tcBorders>
            <w:vAlign w:val="center"/>
          </w:tcPr>
          <w:p w14:paraId="3449471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peficitinib'/exp OR 'asp015k' OR 'peficitinib hydrobromide'</w:t>
            </w:r>
          </w:p>
        </w:tc>
      </w:tr>
      <w:tr w14:paraId="1747603D">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367D58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#9</w:t>
            </w:r>
          </w:p>
        </w:tc>
        <w:tc>
          <w:tcPr>
            <w:tcW w:w="7881" w:type="dxa"/>
            <w:tcBorders>
              <w:top w:val="single" w:color="000000" w:sz="4" w:space="0"/>
              <w:left w:val="single" w:color="000000" w:sz="4" w:space="0"/>
              <w:bottom w:val="single" w:color="000000" w:sz="4" w:space="0"/>
              <w:right w:val="single" w:color="000000" w:sz="4" w:space="0"/>
            </w:tcBorders>
            <w:vAlign w:val="center"/>
          </w:tcPr>
          <w:p w14:paraId="51788306">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ritlecitinib'/exp OR 'litfulo' OR 'ritlecitinib malonate' OR 'pf 06651600'</w:t>
            </w:r>
          </w:p>
        </w:tc>
      </w:tr>
      <w:tr w14:paraId="11575FA4">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843BC9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#10</w:t>
            </w:r>
          </w:p>
        </w:tc>
        <w:tc>
          <w:tcPr>
            <w:tcW w:w="7881" w:type="dxa"/>
            <w:tcBorders>
              <w:top w:val="single" w:color="000000" w:sz="4" w:space="0"/>
              <w:left w:val="single" w:color="000000" w:sz="4" w:space="0"/>
              <w:bottom w:val="single" w:color="000000" w:sz="4" w:space="0"/>
              <w:right w:val="single" w:color="000000" w:sz="4" w:space="0"/>
            </w:tcBorders>
            <w:vAlign w:val="center"/>
          </w:tcPr>
          <w:p w14:paraId="49A6715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brepocitinib'/exp OR 'pf 06700841' OR 'pf 841' OR 'pf 6700841'</w:t>
            </w:r>
          </w:p>
        </w:tc>
      </w:tr>
      <w:tr w14:paraId="3D0FEABC">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FFCD72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#11</w:t>
            </w:r>
          </w:p>
        </w:tc>
        <w:tc>
          <w:tcPr>
            <w:tcW w:w="7881" w:type="dxa"/>
            <w:tcBorders>
              <w:top w:val="single" w:color="000000" w:sz="4" w:space="0"/>
              <w:left w:val="single" w:color="000000" w:sz="4" w:space="0"/>
              <w:bottom w:val="single" w:color="000000" w:sz="4" w:space="0"/>
              <w:right w:val="single" w:color="000000" w:sz="4" w:space="0"/>
            </w:tcBorders>
            <w:vAlign w:val="center"/>
          </w:tcPr>
          <w:p w14:paraId="01D75621">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izencitinib'/exp OR 'jnj 8398' OR 'td 1473'</w:t>
            </w:r>
          </w:p>
        </w:tc>
      </w:tr>
      <w:tr w14:paraId="43A380E4">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6ACF15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#12</w:t>
            </w:r>
          </w:p>
        </w:tc>
        <w:tc>
          <w:tcPr>
            <w:tcW w:w="7881" w:type="dxa"/>
            <w:tcBorders>
              <w:top w:val="single" w:color="000000" w:sz="4" w:space="0"/>
              <w:left w:val="single" w:color="000000" w:sz="4" w:space="0"/>
              <w:bottom w:val="single" w:color="000000" w:sz="4" w:space="0"/>
              <w:right w:val="single" w:color="000000" w:sz="4" w:space="0"/>
            </w:tcBorders>
            <w:vAlign w:val="center"/>
          </w:tcPr>
          <w:p w14:paraId="53B436B4">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deucravacitinib'/exp OR 'bms 986165' OR 'tyk2-in-4' OR 'bms 98616501' OR 'sotyktu'</w:t>
            </w:r>
          </w:p>
        </w:tc>
      </w:tr>
      <w:tr w14:paraId="21C30448">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2947B13">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#13</w:t>
            </w:r>
          </w:p>
        </w:tc>
        <w:tc>
          <w:tcPr>
            <w:tcW w:w="7881" w:type="dxa"/>
            <w:tcBorders>
              <w:top w:val="single" w:color="000000" w:sz="4" w:space="0"/>
              <w:left w:val="single" w:color="000000" w:sz="4" w:space="0"/>
              <w:bottom w:val="single" w:color="000000" w:sz="4" w:space="0"/>
              <w:right w:val="single" w:color="000000" w:sz="4" w:space="0"/>
            </w:tcBorders>
            <w:vAlign w:val="center"/>
          </w:tcPr>
          <w:p w14:paraId="4542765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ozanimod'/exp OR 'rpc 1063' OR 'ozanimod hydrochloride' OR 'zeposia'</w:t>
            </w:r>
          </w:p>
        </w:tc>
      </w:tr>
      <w:tr w14:paraId="6CF987B1">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18810B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#14</w:t>
            </w:r>
          </w:p>
        </w:tc>
        <w:tc>
          <w:tcPr>
            <w:tcW w:w="7881" w:type="dxa"/>
            <w:tcBorders>
              <w:top w:val="single" w:color="000000" w:sz="4" w:space="0"/>
              <w:left w:val="single" w:color="000000" w:sz="4" w:space="0"/>
              <w:bottom w:val="single" w:color="000000" w:sz="4" w:space="0"/>
              <w:right w:val="single" w:color="000000" w:sz="4" w:space="0"/>
            </w:tcBorders>
            <w:vAlign w:val="center"/>
          </w:tcPr>
          <w:p w14:paraId="6BF68FD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etrasimod'/exp OR 'pf 07915503' OR 'etrasimod arginine' OR 'velsipity' OR 'pf 7915503'</w:t>
            </w:r>
          </w:p>
        </w:tc>
      </w:tr>
      <w:tr w14:paraId="698EF606">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BD787E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#15</w:t>
            </w:r>
          </w:p>
        </w:tc>
        <w:tc>
          <w:tcPr>
            <w:tcW w:w="7881" w:type="dxa"/>
            <w:tcBorders>
              <w:top w:val="single" w:color="000000" w:sz="4" w:space="0"/>
              <w:left w:val="single" w:color="000000" w:sz="4" w:space="0"/>
              <w:bottom w:val="single" w:color="000000" w:sz="4" w:space="0"/>
              <w:right w:val="single" w:color="000000" w:sz="4" w:space="0"/>
            </w:tcBorders>
            <w:vAlign w:val="center"/>
          </w:tcPr>
          <w:p w14:paraId="5685E42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mocravimod'/exp OR 'mocravimod hydrochloride' OR 'krp203'</w:t>
            </w:r>
          </w:p>
        </w:tc>
      </w:tr>
      <w:tr w14:paraId="0CF5C8C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C812B0F">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#16</w:t>
            </w:r>
          </w:p>
        </w:tc>
        <w:tc>
          <w:tcPr>
            <w:tcW w:w="7881" w:type="dxa"/>
            <w:tcBorders>
              <w:top w:val="single" w:color="000000" w:sz="4" w:space="0"/>
              <w:left w:val="single" w:color="000000" w:sz="4" w:space="0"/>
              <w:bottom w:val="single" w:color="000000" w:sz="4" w:space="0"/>
              <w:right w:val="single" w:color="000000" w:sz="4" w:space="0"/>
            </w:tcBorders>
            <w:vAlign w:val="center"/>
          </w:tcPr>
          <w:p w14:paraId="725DA0FC">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fingolimod'/exp OR 'bonaxon' OR 'tascenso' OR 'ro7079904'</w:t>
            </w:r>
          </w:p>
        </w:tc>
      </w:tr>
      <w:tr w14:paraId="331E4F3F">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4C243D0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#17</w:t>
            </w:r>
          </w:p>
        </w:tc>
        <w:tc>
          <w:tcPr>
            <w:tcW w:w="7881" w:type="dxa"/>
            <w:tcBorders>
              <w:top w:val="single" w:color="000000" w:sz="4" w:space="0"/>
              <w:left w:val="single" w:color="000000" w:sz="4" w:space="0"/>
              <w:bottom w:val="single" w:color="000000" w:sz="4" w:space="0"/>
              <w:right w:val="single" w:color="000000" w:sz="4" w:space="0"/>
            </w:tcBorders>
            <w:vAlign w:val="center"/>
          </w:tcPr>
          <w:p w14:paraId="254715DC">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amiselimod'/exp OR 'mt 1303' OR 'amiselimod hydrochloride'</w:t>
            </w:r>
          </w:p>
        </w:tc>
      </w:tr>
      <w:tr w14:paraId="3EDA514C">
        <w:tblPrEx>
          <w:tblCellMar>
            <w:top w:w="0" w:type="dxa"/>
            <w:left w:w="108" w:type="dxa"/>
            <w:bottom w:w="0" w:type="dxa"/>
            <w:right w:w="108" w:type="dxa"/>
          </w:tblCellMar>
        </w:tblPrEx>
        <w:trPr>
          <w:trHeight w:val="392"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CD2F1D0">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#18</w:t>
            </w:r>
          </w:p>
        </w:tc>
        <w:tc>
          <w:tcPr>
            <w:tcW w:w="7881" w:type="dxa"/>
            <w:tcBorders>
              <w:top w:val="single" w:color="000000" w:sz="4" w:space="0"/>
              <w:left w:val="single" w:color="000000" w:sz="4" w:space="0"/>
              <w:bottom w:val="single" w:color="000000" w:sz="4" w:space="0"/>
              <w:right w:val="single" w:color="000000" w:sz="4" w:space="0"/>
            </w:tcBorders>
            <w:vAlign w:val="center"/>
          </w:tcPr>
          <w:p w14:paraId="33938EC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cobitolimod'/exp OR 'dims 0150' OR 'kappaproct' OR 'cobitolimod sodium' OR 'idx 0150'</w:t>
            </w:r>
          </w:p>
        </w:tc>
      </w:tr>
      <w:tr w14:paraId="05EDE414">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86DAFF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#19</w:t>
            </w:r>
          </w:p>
        </w:tc>
        <w:tc>
          <w:tcPr>
            <w:tcW w:w="7881" w:type="dxa"/>
            <w:tcBorders>
              <w:top w:val="single" w:color="000000" w:sz="4" w:space="0"/>
              <w:left w:val="single" w:color="000000" w:sz="4" w:space="0"/>
              <w:bottom w:val="single" w:color="000000" w:sz="4" w:space="0"/>
              <w:right w:val="single" w:color="000000" w:sz="4" w:space="0"/>
            </w:tcBorders>
            <w:vAlign w:val="center"/>
          </w:tcPr>
          <w:p w14:paraId="030585E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carotegrast'/exp</w:t>
            </w:r>
          </w:p>
        </w:tc>
      </w:tr>
      <w:tr w14:paraId="423AA8DE">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25396DB">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#20</w:t>
            </w:r>
          </w:p>
        </w:tc>
        <w:tc>
          <w:tcPr>
            <w:tcW w:w="7881" w:type="dxa"/>
            <w:tcBorders>
              <w:top w:val="single" w:color="000000" w:sz="4" w:space="0"/>
              <w:left w:val="single" w:color="000000" w:sz="4" w:space="0"/>
              <w:bottom w:val="single" w:color="000000" w:sz="4" w:space="0"/>
              <w:right w:val="single" w:color="000000" w:sz="4" w:space="0"/>
            </w:tcBorders>
            <w:vAlign w:val="center"/>
          </w:tcPr>
          <w:p w14:paraId="2BCF13E3">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apremilast'/exp OR 'amg 407' OR 'otezla' OR 'cc 10004' OR 'ap 506'</w:t>
            </w:r>
          </w:p>
        </w:tc>
      </w:tr>
      <w:tr w14:paraId="2F22911C">
        <w:tblPrEx>
          <w:tblCellMar>
            <w:top w:w="0" w:type="dxa"/>
            <w:left w:w="108" w:type="dxa"/>
            <w:bottom w:w="0" w:type="dxa"/>
            <w:right w:w="108" w:type="dxa"/>
          </w:tblCellMar>
        </w:tblPrEx>
        <w:trPr>
          <w:trHeight w:val="339"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F6D341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#21</w:t>
            </w:r>
          </w:p>
        </w:tc>
        <w:tc>
          <w:tcPr>
            <w:tcW w:w="7881" w:type="dxa"/>
            <w:tcBorders>
              <w:top w:val="single" w:color="000000" w:sz="4" w:space="0"/>
              <w:left w:val="single" w:color="000000" w:sz="4" w:space="0"/>
              <w:bottom w:val="single" w:color="000000" w:sz="4" w:space="0"/>
              <w:right w:val="single" w:color="000000" w:sz="4" w:space="0"/>
            </w:tcBorders>
            <w:vAlign w:val="center"/>
          </w:tcPr>
          <w:p w14:paraId="7B7413A5">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 23p19 inhibitor'/exp OR 'interleukin 23 p19 inhibitor*' OR 'il23p19 inhibitor*'</w:t>
            </w:r>
          </w:p>
        </w:tc>
      </w:tr>
      <w:tr w14:paraId="09B9A7D3">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C25B5D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#22</w:t>
            </w:r>
          </w:p>
        </w:tc>
        <w:tc>
          <w:tcPr>
            <w:tcW w:w="7881" w:type="dxa"/>
            <w:tcBorders>
              <w:top w:val="single" w:color="000000" w:sz="4" w:space="0"/>
              <w:left w:val="single" w:color="000000" w:sz="4" w:space="0"/>
              <w:bottom w:val="single" w:color="000000" w:sz="4" w:space="0"/>
              <w:right w:val="single" w:color="000000" w:sz="4" w:space="0"/>
            </w:tcBorders>
            <w:vAlign w:val="center"/>
          </w:tcPr>
          <w:p w14:paraId="2DBEBF3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 23p19'/exp OR 'interleukin 23p19' OR 'il23p19'</w:t>
            </w:r>
          </w:p>
        </w:tc>
      </w:tr>
      <w:tr w14:paraId="026976B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268082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#23</w:t>
            </w:r>
          </w:p>
        </w:tc>
        <w:tc>
          <w:tcPr>
            <w:tcW w:w="7881" w:type="dxa"/>
            <w:tcBorders>
              <w:top w:val="single" w:color="000000" w:sz="4" w:space="0"/>
              <w:left w:val="single" w:color="000000" w:sz="4" w:space="0"/>
              <w:bottom w:val="single" w:color="000000" w:sz="4" w:space="0"/>
              <w:right w:val="single" w:color="000000" w:sz="4" w:space="0"/>
            </w:tcBorders>
            <w:vAlign w:val="center"/>
          </w:tcPr>
          <w:p w14:paraId="5C0D39A6">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brazikumab'/exp OR 'brazikumab' OR 'amg 139' OR 'medi2070'</w:t>
            </w:r>
          </w:p>
        </w:tc>
      </w:tr>
      <w:tr w14:paraId="65AC0ACE">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2FC030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#24</w:t>
            </w:r>
          </w:p>
        </w:tc>
        <w:tc>
          <w:tcPr>
            <w:tcW w:w="7881" w:type="dxa"/>
            <w:tcBorders>
              <w:top w:val="single" w:color="000000" w:sz="4" w:space="0"/>
              <w:left w:val="single" w:color="000000" w:sz="4" w:space="0"/>
              <w:bottom w:val="single" w:color="000000" w:sz="4" w:space="0"/>
              <w:right w:val="single" w:color="000000" w:sz="4" w:space="0"/>
            </w:tcBorders>
            <w:vAlign w:val="center"/>
          </w:tcPr>
          <w:p w14:paraId="390DE8E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risankizumab'/exp OR 'risankizumab' OR 'risankizumab rzaa' OR 'bi 655066'</w:t>
            </w:r>
          </w:p>
        </w:tc>
      </w:tr>
      <w:tr w14:paraId="5059F0B5">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4275F79">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#25</w:t>
            </w:r>
          </w:p>
        </w:tc>
        <w:tc>
          <w:tcPr>
            <w:tcW w:w="7881" w:type="dxa"/>
            <w:tcBorders>
              <w:top w:val="single" w:color="000000" w:sz="4" w:space="0"/>
              <w:left w:val="single" w:color="000000" w:sz="4" w:space="0"/>
              <w:bottom w:val="single" w:color="000000" w:sz="4" w:space="0"/>
              <w:right w:val="single" w:color="000000" w:sz="4" w:space="0"/>
            </w:tcBorders>
            <w:vAlign w:val="center"/>
          </w:tcPr>
          <w:p w14:paraId="4586683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tildrakizumab'/exp OR 'tildrakizumab' OR 'tildrakizumab asmn' OR 'sch 900222' OR 'mk 3222'</w:t>
            </w:r>
          </w:p>
        </w:tc>
      </w:tr>
      <w:tr w14:paraId="1488AD2E">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57435F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#26</w:t>
            </w:r>
          </w:p>
        </w:tc>
        <w:tc>
          <w:tcPr>
            <w:tcW w:w="7881" w:type="dxa"/>
            <w:tcBorders>
              <w:top w:val="single" w:color="000000" w:sz="4" w:space="0"/>
              <w:left w:val="single" w:color="000000" w:sz="4" w:space="0"/>
              <w:bottom w:val="single" w:color="000000" w:sz="4" w:space="0"/>
              <w:right w:val="single" w:color="000000" w:sz="4" w:space="0"/>
            </w:tcBorders>
            <w:vAlign w:val="center"/>
          </w:tcPr>
          <w:p w14:paraId="7646C88D">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mirikizumab'/exp OR 'mirikizumab' OR 'mirikizumab mrkz' OR 'ly 3074828'</w:t>
            </w:r>
          </w:p>
        </w:tc>
      </w:tr>
      <w:tr w14:paraId="3C380A11">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A687D2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#27</w:t>
            </w:r>
          </w:p>
        </w:tc>
        <w:tc>
          <w:tcPr>
            <w:tcW w:w="7881" w:type="dxa"/>
            <w:tcBorders>
              <w:top w:val="single" w:color="000000" w:sz="4" w:space="0"/>
              <w:left w:val="single" w:color="000000" w:sz="4" w:space="0"/>
              <w:bottom w:val="single" w:color="000000" w:sz="4" w:space="0"/>
              <w:right w:val="single" w:color="000000" w:sz="4" w:space="0"/>
            </w:tcBorders>
            <w:vAlign w:val="center"/>
          </w:tcPr>
          <w:p w14:paraId="7596FB6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guselkumab'/exp OR 'cnto 1959' OR 'guselkumab'</w:t>
            </w:r>
          </w:p>
        </w:tc>
      </w:tr>
      <w:tr w14:paraId="0FFC395E">
        <w:tblPrEx>
          <w:tblCellMar>
            <w:top w:w="0" w:type="dxa"/>
            <w:left w:w="108" w:type="dxa"/>
            <w:bottom w:w="0" w:type="dxa"/>
            <w:right w:w="108" w:type="dxa"/>
          </w:tblCellMar>
        </w:tblPrEx>
        <w:trPr>
          <w:trHeight w:val="89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4CE7120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#28</w:t>
            </w:r>
          </w:p>
        </w:tc>
        <w:tc>
          <w:tcPr>
            <w:tcW w:w="7881" w:type="dxa"/>
            <w:tcBorders>
              <w:top w:val="single" w:color="000000" w:sz="4" w:space="0"/>
              <w:left w:val="single" w:color="000000" w:sz="4" w:space="0"/>
              <w:bottom w:val="single" w:color="000000" w:sz="4" w:space="0"/>
              <w:right w:val="single" w:color="000000" w:sz="4" w:space="0"/>
            </w:tcBorders>
            <w:vAlign w:val="center"/>
          </w:tcPr>
          <w:p w14:paraId="57AC81CB">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inflammatory bowel disease'/exp OR 'crohn disease'/exp OR 'inflammatory bowel disease' OR 'crohn disease' OR 'ibd' OR 'cd'</w:t>
            </w:r>
          </w:p>
        </w:tc>
      </w:tr>
      <w:tr w14:paraId="1560562C">
        <w:tblPrEx>
          <w:tblCellMar>
            <w:top w:w="0" w:type="dxa"/>
            <w:left w:w="108" w:type="dxa"/>
            <w:bottom w:w="0" w:type="dxa"/>
            <w:right w:w="108" w:type="dxa"/>
          </w:tblCellMar>
        </w:tblPrEx>
        <w:trPr>
          <w:trHeight w:val="89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A317ED9">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#29</w:t>
            </w:r>
          </w:p>
        </w:tc>
        <w:tc>
          <w:tcPr>
            <w:tcW w:w="7881" w:type="dxa"/>
            <w:tcBorders>
              <w:top w:val="single" w:color="000000" w:sz="4" w:space="0"/>
              <w:left w:val="single" w:color="000000" w:sz="4" w:space="0"/>
              <w:bottom w:val="single" w:color="000000" w:sz="4" w:space="0"/>
              <w:right w:val="single" w:color="000000" w:sz="4" w:space="0"/>
            </w:tcBorders>
            <w:vAlign w:val="center"/>
          </w:tcPr>
          <w:p w14:paraId="37DC316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#1 OR #2 OR #3 OR #4 OR #5 OR #6 OR #7 OR #8 OR #9 OR #10 OR #11 OR #12 OR #13 OR #14 OR #15 OR #16 OR #17 OR #18 OR #19 OR #21 OR #21 OR #22 OR #23 OR #24 OR #25 OR #26 OR #27 </w:t>
            </w:r>
          </w:p>
        </w:tc>
      </w:tr>
      <w:tr w14:paraId="401E77D9">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BD6A55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#30</w:t>
            </w:r>
          </w:p>
        </w:tc>
        <w:tc>
          <w:tcPr>
            <w:tcW w:w="7881" w:type="dxa"/>
            <w:tcBorders>
              <w:top w:val="single" w:color="000000" w:sz="4" w:space="0"/>
              <w:left w:val="single" w:color="000000" w:sz="4" w:space="0"/>
              <w:bottom w:val="single" w:color="000000" w:sz="4" w:space="0"/>
              <w:right w:val="single" w:color="000000" w:sz="4" w:space="0"/>
            </w:tcBorders>
            <w:vAlign w:val="center"/>
          </w:tcPr>
          <w:p w14:paraId="6491956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#29 AND #28</w:t>
            </w:r>
          </w:p>
        </w:tc>
      </w:tr>
      <w:tr w14:paraId="18B91885">
        <w:tblPrEx>
          <w:tblCellMar>
            <w:top w:w="0" w:type="dxa"/>
            <w:left w:w="108" w:type="dxa"/>
            <w:bottom w:w="0" w:type="dxa"/>
            <w:right w:w="108" w:type="dxa"/>
          </w:tblCellMar>
        </w:tblPrEx>
        <w:trPr>
          <w:trHeight w:val="80" w:hRule="atLeast"/>
        </w:trPr>
        <w:tc>
          <w:tcPr>
            <w:tcW w:w="541" w:type="dxa"/>
            <w:tcBorders>
              <w:top w:val="single" w:color="000000" w:sz="4" w:space="0"/>
              <w:left w:val="single" w:color="000000" w:sz="4" w:space="0"/>
              <w:bottom w:val="single" w:color="000000" w:sz="4" w:space="0"/>
              <w:right w:val="nil"/>
            </w:tcBorders>
            <w:noWrap/>
            <w:vAlign w:val="center"/>
          </w:tcPr>
          <w:p w14:paraId="6BE8A655">
            <w:pPr>
              <w:rPr>
                <w:rFonts w:hint="default" w:ascii="Times New Roman" w:hAnsi="Times New Roman" w:cs="Times New Roman"/>
                <w:color w:val="000000"/>
                <w:sz w:val="20"/>
                <w:szCs w:val="20"/>
              </w:rPr>
            </w:pPr>
          </w:p>
        </w:tc>
        <w:tc>
          <w:tcPr>
            <w:tcW w:w="7881" w:type="dxa"/>
            <w:tcBorders>
              <w:top w:val="single" w:color="000000" w:sz="4" w:space="0"/>
              <w:left w:val="nil"/>
              <w:bottom w:val="single" w:color="000000" w:sz="4" w:space="0"/>
              <w:right w:val="single" w:color="000000" w:sz="4" w:space="0"/>
            </w:tcBorders>
            <w:vAlign w:val="center"/>
          </w:tcPr>
          <w:p w14:paraId="5741F74D">
            <w:pPr>
              <w:rPr>
                <w:rFonts w:hint="default" w:ascii="Times New Roman" w:hAnsi="Times New Roman" w:cs="Times New Roman"/>
                <w:color w:val="000000"/>
                <w:sz w:val="20"/>
                <w:szCs w:val="20"/>
              </w:rPr>
            </w:pPr>
          </w:p>
        </w:tc>
      </w:tr>
      <w:tr w14:paraId="49028F5F">
        <w:tblPrEx>
          <w:tblCellMar>
            <w:top w:w="0" w:type="dxa"/>
            <w:left w:w="108" w:type="dxa"/>
            <w:bottom w:w="0" w:type="dxa"/>
            <w:right w:w="108" w:type="dxa"/>
          </w:tblCellMar>
        </w:tblPrEx>
        <w:trPr>
          <w:trHeight w:val="350" w:hRule="atLeast"/>
        </w:trPr>
        <w:tc>
          <w:tcPr>
            <w:tcW w:w="8422" w:type="dxa"/>
            <w:gridSpan w:val="2"/>
            <w:tcBorders>
              <w:top w:val="single" w:color="000000" w:sz="4" w:space="0"/>
              <w:left w:val="single" w:color="000000" w:sz="4" w:space="0"/>
              <w:bottom w:val="single" w:color="000000" w:sz="4" w:space="0"/>
              <w:right w:val="single" w:color="000000" w:sz="4" w:space="0"/>
            </w:tcBorders>
            <w:vAlign w:val="center"/>
          </w:tcPr>
          <w:p w14:paraId="0FEE6E1A">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val="0"/>
                <w:bCs w:val="0"/>
                <w:i/>
                <w:iCs/>
                <w:color w:val="000000"/>
                <w:kern w:val="0"/>
                <w:sz w:val="20"/>
                <w:szCs w:val="20"/>
                <w:lang w:bidi="ar"/>
              </w:rPr>
              <w:t>Pubmed</w:t>
            </w:r>
          </w:p>
        </w:tc>
      </w:tr>
      <w:tr w14:paraId="3330476E">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24304A2">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w:t>
            </w:r>
          </w:p>
        </w:tc>
        <w:tc>
          <w:tcPr>
            <w:tcW w:w="7881" w:type="dxa"/>
            <w:tcBorders>
              <w:top w:val="single" w:color="000000" w:sz="4" w:space="0"/>
              <w:left w:val="single" w:color="000000" w:sz="4" w:space="0"/>
              <w:bottom w:val="single" w:color="000000" w:sz="4" w:space="0"/>
              <w:right w:val="single" w:color="000000" w:sz="4" w:space="0"/>
            </w:tcBorders>
            <w:vAlign w:val="center"/>
          </w:tcPr>
          <w:p w14:paraId="60157B83">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"small molecule drugs" OR "Janus Kinase Inhibitors"[Mesh] OR "JAK inhibitors" OR "Janus Kinase Inhibitor" OR "Sphingosine-1-Phosphate Receptors"[Mesh] OR "S1P Receptor"</w:t>
            </w:r>
          </w:p>
        </w:tc>
      </w:tr>
      <w:tr w14:paraId="52BC3AA7">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E31149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w:t>
            </w:r>
          </w:p>
        </w:tc>
        <w:tc>
          <w:tcPr>
            <w:tcW w:w="7881" w:type="dxa"/>
            <w:tcBorders>
              <w:top w:val="single" w:color="000000" w:sz="4" w:space="0"/>
              <w:left w:val="single" w:color="000000" w:sz="4" w:space="0"/>
              <w:bottom w:val="single" w:color="000000" w:sz="4" w:space="0"/>
              <w:right w:val="single" w:color="000000" w:sz="4" w:space="0"/>
            </w:tcBorders>
            <w:vAlign w:val="center"/>
          </w:tcPr>
          <w:p w14:paraId="1BEF9F3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"tofacitinib" [Supplementary Concept] OR "tasocitinib" OR "CP-690,550" OR "Xeljanz" OR "tofacitinib citrate"</w:t>
            </w:r>
          </w:p>
        </w:tc>
      </w:tr>
      <w:tr w14:paraId="6427450A">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A22F68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w:t>
            </w:r>
          </w:p>
        </w:tc>
        <w:tc>
          <w:tcPr>
            <w:tcW w:w="7881" w:type="dxa"/>
            <w:tcBorders>
              <w:top w:val="single" w:color="000000" w:sz="4" w:space="0"/>
              <w:left w:val="single" w:color="000000" w:sz="4" w:space="0"/>
              <w:bottom w:val="single" w:color="000000" w:sz="4" w:space="0"/>
              <w:right w:val="single" w:color="000000" w:sz="4" w:space="0"/>
            </w:tcBorders>
            <w:vAlign w:val="center"/>
          </w:tcPr>
          <w:p w14:paraId="4A596FE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"GLPG0634" [Supplementary Concept] OR "filgotinib"</w:t>
            </w:r>
          </w:p>
        </w:tc>
      </w:tr>
      <w:tr w14:paraId="55BC0C4E">
        <w:tblPrEx>
          <w:tblCellMar>
            <w:top w:w="0" w:type="dxa"/>
            <w:left w:w="108" w:type="dxa"/>
            <w:bottom w:w="0" w:type="dxa"/>
            <w:right w:w="108" w:type="dxa"/>
          </w:tblCellMar>
        </w:tblPrEx>
        <w:trPr>
          <w:trHeight w:val="345"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190731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#4</w:t>
            </w:r>
          </w:p>
        </w:tc>
        <w:tc>
          <w:tcPr>
            <w:tcW w:w="7881" w:type="dxa"/>
            <w:tcBorders>
              <w:top w:val="single" w:color="000000" w:sz="4" w:space="0"/>
              <w:left w:val="single" w:color="000000" w:sz="4" w:space="0"/>
              <w:bottom w:val="single" w:color="000000" w:sz="4" w:space="0"/>
              <w:right w:val="single" w:color="000000" w:sz="4" w:space="0"/>
            </w:tcBorders>
            <w:vAlign w:val="center"/>
          </w:tcPr>
          <w:p w14:paraId="2D9C06C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"upadacitinib" [Supplementary Concept] OR "ABT-494" OR "Rinvoq"</w:t>
            </w:r>
          </w:p>
        </w:tc>
      </w:tr>
      <w:tr w14:paraId="0B6D7145">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A30DF49">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#5</w:t>
            </w:r>
          </w:p>
        </w:tc>
        <w:tc>
          <w:tcPr>
            <w:tcW w:w="7881" w:type="dxa"/>
            <w:tcBorders>
              <w:top w:val="single" w:color="000000" w:sz="4" w:space="0"/>
              <w:left w:val="single" w:color="000000" w:sz="4" w:space="0"/>
              <w:bottom w:val="single" w:color="000000" w:sz="4" w:space="0"/>
              <w:right w:val="single" w:color="000000" w:sz="4" w:space="0"/>
            </w:tcBorders>
            <w:vAlign w:val="center"/>
          </w:tcPr>
          <w:p w14:paraId="2FF2A9EB">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"ivarmacitinib" [Supplementary Concept]" OR "SHR0302"</w:t>
            </w:r>
          </w:p>
        </w:tc>
      </w:tr>
      <w:tr w14:paraId="30800D46">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09F0FD4">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#6</w:t>
            </w:r>
          </w:p>
        </w:tc>
        <w:tc>
          <w:tcPr>
            <w:tcW w:w="7881" w:type="dxa"/>
            <w:tcBorders>
              <w:top w:val="single" w:color="000000" w:sz="4" w:space="0"/>
              <w:left w:val="single" w:color="000000" w:sz="4" w:space="0"/>
              <w:bottom w:val="single" w:color="000000" w:sz="4" w:space="0"/>
              <w:right w:val="single" w:color="000000" w:sz="4" w:space="0"/>
            </w:tcBorders>
            <w:vAlign w:val="center"/>
          </w:tcPr>
          <w:p w14:paraId="712EEE7C">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"peficitinib" [Supplementary Concept] OR 'JNJ-54781532' OR "ASP015K" </w:t>
            </w:r>
          </w:p>
        </w:tc>
      </w:tr>
      <w:tr w14:paraId="469F9C7D">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B8A0FF8">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#7</w:t>
            </w:r>
          </w:p>
        </w:tc>
        <w:tc>
          <w:tcPr>
            <w:tcW w:w="7881" w:type="dxa"/>
            <w:tcBorders>
              <w:top w:val="single" w:color="000000" w:sz="4" w:space="0"/>
              <w:left w:val="single" w:color="000000" w:sz="4" w:space="0"/>
              <w:bottom w:val="single" w:color="000000" w:sz="4" w:space="0"/>
              <w:right w:val="single" w:color="000000" w:sz="4" w:space="0"/>
            </w:tcBorders>
            <w:vAlign w:val="center"/>
          </w:tcPr>
          <w:p w14:paraId="3A93794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"Ritlecitinib" OR "PF-06651600" [Supplementary Concept]</w:t>
            </w:r>
          </w:p>
        </w:tc>
      </w:tr>
      <w:tr w14:paraId="526CA555">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4433422">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#8</w:t>
            </w:r>
          </w:p>
        </w:tc>
        <w:tc>
          <w:tcPr>
            <w:tcW w:w="7881" w:type="dxa"/>
            <w:tcBorders>
              <w:top w:val="single" w:color="000000" w:sz="4" w:space="0"/>
              <w:left w:val="single" w:color="000000" w:sz="4" w:space="0"/>
              <w:bottom w:val="single" w:color="000000" w:sz="4" w:space="0"/>
              <w:right w:val="single" w:color="000000" w:sz="4" w:space="0"/>
            </w:tcBorders>
            <w:vAlign w:val="center"/>
          </w:tcPr>
          <w:p w14:paraId="5133FC8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"Brepocitinib" OR "PF-06700841" [Supplementary Concept]</w:t>
            </w:r>
          </w:p>
        </w:tc>
      </w:tr>
      <w:tr w14:paraId="026EF0D6">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D0F8E3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#9</w:t>
            </w:r>
          </w:p>
        </w:tc>
        <w:tc>
          <w:tcPr>
            <w:tcW w:w="7881" w:type="dxa"/>
            <w:tcBorders>
              <w:top w:val="single" w:color="000000" w:sz="4" w:space="0"/>
              <w:left w:val="single" w:color="000000" w:sz="4" w:space="0"/>
              <w:bottom w:val="single" w:color="000000" w:sz="4" w:space="0"/>
              <w:right w:val="single" w:color="000000" w:sz="4" w:space="0"/>
            </w:tcBorders>
            <w:vAlign w:val="center"/>
          </w:tcPr>
          <w:p w14:paraId="48D08444">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"izencitinib" [Supplementary Concept] OR "TD-1473" </w:t>
            </w:r>
          </w:p>
        </w:tc>
      </w:tr>
      <w:tr w14:paraId="0E388E4A">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519E3D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#10</w:t>
            </w:r>
          </w:p>
        </w:tc>
        <w:tc>
          <w:tcPr>
            <w:tcW w:w="7881" w:type="dxa"/>
            <w:tcBorders>
              <w:top w:val="single" w:color="000000" w:sz="4" w:space="0"/>
              <w:left w:val="single" w:color="000000" w:sz="4" w:space="0"/>
              <w:bottom w:val="single" w:color="000000" w:sz="4" w:space="0"/>
              <w:right w:val="single" w:color="000000" w:sz="4" w:space="0"/>
            </w:tcBorders>
            <w:vAlign w:val="center"/>
          </w:tcPr>
          <w:p w14:paraId="7D465505">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"deucravacitinib" [Supplementary Concept] OR "BMS-986165"</w:t>
            </w:r>
          </w:p>
        </w:tc>
      </w:tr>
      <w:tr w14:paraId="03F35FE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AB76EE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#11</w:t>
            </w:r>
          </w:p>
        </w:tc>
        <w:tc>
          <w:tcPr>
            <w:tcW w:w="7881" w:type="dxa"/>
            <w:tcBorders>
              <w:top w:val="single" w:color="000000" w:sz="4" w:space="0"/>
              <w:left w:val="single" w:color="000000" w:sz="4" w:space="0"/>
              <w:bottom w:val="single" w:color="000000" w:sz="4" w:space="0"/>
              <w:right w:val="single" w:color="000000" w:sz="4" w:space="0"/>
            </w:tcBorders>
            <w:vAlign w:val="center"/>
          </w:tcPr>
          <w:p w14:paraId="5A262201">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"ozanimod" [Supplementary Concept] OR "RPC1063" OR "zeposia"</w:t>
            </w:r>
          </w:p>
        </w:tc>
      </w:tr>
      <w:tr w14:paraId="4BEA6E0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2AB2C4BC">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#12</w:t>
            </w:r>
          </w:p>
        </w:tc>
        <w:tc>
          <w:tcPr>
            <w:tcW w:w="7881" w:type="dxa"/>
            <w:tcBorders>
              <w:top w:val="single" w:color="000000" w:sz="4" w:space="0"/>
              <w:left w:val="single" w:color="000000" w:sz="4" w:space="0"/>
              <w:bottom w:val="single" w:color="000000" w:sz="4" w:space="0"/>
              <w:right w:val="single" w:color="000000" w:sz="4" w:space="0"/>
            </w:tcBorders>
            <w:vAlign w:val="center"/>
          </w:tcPr>
          <w:p w14:paraId="27323365">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"etrasimod" [Supplementary Concept] OR "APD334-003" </w:t>
            </w:r>
          </w:p>
        </w:tc>
      </w:tr>
      <w:tr w14:paraId="1F0E233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B8BCF3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#13</w:t>
            </w:r>
          </w:p>
        </w:tc>
        <w:tc>
          <w:tcPr>
            <w:tcW w:w="7881" w:type="dxa"/>
            <w:tcBorders>
              <w:top w:val="single" w:color="000000" w:sz="4" w:space="0"/>
              <w:left w:val="single" w:color="000000" w:sz="4" w:space="0"/>
              <w:bottom w:val="single" w:color="000000" w:sz="4" w:space="0"/>
              <w:right w:val="single" w:color="000000" w:sz="4" w:space="0"/>
            </w:tcBorders>
            <w:vAlign w:val="center"/>
          </w:tcPr>
          <w:p w14:paraId="3D98840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"KRP-203" [Supplementary Concept]  OR "Mocravimod hydrochloride" </w:t>
            </w:r>
          </w:p>
        </w:tc>
      </w:tr>
      <w:tr w14:paraId="609594AD">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C69B59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#14</w:t>
            </w:r>
          </w:p>
        </w:tc>
        <w:tc>
          <w:tcPr>
            <w:tcW w:w="7881" w:type="dxa"/>
            <w:tcBorders>
              <w:top w:val="single" w:color="000000" w:sz="4" w:space="0"/>
              <w:left w:val="single" w:color="000000" w:sz="4" w:space="0"/>
              <w:bottom w:val="single" w:color="000000" w:sz="4" w:space="0"/>
              <w:right w:val="single" w:color="000000" w:sz="4" w:space="0"/>
            </w:tcBorders>
            <w:vAlign w:val="center"/>
          </w:tcPr>
          <w:p w14:paraId="7E676B8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"Fingolimod Hydrochloride"[Mesh] OR "Gilenia" OR "Gilenya" OR "FTY-720" OR "2-Amino-2-(2-(4-octylphenyl)ethyl)-1,3-propanediol hydrochloride"</w:t>
            </w:r>
          </w:p>
        </w:tc>
      </w:tr>
      <w:tr w14:paraId="46E34C0B">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6575A150">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#15</w:t>
            </w:r>
          </w:p>
        </w:tc>
        <w:tc>
          <w:tcPr>
            <w:tcW w:w="7881" w:type="dxa"/>
            <w:tcBorders>
              <w:top w:val="single" w:color="000000" w:sz="4" w:space="0"/>
              <w:left w:val="single" w:color="000000" w:sz="4" w:space="0"/>
              <w:bottom w:val="single" w:color="000000" w:sz="4" w:space="0"/>
              <w:right w:val="single" w:color="000000" w:sz="4" w:space="0"/>
            </w:tcBorders>
            <w:vAlign w:val="center"/>
          </w:tcPr>
          <w:p w14:paraId="6CBA6C8D">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"amiselimod" [Supplementary Concept] OR "MT-1303"</w:t>
            </w:r>
          </w:p>
        </w:tc>
      </w:tr>
      <w:tr w14:paraId="678FF193">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8E90E5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#16</w:t>
            </w:r>
          </w:p>
        </w:tc>
        <w:tc>
          <w:tcPr>
            <w:tcW w:w="7881" w:type="dxa"/>
            <w:tcBorders>
              <w:top w:val="single" w:color="000000" w:sz="4" w:space="0"/>
              <w:left w:val="single" w:color="000000" w:sz="4" w:space="0"/>
              <w:bottom w:val="single" w:color="000000" w:sz="4" w:space="0"/>
              <w:right w:val="single" w:color="000000" w:sz="4" w:space="0"/>
            </w:tcBorders>
            <w:vAlign w:val="center"/>
          </w:tcPr>
          <w:p w14:paraId="3FD849B1">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"cobitolimod" [Supplementary Concept] OR "DIMS0150"</w:t>
            </w:r>
          </w:p>
        </w:tc>
      </w:tr>
      <w:tr w14:paraId="7728D6F6">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8339249">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#17</w:t>
            </w:r>
          </w:p>
        </w:tc>
        <w:tc>
          <w:tcPr>
            <w:tcW w:w="7881" w:type="dxa"/>
            <w:tcBorders>
              <w:top w:val="single" w:color="000000" w:sz="4" w:space="0"/>
              <w:left w:val="single" w:color="000000" w:sz="4" w:space="0"/>
              <w:bottom w:val="single" w:color="000000" w:sz="4" w:space="0"/>
              <w:right w:val="single" w:color="000000" w:sz="4" w:space="0"/>
            </w:tcBorders>
            <w:vAlign w:val="center"/>
          </w:tcPr>
          <w:p w14:paraId="0D7FB3F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"Carotegrast"OR "AJM300" [Supplementary Concept] OR "carotegrast methyl" </w:t>
            </w:r>
          </w:p>
        </w:tc>
      </w:tr>
      <w:tr w14:paraId="3E392259">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4CB8457">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#18</w:t>
            </w:r>
          </w:p>
        </w:tc>
        <w:tc>
          <w:tcPr>
            <w:tcW w:w="7881" w:type="dxa"/>
            <w:tcBorders>
              <w:top w:val="single" w:color="000000" w:sz="4" w:space="0"/>
              <w:left w:val="single" w:color="000000" w:sz="4" w:space="0"/>
              <w:bottom w:val="single" w:color="000000" w:sz="4" w:space="0"/>
              <w:right w:val="single" w:color="000000" w:sz="4" w:space="0"/>
            </w:tcBorders>
            <w:vAlign w:val="center"/>
          </w:tcPr>
          <w:p w14:paraId="3EA0E9E1">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"apremilast" [Supplementary Concept] OR "CC10004" OR "Otezla"</w:t>
            </w:r>
          </w:p>
        </w:tc>
      </w:tr>
      <w:tr w14:paraId="316E55BF">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0E7805B">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#19</w:t>
            </w:r>
          </w:p>
        </w:tc>
        <w:tc>
          <w:tcPr>
            <w:tcW w:w="7881" w:type="dxa"/>
            <w:tcBorders>
              <w:top w:val="single" w:color="000000" w:sz="4" w:space="0"/>
              <w:left w:val="single" w:color="000000" w:sz="4" w:space="0"/>
              <w:bottom w:val="single" w:color="000000" w:sz="4" w:space="0"/>
              <w:right w:val="single" w:color="000000" w:sz="4" w:space="0"/>
            </w:tcBorders>
            <w:vAlign w:val="center"/>
          </w:tcPr>
          <w:p w14:paraId="3C33FC9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("Interleukin-23 Subunit p19"[Mesh]) OR (Interleukin-23 Subunit p19) OR (IL23p19) OR (IL-23p19)</w:t>
            </w:r>
          </w:p>
        </w:tc>
      </w:tr>
      <w:tr w14:paraId="36C2F2FF">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0DC43E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#20</w:t>
            </w:r>
          </w:p>
        </w:tc>
        <w:tc>
          <w:tcPr>
            <w:tcW w:w="7881" w:type="dxa"/>
            <w:tcBorders>
              <w:top w:val="single" w:color="000000" w:sz="4" w:space="0"/>
              <w:left w:val="single" w:color="000000" w:sz="4" w:space="0"/>
              <w:bottom w:val="single" w:color="000000" w:sz="4" w:space="0"/>
              <w:right w:val="single" w:color="000000" w:sz="4" w:space="0"/>
            </w:tcBorders>
            <w:vAlign w:val="center"/>
          </w:tcPr>
          <w:p w14:paraId="4D259B48">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(Interleukin-23 Subunit p19 inhibitor*) OR (interleukin 23 p19 inhibitor*) OR (il23p19 inhibitor*) OR (il-23p19 inhibitor*)</w:t>
            </w:r>
          </w:p>
        </w:tc>
      </w:tr>
      <w:tr w14:paraId="720032A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6FF0F24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#21</w:t>
            </w:r>
          </w:p>
        </w:tc>
        <w:tc>
          <w:tcPr>
            <w:tcW w:w="7881" w:type="dxa"/>
            <w:tcBorders>
              <w:top w:val="single" w:color="000000" w:sz="4" w:space="0"/>
              <w:left w:val="single" w:color="000000" w:sz="4" w:space="0"/>
              <w:bottom w:val="single" w:color="000000" w:sz="4" w:space="0"/>
              <w:right w:val="single" w:color="000000" w:sz="4" w:space="0"/>
            </w:tcBorders>
            <w:vAlign w:val="center"/>
          </w:tcPr>
          <w:p w14:paraId="098C9A18">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(brazikumab) OR (amg 139) OR (medi2070)</w:t>
            </w:r>
          </w:p>
        </w:tc>
      </w:tr>
      <w:tr w14:paraId="60134359">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CA429C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#22</w:t>
            </w:r>
          </w:p>
        </w:tc>
        <w:tc>
          <w:tcPr>
            <w:tcW w:w="7881" w:type="dxa"/>
            <w:tcBorders>
              <w:top w:val="single" w:color="000000" w:sz="4" w:space="0"/>
              <w:left w:val="single" w:color="000000" w:sz="4" w:space="0"/>
              <w:bottom w:val="single" w:color="000000" w:sz="4" w:space="0"/>
              <w:right w:val="single" w:color="000000" w:sz="4" w:space="0"/>
            </w:tcBorders>
            <w:vAlign w:val="center"/>
          </w:tcPr>
          <w:p w14:paraId="10E298F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("risankizumab" [Supplementary Concept]) OR (BI 655066) OR (BI-655066) OR (skyrizi) OR (risankizumab-rzaa) OR (ABBV-066)</w:t>
            </w:r>
          </w:p>
        </w:tc>
      </w:tr>
      <w:tr w14:paraId="1DE02358">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5E0BA4B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#23</w:t>
            </w:r>
          </w:p>
        </w:tc>
        <w:tc>
          <w:tcPr>
            <w:tcW w:w="7881" w:type="dxa"/>
            <w:tcBorders>
              <w:top w:val="single" w:color="000000" w:sz="4" w:space="0"/>
              <w:left w:val="single" w:color="000000" w:sz="4" w:space="0"/>
              <w:bottom w:val="single" w:color="000000" w:sz="4" w:space="0"/>
              <w:right w:val="single" w:color="000000" w:sz="4" w:space="0"/>
            </w:tcBorders>
            <w:vAlign w:val="center"/>
          </w:tcPr>
          <w:p w14:paraId="7FBA01B3">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("tildrakizumab" [Supplementary Concept]) OR (tildrakizumab) OR (SCH 900222) OR (SCH-900222) OR (MK-3222) OR (Ilumya)</w:t>
            </w:r>
          </w:p>
        </w:tc>
      </w:tr>
      <w:tr w14:paraId="4CDDCBC4">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AB8AF6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#24</w:t>
            </w:r>
          </w:p>
        </w:tc>
        <w:tc>
          <w:tcPr>
            <w:tcW w:w="7881" w:type="dxa"/>
            <w:tcBorders>
              <w:top w:val="single" w:color="000000" w:sz="4" w:space="0"/>
              <w:left w:val="single" w:color="000000" w:sz="4" w:space="0"/>
              <w:bottom w:val="single" w:color="000000" w:sz="4" w:space="0"/>
              <w:right w:val="single" w:color="000000" w:sz="4" w:space="0"/>
            </w:tcBorders>
            <w:vAlign w:val="center"/>
          </w:tcPr>
          <w:p w14:paraId="5A2EB4E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("mirikizumab" [Supplementary Concept]) OR (mirikizumab mrkz) OR (mirikizumab) OR (LY-3074828) OR (LY3074828)</w:t>
            </w:r>
          </w:p>
        </w:tc>
      </w:tr>
      <w:tr w14:paraId="6703D66C">
        <w:tblPrEx>
          <w:tblCellMar>
            <w:top w:w="0" w:type="dxa"/>
            <w:left w:w="108" w:type="dxa"/>
            <w:bottom w:w="0" w:type="dxa"/>
            <w:right w:w="108" w:type="dxa"/>
          </w:tblCellMar>
        </w:tblPrEx>
        <w:trPr>
          <w:trHeight w:val="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3DF0899">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#25</w:t>
            </w:r>
          </w:p>
        </w:tc>
        <w:tc>
          <w:tcPr>
            <w:tcW w:w="7881" w:type="dxa"/>
            <w:tcBorders>
              <w:top w:val="single" w:color="000000" w:sz="4" w:space="0"/>
              <w:left w:val="single" w:color="000000" w:sz="4" w:space="0"/>
              <w:bottom w:val="single" w:color="000000" w:sz="4" w:space="0"/>
              <w:right w:val="single" w:color="000000" w:sz="4" w:space="0"/>
            </w:tcBorders>
            <w:vAlign w:val="center"/>
          </w:tcPr>
          <w:p w14:paraId="4E59D316">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("guselkumab" [Supplementary Concept]) OR (guselkumab) OR (Tremfya) OR (CNTO 1959) OR (CNTO-1959)</w:t>
            </w:r>
          </w:p>
        </w:tc>
      </w:tr>
      <w:tr w14:paraId="46FDBDB7">
        <w:tblPrEx>
          <w:tblCellMar>
            <w:top w:w="0" w:type="dxa"/>
            <w:left w:w="108" w:type="dxa"/>
            <w:bottom w:w="0" w:type="dxa"/>
            <w:right w:w="108" w:type="dxa"/>
          </w:tblCellMar>
        </w:tblPrEx>
        <w:trPr>
          <w:trHeight w:val="25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945C880">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#26</w:t>
            </w:r>
          </w:p>
        </w:tc>
        <w:tc>
          <w:tcPr>
            <w:tcW w:w="7881" w:type="dxa"/>
            <w:tcBorders>
              <w:top w:val="single" w:color="000000" w:sz="4" w:space="0"/>
              <w:left w:val="single" w:color="000000" w:sz="4" w:space="0"/>
              <w:bottom w:val="single" w:color="000000" w:sz="4" w:space="0"/>
              <w:right w:val="single" w:color="000000" w:sz="4" w:space="0"/>
            </w:tcBorders>
            <w:vAlign w:val="center"/>
          </w:tcPr>
          <w:p w14:paraId="2529931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("Inflammatory Bowel Diseases"[Mesh]) OR (Inflammatory Bowel Disease) OR (Bowel Diseases, Inflammatory) OR ("Crohn Disease"[Mesh]) OR (Crohn's Disease) OR (Crohns Disease) OR (Crohn's Enteritis) OR (Regional Enteritis) OR (Ileocolitis) OR (Ileitis, Terminal) OR (Terminal Ileitis) OR (Ileitis, Regional) OR (Regional Ileitides) OR (Regional Ileitis) OR (Enteritis, Granulomatous) OR (Granulomatous Enteritis) OR (Enteritis, Regional) OR (Colitis, Granulomatous) OR (Granulomatous Colitis) OR (IBD) OR (CD)</w:t>
            </w:r>
          </w:p>
        </w:tc>
      </w:tr>
      <w:tr w14:paraId="02A82CD2">
        <w:tblPrEx>
          <w:tblCellMar>
            <w:top w:w="0" w:type="dxa"/>
            <w:left w:w="108" w:type="dxa"/>
            <w:bottom w:w="0" w:type="dxa"/>
            <w:right w:w="108" w:type="dxa"/>
          </w:tblCellMar>
        </w:tblPrEx>
        <w:trPr>
          <w:trHeight w:val="89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F63EAD4">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#27</w:t>
            </w:r>
          </w:p>
        </w:tc>
        <w:tc>
          <w:tcPr>
            <w:tcW w:w="7881" w:type="dxa"/>
            <w:tcBorders>
              <w:top w:val="single" w:color="000000" w:sz="4" w:space="0"/>
              <w:left w:val="single" w:color="000000" w:sz="4" w:space="0"/>
              <w:bottom w:val="single" w:color="000000" w:sz="4" w:space="0"/>
              <w:right w:val="single" w:color="000000" w:sz="4" w:space="0"/>
            </w:tcBorders>
            <w:vAlign w:val="center"/>
          </w:tcPr>
          <w:p w14:paraId="0734763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#1 OR #2 OR #3 OR #4 OR #5 OR #6 OR #7 OR #8 OR #9 OR #10 OR #11 OR #12 OR #13 OR #14 OR #15 OR #16 OR #17 OR #18 OR #19 OR #21 OR #21 OR #22 OR #23 OR #24 OR #25  </w:t>
            </w:r>
          </w:p>
        </w:tc>
      </w:tr>
      <w:tr w14:paraId="04652488">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8CC2C0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#28</w:t>
            </w:r>
          </w:p>
        </w:tc>
        <w:tc>
          <w:tcPr>
            <w:tcW w:w="7881" w:type="dxa"/>
            <w:tcBorders>
              <w:top w:val="single" w:color="000000" w:sz="4" w:space="0"/>
              <w:left w:val="single" w:color="000000" w:sz="4" w:space="0"/>
              <w:bottom w:val="single" w:color="000000" w:sz="4" w:space="0"/>
              <w:right w:val="single" w:color="000000" w:sz="4" w:space="0"/>
            </w:tcBorders>
            <w:vAlign w:val="center"/>
          </w:tcPr>
          <w:p w14:paraId="1BC2348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#27 AND #26</w:t>
            </w:r>
          </w:p>
        </w:tc>
      </w:tr>
      <w:tr w14:paraId="0B710C8D">
        <w:tblPrEx>
          <w:tblCellMar>
            <w:top w:w="0" w:type="dxa"/>
            <w:left w:w="108" w:type="dxa"/>
            <w:bottom w:w="0" w:type="dxa"/>
            <w:right w:w="108" w:type="dxa"/>
          </w:tblCellMar>
        </w:tblPrEx>
        <w:trPr>
          <w:trHeight w:val="100" w:hRule="atLeast"/>
        </w:trPr>
        <w:tc>
          <w:tcPr>
            <w:tcW w:w="541" w:type="dxa"/>
            <w:tcBorders>
              <w:top w:val="single" w:color="000000" w:sz="4" w:space="0"/>
              <w:left w:val="single" w:color="000000" w:sz="4" w:space="0"/>
              <w:bottom w:val="single" w:color="000000" w:sz="4" w:space="0"/>
              <w:right w:val="nil"/>
            </w:tcBorders>
            <w:noWrap/>
            <w:vAlign w:val="center"/>
          </w:tcPr>
          <w:p w14:paraId="37371A4F">
            <w:pPr>
              <w:rPr>
                <w:rFonts w:hint="default" w:ascii="Times New Roman" w:hAnsi="Times New Roman" w:cs="Times New Roman"/>
                <w:color w:val="000000"/>
                <w:sz w:val="20"/>
                <w:szCs w:val="20"/>
              </w:rPr>
            </w:pPr>
          </w:p>
        </w:tc>
        <w:tc>
          <w:tcPr>
            <w:tcW w:w="7881" w:type="dxa"/>
            <w:tcBorders>
              <w:top w:val="single" w:color="000000" w:sz="4" w:space="0"/>
              <w:left w:val="nil"/>
              <w:bottom w:val="single" w:color="000000" w:sz="4" w:space="0"/>
              <w:right w:val="single" w:color="000000" w:sz="4" w:space="0"/>
            </w:tcBorders>
            <w:vAlign w:val="center"/>
          </w:tcPr>
          <w:p w14:paraId="57F920ED">
            <w:pPr>
              <w:rPr>
                <w:rFonts w:hint="default" w:ascii="Times New Roman" w:hAnsi="Times New Roman" w:cs="Times New Roman"/>
                <w:color w:val="000000"/>
                <w:sz w:val="20"/>
                <w:szCs w:val="20"/>
              </w:rPr>
            </w:pPr>
          </w:p>
        </w:tc>
      </w:tr>
      <w:tr w14:paraId="62B8C6FD">
        <w:tblPrEx>
          <w:tblCellMar>
            <w:top w:w="0" w:type="dxa"/>
            <w:left w:w="108" w:type="dxa"/>
            <w:bottom w:w="0" w:type="dxa"/>
            <w:right w:w="108" w:type="dxa"/>
          </w:tblCellMar>
        </w:tblPrEx>
        <w:trPr>
          <w:trHeight w:val="350" w:hRule="atLeast"/>
        </w:trPr>
        <w:tc>
          <w:tcPr>
            <w:tcW w:w="8422" w:type="dxa"/>
            <w:gridSpan w:val="2"/>
            <w:tcBorders>
              <w:top w:val="single" w:color="000000" w:sz="4" w:space="0"/>
              <w:left w:val="single" w:color="000000" w:sz="4" w:space="0"/>
              <w:bottom w:val="single" w:color="000000" w:sz="4" w:space="0"/>
              <w:right w:val="single" w:color="000000" w:sz="4" w:space="0"/>
            </w:tcBorders>
            <w:vAlign w:val="center"/>
          </w:tcPr>
          <w:p w14:paraId="0AFB38A5">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val="0"/>
                <w:bCs w:val="0"/>
                <w:i/>
                <w:iCs/>
                <w:color w:val="000000"/>
                <w:kern w:val="0"/>
                <w:sz w:val="20"/>
                <w:szCs w:val="20"/>
                <w:lang w:bidi="ar"/>
              </w:rPr>
              <w:t>Scopus</w:t>
            </w:r>
          </w:p>
        </w:tc>
      </w:tr>
      <w:tr w14:paraId="1E7842F3">
        <w:tblPrEx>
          <w:tblCellMar>
            <w:top w:w="0" w:type="dxa"/>
            <w:left w:w="108" w:type="dxa"/>
            <w:bottom w:w="0" w:type="dxa"/>
            <w:right w:w="108" w:type="dxa"/>
          </w:tblCellMar>
        </w:tblPrEx>
        <w:trPr>
          <w:trHeight w:val="142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65B6C8D3">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w:t>
            </w:r>
          </w:p>
        </w:tc>
        <w:tc>
          <w:tcPr>
            <w:tcW w:w="7881" w:type="dxa"/>
            <w:tcBorders>
              <w:top w:val="single" w:color="000000" w:sz="4" w:space="0"/>
              <w:left w:val="single" w:color="000000" w:sz="4" w:space="0"/>
              <w:bottom w:val="single" w:color="000000" w:sz="4" w:space="0"/>
              <w:right w:val="single" w:color="000000" w:sz="4" w:space="0"/>
            </w:tcBorders>
            <w:vAlign w:val="center"/>
          </w:tcPr>
          <w:p w14:paraId="30433C97">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 23p19 inhibitor*" OR "il23p19 inhibitor*" ) OR ("interleukin 23p19" OR "il23p19") OR ("brazikumab" OR "amg 139" OR "medi2070") OR ("risankizumab" OR "risankizumab rzaa" OR "bi 655066") OR ("tildrakizumab" OR "tildrakizumab asmn" OR "sch 900222" OR "mk 3222") OR ("mirikizumab" OR "mirikizumab mrkz" OR "ly 3074828") OR ("guselkumab" OR "cnto 1959"))</w:t>
            </w:r>
          </w:p>
        </w:tc>
      </w:tr>
      <w:tr w14:paraId="5D9002F0">
        <w:tblPrEx>
          <w:tblCellMar>
            <w:top w:w="0" w:type="dxa"/>
            <w:left w:w="108" w:type="dxa"/>
            <w:bottom w:w="0" w:type="dxa"/>
            <w:right w:w="108" w:type="dxa"/>
          </w:tblCellMar>
        </w:tblPrEx>
        <w:trPr>
          <w:trHeight w:val="438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06AD32CE">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w:t>
            </w:r>
          </w:p>
        </w:tc>
        <w:tc>
          <w:tcPr>
            <w:tcW w:w="7881" w:type="dxa"/>
            <w:tcBorders>
              <w:top w:val="single" w:color="000000" w:sz="4" w:space="0"/>
              <w:left w:val="single" w:color="000000" w:sz="4" w:space="0"/>
              <w:bottom w:val="single" w:color="000000" w:sz="4" w:space="0"/>
              <w:right w:val="single" w:color="000000" w:sz="4" w:space="0"/>
            </w:tcBorders>
            <w:vAlign w:val="center"/>
          </w:tcPr>
          <w:p w14:paraId="3D82CA19">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 "ozanimod" OR "RPC1063" OR "zeposia" )) OR (( "small molecule drugs*" OR "Janus Kinase Inhibitors" OR "JAK inhibitors" OR "Janus Kinase Inhibitor" OR "Sphingosine-1-Phosphate Receptors" OR "S1P Receptor" )) OR (( "tofacitinib" OR "tasocitinib" OR "CP-690,550" OR "Xeljanz" OR "tofacitinib citrate" )) OR (( "GLPG0634" OR "filgotinib" )) OR (( "upadacitinib" OR "ABT-494" OR "Rinvoq" OR "(3S,4R)-3-ethyl-4-(3H-imidazo(1,2-a)pyrrolo(2,3-e)pyrazin-8-yl)-N-(2,2,2-trifluoroethyl)-1-pyrrolidinecarboxamide" )) OR (( "ivarmacitinib" OR "ivarmacitinib sulfate" OR "SHR0302" )) OR (( "peficitinib" OR 'jnj-54781532' OR "ASP015K" )) OR (( "Ritlecitinib" OR "PF-06651600" )) OR (( "Brepocitinib" OR "PF-06700841" )) OR (( "izencitinib" OR "TD-1473" )) OR (( "deucravacitinib" OR "BMS-986165" )) OR (( "etrasimod" OR "APD334-003" )) OR (( "KRP-203" OR "Mocravimod hydrochloride" )) OR (( "Fingolimod Hydrochloride" OR "Gilenia" OR "Gilenya" OR "FTY-720" OR "2-Amino-2-(2-(4-octylphenyl)ethyl)-1,3-propanediol hydrochloride" )) OR (( "amiselimod" OR "MT-1303" )) OR (( "cobitolimod" OR "DIMS0150" )) OR (( "Carotegrast" OR "AJM300" OR "carotegrast methyl" ) ) OR (( "apremilast" OR "CC10004" OR "Otezla" ))) </w:t>
            </w:r>
          </w:p>
        </w:tc>
      </w:tr>
      <w:tr w14:paraId="676F07E7">
        <w:tblPrEx>
          <w:tblCellMar>
            <w:top w:w="0" w:type="dxa"/>
            <w:left w:w="108" w:type="dxa"/>
            <w:bottom w:w="0" w:type="dxa"/>
            <w:right w:w="108" w:type="dxa"/>
          </w:tblCellMar>
        </w:tblPrEx>
        <w:trPr>
          <w:trHeight w:val="348"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78CD939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w:t>
            </w:r>
          </w:p>
        </w:tc>
        <w:tc>
          <w:tcPr>
            <w:tcW w:w="7881" w:type="dxa"/>
            <w:tcBorders>
              <w:top w:val="single" w:color="000000" w:sz="4" w:space="0"/>
              <w:left w:val="single" w:color="000000" w:sz="4" w:space="0"/>
              <w:bottom w:val="single" w:color="000000" w:sz="4" w:space="0"/>
              <w:right w:val="single" w:color="000000" w:sz="4" w:space="0"/>
            </w:tcBorders>
            <w:vAlign w:val="center"/>
          </w:tcPr>
          <w:p w14:paraId="01A30E7A">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 ("inflammatory bowel disease" OR "crohn disease" OR "ibd" OR "cd")</w:t>
            </w:r>
          </w:p>
        </w:tc>
      </w:tr>
      <w:tr w14:paraId="2AC26609">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298F21DB">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#4</w:t>
            </w:r>
          </w:p>
        </w:tc>
        <w:tc>
          <w:tcPr>
            <w:tcW w:w="7881" w:type="dxa"/>
            <w:tcBorders>
              <w:top w:val="single" w:color="000000" w:sz="4" w:space="0"/>
              <w:left w:val="single" w:color="000000" w:sz="4" w:space="0"/>
              <w:bottom w:val="single" w:color="000000" w:sz="4" w:space="0"/>
              <w:right w:val="single" w:color="000000" w:sz="4" w:space="0"/>
            </w:tcBorders>
            <w:vAlign w:val="center"/>
          </w:tcPr>
          <w:p w14:paraId="731293F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 OR #2</w:t>
            </w:r>
          </w:p>
        </w:tc>
      </w:tr>
      <w:tr w14:paraId="40D19220">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7ED126E1">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#5</w:t>
            </w:r>
          </w:p>
        </w:tc>
        <w:tc>
          <w:tcPr>
            <w:tcW w:w="7881" w:type="dxa"/>
            <w:tcBorders>
              <w:top w:val="single" w:color="000000" w:sz="4" w:space="0"/>
              <w:left w:val="single" w:color="000000" w:sz="4" w:space="0"/>
              <w:bottom w:val="single" w:color="000000" w:sz="4" w:space="0"/>
              <w:right w:val="single" w:color="000000" w:sz="4" w:space="0"/>
            </w:tcBorders>
            <w:vAlign w:val="center"/>
          </w:tcPr>
          <w:p w14:paraId="38CD8E1C">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 AND #4</w:t>
            </w:r>
          </w:p>
        </w:tc>
      </w:tr>
      <w:tr w14:paraId="521E52AC">
        <w:tblPrEx>
          <w:tblCellMar>
            <w:top w:w="0" w:type="dxa"/>
            <w:left w:w="108" w:type="dxa"/>
            <w:bottom w:w="0" w:type="dxa"/>
            <w:right w:w="108" w:type="dxa"/>
          </w:tblCellMar>
        </w:tblPrEx>
        <w:trPr>
          <w:trHeight w:val="100" w:hRule="atLeast"/>
        </w:trPr>
        <w:tc>
          <w:tcPr>
            <w:tcW w:w="541" w:type="dxa"/>
            <w:tcBorders>
              <w:top w:val="single" w:color="000000" w:sz="4" w:space="0"/>
              <w:left w:val="single" w:color="000000" w:sz="4" w:space="0"/>
              <w:bottom w:val="single" w:color="000000" w:sz="4" w:space="0"/>
              <w:right w:val="nil"/>
            </w:tcBorders>
            <w:noWrap/>
            <w:vAlign w:val="center"/>
          </w:tcPr>
          <w:p w14:paraId="42DFBA2E">
            <w:pPr>
              <w:rPr>
                <w:rFonts w:hint="default" w:ascii="Times New Roman" w:hAnsi="Times New Roman" w:cs="Times New Roman"/>
                <w:color w:val="000000"/>
                <w:sz w:val="20"/>
                <w:szCs w:val="20"/>
              </w:rPr>
            </w:pPr>
          </w:p>
        </w:tc>
        <w:tc>
          <w:tcPr>
            <w:tcW w:w="7881" w:type="dxa"/>
            <w:tcBorders>
              <w:top w:val="single" w:color="000000" w:sz="4" w:space="0"/>
              <w:left w:val="nil"/>
              <w:bottom w:val="single" w:color="000000" w:sz="4" w:space="0"/>
              <w:right w:val="single" w:color="000000" w:sz="4" w:space="0"/>
            </w:tcBorders>
            <w:vAlign w:val="center"/>
          </w:tcPr>
          <w:p w14:paraId="1BF64769">
            <w:pPr>
              <w:rPr>
                <w:rFonts w:hint="default" w:ascii="Times New Roman" w:hAnsi="Times New Roman" w:cs="Times New Roman"/>
                <w:color w:val="000000"/>
                <w:sz w:val="20"/>
                <w:szCs w:val="20"/>
              </w:rPr>
            </w:pPr>
          </w:p>
        </w:tc>
      </w:tr>
      <w:tr w14:paraId="3EC3BD9E">
        <w:tblPrEx>
          <w:tblCellMar>
            <w:top w:w="0" w:type="dxa"/>
            <w:left w:w="108" w:type="dxa"/>
            <w:bottom w:w="0" w:type="dxa"/>
            <w:right w:w="108" w:type="dxa"/>
          </w:tblCellMar>
        </w:tblPrEx>
        <w:trPr>
          <w:trHeight w:val="350" w:hRule="atLeast"/>
        </w:trPr>
        <w:tc>
          <w:tcPr>
            <w:tcW w:w="8422" w:type="dxa"/>
            <w:gridSpan w:val="2"/>
            <w:tcBorders>
              <w:top w:val="single" w:color="000000" w:sz="4" w:space="0"/>
              <w:left w:val="single" w:color="000000" w:sz="4" w:space="0"/>
              <w:bottom w:val="single" w:color="000000" w:sz="4" w:space="0"/>
              <w:right w:val="single" w:color="000000" w:sz="4" w:space="0"/>
            </w:tcBorders>
            <w:vAlign w:val="center"/>
          </w:tcPr>
          <w:p w14:paraId="70566DEB">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val="0"/>
                <w:bCs w:val="0"/>
                <w:i/>
                <w:iCs/>
                <w:color w:val="000000"/>
                <w:kern w:val="0"/>
                <w:sz w:val="20"/>
                <w:szCs w:val="20"/>
                <w:lang w:bidi="ar"/>
              </w:rPr>
              <w:t>Clinicaltrials.gov</w:t>
            </w:r>
          </w:p>
        </w:tc>
      </w:tr>
      <w:tr w14:paraId="723DB71A">
        <w:tblPrEx>
          <w:tblCellMar>
            <w:top w:w="0" w:type="dxa"/>
            <w:left w:w="108" w:type="dxa"/>
            <w:bottom w:w="0" w:type="dxa"/>
            <w:right w:w="108" w:type="dxa"/>
          </w:tblCellMar>
        </w:tblPrEx>
        <w:trPr>
          <w:trHeight w:val="146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64E29F1">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w:t>
            </w:r>
          </w:p>
        </w:tc>
        <w:tc>
          <w:tcPr>
            <w:tcW w:w="7881" w:type="dxa"/>
            <w:tcBorders>
              <w:top w:val="single" w:color="000000" w:sz="4" w:space="0"/>
              <w:left w:val="single" w:color="000000" w:sz="4" w:space="0"/>
              <w:bottom w:val="single" w:color="000000" w:sz="4" w:space="0"/>
              <w:right w:val="single" w:color="000000" w:sz="4" w:space="0"/>
            </w:tcBorders>
            <w:vAlign w:val="center"/>
          </w:tcPr>
          <w:p w14:paraId="2FABF0B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 xml:space="preserve">(("interleukin 23p19 inhibitor*" OR "il23p19 inhibitor*" ) OR ("interleukin 23p19" OR "il23p19") OR ("brazikumab" OR "amg 139" OR "medi2070") OR ("risankizumab" OR "risankizumab rzaa" OR "bi 655066") OR ("tildrakizumab" OR "tildrakizumab asmn" OR "sch 900222" OR "mk 3222") OR ("mirikizumab" OR "mirikizumab mrkz" OR "ly 3074828") OR ("guselkumab" OR "cnto 1959")) </w:t>
            </w:r>
          </w:p>
        </w:tc>
      </w:tr>
      <w:tr w14:paraId="5AB1D57B">
        <w:tblPrEx>
          <w:tblCellMar>
            <w:top w:w="0" w:type="dxa"/>
            <w:left w:w="108" w:type="dxa"/>
            <w:bottom w:w="0" w:type="dxa"/>
            <w:right w:w="108" w:type="dxa"/>
          </w:tblCellMar>
        </w:tblPrEx>
        <w:trPr>
          <w:trHeight w:val="362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44A6438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w:t>
            </w:r>
          </w:p>
        </w:tc>
        <w:tc>
          <w:tcPr>
            <w:tcW w:w="7881" w:type="dxa"/>
            <w:tcBorders>
              <w:top w:val="single" w:color="000000" w:sz="4" w:space="0"/>
              <w:left w:val="single" w:color="000000" w:sz="4" w:space="0"/>
              <w:bottom w:val="single" w:color="000000" w:sz="4" w:space="0"/>
              <w:right w:val="single" w:color="000000" w:sz="4" w:space="0"/>
            </w:tcBorders>
            <w:vAlign w:val="center"/>
          </w:tcPr>
          <w:p w14:paraId="3978646F">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(("small molecule drugs*" OR "Janus Kinase Inhibitors" OR "JAK inhibitors" OR "Janus Kinase Inhibitor" OR "Sphingosine-1-Phosphate Receptors" OR "S1P Receptor" ) OR ("tofacitinib" OR "tasocitinib" OR "CP-690,550" OR "Xeljanz" OR "tofacitinib citrate") OR ("GLPG0634" OR "filgotinib") OR ("upadacitinib" OR "ABT-494" OR "Rinvoq" ) OR ("ivarmacitinib" OR "ivarmacitinib sulfate" OR "SHR0302") OR ("peficitinib" OR 'jnj-54781532' OR "ASP015K") OR ("Ritlecitinib" OR "PF-06651600" ) OR ("Brepocitinib" OR "PF-06700841") OR ("izencitinib" OR "TD-1473") OR ("deucravacitinib" OR "BMS-986165") OR ("etrasimod" OR "APD334-003") OR ("KRP-203" OR "Mocravimod hydrochloride" ) OR ("Fingolimod Hydrochloride" OR "Gilenia" OR "Gilenya" OR "FTY-720" ) OR ("amiselimod" OR "MT-1303") OR ( "cobitolimod" OR "DIMS0150") OR ("Carotegrast" OR "AJM300" OR "carotegrast methyl") OR ("apremilast" OR "CC10004" OR "Otezla") OR ( "ozanimod" OR "RPC1063" OR "zeposia"))</w:t>
            </w:r>
          </w:p>
        </w:tc>
      </w:tr>
      <w:tr w14:paraId="7B0F5AD0">
        <w:tblPrEx>
          <w:tblCellMar>
            <w:top w:w="0" w:type="dxa"/>
            <w:left w:w="108" w:type="dxa"/>
            <w:bottom w:w="0" w:type="dxa"/>
            <w:right w:w="108" w:type="dxa"/>
          </w:tblCellMar>
        </w:tblPrEx>
        <w:trPr>
          <w:trHeight w:val="392"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357C3BF">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w:t>
            </w:r>
          </w:p>
        </w:tc>
        <w:tc>
          <w:tcPr>
            <w:tcW w:w="7881" w:type="dxa"/>
            <w:tcBorders>
              <w:top w:val="single" w:color="000000" w:sz="4" w:space="0"/>
              <w:left w:val="single" w:color="000000" w:sz="4" w:space="0"/>
              <w:bottom w:val="single" w:color="000000" w:sz="4" w:space="0"/>
              <w:right w:val="single" w:color="000000" w:sz="4" w:space="0"/>
            </w:tcBorders>
            <w:vAlign w:val="center"/>
          </w:tcPr>
          <w:p w14:paraId="08FD5E17">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("inflammatory bowel disease" OR "crohn disease" OR "ibd" OR "cd")</w:t>
            </w:r>
          </w:p>
        </w:tc>
      </w:tr>
      <w:tr w14:paraId="40EB870E">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71BE23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#4</w:t>
            </w:r>
          </w:p>
        </w:tc>
        <w:tc>
          <w:tcPr>
            <w:tcW w:w="7881" w:type="dxa"/>
            <w:tcBorders>
              <w:top w:val="single" w:color="000000" w:sz="4" w:space="0"/>
              <w:left w:val="single" w:color="000000" w:sz="4" w:space="0"/>
              <w:bottom w:val="single" w:color="000000" w:sz="4" w:space="0"/>
              <w:right w:val="single" w:color="000000" w:sz="4" w:space="0"/>
            </w:tcBorders>
            <w:vAlign w:val="center"/>
          </w:tcPr>
          <w:p w14:paraId="23C11266">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 OR #2) AND #3</w:t>
            </w:r>
          </w:p>
        </w:tc>
      </w:tr>
      <w:tr w14:paraId="750F4DAC">
        <w:tblPrEx>
          <w:tblCellMar>
            <w:top w:w="0" w:type="dxa"/>
            <w:left w:w="108" w:type="dxa"/>
            <w:bottom w:w="0" w:type="dxa"/>
            <w:right w:w="108" w:type="dxa"/>
          </w:tblCellMar>
        </w:tblPrEx>
        <w:trPr>
          <w:trHeight w:val="80" w:hRule="atLeast"/>
        </w:trPr>
        <w:tc>
          <w:tcPr>
            <w:tcW w:w="541" w:type="dxa"/>
            <w:tcBorders>
              <w:top w:val="single" w:color="000000" w:sz="4" w:space="0"/>
              <w:left w:val="single" w:color="000000" w:sz="4" w:space="0"/>
              <w:bottom w:val="single" w:color="000000" w:sz="4" w:space="0"/>
              <w:right w:val="nil"/>
            </w:tcBorders>
            <w:noWrap/>
            <w:vAlign w:val="center"/>
          </w:tcPr>
          <w:p w14:paraId="26A9002D">
            <w:pPr>
              <w:rPr>
                <w:rFonts w:hint="default" w:ascii="Times New Roman" w:hAnsi="Times New Roman" w:cs="Times New Roman"/>
                <w:color w:val="000000"/>
                <w:sz w:val="20"/>
                <w:szCs w:val="20"/>
              </w:rPr>
            </w:pPr>
          </w:p>
        </w:tc>
        <w:tc>
          <w:tcPr>
            <w:tcW w:w="7881" w:type="dxa"/>
            <w:tcBorders>
              <w:top w:val="single" w:color="000000" w:sz="4" w:space="0"/>
              <w:left w:val="nil"/>
              <w:bottom w:val="single" w:color="000000" w:sz="4" w:space="0"/>
              <w:right w:val="single" w:color="000000" w:sz="4" w:space="0"/>
            </w:tcBorders>
            <w:vAlign w:val="center"/>
          </w:tcPr>
          <w:p w14:paraId="3C787AE4">
            <w:pPr>
              <w:rPr>
                <w:rFonts w:hint="default" w:ascii="Times New Roman" w:hAnsi="Times New Roman" w:cs="Times New Roman"/>
                <w:color w:val="000000"/>
                <w:sz w:val="20"/>
                <w:szCs w:val="20"/>
              </w:rPr>
            </w:pPr>
          </w:p>
        </w:tc>
      </w:tr>
      <w:tr w14:paraId="616F3567">
        <w:tblPrEx>
          <w:tblCellMar>
            <w:top w:w="0" w:type="dxa"/>
            <w:left w:w="108" w:type="dxa"/>
            <w:bottom w:w="0" w:type="dxa"/>
            <w:right w:w="108" w:type="dxa"/>
          </w:tblCellMar>
        </w:tblPrEx>
        <w:trPr>
          <w:trHeight w:val="350" w:hRule="atLeast"/>
        </w:trPr>
        <w:tc>
          <w:tcPr>
            <w:tcW w:w="8422" w:type="dxa"/>
            <w:gridSpan w:val="2"/>
            <w:tcBorders>
              <w:top w:val="single" w:color="000000" w:sz="4" w:space="0"/>
              <w:left w:val="single" w:color="000000" w:sz="4" w:space="0"/>
              <w:bottom w:val="single" w:color="000000" w:sz="4" w:space="0"/>
              <w:right w:val="single" w:color="000000" w:sz="4" w:space="0"/>
            </w:tcBorders>
            <w:vAlign w:val="center"/>
          </w:tcPr>
          <w:p w14:paraId="6723BF4F">
            <w:pPr>
              <w:widowControl/>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val="0"/>
                <w:bCs w:val="0"/>
                <w:i/>
                <w:iCs/>
                <w:color w:val="000000"/>
                <w:kern w:val="0"/>
                <w:sz w:val="20"/>
                <w:szCs w:val="20"/>
                <w:lang w:bidi="ar"/>
              </w:rPr>
              <w:t>Cochrane Central Register of Controlled Trials</w:t>
            </w:r>
          </w:p>
        </w:tc>
      </w:tr>
      <w:tr w14:paraId="6A1808F2">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260AC5A">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w:t>
            </w:r>
          </w:p>
        </w:tc>
        <w:tc>
          <w:tcPr>
            <w:tcW w:w="7881" w:type="dxa"/>
            <w:tcBorders>
              <w:top w:val="single" w:color="000000" w:sz="4" w:space="0"/>
              <w:left w:val="single" w:color="000000" w:sz="4" w:space="0"/>
              <w:bottom w:val="single" w:color="000000" w:sz="4" w:space="0"/>
              <w:right w:val="single" w:color="000000" w:sz="4" w:space="0"/>
            </w:tcBorders>
            <w:vAlign w:val="center"/>
          </w:tcPr>
          <w:p w14:paraId="51C0BCCE">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MeSH descriptor: [Interleukin-23 Subunit p19] explode all trees</w:t>
            </w:r>
          </w:p>
        </w:tc>
      </w:tr>
      <w:tr w14:paraId="1D5252F9">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371C2227">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w:t>
            </w:r>
          </w:p>
        </w:tc>
        <w:tc>
          <w:tcPr>
            <w:tcW w:w="7881" w:type="dxa"/>
            <w:tcBorders>
              <w:top w:val="single" w:color="000000" w:sz="4" w:space="0"/>
              <w:left w:val="single" w:color="000000" w:sz="4" w:space="0"/>
              <w:bottom w:val="single" w:color="000000" w:sz="4" w:space="0"/>
              <w:right w:val="single" w:color="000000" w:sz="4" w:space="0"/>
            </w:tcBorders>
            <w:vAlign w:val="center"/>
          </w:tcPr>
          <w:p w14:paraId="4D56FDC5">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MeSH descriptor: [Inflammatory Bowel Diseases] explode all trees</w:t>
            </w:r>
          </w:p>
        </w:tc>
      </w:tr>
      <w:tr w14:paraId="101A1260">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A45DD37">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#3</w:t>
            </w:r>
          </w:p>
        </w:tc>
        <w:tc>
          <w:tcPr>
            <w:tcW w:w="7881" w:type="dxa"/>
            <w:tcBorders>
              <w:top w:val="single" w:color="000000" w:sz="4" w:space="0"/>
              <w:left w:val="single" w:color="000000" w:sz="4" w:space="0"/>
              <w:bottom w:val="single" w:color="000000" w:sz="4" w:space="0"/>
              <w:right w:val="single" w:color="000000" w:sz="4" w:space="0"/>
            </w:tcBorders>
            <w:vAlign w:val="center"/>
          </w:tcPr>
          <w:p w14:paraId="6544811D">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MeSH descriptor: [Crohn Disease] explode all trees</w:t>
            </w:r>
          </w:p>
        </w:tc>
      </w:tr>
      <w:tr w14:paraId="32BF1096">
        <w:tblPrEx>
          <w:tblCellMar>
            <w:top w:w="0" w:type="dxa"/>
            <w:left w:w="108" w:type="dxa"/>
            <w:bottom w:w="0" w:type="dxa"/>
            <w:right w:w="108" w:type="dxa"/>
          </w:tblCellMar>
        </w:tblPrEx>
        <w:trPr>
          <w:trHeight w:val="197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533FA25F">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#4</w:t>
            </w:r>
          </w:p>
        </w:tc>
        <w:tc>
          <w:tcPr>
            <w:tcW w:w="7881" w:type="dxa"/>
            <w:tcBorders>
              <w:top w:val="single" w:color="000000" w:sz="4" w:space="0"/>
              <w:left w:val="single" w:color="000000" w:sz="4" w:space="0"/>
              <w:bottom w:val="single" w:color="000000" w:sz="4" w:space="0"/>
              <w:right w:val="single" w:color="000000" w:sz="4" w:space="0"/>
            </w:tcBorders>
            <w:vAlign w:val="center"/>
          </w:tcPr>
          <w:p w14:paraId="4B450AE0">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(Interleukin-23 Subunit p19) OR (IL23p19) OR (IL-23p19) OR (Interleukin-23 Subunit p19 inhibitor*) OR (interleukin 23 p19 inhibitor*) OR (il23p19 inhibitor*) OR (il-23p19 inhibitor*) OR (brazikumab) OR (amg 139) OR (medi2070) OR (BI 655066) OR (BI-655066) OR (skyrizi) OR (risankizumab-rzaa) OR (ABBV-066) OR (risankizumab) OR (tildrakizumab) OR (SCH 900222) OR (SCH-900222) OR (MK-3222) OR (Ilumya) OR (mirikizumab mrkz) OR (mirikizumab) OR (LY-3074828) OR (LY3074828) OR (guselkumab) OR (Tremfya) OR (CNTO 1959) OR (CNTO-1959)</w:t>
            </w:r>
          </w:p>
        </w:tc>
      </w:tr>
      <w:tr w14:paraId="22FA8ECD">
        <w:tblPrEx>
          <w:tblCellMar>
            <w:top w:w="0" w:type="dxa"/>
            <w:left w:w="108" w:type="dxa"/>
            <w:bottom w:w="0" w:type="dxa"/>
            <w:right w:w="108" w:type="dxa"/>
          </w:tblCellMar>
        </w:tblPrEx>
        <w:trPr>
          <w:trHeight w:val="197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66EC22D5">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#5</w:t>
            </w:r>
          </w:p>
        </w:tc>
        <w:tc>
          <w:tcPr>
            <w:tcW w:w="7881" w:type="dxa"/>
            <w:tcBorders>
              <w:top w:val="single" w:color="000000" w:sz="4" w:space="0"/>
              <w:left w:val="single" w:color="000000" w:sz="4" w:space="0"/>
              <w:bottom w:val="single" w:color="000000" w:sz="4" w:space="0"/>
              <w:right w:val="single" w:color="000000" w:sz="4" w:space="0"/>
            </w:tcBorders>
            <w:vAlign w:val="center"/>
          </w:tcPr>
          <w:p w14:paraId="0C012524">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(Inflammatory Bowel Disease) OR (Bowel Diseases, Inflammatory) OR (Crohn's Disease) OR (Crohns Disease) OR (Crohn's Enteritis) OR (In</w:t>
            </w:r>
            <w:bookmarkStart w:id="24" w:name="_GoBack"/>
            <w:bookmarkEnd w:id="24"/>
            <w:r>
              <w:rPr>
                <w:rFonts w:hint="default" w:ascii="Times New Roman" w:hAnsi="Times New Roman" w:cs="Times New Roman"/>
                <w:color w:val="000000"/>
                <w:kern w:val="0"/>
                <w:sz w:val="20"/>
                <w:szCs w:val="20"/>
                <w:lang w:bidi="ar"/>
              </w:rPr>
              <w:t>flammatory Bowel Disease 1) OR (Regional Enteritis) OR (Ileocolitis) OR (Ileitis, Terminal) OR (Terminal Ileitis) OR (Ileitis, Regional) OR (Regional Ileitides) OR (Regional Ileitis) OR (Enteritis, Granulomatous) OR (Granulomatous Enteritis) OR (Enteritis, Regional) OR (Colitis, Granulomatous) OR (Granulomatous Colitis) OR (IBD) OR (CD)</w:t>
            </w:r>
          </w:p>
        </w:tc>
      </w:tr>
      <w:tr w14:paraId="2F70C992">
        <w:tblPrEx>
          <w:tblCellMar>
            <w:top w:w="0" w:type="dxa"/>
            <w:left w:w="108" w:type="dxa"/>
            <w:bottom w:w="0" w:type="dxa"/>
            <w:right w:w="108" w:type="dxa"/>
          </w:tblCellMar>
        </w:tblPrEx>
        <w:trPr>
          <w:trHeight w:val="1970" w:hRule="atLeast"/>
        </w:trPr>
        <w:tc>
          <w:tcPr>
            <w:tcW w:w="541" w:type="dxa"/>
            <w:tcBorders>
              <w:top w:val="single" w:color="000000" w:sz="4" w:space="0"/>
              <w:left w:val="single" w:color="000000" w:sz="4" w:space="0"/>
              <w:bottom w:val="single" w:color="000000" w:sz="4" w:space="0"/>
              <w:right w:val="single" w:color="000000" w:sz="4" w:space="0"/>
            </w:tcBorders>
            <w:vAlign w:val="center"/>
          </w:tcPr>
          <w:p w14:paraId="0145153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#6</w:t>
            </w:r>
          </w:p>
        </w:tc>
        <w:tc>
          <w:tcPr>
            <w:tcW w:w="7881" w:type="dxa"/>
            <w:tcBorders>
              <w:top w:val="single" w:color="000000" w:sz="4" w:space="0"/>
              <w:left w:val="single" w:color="000000" w:sz="4" w:space="0"/>
              <w:bottom w:val="single" w:color="000000" w:sz="4" w:space="0"/>
              <w:right w:val="single" w:color="000000" w:sz="4" w:space="0"/>
            </w:tcBorders>
            <w:vAlign w:val="center"/>
          </w:tcPr>
          <w:p w14:paraId="524B57B6">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(tofacitinib) OR (tasocitinib) OR (CP-690,550) OR (Xeljanz) OR (tofacitinib citrate) OR (upadacitinib) OR (ABT-494) OR (Rinvoq) OR (peficitinib) OR (JNJ-54781532) OR (ASP015K) OR (Ritlecitinib) OR (PF-06651600) OR (Ritlecitinib) OR (PF-06651600) OR (izencitinib) OR (TD-1473) OR (ozanimod) OR (RPC1063) OR (zeposia) OR (etrasimod) OR (Mocravimod hydrochloride) OR (KRP-203) OR (Fingolimod Hydrochloride) OR (Gilenia) OR (Gilenya) OR (FTY-720) OR (cobitolimod) OR (DIMS0150) OR (Carotegrast) OR (AJM300) OR (carotegrast methyl) OR (apremilast) OR (CC10004) OR (Otezla)</w:t>
            </w:r>
          </w:p>
        </w:tc>
      </w:tr>
      <w:tr w14:paraId="5495AB32">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14F1ACED">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#7</w:t>
            </w:r>
          </w:p>
        </w:tc>
        <w:tc>
          <w:tcPr>
            <w:tcW w:w="7881" w:type="dxa"/>
            <w:tcBorders>
              <w:top w:val="single" w:color="000000" w:sz="4" w:space="0"/>
              <w:left w:val="single" w:color="000000" w:sz="4" w:space="0"/>
              <w:bottom w:val="single" w:color="000000" w:sz="4" w:space="0"/>
              <w:right w:val="single" w:color="000000" w:sz="4" w:space="0"/>
            </w:tcBorders>
            <w:vAlign w:val="center"/>
          </w:tcPr>
          <w:p w14:paraId="1683AD22">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#1 OR #4 OR #6</w:t>
            </w:r>
          </w:p>
        </w:tc>
      </w:tr>
      <w:tr w14:paraId="48F1B4FA">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0CD57FB3">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#8</w:t>
            </w:r>
          </w:p>
        </w:tc>
        <w:tc>
          <w:tcPr>
            <w:tcW w:w="7881" w:type="dxa"/>
            <w:tcBorders>
              <w:top w:val="single" w:color="000000" w:sz="4" w:space="0"/>
              <w:left w:val="single" w:color="000000" w:sz="4" w:space="0"/>
              <w:bottom w:val="single" w:color="000000" w:sz="4" w:space="0"/>
              <w:right w:val="single" w:color="000000" w:sz="4" w:space="0"/>
            </w:tcBorders>
            <w:vAlign w:val="center"/>
          </w:tcPr>
          <w:p w14:paraId="7590A408">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#2 OR #3 OR #5</w:t>
            </w:r>
          </w:p>
        </w:tc>
      </w:tr>
      <w:tr w14:paraId="62AA97F7">
        <w:tblPrEx>
          <w:tblCellMar>
            <w:top w:w="0" w:type="dxa"/>
            <w:left w:w="108" w:type="dxa"/>
            <w:bottom w:w="0" w:type="dxa"/>
            <w:right w:w="108" w:type="dxa"/>
          </w:tblCellMar>
        </w:tblPrEx>
        <w:trPr>
          <w:trHeight w:val="350" w:hRule="atLeast"/>
        </w:trPr>
        <w:tc>
          <w:tcPr>
            <w:tcW w:w="541" w:type="dxa"/>
            <w:tcBorders>
              <w:top w:val="single" w:color="000000" w:sz="4" w:space="0"/>
              <w:left w:val="single" w:color="000000" w:sz="4" w:space="0"/>
              <w:bottom w:val="single" w:color="000000" w:sz="4" w:space="0"/>
              <w:right w:val="single" w:color="000000" w:sz="4" w:space="0"/>
            </w:tcBorders>
            <w:noWrap/>
            <w:vAlign w:val="center"/>
          </w:tcPr>
          <w:p w14:paraId="7BB8AE36">
            <w:pPr>
              <w:widowControl/>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#9</w:t>
            </w:r>
          </w:p>
        </w:tc>
        <w:tc>
          <w:tcPr>
            <w:tcW w:w="7881" w:type="dxa"/>
            <w:tcBorders>
              <w:top w:val="single" w:color="000000" w:sz="4" w:space="0"/>
              <w:left w:val="single" w:color="000000" w:sz="4" w:space="0"/>
              <w:bottom w:val="single" w:color="000000" w:sz="4" w:space="0"/>
              <w:right w:val="single" w:color="000000" w:sz="4" w:space="0"/>
            </w:tcBorders>
            <w:vAlign w:val="center"/>
          </w:tcPr>
          <w:p w14:paraId="7700542F">
            <w:pPr>
              <w:widowControl/>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lang w:bidi="ar"/>
              </w:rPr>
              <w:t>#7 AND #8 in Trials</w:t>
            </w:r>
          </w:p>
        </w:tc>
      </w:tr>
    </w:tbl>
    <w:p w14:paraId="4594D98A"/>
    <w:p w14:paraId="7A6A51CE"/>
    <w:p w14:paraId="5BD14166">
      <w:pPr>
        <w:widowControl/>
        <w:jc w:val="left"/>
        <w:sectPr>
          <w:pgSz w:w="11906" w:h="16838"/>
          <w:pgMar w:top="1440" w:right="1800" w:bottom="1440" w:left="1800" w:header="851" w:footer="992" w:gutter="0"/>
          <w:cols w:space="425" w:num="1"/>
          <w:docGrid w:type="lines" w:linePitch="312" w:charSpace="0"/>
        </w:sectPr>
      </w:pPr>
      <w:r>
        <w:br w:type="page"/>
      </w:r>
    </w:p>
    <w:p w14:paraId="05C6BFBF">
      <w:pPr>
        <w:pStyle w:val="11"/>
        <w:outlineLvl w:val="0"/>
        <w:rPr>
          <w:rFonts w:ascii="Times New Roman" w:hAnsi="Times New Roman"/>
        </w:rPr>
      </w:pPr>
      <w:bookmarkStart w:id="2" w:name="_Toc4899"/>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1</w:t>
      </w:r>
      <w:r>
        <w:rPr>
          <w:rFonts w:hint="eastAsia" w:ascii="Times New Roman" w:hAnsi="Times New Roman"/>
        </w:rPr>
        <w:fldChar w:fldCharType="end"/>
      </w:r>
      <w:r>
        <w:rPr>
          <w:rFonts w:hint="eastAsia" w:ascii="Times New Roman" w:hAnsi="Times New Roman"/>
        </w:rPr>
        <w:t xml:space="preserve">: Risk of bias </w:t>
      </w:r>
      <w:r>
        <w:rPr>
          <w:rFonts w:ascii="Times New Roman" w:hAnsi="Times New Roman"/>
        </w:rPr>
        <w:t>assessment</w:t>
      </w:r>
      <w:bookmarkEnd w:id="2"/>
    </w:p>
    <w:p w14:paraId="34B6C61F">
      <w:pPr>
        <w:tabs>
          <w:tab w:val="left" w:pos="1050"/>
        </w:tabs>
      </w:pPr>
      <w:r>
        <w:rPr>
          <w:rFonts w:hint="eastAsia"/>
        </w:rPr>
        <w:drawing>
          <wp:inline distT="0" distB="0" distL="114300" distR="114300">
            <wp:extent cx="3933825" cy="1661795"/>
            <wp:effectExtent l="0" t="0" r="0" b="5080"/>
            <wp:docPr id="12" name="图片 12" descr="Risk of bia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isk of bias graph"/>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3933825" cy="1661795"/>
                    </a:xfrm>
                    <a:prstGeom prst="rect">
                      <a:avLst/>
                    </a:prstGeom>
                  </pic:spPr>
                </pic:pic>
              </a:graphicData>
            </a:graphic>
          </wp:inline>
        </w:drawing>
      </w:r>
      <w:r>
        <w:rPr>
          <w:rFonts w:hint="eastAsia"/>
        </w:rPr>
        <w:drawing>
          <wp:inline distT="0" distB="0" distL="114300" distR="114300">
            <wp:extent cx="2932430" cy="4709160"/>
            <wp:effectExtent l="0" t="0" r="1270" b="5715"/>
            <wp:docPr id="13" name="图片 13" descr="Risk of bia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Risk of bias summary"/>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2932430" cy="4709160"/>
                    </a:xfrm>
                    <a:prstGeom prst="rect">
                      <a:avLst/>
                    </a:prstGeom>
                  </pic:spPr>
                </pic:pic>
              </a:graphicData>
            </a:graphic>
          </wp:inline>
        </w:drawing>
      </w:r>
    </w:p>
    <w:p w14:paraId="62DB74E4">
      <w:pPr>
        <w:tabs>
          <w:tab w:val="left" w:pos="1050"/>
        </w:tabs>
      </w:pPr>
      <w:r>
        <w:rPr>
          <w:rFonts w:hint="eastAsia"/>
        </w:rPr>
        <w:br w:type="page"/>
      </w:r>
    </w:p>
    <w:p w14:paraId="28AA6CEB">
      <w:pPr>
        <w:pStyle w:val="11"/>
        <w:outlineLvl w:val="0"/>
        <w:rPr>
          <w:rFonts w:ascii="Times New Roman" w:hAnsi="Times New Roman"/>
        </w:rPr>
      </w:pPr>
      <w:bookmarkStart w:id="3" w:name="_Toc10433"/>
      <w:r>
        <w:rPr>
          <w:rFonts w:hint="eastAsia" w:ascii="Times New Roman" w:hAnsi="Times New Roman"/>
        </w:rPr>
        <w:t xml:space="preserve">Supplementary </w:t>
      </w: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Supplementary_Table \* ARABIC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hint="eastAsia" w:ascii="Times New Roman" w:hAnsi="Times New Roman"/>
        </w:rPr>
        <w:t xml:space="preserve">: </w:t>
      </w:r>
      <w:r>
        <w:rPr>
          <w:rFonts w:ascii="Times New Roman" w:hAnsi="Times New Roman"/>
        </w:rPr>
        <w:t xml:space="preserve">Confidence in </w:t>
      </w:r>
      <w:r>
        <w:rPr>
          <w:rFonts w:hint="eastAsia" w:ascii="Times New Roman" w:hAnsi="Times New Roman"/>
        </w:rPr>
        <w:t>estimates from network meta-analysis.</w:t>
      </w:r>
      <w:bookmarkEnd w:id="3"/>
    </w:p>
    <w:tbl>
      <w:tblPr>
        <w:tblW w:w="104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928"/>
        <w:gridCol w:w="883"/>
        <w:gridCol w:w="1225"/>
        <w:gridCol w:w="910"/>
        <w:gridCol w:w="1052"/>
        <w:gridCol w:w="1216"/>
        <w:gridCol w:w="1191"/>
        <w:gridCol w:w="1052"/>
        <w:gridCol w:w="990"/>
      </w:tblGrid>
      <w:tr w14:paraId="4B0C6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14D2DC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Comparison</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156C2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Number of studies</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CE1CB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Within-study bias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FE18E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Reporting bias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DAA1D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Indirectness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76AFA8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Imprecision</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3FE068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Heterogeneity</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79744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Incoherence</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05841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b/>
                <w:bCs/>
                <w:i w:val="0"/>
                <w:iCs w:val="0"/>
                <w:color w:val="000000"/>
                <w:sz w:val="16"/>
                <w:szCs w:val="16"/>
                <w:u w:val="none"/>
              </w:rPr>
            </w:pPr>
            <w:r>
              <w:rPr>
                <w:rFonts w:hint="default" w:ascii="Times New Roman" w:hAnsi="Times New Roman" w:eastAsia="微软雅黑" w:cs="Times New Roman"/>
                <w:b w:val="0"/>
                <w:bCs/>
                <w:i/>
                <w:iCs w:val="0"/>
                <w:color w:val="000000"/>
                <w:kern w:val="0"/>
                <w:sz w:val="16"/>
                <w:szCs w:val="16"/>
                <w:u w:val="none"/>
                <w:bdr w:val="none" w:color="auto" w:sz="0" w:space="0"/>
                <w:lang w:val="en-US" w:eastAsia="zh-CN" w:bidi="ar"/>
              </w:rPr>
              <w:t>Confidence rating</w:t>
            </w:r>
          </w:p>
        </w:tc>
      </w:tr>
      <w:tr w14:paraId="4C02E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2CE63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FIL 200mg</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D6874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96FD5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E7C81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CD325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6EC7C9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6ABA99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FB14C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08951F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663D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40A481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PBO</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AAB63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6A5D38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3F7989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690D6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18F7F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570D68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4E091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5AE5DB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D0A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4B3F5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PBO</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D5700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30CAFE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6FA20F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7103A7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BBEBB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6FD379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9B6BA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58B62B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0EC8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6BAD3C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GUS vs PBO</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28D632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F282C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41A21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B4C92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477BE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3772DF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4D8E4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2E148A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0875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3B88EE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MIRI vs PBO</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64D5A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33AF35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3BC33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7B8610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05F5C7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752AC3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776B76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BD9E8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7ACB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18ACB1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PBO vs RIS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72A6B2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1D72CE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EDD77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D09FE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A91EF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AD3A7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9651F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4F0C89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0E693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510B08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PBO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353C7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AAA06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Major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3D3C0D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510C2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51587B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1298A2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01994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4822A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24D6A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20A3CC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RIS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6A3D9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1EBC1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Major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1C0ED2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981F4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3E8177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AAB04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2F7D5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476771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726A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5468D5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GUS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62944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27A134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F5C43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A7634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5B5295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2FD9B1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98013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46857B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7E781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63FD06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MIRI</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CE859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50AE7C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6057E3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9A206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19B0C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41FDBB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8D84F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D8CBB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3E3C1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44B0BA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RIS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310CC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19159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0D4D6A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EB375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9EDE8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7D55A3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A8D31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0EA55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3BBC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6E6B3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EF886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2CA5B8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160448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A6BC3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2240DD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66AC53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83880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69379D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53F3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21442E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100mg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8CC00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374420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0A7B39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7D06F7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5FA22B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0A5E8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1B19F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6A31D2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1393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7C66F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GUS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45B61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91D80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44E4C3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778552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1F667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CBB05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6DF62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0CF5D6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89E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2914AE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MIRI</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515A5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2315E8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F7117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BD939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69EA3A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2D76CD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A9D6E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DB2D60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2FF2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43271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RIS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1766AD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17D291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439BD7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524118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D9891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530448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01CF1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75D9AB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06642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CDC0F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7009B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2BD4A8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3B5321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19AEB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39C433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399E39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E142C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0FDB32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603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2C862E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FIL 200mg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B8DD3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DDAD0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49B2C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AC219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0DFB7F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474E6E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526F2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5F17C7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74CC6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14B976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GUS vs MIRI</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C4B64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608ED2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60C7A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B21F8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818A9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25A62E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5DF7F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A1700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3E88C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7A8672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GUS vs RIS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D1D6B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1B6544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258EC6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6049C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D097F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2CCD82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5F7BF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21B1CA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62A39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696C31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GUS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32D08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106F8A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441AFD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425D2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796CF0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FF420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2F03C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B7FCE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w:t>
            </w:r>
          </w:p>
        </w:tc>
      </w:tr>
      <w:tr w14:paraId="41ED7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1437E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GUS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7763A5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6C0EC0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F2C8C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AC589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0E6E3C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8A00D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C5181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C7DAC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w:t>
            </w:r>
          </w:p>
        </w:tc>
      </w:tr>
      <w:tr w14:paraId="615D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96C8F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MIRI vs RIS</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6B12B8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243A25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633EA0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F9918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5A0A2E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43A8C1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3CEB00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07A774A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13A7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C5D81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MIRI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01477C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FC292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21E695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1BC249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7C364F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3C3471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DAFDB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54EE48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4D48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103AB4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MIRI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D7FD5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166F60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53DF2A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83F02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50EDB1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60F76F7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4D5DDF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229105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0D308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182C29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PBO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4D0CDE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75778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7348C3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38EE4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1CC48E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0A505A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04E173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929BB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High</w:t>
            </w:r>
          </w:p>
        </w:tc>
      </w:tr>
      <w:tr w14:paraId="7FF1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D11BF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RIS vs UPA</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3BD07A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74B8AD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1D3E9F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F042D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72D846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4707F7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69CD7A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1E812F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r w14:paraId="5290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7" w:hRule="atLeast"/>
          <w:jc w:val="center"/>
        </w:trPr>
        <w:tc>
          <w:tcPr>
            <w:tcW w:w="1928" w:type="dxa"/>
            <w:tcBorders>
              <w:top w:val="single" w:color="000000" w:sz="4" w:space="0"/>
              <w:left w:val="single" w:color="000000" w:sz="4" w:space="0"/>
              <w:bottom w:val="single" w:color="000000" w:sz="4" w:space="0"/>
              <w:right w:val="single" w:color="000000" w:sz="4" w:space="0"/>
            </w:tcBorders>
            <w:shd w:val="clear"/>
            <w:vAlign w:val="center"/>
          </w:tcPr>
          <w:p w14:paraId="0D1957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UPA vs UST</w:t>
            </w:r>
          </w:p>
        </w:tc>
        <w:tc>
          <w:tcPr>
            <w:tcW w:w="883" w:type="dxa"/>
            <w:tcBorders>
              <w:top w:val="single" w:color="000000" w:sz="4" w:space="0"/>
              <w:left w:val="single" w:color="000000" w:sz="4" w:space="0"/>
              <w:bottom w:val="single" w:color="000000" w:sz="4" w:space="0"/>
              <w:right w:val="single" w:color="000000" w:sz="4" w:space="0"/>
            </w:tcBorders>
            <w:shd w:val="clear"/>
            <w:vAlign w:val="center"/>
          </w:tcPr>
          <w:p w14:paraId="567BAD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0</w:t>
            </w:r>
          </w:p>
        </w:tc>
        <w:tc>
          <w:tcPr>
            <w:tcW w:w="1225" w:type="dxa"/>
            <w:tcBorders>
              <w:top w:val="single" w:color="000000" w:sz="4" w:space="0"/>
              <w:left w:val="single" w:color="000000" w:sz="4" w:space="0"/>
              <w:bottom w:val="single" w:color="000000" w:sz="4" w:space="0"/>
              <w:right w:val="single" w:color="000000" w:sz="4" w:space="0"/>
            </w:tcBorders>
            <w:shd w:val="clear"/>
            <w:vAlign w:val="center"/>
          </w:tcPr>
          <w:p w14:paraId="071027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Major concerns</w:t>
            </w:r>
          </w:p>
        </w:tc>
        <w:tc>
          <w:tcPr>
            <w:tcW w:w="910" w:type="dxa"/>
            <w:tcBorders>
              <w:top w:val="single" w:color="000000" w:sz="4" w:space="0"/>
              <w:left w:val="single" w:color="000000" w:sz="4" w:space="0"/>
              <w:bottom w:val="single" w:color="000000" w:sz="4" w:space="0"/>
              <w:right w:val="single" w:color="000000" w:sz="4" w:space="0"/>
            </w:tcBorders>
            <w:shd w:val="clear"/>
            <w:vAlign w:val="center"/>
          </w:tcPr>
          <w:p w14:paraId="0C6F1B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Low risk</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F2316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216" w:type="dxa"/>
            <w:tcBorders>
              <w:top w:val="single" w:color="000000" w:sz="4" w:space="0"/>
              <w:left w:val="single" w:color="000000" w:sz="4" w:space="0"/>
              <w:bottom w:val="single" w:color="000000" w:sz="4" w:space="0"/>
              <w:right w:val="single" w:color="000000" w:sz="4" w:space="0"/>
            </w:tcBorders>
            <w:shd w:val="clear"/>
            <w:vAlign w:val="center"/>
          </w:tcPr>
          <w:p w14:paraId="4E653F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Some concerns</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14:paraId="2E5BF5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1052" w:type="dxa"/>
            <w:tcBorders>
              <w:top w:val="single" w:color="000000" w:sz="4" w:space="0"/>
              <w:left w:val="single" w:color="000000" w:sz="4" w:space="0"/>
              <w:bottom w:val="single" w:color="000000" w:sz="4" w:space="0"/>
              <w:right w:val="single" w:color="000000" w:sz="4" w:space="0"/>
            </w:tcBorders>
            <w:shd w:val="clear"/>
            <w:vAlign w:val="center"/>
          </w:tcPr>
          <w:p w14:paraId="20FB04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No concerns</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14:paraId="36136D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微软雅黑" w:cs="Times New Roman"/>
                <w:i w:val="0"/>
                <w:iCs w:val="0"/>
                <w:color w:val="000000"/>
                <w:sz w:val="16"/>
                <w:szCs w:val="16"/>
                <w:u w:val="none"/>
              </w:rPr>
            </w:pPr>
            <w:r>
              <w:rPr>
                <w:rFonts w:hint="default" w:ascii="Times New Roman" w:hAnsi="Times New Roman" w:eastAsia="微软雅黑" w:cs="Times New Roman"/>
                <w:i w:val="0"/>
                <w:iCs w:val="0"/>
                <w:color w:val="000000"/>
                <w:kern w:val="0"/>
                <w:sz w:val="16"/>
                <w:szCs w:val="16"/>
                <w:u w:val="none"/>
                <w:bdr w:val="none" w:color="auto" w:sz="0" w:space="0"/>
                <w:lang w:val="en-US" w:eastAsia="zh-CN" w:bidi="ar"/>
              </w:rPr>
              <w:t>Moderate</w:t>
            </w:r>
          </w:p>
        </w:tc>
      </w:tr>
    </w:tbl>
    <w:p w14:paraId="2D214232">
      <w:pPr>
        <w:pStyle w:val="11"/>
        <w:keepLines/>
        <w:rPr>
          <w:rFonts w:ascii="Times New Roman" w:hAnsi="Times New Roman"/>
        </w:rPr>
      </w:pPr>
      <w:r>
        <w:rPr>
          <w:rFonts w:hint="eastAsia" w:ascii="Times New Roman" w:hAnsi="Times New Roman"/>
        </w:rPr>
        <w:t>FIL: filgotinib. PBO: placebo. GUS: guselkumab. MIRI: mirikizumab. RIS: risankizumab. UPA: upadacitinib. UST: ustekinumab.</w:t>
      </w:r>
      <w:r>
        <w:rPr>
          <w:rFonts w:ascii="Times New Roman" w:hAnsi="Times New Roman"/>
        </w:rPr>
        <w:br w:type="page"/>
      </w:r>
    </w:p>
    <w:p w14:paraId="6FF5554C">
      <w:pPr>
        <w:pStyle w:val="11"/>
        <w:outlineLvl w:val="0"/>
      </w:pPr>
      <w:bookmarkStart w:id="4" w:name="_Toc13717"/>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2</w:t>
      </w:r>
      <w:r>
        <w:rPr>
          <w:rFonts w:hint="eastAsia" w:ascii="Times New Roman" w:hAnsi="Times New Roman"/>
        </w:rPr>
        <w:fldChar w:fldCharType="end"/>
      </w:r>
      <w:r>
        <w:rPr>
          <w:rFonts w:hint="eastAsia" w:ascii="Times New Roman" w:hAnsi="Times New Roman"/>
        </w:rPr>
        <w:t>: Funnel plots of different outcomes in network meta-analysis</w:t>
      </w:r>
      <w:r>
        <w:rPr>
          <w:rFonts w:hint="eastAsia"/>
        </w:rPr>
        <w:t>.</w:t>
      </w:r>
      <w:bookmarkEnd w:id="4"/>
    </w:p>
    <w:p w14:paraId="31D63C59">
      <w:pPr>
        <w:rPr>
          <w:rFonts w:hint="eastAsia" w:eastAsia="宋体"/>
          <w:lang w:eastAsia="zh-CN"/>
        </w:rPr>
      </w:pPr>
      <w:r>
        <w:rPr>
          <w:rFonts w:hint="eastAsia" w:eastAsia="宋体"/>
          <w:lang w:eastAsia="zh-CN"/>
        </w:rPr>
        <w:drawing>
          <wp:inline distT="0" distB="0" distL="114300" distR="114300">
            <wp:extent cx="5268595" cy="5772150"/>
            <wp:effectExtent l="0" t="0" r="8255" b="0"/>
            <wp:docPr id="3" name="图片 3" descr="CD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漏斗图"/>
                    <pic:cNvPicPr>
                      <a:picLocks noChangeAspect="1"/>
                    </pic:cNvPicPr>
                  </pic:nvPicPr>
                  <pic:blipFill>
                    <a:blip r:embed="rId8"/>
                    <a:stretch>
                      <a:fillRect/>
                    </a:stretch>
                  </pic:blipFill>
                  <pic:spPr>
                    <a:xfrm>
                      <a:off x="0" y="0"/>
                      <a:ext cx="5268595" cy="5772150"/>
                    </a:xfrm>
                    <a:prstGeom prst="rect">
                      <a:avLst/>
                    </a:prstGeom>
                  </pic:spPr>
                </pic:pic>
              </a:graphicData>
            </a:graphic>
          </wp:inline>
        </w:drawing>
      </w:r>
    </w:p>
    <w:p w14:paraId="02D5E001">
      <w:r>
        <w:rPr>
          <w:rFonts w:cs="Times New Roman"/>
          <w:lang w:bidi="ar"/>
        </w:rPr>
        <w:t xml:space="preserve">IV: intravenous. SC: </w:t>
      </w:r>
      <w:r>
        <w:rPr>
          <w:rFonts w:cs="Times New Roman"/>
          <w:sz w:val="24"/>
          <w:szCs w:val="24"/>
          <w:lang w:bidi="ar"/>
        </w:rPr>
        <w:t>subcutaneous</w:t>
      </w:r>
      <w:r>
        <w:rPr>
          <w:rFonts w:hint="eastAsia" w:cs="Times New Roman"/>
          <w:sz w:val="24"/>
          <w:szCs w:val="24"/>
          <w:lang w:bidi="ar"/>
        </w:rPr>
        <w:t>.</w:t>
      </w:r>
    </w:p>
    <w:p w14:paraId="61FF2648">
      <w:pPr>
        <w:pStyle w:val="11"/>
        <w:outlineLvl w:val="0"/>
        <w:rPr>
          <w:rFonts w:ascii="Times New Roman" w:hAnsi="Times New Roman"/>
        </w:rPr>
      </w:pPr>
      <w:r>
        <w:br w:type="page"/>
      </w:r>
      <w:bookmarkStart w:id="5" w:name="_Toc29438"/>
      <w:r>
        <w:rPr>
          <w:rFonts w:hint="eastAsia" w:ascii="Times New Roman" w:hAnsi="Times New Roman"/>
        </w:rPr>
        <w:t xml:space="preserve">Supplemetary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3</w:t>
      </w:r>
      <w:r>
        <w:rPr>
          <w:rFonts w:hint="eastAsia" w:ascii="Times New Roman" w:hAnsi="Times New Roman"/>
        </w:rPr>
        <w:fldChar w:fldCharType="end"/>
      </w:r>
      <w:r>
        <w:rPr>
          <w:rFonts w:hint="eastAsia" w:ascii="Times New Roman" w:hAnsi="Times New Roman"/>
        </w:rPr>
        <w:t xml:space="preserve"> : Network map for induction trials assessing secondary outcomes.</w:t>
      </w:r>
      <w:bookmarkEnd w:id="5"/>
    </w:p>
    <w:p w14:paraId="146C8089">
      <w:r>
        <w:rPr>
          <w:rFonts w:hint="eastAsia"/>
        </w:rPr>
        <w:drawing>
          <wp:inline distT="0" distB="0" distL="114300" distR="114300">
            <wp:extent cx="5143500" cy="4279900"/>
            <wp:effectExtent l="0" t="0" r="0" b="6350"/>
            <wp:docPr id="2" name="图片 2" descr="网状证据图 PRO ER AES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网状证据图 PRO ER AESAE"/>
                    <pic:cNvPicPr>
                      <a:picLocks noChangeAspect="1"/>
                    </pic:cNvPicPr>
                  </pic:nvPicPr>
                  <pic:blipFill>
                    <a:blip r:embed="rId9"/>
                    <a:stretch>
                      <a:fillRect/>
                    </a:stretch>
                  </pic:blipFill>
                  <pic:spPr>
                    <a:xfrm>
                      <a:off x="0" y="0"/>
                      <a:ext cx="5143500" cy="4279900"/>
                    </a:xfrm>
                    <a:prstGeom prst="rect">
                      <a:avLst/>
                    </a:prstGeom>
                  </pic:spPr>
                </pic:pic>
              </a:graphicData>
            </a:graphic>
          </wp:inline>
        </w:drawing>
      </w:r>
    </w:p>
    <w:p w14:paraId="218BD339">
      <w:r>
        <w:rPr>
          <w:rFonts w:hint="eastAsia"/>
        </w:rPr>
        <w:t xml:space="preserve">Node size (the size of the circle) corresponds to the number of study participants for each intervention, and connection size (line thickness) corresponds to the number of studies for each comparison. </w:t>
      </w:r>
      <w:r>
        <w:t>IV: intravenous. SC: subcutaneous</w:t>
      </w:r>
      <w:r>
        <w:rPr>
          <w:rFonts w:hint="eastAsia"/>
        </w:rPr>
        <w:t>.</w:t>
      </w:r>
    </w:p>
    <w:p w14:paraId="0C33082E">
      <w:pPr>
        <w:pStyle w:val="11"/>
        <w:outlineLvl w:val="0"/>
      </w:pPr>
      <w:r>
        <w:br w:type="page"/>
      </w:r>
      <w:bookmarkStart w:id="6" w:name="_Toc26693"/>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4</w:t>
      </w:r>
      <w:r>
        <w:rPr>
          <w:rFonts w:hint="eastAsia" w:ascii="Times New Roman" w:hAnsi="Times New Roman"/>
        </w:rPr>
        <w:fldChar w:fldCharType="end"/>
      </w:r>
      <w:r>
        <w:rPr>
          <w:rFonts w:hint="eastAsia" w:ascii="Times New Roman" w:hAnsi="Times New Roman"/>
        </w:rPr>
        <w:t>: Pair-wise meta-analysis for induction of clinical remission.</w:t>
      </w:r>
      <w:bookmarkEnd w:id="6"/>
    </w:p>
    <w:p w14:paraId="1CCD715A">
      <w:r>
        <w:rPr>
          <w:rFonts w:hint="eastAsia"/>
        </w:rPr>
        <w:drawing>
          <wp:inline distT="0" distB="0" distL="114300" distR="114300">
            <wp:extent cx="5231765" cy="7207885"/>
            <wp:effectExtent l="0" t="0" r="6985" b="2540"/>
            <wp:docPr id="7" name="图片 7" descr="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5231765" cy="7207885"/>
                    </a:xfrm>
                    <a:prstGeom prst="rect">
                      <a:avLst/>
                    </a:prstGeom>
                  </pic:spPr>
                </pic:pic>
              </a:graphicData>
            </a:graphic>
          </wp:inline>
        </w:drawing>
      </w:r>
    </w:p>
    <w:p w14:paraId="10825CB8"/>
    <w:p w14:paraId="742BBC35">
      <w:r>
        <w:rPr>
          <w:rFonts w:hint="eastAsia"/>
        </w:rPr>
        <w:br w:type="page"/>
      </w:r>
    </w:p>
    <w:p w14:paraId="4CE03464">
      <w:pPr>
        <w:pStyle w:val="11"/>
        <w:outlineLvl w:val="0"/>
        <w:rPr>
          <w:rFonts w:ascii="Times New Roman" w:hAnsi="Times New Roman"/>
        </w:rPr>
      </w:pPr>
      <w:bookmarkStart w:id="7" w:name="_Toc13403"/>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5</w:t>
      </w:r>
      <w:r>
        <w:rPr>
          <w:rFonts w:hint="eastAsia" w:ascii="Times New Roman" w:hAnsi="Times New Roman"/>
        </w:rPr>
        <w:fldChar w:fldCharType="end"/>
      </w:r>
      <w:r>
        <w:rPr>
          <w:rFonts w:hint="eastAsia" w:ascii="Times New Roman" w:hAnsi="Times New Roman"/>
        </w:rPr>
        <w:t>: Pair-wise meta-analysis for induction of endoscopic improvement.</w:t>
      </w:r>
      <w:bookmarkEnd w:id="7"/>
    </w:p>
    <w:p w14:paraId="5046B2F9">
      <w:r>
        <w:rPr>
          <w:rFonts w:hint="eastAsia"/>
        </w:rPr>
        <w:drawing>
          <wp:inline distT="0" distB="0" distL="114300" distR="114300">
            <wp:extent cx="5240020" cy="6553835"/>
            <wp:effectExtent l="0" t="0" r="8255" b="8890"/>
            <wp:docPr id="9" name="图片 9" desc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I"/>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240020" cy="6553835"/>
                    </a:xfrm>
                    <a:prstGeom prst="rect">
                      <a:avLst/>
                    </a:prstGeom>
                  </pic:spPr>
                </pic:pic>
              </a:graphicData>
            </a:graphic>
          </wp:inline>
        </w:drawing>
      </w:r>
    </w:p>
    <w:p w14:paraId="434CE1B5"/>
    <w:p w14:paraId="777BC221">
      <w:r>
        <w:br w:type="page"/>
      </w:r>
    </w:p>
    <w:p w14:paraId="61D362F9">
      <w:pPr>
        <w:pStyle w:val="11"/>
        <w:outlineLvl w:val="0"/>
      </w:pPr>
      <w:bookmarkStart w:id="8" w:name="_Toc28429"/>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6</w:t>
      </w:r>
      <w:r>
        <w:rPr>
          <w:rFonts w:hint="eastAsia" w:ascii="Times New Roman" w:hAnsi="Times New Roman"/>
        </w:rPr>
        <w:fldChar w:fldCharType="end"/>
      </w:r>
      <w:r>
        <w:rPr>
          <w:rFonts w:hint="eastAsia" w:ascii="Times New Roman" w:hAnsi="Times New Roman"/>
        </w:rPr>
        <w:t>: Pair-wise meta-analysis for induction of endoscopic remission.</w:t>
      </w:r>
      <w:bookmarkEnd w:id="8"/>
    </w:p>
    <w:p w14:paraId="0588D562">
      <w:r>
        <w:rPr>
          <w:rFonts w:hint="eastAsia"/>
        </w:rPr>
        <w:drawing>
          <wp:inline distT="0" distB="0" distL="114300" distR="114300">
            <wp:extent cx="5193030" cy="4234815"/>
            <wp:effectExtent l="0" t="0" r="7620" b="3810"/>
            <wp:docPr id="10" name="图片 10" desc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5193030" cy="4234815"/>
                    </a:xfrm>
                    <a:prstGeom prst="rect">
                      <a:avLst/>
                    </a:prstGeom>
                  </pic:spPr>
                </pic:pic>
              </a:graphicData>
            </a:graphic>
          </wp:inline>
        </w:drawing>
      </w:r>
    </w:p>
    <w:p w14:paraId="6D6ECBCB">
      <w:r>
        <w:rPr>
          <w:rFonts w:hint="eastAsia"/>
        </w:rPr>
        <w:br w:type="page"/>
      </w:r>
    </w:p>
    <w:p w14:paraId="4E8D179E">
      <w:pPr>
        <w:pStyle w:val="11"/>
        <w:outlineLvl w:val="0"/>
        <w:rPr>
          <w:rFonts w:ascii="Times New Roman" w:hAnsi="Times New Roman"/>
        </w:rPr>
      </w:pPr>
      <w:bookmarkStart w:id="9" w:name="_Toc14855"/>
      <w:r>
        <w:rPr>
          <w:rFonts w:hint="eastAsia" w:ascii="Times New Roman" w:hAnsi="Times New Roman"/>
        </w:rPr>
        <w:t xml:space="preserve">Supplementary Figure </w:t>
      </w:r>
      <w:r>
        <w:rPr>
          <w:rFonts w:hint="eastAsia" w:ascii="Times New Roman" w:hAnsi="Times New Roman"/>
        </w:rPr>
        <w:fldChar w:fldCharType="begin"/>
      </w:r>
      <w:r>
        <w:rPr>
          <w:rFonts w:hint="eastAsia" w:ascii="Times New Roman" w:hAnsi="Times New Roman"/>
        </w:rPr>
        <w:instrText xml:space="preserve"> SEQ Supplemetary_Fig. \* ARABIC </w:instrText>
      </w:r>
      <w:r>
        <w:rPr>
          <w:rFonts w:hint="eastAsia" w:ascii="Times New Roman" w:hAnsi="Times New Roman"/>
        </w:rPr>
        <w:fldChar w:fldCharType="separate"/>
      </w:r>
      <w:r>
        <w:rPr>
          <w:rFonts w:hint="eastAsia" w:ascii="Times New Roman" w:hAnsi="Times New Roman"/>
        </w:rPr>
        <w:t>7</w:t>
      </w:r>
      <w:r>
        <w:rPr>
          <w:rFonts w:hint="eastAsia" w:ascii="Times New Roman" w:hAnsi="Times New Roman"/>
        </w:rPr>
        <w:fldChar w:fldCharType="end"/>
      </w:r>
      <w:r>
        <w:rPr>
          <w:rFonts w:hint="eastAsia" w:ascii="Times New Roman" w:hAnsi="Times New Roman"/>
        </w:rPr>
        <w:t xml:space="preserve">: Pair-wise meta-analysis for induction of </w:t>
      </w:r>
      <w:r>
        <w:rPr>
          <w:rFonts w:ascii="Times New Roman" w:hAnsi="Times New Roman" w:eastAsia="宋体" w:cs="Times New Roman"/>
          <w:sz w:val="21"/>
          <w:lang w:bidi="ar"/>
        </w:rPr>
        <w:t>patient-reported outcome</w:t>
      </w:r>
      <w:r>
        <w:rPr>
          <w:rFonts w:hint="eastAsia" w:ascii="Times New Roman" w:hAnsi="Times New Roman" w:eastAsia="宋体" w:cs="Times New Roman"/>
          <w:sz w:val="21"/>
          <w:lang w:bidi="ar"/>
        </w:rPr>
        <w:t>s</w:t>
      </w:r>
      <w:r>
        <w:rPr>
          <w:rFonts w:hint="eastAsia" w:ascii="Times New Roman" w:hAnsi="Times New Roman"/>
        </w:rPr>
        <w:t xml:space="preserve"> remission.</w:t>
      </w:r>
      <w:bookmarkEnd w:id="9"/>
    </w:p>
    <w:p w14:paraId="15CFDF65">
      <w:r>
        <w:rPr>
          <w:rFonts w:hint="eastAsia"/>
        </w:rPr>
        <w:drawing>
          <wp:inline distT="0" distB="0" distL="114300" distR="114300">
            <wp:extent cx="5212715" cy="5875655"/>
            <wp:effectExtent l="0" t="0" r="6985" b="1270"/>
            <wp:docPr id="11" name="图片 11" descr="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PRO"/>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5212715" cy="5875655"/>
                    </a:xfrm>
                    <a:prstGeom prst="rect">
                      <a:avLst/>
                    </a:prstGeom>
                  </pic:spPr>
                </pic:pic>
              </a:graphicData>
            </a:graphic>
          </wp:inline>
        </w:drawing>
      </w:r>
    </w:p>
    <w:p w14:paraId="62B9D4BF"/>
    <w:p w14:paraId="0E237FED">
      <w:pPr>
        <w:sectPr>
          <w:pgSz w:w="11906" w:h="16838"/>
          <w:pgMar w:top="1440" w:right="1800" w:bottom="1440" w:left="1800" w:header="851" w:footer="992" w:gutter="0"/>
          <w:cols w:space="425" w:num="1"/>
          <w:docGrid w:type="lines" w:linePitch="312" w:charSpace="0"/>
        </w:sectPr>
      </w:pPr>
    </w:p>
    <w:p w14:paraId="64B0BB02">
      <w:pPr>
        <w:pStyle w:val="11"/>
        <w:outlineLvl w:val="0"/>
        <w:rPr>
          <w:rFonts w:ascii="Times New Roman" w:hAnsi="Times New Roman" w:eastAsia="宋体" w:cs="Times New Roman"/>
          <w:sz w:val="21"/>
          <w:lang w:bidi="ar"/>
        </w:rPr>
      </w:pPr>
      <w:bookmarkStart w:id="10" w:name="_Toc8216"/>
      <w:r>
        <w:rPr>
          <w:rFonts w:ascii="Times New Roman" w:hAnsi="Times New Roman" w:eastAsia="宋体" w:cs="Times New Roman"/>
          <w:sz w:val="21"/>
          <w:lang w:bidi="ar"/>
        </w:rPr>
        <w:t xml:space="preserve">Supplementary 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3</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clinical remission</w:t>
      </w:r>
      <w:r>
        <w:rPr>
          <w:rFonts w:ascii="Times New Roman" w:hAnsi="Times New Roman" w:eastAsia="宋体" w:cs="Times New Roman"/>
          <w:sz w:val="21"/>
          <w:lang w:bidi="ar"/>
        </w:rPr>
        <w:t xml:space="preserve"> in network meta-analysis.</w:t>
      </w:r>
      <w:bookmarkEnd w:id="10"/>
      <w:r>
        <w:rPr>
          <w:rFonts w:ascii="Times New Roman" w:hAnsi="Times New Roman" w:eastAsia="宋体" w:cs="Times New Roman"/>
          <w:sz w:val="21"/>
          <w:lang w:bidi="ar"/>
        </w:rPr>
        <w:t xml:space="preserve"> </w:t>
      </w:r>
    </w:p>
    <w:tbl>
      <w:tblPr>
        <w:tblW w:w="145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12"/>
        <w:gridCol w:w="1614"/>
        <w:gridCol w:w="1604"/>
        <w:gridCol w:w="1600"/>
        <w:gridCol w:w="1599"/>
        <w:gridCol w:w="1661"/>
        <w:gridCol w:w="1661"/>
        <w:gridCol w:w="1601"/>
        <w:gridCol w:w="1592"/>
      </w:tblGrid>
      <w:tr w14:paraId="2C42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B31851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Guselkumab_IV</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7EA75281">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1.08 (0.65,1.78)</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55E47810">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0.80 (0.53,1.21)</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587BFDE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0.62 (0.40,0.95)</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7010B1CD">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0.72 (0.49,1.08)</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4D57967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0.47 (0.31,0.71)</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21052E04">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0.59 (0.39,0.88)</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28AA6F0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0.70 (0.44,1.12)</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1A4528E9">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0.41 (0.29,0.58)</w:t>
            </w:r>
          </w:p>
        </w:tc>
      </w:tr>
      <w:tr w14:paraId="46A24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0833548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0.93 (0.56,1.53)</w:t>
            </w:r>
          </w:p>
        </w:tc>
        <w:tc>
          <w:tcPr>
            <w:tcW w:w="161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43CB5C7">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Guselkumab_SC</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12ECA7B0">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0.74 (0.49,1.14)</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7A9582A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0.57 (0.36,0.90)</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35FDC60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0.67 (0.44,1.02)</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75B382C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0.44 (0.28,0.67)</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2910B64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0.54 (0.35,0.83)</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22DEF7A0">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0.65 (0.40,1.05)</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2B9337C4">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0.38 (0.26,0.55)</w:t>
            </w:r>
          </w:p>
        </w:tc>
      </w:tr>
      <w:tr w14:paraId="66BF6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49D74561">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1.25 (0.83,1.87)</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0743DA51">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1.34 (0.88,2.06)</w:t>
            </w:r>
          </w:p>
        </w:tc>
        <w:tc>
          <w:tcPr>
            <w:tcW w:w="160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3E5408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Risankizumab</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7195AFF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0.77 (0.55,1.08)</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196FE84D">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0.90 (0.67,1.21)</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12F2AC9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0.59 (0.43,0.81)</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7EBAD72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0.73 (0.54,1.00)</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107D97C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0.87 (0.70,1.10)</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5024826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0.51 (0.41,0.64)</w:t>
            </w:r>
          </w:p>
        </w:tc>
      </w:tr>
      <w:tr w14:paraId="612BB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62F33E3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1.62 (1.05,2.50)</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4A5EF9A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1.75 (1.12,2.75)</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24943154">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1.30 (0.93,1.83)</w:t>
            </w:r>
          </w:p>
        </w:tc>
        <w:tc>
          <w:tcPr>
            <w:tcW w:w="1600"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C58F8C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Mirikizumab</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03AB9A6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1.17 (0.84,1.63)</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76EB0F8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0.77 (0.54,1.08)</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6EE38527">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0.95 (0.68,1.34)</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0EE7D45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1.14 (0.76,1.72)</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4F338D41">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0.67 (0.51,0.87)</w:t>
            </w:r>
          </w:p>
        </w:tc>
      </w:tr>
      <w:tr w14:paraId="48AFE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1CA4FA0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1.38 (0.93,2.06)</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5A34C81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1.49 (0.98,2.26)</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1CB102D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1.11 (0.83,1.49)</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120382CB">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0.85 (0.61,1.18)</w:t>
            </w:r>
          </w:p>
        </w:tc>
        <w:tc>
          <w:tcPr>
            <w:tcW w:w="1599"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788C4F4">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Upadacitinib</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4900E41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0.65 (0.48,0.88)</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046165D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0.81 (0.60,1.09)</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55BF1D85">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0.97 (0.67,1.41)</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01895AC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0.57 (0.47,0.69)</w:t>
            </w:r>
          </w:p>
        </w:tc>
      </w:tr>
      <w:tr w14:paraId="7A527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5249A55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2.12 (1.40,3.21)</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01DF17D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2.29 (1.49,3.53)</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46E5B82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1.70 (1.24,2.34)</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4424241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1.31 (0.92,1.85)</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25DB3BA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1.53 (1.13,2.08)</w:t>
            </w:r>
          </w:p>
        </w:tc>
        <w:tc>
          <w:tcPr>
            <w:tcW w:w="166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53B2BE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Filgotinib_100mg</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72CD6A91">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1.24 (1.01,1.53)</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46997C45">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1.49 (1.01,2.20)</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3DFD2DCD">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0.87 (0.69,1.10)</w:t>
            </w:r>
          </w:p>
        </w:tc>
      </w:tr>
      <w:tr w14:paraId="22D4F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5B025DA7">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1.70 (1.13,2.57)</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689E2D3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1.84 (1.20,2.82)</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516EF8B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1.37 (1.00,1.87)</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766CE633">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1.05 (0.75,1.48)</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74E944CD">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1.23 (0.92,1.66)</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0BF29C65">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0.80 (0.65,0.99)</w:t>
            </w:r>
          </w:p>
        </w:tc>
        <w:tc>
          <w:tcPr>
            <w:tcW w:w="166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A3969DD">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Filgotinib_200mg</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6CDDFA4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1.20 (0.82,1.76)</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6AF6859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0.70 (0.56,0.87)</w:t>
            </w:r>
          </w:p>
        </w:tc>
      </w:tr>
      <w:tr w14:paraId="4BDC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711FF933">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1.42 (0.89,2.27)</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6517C9D5">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1.54 (0.95,2.49)</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286D4C6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1.14 (0.91,1.44)</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6EE64595">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0.88 (0.58,1.32)</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3CDE635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1.03 (0.71,1.49)</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7AF206F0">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0.67 (0.45,0.99)</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0FE762F7">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0.84 (0.57,1.23)</w:t>
            </w:r>
          </w:p>
        </w:tc>
        <w:tc>
          <w:tcPr>
            <w:tcW w:w="16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C40BA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Ustekinumab</w:t>
            </w:r>
          </w:p>
        </w:tc>
        <w:tc>
          <w:tcPr>
            <w:tcW w:w="1592" w:type="dxa"/>
            <w:tcBorders>
              <w:top w:val="single" w:color="000000" w:sz="4" w:space="0"/>
              <w:left w:val="single" w:color="000000" w:sz="4" w:space="0"/>
              <w:bottom w:val="single" w:color="000000" w:sz="4" w:space="0"/>
              <w:right w:val="single" w:color="000000" w:sz="4" w:space="0"/>
            </w:tcBorders>
            <w:shd w:val="clear"/>
            <w:vAlign w:val="center"/>
          </w:tcPr>
          <w:p w14:paraId="01AD682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0.59 (0.43,0.80)</w:t>
            </w:r>
          </w:p>
        </w:tc>
      </w:tr>
      <w:tr w14:paraId="478E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12" w:type="dxa"/>
            <w:tcBorders>
              <w:top w:val="single" w:color="000000" w:sz="4" w:space="0"/>
              <w:left w:val="single" w:color="000000" w:sz="4" w:space="0"/>
              <w:bottom w:val="single" w:color="000000" w:sz="4" w:space="0"/>
              <w:right w:val="single" w:color="000000" w:sz="4" w:space="0"/>
            </w:tcBorders>
            <w:shd w:val="clear"/>
            <w:vAlign w:val="center"/>
          </w:tcPr>
          <w:p w14:paraId="5E176F49">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2.43 (1.73,3.43)</w:t>
            </w:r>
          </w:p>
        </w:tc>
        <w:tc>
          <w:tcPr>
            <w:tcW w:w="1614" w:type="dxa"/>
            <w:tcBorders>
              <w:top w:val="single" w:color="000000" w:sz="4" w:space="0"/>
              <w:left w:val="single" w:color="000000" w:sz="4" w:space="0"/>
              <w:bottom w:val="single" w:color="000000" w:sz="4" w:space="0"/>
              <w:right w:val="single" w:color="000000" w:sz="4" w:space="0"/>
            </w:tcBorders>
            <w:shd w:val="clear"/>
            <w:vAlign w:val="center"/>
          </w:tcPr>
          <w:p w14:paraId="57A0C04C">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2.62 (1.82,3.78)</w:t>
            </w:r>
          </w:p>
        </w:tc>
        <w:tc>
          <w:tcPr>
            <w:tcW w:w="1604" w:type="dxa"/>
            <w:tcBorders>
              <w:top w:val="single" w:color="000000" w:sz="4" w:space="0"/>
              <w:left w:val="single" w:color="000000" w:sz="4" w:space="0"/>
              <w:bottom w:val="single" w:color="000000" w:sz="4" w:space="0"/>
              <w:right w:val="single" w:color="000000" w:sz="4" w:space="0"/>
            </w:tcBorders>
            <w:shd w:val="clear"/>
            <w:vAlign w:val="center"/>
          </w:tcPr>
          <w:p w14:paraId="5B939AF0">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1.95 (1.57,2.43)</w:t>
            </w:r>
          </w:p>
        </w:tc>
        <w:tc>
          <w:tcPr>
            <w:tcW w:w="1600" w:type="dxa"/>
            <w:tcBorders>
              <w:top w:val="single" w:color="000000" w:sz="4" w:space="0"/>
              <w:left w:val="single" w:color="000000" w:sz="4" w:space="0"/>
              <w:bottom w:val="single" w:color="000000" w:sz="4" w:space="0"/>
              <w:right w:val="single" w:color="000000" w:sz="4" w:space="0"/>
            </w:tcBorders>
            <w:shd w:val="clear"/>
            <w:vAlign w:val="center"/>
          </w:tcPr>
          <w:p w14:paraId="212B9E38">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1.50 (1.15,1.95)</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0B89B54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1.76 (1.44,2.15)</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1806BA1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1.15 (0.91,1.44)</w:t>
            </w:r>
          </w:p>
        </w:tc>
        <w:tc>
          <w:tcPr>
            <w:tcW w:w="1661" w:type="dxa"/>
            <w:tcBorders>
              <w:top w:val="single" w:color="000000" w:sz="4" w:space="0"/>
              <w:left w:val="single" w:color="000000" w:sz="4" w:space="0"/>
              <w:bottom w:val="single" w:color="000000" w:sz="4" w:space="0"/>
              <w:right w:val="single" w:color="000000" w:sz="4" w:space="0"/>
            </w:tcBorders>
            <w:shd w:val="clear"/>
            <w:vAlign w:val="center"/>
          </w:tcPr>
          <w:p w14:paraId="0055E174">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1.43 (1.14,1.78)</w:t>
            </w:r>
          </w:p>
        </w:tc>
        <w:tc>
          <w:tcPr>
            <w:tcW w:w="1601" w:type="dxa"/>
            <w:tcBorders>
              <w:top w:val="single" w:color="000000" w:sz="4" w:space="0"/>
              <w:left w:val="single" w:color="000000" w:sz="4" w:space="0"/>
              <w:bottom w:val="single" w:color="000000" w:sz="4" w:space="0"/>
              <w:right w:val="single" w:color="000000" w:sz="4" w:space="0"/>
            </w:tcBorders>
            <w:shd w:val="clear"/>
            <w:vAlign w:val="center"/>
          </w:tcPr>
          <w:p w14:paraId="77D056BA">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b/>
                <w:bCs/>
                <w:i w:val="0"/>
                <w:iCs w:val="0"/>
                <w:color w:val="000000"/>
                <w:sz w:val="20"/>
                <w:szCs w:val="20"/>
                <w:u w:val="none"/>
              </w:rPr>
            </w:pPr>
            <w:r>
              <w:rPr>
                <w:rFonts w:hint="eastAsia" w:ascii="Times New Roman" w:hAnsi="Times New Roman" w:eastAsia="微软雅黑" w:cs="微软雅黑"/>
                <w:b w:val="0"/>
                <w:bCs/>
                <w:i/>
                <w:iCs w:val="0"/>
                <w:color w:val="000000"/>
                <w:kern w:val="0"/>
                <w:sz w:val="20"/>
                <w:szCs w:val="20"/>
                <w:u w:val="none"/>
                <w:bdr w:val="none" w:color="auto" w:sz="0" w:space="0"/>
                <w:lang w:val="en-US" w:eastAsia="zh-CN" w:bidi="ar"/>
              </w:rPr>
              <w:t>1.71 (1.25,2.34)</w:t>
            </w:r>
          </w:p>
        </w:tc>
        <w:tc>
          <w:tcPr>
            <w:tcW w:w="1592"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1F29146">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Times New Roman" w:hAnsi="Times New Roman" w:eastAsia="微软雅黑" w:cs="微软雅黑"/>
                <w:i w:val="0"/>
                <w:iCs w:val="0"/>
                <w:color w:val="000000"/>
                <w:sz w:val="20"/>
                <w:szCs w:val="20"/>
                <w:u w:val="none"/>
              </w:rPr>
            </w:pPr>
            <w:r>
              <w:rPr>
                <w:rFonts w:hint="eastAsia" w:ascii="Times New Roman" w:hAnsi="Times New Roman" w:eastAsia="微软雅黑" w:cs="微软雅黑"/>
                <w:i w:val="0"/>
                <w:iCs w:val="0"/>
                <w:color w:val="000000"/>
                <w:kern w:val="0"/>
                <w:sz w:val="20"/>
                <w:szCs w:val="20"/>
                <w:u w:val="none"/>
                <w:bdr w:val="none" w:color="auto" w:sz="0" w:space="0"/>
                <w:lang w:val="en-US" w:eastAsia="zh-CN" w:bidi="ar"/>
              </w:rPr>
              <w:t>Placebo</w:t>
            </w:r>
          </w:p>
        </w:tc>
      </w:tr>
    </w:tbl>
    <w:p w14:paraId="3C3D4509">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0D6D5CA2">
      <w:pPr>
        <w:rPr>
          <w:rFonts w:cs="Times New Roman"/>
          <w:lang w:bidi="ar"/>
        </w:rPr>
      </w:pPr>
    </w:p>
    <w:p w14:paraId="378764E8">
      <w:pPr>
        <w:pStyle w:val="11"/>
        <w:outlineLvl w:val="0"/>
        <w:rPr>
          <w:rFonts w:ascii="Times New Roman" w:hAnsi="Times New Roman" w:eastAsia="宋体" w:cs="Times New Roman"/>
          <w:sz w:val="21"/>
          <w:lang w:bidi="ar"/>
        </w:rPr>
      </w:pPr>
      <w:bookmarkStart w:id="11" w:name="_Toc12376"/>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4</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endoscopic </w:t>
      </w:r>
      <w:r>
        <w:rPr>
          <w:rFonts w:hint="eastAsia" w:ascii="Times New Roman" w:hAnsi="Times New Roman" w:eastAsia="宋体" w:cs="Times New Roman"/>
          <w:sz w:val="21"/>
          <w:lang w:bidi="ar"/>
        </w:rPr>
        <w:t xml:space="preserve">improvement </w:t>
      </w:r>
      <w:r>
        <w:rPr>
          <w:rFonts w:ascii="Times New Roman" w:hAnsi="Times New Roman" w:eastAsia="宋体" w:cs="Times New Roman"/>
          <w:sz w:val="21"/>
          <w:lang w:bidi="ar"/>
        </w:rPr>
        <w:t>in network meta-analysis.</w:t>
      </w:r>
      <w:bookmarkEnd w:id="11"/>
      <w:r>
        <w:rPr>
          <w:rFonts w:ascii="Times New Roman" w:hAnsi="Times New Roman" w:eastAsia="宋体" w:cs="Times New Roman"/>
          <w:sz w:val="21"/>
          <w:lang w:bidi="ar"/>
        </w:rPr>
        <w:t xml:space="preserve"> </w:t>
      </w:r>
    </w:p>
    <w:tbl>
      <w:tblPr>
        <w:tblW w:w="1315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1"/>
        <w:gridCol w:w="1643"/>
        <w:gridCol w:w="1639"/>
        <w:gridCol w:w="1637"/>
        <w:gridCol w:w="1636"/>
        <w:gridCol w:w="1661"/>
        <w:gridCol w:w="1661"/>
        <w:gridCol w:w="1634"/>
      </w:tblGrid>
      <w:tr w14:paraId="5814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D620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962C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0.64 (0.34,1.21)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7D72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0.99 (0.55,1.76)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E9A9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0.86 (0.46,1.62)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0CC74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1.46 (0.75,2.85)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1C3F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(0.22,0.69)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34CC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(0.23,0.72)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CB252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0.33 (0.21,0.53)</w:t>
            </w:r>
          </w:p>
        </w:tc>
      </w:tr>
      <w:tr w14:paraId="24F1C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4816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1.55 (0.83,2.92)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C8B2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EDAB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1.53 (0.89,2.64)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9659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1.34 (0.73,2.45)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B325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2.27 (1.19,4.35)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43FC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(0.35,1.03)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F6EB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0.63 (0.37,1.08)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FD56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0.52 (0.34,0.79)</w:t>
            </w:r>
          </w:p>
        </w:tc>
      </w:tr>
      <w:tr w14:paraId="4780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8C545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1.01 (0.57,1.81)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F4CE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0.65 (0.38,1.13)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97DE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F1FBE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(0.51,1.51)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202A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1.48 (0.81,2.72)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8AE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(0.25,0.63)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1CBF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(0.26,0.66)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6878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0.34 (0.24,0.47)</w:t>
            </w:r>
          </w:p>
        </w:tc>
      </w:tr>
      <w:tr w14:paraId="6A0DF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5F53E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1.16 (0.62,2.19)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E921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0.75 (0.41,1.37)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7093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(0.66,1.98)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18E4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4321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1.70 (0.88,3.26)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35E6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0.45 (0.26,0.77)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E5CC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(0.27,0.81)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9860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(0.25,0.59)</w:t>
            </w:r>
          </w:p>
        </w:tc>
      </w:tr>
      <w:tr w14:paraId="5659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09F7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0.68 (0.35,1.34)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D8D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(0.23,0.84)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5D8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0.67 (0.37,1.24)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B5C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(0.31,1.13)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AE94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60F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0.27 (0.15,0.48)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72E7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0.28 (0.15,0.52)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AAB3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0.23 (0.14,0.37)</w:t>
            </w:r>
          </w:p>
        </w:tc>
      </w:tr>
      <w:tr w14:paraId="5FF1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7CEF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2.57 (1.46,4.54)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8C5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1.66 (0.97,2.83)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6AB0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2.54 (1.59,4.06)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95E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2.22 (1.29,3.79)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565A3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3.76 (2.10,6.73)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917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E4BD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1.05 (0.75,1.45)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84E9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0.86 (0.62,1.19)</w:t>
            </w:r>
          </w:p>
        </w:tc>
      </w:tr>
      <w:tr w14:paraId="35AC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8385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2.46 (1.38,4.38)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8F3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1.59 (0.92,2.73)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C722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2.43 (1.51,3.90)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86F6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2.12 (1.23,3.66)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630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3.60 (1.91,6.77)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569C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(0.69,1.33)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CCC4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190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(0.59,1.15)</w:t>
            </w:r>
          </w:p>
        </w:tc>
      </w:tr>
      <w:tr w14:paraId="0830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15FA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3.00 (1.88,4.78)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EA27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1.93 (1.26,2.96)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76077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2.96 (2.11,4.16)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3003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2.58 (1.68,3.97)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D8AB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4.39 (2.68,7.17)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948A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1.17 (0.84,1.61)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ED2B3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1.22 (0.87,1.71)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B56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33220CE8">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469AA944">
      <w:pPr>
        <w:pStyle w:val="11"/>
        <w:outlineLvl w:val="0"/>
        <w:rPr>
          <w:rFonts w:ascii="Times New Roman" w:hAnsi="Times New Roman" w:eastAsia="宋体" w:cs="Times New Roman"/>
          <w:sz w:val="21"/>
          <w:lang w:bidi="ar"/>
        </w:rPr>
      </w:pPr>
      <w:bookmarkStart w:id="12" w:name="_Toc12783"/>
      <w:r>
        <w:rPr>
          <w:rFonts w:ascii="Times New Roman" w:hAnsi="Times New Roman" w:eastAsia="宋体" w:cs="Times New Roman"/>
          <w:sz w:val="21"/>
          <w:lang w:bidi="ar"/>
        </w:rPr>
        <w:t xml:space="preserve">Supplementary 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5</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patient-reported outcomes remission</w:t>
      </w:r>
      <w:r>
        <w:rPr>
          <w:rFonts w:ascii="Times New Roman" w:hAnsi="Times New Roman" w:eastAsia="宋体" w:cs="Times New Roman"/>
          <w:sz w:val="21"/>
          <w:lang w:bidi="ar"/>
        </w:rPr>
        <w:t xml:space="preserve"> in network meta-analysis.</w:t>
      </w:r>
      <w:bookmarkEnd w:id="12"/>
      <w:r>
        <w:rPr>
          <w:rFonts w:ascii="Times New Roman" w:hAnsi="Times New Roman" w:eastAsia="宋体" w:cs="Times New Roman"/>
          <w:sz w:val="21"/>
          <w:lang w:bidi="ar"/>
        </w:rPr>
        <w:t xml:space="preserve"> </w:t>
      </w:r>
    </w:p>
    <w:tbl>
      <w:tblPr>
        <w:tblW w:w="115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2"/>
        <w:gridCol w:w="1638"/>
        <w:gridCol w:w="1636"/>
        <w:gridCol w:w="1661"/>
        <w:gridCol w:w="1661"/>
        <w:gridCol w:w="1637"/>
        <w:gridCol w:w="1633"/>
      </w:tblGrid>
      <w:tr w14:paraId="48091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E131D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D6147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0.66 (0.40,1.10)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8D36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0.86 (0.52,1.43)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37139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0.40 (0.24,0.66)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CE829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0.50 (0.30,0.82)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379AD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0.42 (0.24,0.72)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71443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0.35 (0.22,0.54)</w:t>
            </w:r>
          </w:p>
        </w:tc>
      </w:tr>
      <w:tr w14:paraId="514E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338B1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1.51 (0.91,2.49)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28882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C08E3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1.30 (0.91,1.85)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42ECD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0.60 (0.42,0.85)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996D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0.75 (0.53,1.06)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991DB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0.63 (0.50,0.78)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B0848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0.52 (0.41,0.67)</w:t>
            </w:r>
          </w:p>
        </w:tc>
      </w:tr>
      <w:tr w14:paraId="2B989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B983B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1.16 (0.70,1.92)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2C58F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0.77 (0.54,1.10)</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A0516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CC7A3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0.46 (0.32,0.66)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DFD0F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0.58 (0.41,0.82)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19677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0.48 (0.32,0.73)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C8535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0.40 (0.31,0.52)</w:t>
            </w:r>
          </w:p>
        </w:tc>
      </w:tr>
      <w:tr w14:paraId="5DE08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F6EF3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2.51 (1.52,4.16)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D5B8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1.67 (1.18,2.37)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EDCA8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2.17 (1.51,3.10)</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900CA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D114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1.25 (0.99,1.58)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33699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1.05 (0.69,1.58)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0C157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(0.68,1.12)</w:t>
            </w:r>
          </w:p>
        </w:tc>
      </w:tr>
      <w:tr w14:paraId="3236A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4DAB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2.01 (1.22,3.31)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1074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1.33 (0.95,1.88)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3782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1.73 (1.22,2.45)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05F86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0.80 (0.63,1.01)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AE267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C1225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0.84 (0.55,1.26)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23420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0.70 (0.55,0.89)</w:t>
            </w:r>
          </w:p>
        </w:tc>
      </w:tr>
      <w:tr w14:paraId="7C80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7EF03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2.40 (1.39,4.17)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EB115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1.60 (1.28,2.00)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BDEC8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2.07 (1.36,3.15)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DE01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(0.63,1.45)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03484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1.20 (0.79,1.81)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027DA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Ustekinumab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E6CA9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0.84 (0.60,1.17)</w:t>
            </w:r>
          </w:p>
        </w:tc>
      </w:tr>
      <w:tr w14:paraId="6634F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37580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2.87 (1.86,4.45)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6661C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1.91 (1.49,2.44)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5BF5F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2.48 (1.92,3.19)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C57AC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(0.89,1.47)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AB65D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1.43 (1.13,1.82)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B79ED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1.20 (0.86,1.67)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56CDF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365C698C">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124A0384">
      <w:pPr>
        <w:rPr>
          <w:rFonts w:cs="Times New Roman"/>
          <w:lang w:bidi="ar"/>
        </w:rPr>
      </w:pPr>
    </w:p>
    <w:p w14:paraId="3C75A8C2">
      <w:pPr>
        <w:rPr>
          <w:rFonts w:cs="Times New Roman"/>
          <w:lang w:bidi="ar"/>
        </w:rPr>
      </w:pPr>
    </w:p>
    <w:p w14:paraId="08D7F119">
      <w:pPr>
        <w:pStyle w:val="11"/>
        <w:outlineLvl w:val="0"/>
        <w:rPr>
          <w:rFonts w:ascii="Times New Roman" w:hAnsi="Times New Roman" w:eastAsia="宋体" w:cs="Times New Roman"/>
          <w:sz w:val="21"/>
          <w:lang w:bidi="ar"/>
        </w:rPr>
      </w:pPr>
      <w:bookmarkStart w:id="13" w:name="_Toc26899"/>
      <w:r>
        <w:rPr>
          <w:rFonts w:ascii="Times New Roman" w:hAnsi="Times New Roman" w:eastAsia="宋体" w:cs="Times New Roman"/>
          <w:sz w:val="21"/>
          <w:lang w:bidi="ar"/>
        </w:rPr>
        <w:t xml:space="preserve">Supplementary 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6</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hint="eastAsia" w:ascii="Times New Roman" w:hAnsi="Times New Roman"/>
        </w:rPr>
        <w:t xml:space="preserve">Indirect </w:t>
      </w:r>
      <w:r>
        <w:rPr>
          <w:rFonts w:ascii="Times New Roman" w:hAnsi="Times New Roman" w:eastAsia="宋体" w:cs="Times New Roman"/>
          <w:sz w:val="21"/>
          <w:lang w:bidi="ar"/>
        </w:rPr>
        <w:t xml:space="preserve">comparison of IL-23p19 inhibitors and small molecule drugs for the induction of endoscopic </w:t>
      </w:r>
      <w:r>
        <w:rPr>
          <w:rFonts w:hint="eastAsia" w:ascii="Times New Roman" w:hAnsi="Times New Roman" w:eastAsia="宋体" w:cs="Times New Roman"/>
          <w:sz w:val="21"/>
          <w:lang w:bidi="ar"/>
        </w:rPr>
        <w:t xml:space="preserve">remission </w:t>
      </w:r>
      <w:r>
        <w:rPr>
          <w:rFonts w:ascii="Times New Roman" w:hAnsi="Times New Roman" w:eastAsia="宋体" w:cs="Times New Roman"/>
          <w:sz w:val="21"/>
          <w:lang w:bidi="ar"/>
        </w:rPr>
        <w:t>in network meta-analysis.</w:t>
      </w:r>
      <w:bookmarkEnd w:id="13"/>
      <w:r>
        <w:rPr>
          <w:rFonts w:ascii="Times New Roman" w:hAnsi="Times New Roman" w:eastAsia="宋体" w:cs="Times New Roman"/>
          <w:sz w:val="21"/>
          <w:lang w:bidi="ar"/>
        </w:rPr>
        <w:t xml:space="preserve"> </w:t>
      </w:r>
    </w:p>
    <w:p w14:paraId="5F48FEA8">
      <w:pPr>
        <w:pStyle w:val="11"/>
        <w:rPr>
          <w:rFonts w:ascii="Times New Roman" w:hAnsi="Times New Roman" w:eastAsia="宋体" w:cs="Times New Roman"/>
          <w:sz w:val="21"/>
          <w:lang w:bidi="ar"/>
        </w:rPr>
      </w:pPr>
    </w:p>
    <w:tbl>
      <w:tblPr>
        <w:tblW w:w="9864"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3"/>
        <w:gridCol w:w="1641"/>
        <w:gridCol w:w="1640"/>
        <w:gridCol w:w="1640"/>
        <w:gridCol w:w="1661"/>
        <w:gridCol w:w="1639"/>
      </w:tblGrid>
      <w:tr w14:paraId="5D29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5C26F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21694A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1.69 (0.51,5.52)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EC616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1.37 (0.33,5.74)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BCA64F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2.60 (0.76,8.88)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B68076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0.46 (0.13,1.63)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908BE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0.51 (0.20,1.30)</w:t>
            </w:r>
          </w:p>
        </w:tc>
      </w:tr>
      <w:tr w14:paraId="23570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D5709B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(0.18,1.94)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1B23B7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B3CBF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0.81 (0.22,2.98)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7C945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1.54 (0.53,4.45)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434D3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0.27 (0.09,0.85)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B955B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0.30 (0.15,0.62)</w:t>
            </w:r>
          </w:p>
        </w:tc>
      </w:tr>
      <w:tr w14:paraId="3381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F38C6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0.73 (0.17,3.06)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9012F0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1.23 (0.34,4.51)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5291C8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CCF602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1.89 (0.50,7.23)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0479C3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0.33 (0.08,1.32)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EFB12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0.37 (0.13,1.09)</w:t>
            </w:r>
          </w:p>
        </w:tc>
      </w:tr>
      <w:tr w14:paraId="700E4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836A0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0.39 (0.11,1.32)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C2E6C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0.65 (0.22,1.88)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6523DB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0.53 (0.14,2.02)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08E632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D73BD7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0.18 (0.05,0.59)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12A082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0.20 (0.09,0.43)</w:t>
            </w:r>
          </w:p>
        </w:tc>
      </w:tr>
      <w:tr w14:paraId="2813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BDE1C1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2.18 (0.61,7.78)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C50916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3.68 (1.18,11.47)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15AE3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2.99 (0.76,11.86)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7FD29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5.67 (1.70,18.87)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90463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8F361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1.11 (0.47,2.60)</w:t>
            </w:r>
          </w:p>
        </w:tc>
      </w:tr>
      <w:tr w14:paraId="04552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36C82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1.97 (0.77,5.06)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97ABFD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3.33 (1.62,6.85)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44857E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2.71 (0.92,7.97)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7B62CD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5.13 (2.32,11.32)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B3182E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0.90 (0.39,2.12)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EBA5F4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0E5E642D">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05572754"/>
    <w:p w14:paraId="5635D076">
      <w:pPr>
        <w:pStyle w:val="11"/>
        <w:outlineLvl w:val="0"/>
        <w:rPr>
          <w:rFonts w:ascii="Times New Roman" w:hAnsi="Times New Roman" w:eastAsia="宋体" w:cs="Times New Roman"/>
          <w:sz w:val="21"/>
          <w:lang w:bidi="ar"/>
        </w:rPr>
      </w:pPr>
      <w:bookmarkStart w:id="14" w:name="_Toc22304"/>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7</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clinical 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without biologic failure.</w:t>
      </w:r>
      <w:bookmarkEnd w:id="14"/>
      <w:r>
        <w:rPr>
          <w:rFonts w:ascii="Times New Roman" w:hAnsi="Times New Roman" w:eastAsia="宋体" w:cs="Times New Roman"/>
          <w:sz w:val="21"/>
          <w:lang w:bidi="ar"/>
        </w:rPr>
        <w:t xml:space="preserve"> </w:t>
      </w:r>
    </w:p>
    <w:tbl>
      <w:tblPr>
        <w:tblW w:w="136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701"/>
        <w:gridCol w:w="1701"/>
        <w:gridCol w:w="1701"/>
        <w:gridCol w:w="1701"/>
        <w:gridCol w:w="1701"/>
        <w:gridCol w:w="1701"/>
        <w:gridCol w:w="1701"/>
        <w:gridCol w:w="1701"/>
      </w:tblGrid>
      <w:tr w14:paraId="3668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AC3CC5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37AC44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0.81 (0.41,1.60)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AA6944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(0.42,1.59)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45F472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(0.32,1.11)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3B67EB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0.53 (0.30,0.94)</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22B437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0.46 (0.26,0.82)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943AA6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0.49 (0.28,0.88)</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911A55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(0.23,0.64)</w:t>
            </w:r>
          </w:p>
        </w:tc>
      </w:tr>
      <w:tr w14:paraId="3630D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DCE7AA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1.24 (0.63,2.45)</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3562F6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C35C79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1.01 (0.54,1.90)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FEA83C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0.74 (0.41,1.32)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D3D3A7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0.65 (0.38,1.11)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CF3D08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0.57 (0.33,0.97)</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6E1FD47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0.61 (0.36,1.04)</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63A106D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0.48 (0.30,0.75)</w:t>
            </w:r>
          </w:p>
        </w:tc>
      </w:tr>
      <w:tr w14:paraId="36F56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BCD39D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1.22 (0.63,2.39)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110FC7F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0.99 (0.53,1.86)</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DE51CD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8F324A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0.73 (0.42,1.29)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2A0719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0.65 (0.38,1.09)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91ED83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0.56 (0.33,0.95)</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21BA97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(0.36,1.02)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61CD6DD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(0.30,0.73)</w:t>
            </w:r>
          </w:p>
        </w:tc>
      </w:tr>
      <w:tr w14:paraId="37C2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A7CB08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1.67 (0.90,3.11)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963431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1.35 (0.76,2.42)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16ABE2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1.37 (0.77,2.41)</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FFA9E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FBD581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0.88 (0.56,1.39)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19A7993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0.77 (0.48,1.21)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1EADD9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(0.52,1.30)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797BFC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0.64 (0.45,0.92)</w:t>
            </w:r>
          </w:p>
        </w:tc>
      </w:tr>
      <w:tr w14:paraId="2ED5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FAB145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1.90 (1.07,3.37)</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01FB68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1.53 (0.90,2.61)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F35E4D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1.55 (0.92,2.60)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38D5FE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1.13 (0.72,1.79)</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2D7795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14BFCCE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(0.58,1.29)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74FC11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0.93 (0.63,1.39)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26027A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0.73 (0.55,0.96)</w:t>
            </w:r>
          </w:p>
        </w:tc>
      </w:tr>
      <w:tr w14:paraId="7AA2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60600C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2.18 (1.22,3.90)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80F1BF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1.76 (1.03,3.03)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D2FC95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1.78 (1.06,3.01)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A3735B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1.31 (0.82,2.07)</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E7FDE3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(0.77,1.72)</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6BFBFD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36B789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1.07 (0.82,1.40)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77808A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0.84 (0.63,1.12)</w:t>
            </w:r>
          </w:p>
        </w:tc>
      </w:tr>
      <w:tr w14:paraId="77D68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B689BD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2.03 (1.14,3.63)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5A57CF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1.64 (0.96,2.82)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A9672A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1.66 (0.98,2.80)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316AFA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1.22 (0.77,1.93)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D5BFF0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1.07 (0.72,1.60)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C51829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0.93 (0.71,1.21)</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015237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C872B5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0.78 (0.59,1.04)</w:t>
            </w:r>
          </w:p>
        </w:tc>
      </w:tr>
      <w:tr w14:paraId="53057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2EC220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2.60 (1.57,4.30)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17340C7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2.10 (1.33,3.31)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48F833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2.12 (1.37,3.29)</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A49CD6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1.55 (1.08,2.23)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F6882E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1.37 (1.04,1.81)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46E906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1.19 (0.89,1.58)</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616D206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1.28 (0.96,1.70)</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C4F1F2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1B956305">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68896940">
      <w:pPr>
        <w:rPr>
          <w:rFonts w:ascii="Times New Roman" w:hAnsi="Times New Roman" w:eastAsia="宋体" w:cs="Times New Roman"/>
          <w:sz w:val="21"/>
          <w:lang w:bidi="ar"/>
        </w:rPr>
      </w:pPr>
      <w:bookmarkStart w:id="15" w:name="_Toc15616"/>
    </w:p>
    <w:p w14:paraId="3DEA2B5B">
      <w:pPr>
        <w:rPr>
          <w:rFonts w:ascii="Times New Roman" w:hAnsi="Times New Roman" w:eastAsia="宋体" w:cs="Times New Roman"/>
          <w:sz w:val="21"/>
          <w:lang w:bidi="ar"/>
        </w:rPr>
      </w:pPr>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8</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clinical 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 biologic failure.</w:t>
      </w:r>
      <w:bookmarkEnd w:id="15"/>
    </w:p>
    <w:tbl>
      <w:tblPr>
        <w:tblW w:w="147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2"/>
        <w:gridCol w:w="1643"/>
        <w:gridCol w:w="1640"/>
        <w:gridCol w:w="1638"/>
        <w:gridCol w:w="1638"/>
        <w:gridCol w:w="1661"/>
        <w:gridCol w:w="1661"/>
        <w:gridCol w:w="1638"/>
        <w:gridCol w:w="1635"/>
      </w:tblGrid>
      <w:tr w14:paraId="07A15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EE7EE2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DF3F8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1.48 (0.68,3.21)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0DF03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(0.47,1.35)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E6A86B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(0.33,1.10)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712D2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(0.51,1.51)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D679F4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(0.24,0.81)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5ACF40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0.69 (0.39,1.25)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A30C3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0.69 (0.39,1.24)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0FA1D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0.42 (0.26,0.67)</w:t>
            </w:r>
          </w:p>
        </w:tc>
      </w:tr>
      <w:tr w14:paraId="034A7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7FA4F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0.67 (0.31,1.46)</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4AB3AF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3FF5F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0.54 (0.28,1.04)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F0279A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(0.20,0.84)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D0394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(0.30,1.16)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FDCF94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0.30 (0.14,0.61)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08472E7">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(0.23,0.95)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32868B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(0.23,0.94)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821CC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0.28 (0.15,0.52)</w:t>
            </w:r>
          </w:p>
        </w:tc>
      </w:tr>
      <w:tr w14:paraId="2740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DDC58A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1.26 (0.74,2.15)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ABA782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1.87 (0.96,3.63)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7F0BA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38B9CA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0.76 (0.48,1.20)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48EAFC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1.10 (0.76,1.60)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B32DCC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0.56 (0.35,0.88)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E2D43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(0.57,1.34)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F6CD21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(0.70,1.10)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631FB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0.53 (0.41,0.68)</w:t>
            </w:r>
          </w:p>
        </w:tc>
      </w:tr>
      <w:tr w14:paraId="41A9C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CE7F84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1.66 (0.91,3.05)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6FD3B9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2.46 (1.20,5.08)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BC7E0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1.32 (0.84,2.08)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C8590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03C169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1.45 (0.91,2.32)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C70657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0.73 (0.43,1.26)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C11360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(0.69,1.93)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4435A7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(0.69,1.92)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F6FF6D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0.70 (0.47,1.02)</w:t>
            </w:r>
          </w:p>
        </w:tc>
      </w:tr>
      <w:tr w14:paraId="40D3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FC62BA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(0.66,1.98)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B084F2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1.70 (0.87,3.33)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6299E8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0.91 (0.63,1.32)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BD9ADB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0.69 (0.43,1.10)</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A1BDA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6E5D41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0.50 (0.31,0.81)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BEFF37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(0.51,1.24)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636EAE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(0.51,1.23)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E21737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0.48 (0.36,0.63)</w:t>
            </w:r>
          </w:p>
        </w:tc>
      </w:tr>
      <w:tr w14:paraId="511E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59860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2.27 (1.23,4.18)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A701F0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3.36 (1.63,6.96)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8E4DB4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1.80 (1.14,2.85)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CA558A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1.37 (0.79,2.35)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3D2AA9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1.98 (1.23,3.19)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93508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D49E6B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1.57 (1.12,2.22)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FAFB1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1.58 (0.94,2.63)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E9D5D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0.95 (0.64,1.40)</w:t>
            </w:r>
          </w:p>
        </w:tc>
      </w:tr>
      <w:tr w14:paraId="2C4C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4C8F50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1.44 (0.80,2.59)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2DFDCF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2.14 (1.05,4.33)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754693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(0.74,1.76)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1E7C2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(0.52,1.45)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668D4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1.26 (0.81,1.96)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A854F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0.63 (0.45,0.89)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F051B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B80DE0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(0.62,1.63)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EAADA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0.60 (0.43,0.85)</w:t>
            </w:r>
          </w:p>
        </w:tc>
      </w:tr>
      <w:tr w14:paraId="6FB5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831B6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1.44 (0.81,2.57)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87ADFB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2.14 (1.06,4.31)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917F6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(0.91,1.44)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746BD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(0.52,1.44)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369CD7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1.26 (0.81,1.95)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562BA1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0.63 (0.38,1.06)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0E46A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(0.62,1.62)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82D33C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Ustekinumab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4E6F96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0.60 (0.43,0.84)</w:t>
            </w:r>
          </w:p>
        </w:tc>
      </w:tr>
      <w:tr w14:paraId="7522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jc w:val="center"/>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41CB0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2.39 (1.49,3.83)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A2DC1C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3.54 (1.92,6.55)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7F9503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1.90 (1.48,2.43)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14DCE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1.44 (0.98,2.11)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2EA92B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2.09 (1.58,2.75)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3FCA8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1.05 (0.72,1.55)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0E582F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1.66 (1.17,2.35)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F6BD33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1.66 (1.18,2.33)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01B212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77F05FC8">
      <w:pPr>
        <w:pStyle w:val="11"/>
        <w:rPr>
          <w:rFonts w:cs="Times New Roman"/>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5B976FCB">
      <w:pPr>
        <w:rPr>
          <w:rFonts w:cs="Times New Roman"/>
          <w:lang w:bidi="ar"/>
        </w:rPr>
      </w:pPr>
      <w:r>
        <w:rPr>
          <w:rFonts w:cs="Times New Roman"/>
          <w:lang w:bidi="ar"/>
        </w:rPr>
        <w:br w:type="page"/>
      </w:r>
    </w:p>
    <w:p w14:paraId="5BA8AD90">
      <w:pPr>
        <w:pStyle w:val="11"/>
        <w:outlineLvl w:val="0"/>
        <w:rPr>
          <w:rFonts w:ascii="Times New Roman" w:hAnsi="Times New Roman" w:eastAsia="宋体" w:cs="Times New Roman"/>
          <w:sz w:val="21"/>
          <w:lang w:bidi="ar"/>
        </w:rPr>
      </w:pPr>
      <w:bookmarkStart w:id="16" w:name="_Toc31736"/>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9</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Indirect comparison of IL-23p19 inhibitors and small molecule drugs for the induction of endoscopic</w:t>
      </w:r>
      <w:r>
        <w:rPr>
          <w:rFonts w:hint="eastAsia" w:ascii="Times New Roman" w:hAnsi="Times New Roman" w:eastAsia="宋体" w:cs="Times New Roman"/>
          <w:sz w:val="21"/>
          <w:lang w:bidi="ar"/>
        </w:rPr>
        <w:t xml:space="preserve"> improvement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without biologic failure.</w:t>
      </w:r>
      <w:bookmarkEnd w:id="16"/>
    </w:p>
    <w:tbl>
      <w:tblPr>
        <w:tblW w:w="1315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1"/>
        <w:gridCol w:w="1643"/>
        <w:gridCol w:w="1639"/>
        <w:gridCol w:w="1637"/>
        <w:gridCol w:w="1636"/>
        <w:gridCol w:w="1661"/>
        <w:gridCol w:w="1661"/>
        <w:gridCol w:w="1634"/>
      </w:tblGrid>
      <w:tr w14:paraId="30E6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352EAE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A372C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(0.40,1.57)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671CF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1.61 (0.73,3.53)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4F97C2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0.93 (0.47,1.84)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80B642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1.31 (0.66,2.62)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884FA1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(0.25,0.88)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8D7E6C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0.54 (0.29,1.00)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E0C20F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(0.25,0.68)</w:t>
            </w:r>
          </w:p>
        </w:tc>
      </w:tr>
      <w:tr w14:paraId="02E3B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3D4FF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1.26 (0.64,2.51)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20D4AD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B085F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2.03 (0.95,4.34)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B2473C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1.18 (0.61,2.25)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080FF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1.66 (0.86,3.20)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9D0F90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(0.33,1.07)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784C81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0.68 (0.38,1.22)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356045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0.52 (0.33,0.82)</w:t>
            </w:r>
          </w:p>
        </w:tc>
      </w:tr>
      <w:tr w14:paraId="0E150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01CAB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0.62 (0.28,1.37)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866B2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0.49 (0.23,1.05)</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73522E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4A46C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0.58 (0.27,1.23)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EF8D85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(0.38,1.75)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2F7494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0.29 (0.14,0.59)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FD1A42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0.34 (0.17,0.67)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8F68BB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0.25 (0.14,0.46)</w:t>
            </w:r>
          </w:p>
        </w:tc>
      </w:tr>
      <w:tr w14:paraId="505B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9738B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1.07 (0.54,2.13)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8C38B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0.85 (0.44,1.63)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28218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1.73 (0.81,3.68)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AA25D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08D13E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1.41 (0.73,2.72)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17387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0.50 (0.28,0.91)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2AFA0A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0.58 (0.32,1.03)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41CDF7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(0.28,0.69)</w:t>
            </w:r>
          </w:p>
        </w:tc>
      </w:tr>
      <w:tr w14:paraId="55BA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F8D5C4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0.76 (0.38,1.52)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C02ECE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(0.31,1.17)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B9E38C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1.22 (0.57,2.63)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3374DE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0.71 (0.37,1.37)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5C4A1F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51824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0.36 (0.20,0.65)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AF3467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(0.23,0.74)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F4FA1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0.31 (0.19,0.50)</w:t>
            </w:r>
          </w:p>
        </w:tc>
      </w:tr>
      <w:tr w14:paraId="74D31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7366C9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2.13 (1.14,3.98)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CA4E09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1.69 (0.94,3.04)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126C77">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3.42 (1.69,6.92)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D53F9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1.98 (1.10,3.56)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576976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2.80 (1.54,5.07)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DCC8C6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597DE9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(0.82,1.61)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269B5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(0.61,1.25)</w:t>
            </w:r>
          </w:p>
        </w:tc>
      </w:tr>
      <w:tr w14:paraId="2EE5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6EB38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1.86 (1.00,3.46)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89CF4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1.47 (0.82,2.64)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79C5E2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2.98 (1.48,6.01)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6D087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1.73 (0.97,3.09)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D8C92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2.44 (1.35,4.40)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F386F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(0.62,1.22)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8667D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75580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0.76 (0.53,1.09)</w:t>
            </w:r>
          </w:p>
        </w:tc>
      </w:tr>
      <w:tr w14:paraId="26135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B86CF4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2.44 (1.47,4.06)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11DADD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1.93 (1.22,3.07)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19B1A7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3.93 (2.15,7.17)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A9753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2.28 (1.44,3.60)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6EADC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3.21 (2.01,5.13)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18FFA8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(0.80,1.65)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2B66E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1.32 (0.92,1.88)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D5402E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28C8EA09">
      <w:pPr>
        <w:pStyle w:val="11"/>
        <w:rPr>
          <w:rFonts w:cs="Times New Roman"/>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3ADF0573">
      <w:pPr>
        <w:rPr>
          <w:rFonts w:ascii="Times New Roman" w:hAnsi="Times New Roman" w:eastAsia="宋体" w:cs="Times New Roman"/>
          <w:sz w:val="21"/>
          <w:lang w:bidi="ar"/>
        </w:rPr>
      </w:pPr>
      <w:bookmarkStart w:id="17" w:name="_Toc11066"/>
    </w:p>
    <w:p w14:paraId="780BAA58">
      <w:pPr>
        <w:rPr>
          <w:rFonts w:ascii="Times New Roman" w:hAnsi="Times New Roman" w:eastAsia="宋体" w:cs="Times New Roman"/>
          <w:sz w:val="21"/>
          <w:lang w:bidi="ar"/>
        </w:rPr>
      </w:pPr>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10</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Indirect comparison of IL-23p19 inhibitors and small molecule drugs for the induction of endoscopic</w:t>
      </w:r>
      <w:r>
        <w:rPr>
          <w:rFonts w:hint="eastAsia" w:ascii="Times New Roman" w:hAnsi="Times New Roman" w:eastAsia="宋体" w:cs="Times New Roman"/>
          <w:sz w:val="21"/>
          <w:lang w:bidi="ar"/>
        </w:rPr>
        <w:t xml:space="preserve"> improvement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 biologic failure.</w:t>
      </w:r>
      <w:bookmarkEnd w:id="17"/>
    </w:p>
    <w:tbl>
      <w:tblPr>
        <w:tblW w:w="13152"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1"/>
        <w:gridCol w:w="1643"/>
        <w:gridCol w:w="1639"/>
        <w:gridCol w:w="1637"/>
        <w:gridCol w:w="1636"/>
        <w:gridCol w:w="1661"/>
        <w:gridCol w:w="1661"/>
        <w:gridCol w:w="1634"/>
      </w:tblGrid>
      <w:tr w14:paraId="2E1DB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63101F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F5A4E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0.43 (0.15,1.28)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DF93D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(0.23,1.52)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74C454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0.72 (0.24,2.17)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55DED0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1.50 (0.54,4.18)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B87815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0.26 (0.10,0.72)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7274FB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0.23 (0.08,0.64)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D0A19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0.22 (0.09,0.53)</w:t>
            </w:r>
          </w:p>
        </w:tc>
      </w:tr>
      <w:tr w14:paraId="46E7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EAE0B0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2.30 (0.78,6.82)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79B31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8B1B2F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1.37 (0.65,2.89)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31CF20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1.65 (0.64,4.27)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78E6B0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3.47 (1.48,8.10)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E89060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0.61 (0.27,1.38)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6C6D0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0.53 (0.23,1.23)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AA75C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0.51 (0.27,0.98)</w:t>
            </w:r>
          </w:p>
        </w:tc>
      </w:tr>
      <w:tr w14:paraId="42CB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06C124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1.69 (0.66,4.31)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DED3B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0.73 (0.35,1.54)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3728B4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A3CA76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1.21 (0.55,2.63)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681E94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2.54 (1.32,4.87)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607E7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0.45 (0.24,0.82)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E3160A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(0.21,0.74)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56C61F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0.37 (0.26,0.54)</w:t>
            </w:r>
          </w:p>
        </w:tc>
      </w:tr>
      <w:tr w14:paraId="7805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9E0D77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1.40 (0.46,4.23)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FFA4F8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0.61 (0.23,1.57)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A50276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0.83 (0.38,1.81)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BFA08A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C0649C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2.10 (0.87,5.06)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3D76E9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0.37 (0.16,0.86)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D5DD7F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0.32 (0.14,0.77)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E5B60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0.31 (0.15,0.62)</w:t>
            </w:r>
          </w:p>
        </w:tc>
      </w:tr>
      <w:tr w14:paraId="4DF8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BA2148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0.66 (0.24,1.85)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9AB99C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0.29 (0.12,0.67)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F86BB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0.39 (0.21,0.76)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35ED16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0.48 (0.20,1.15)</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F4A858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B633C4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0.18 (0.08,0.37)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985D0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0.15 (0.07,0.33)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0D0E67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0.15 (0.09,0.25)</w:t>
            </w:r>
          </w:p>
        </w:tc>
      </w:tr>
      <w:tr w14:paraId="3B66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DF5598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3.78 (1.40,10.21)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2E02DE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1.64 (0.73,3.70)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81C219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2.24 (1.22,4.12)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8EB35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2.70 (1.16,6.30)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421A6F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5.68 (2.74,11.79)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49B43F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DA08A4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(0.53,1.44)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B86F2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0.84 (0.51,1.36)</w:t>
            </w:r>
          </w:p>
        </w:tc>
      </w:tr>
      <w:tr w14:paraId="081B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7A98C0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4.32 (1.57,11.88)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992736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1.88 (0.81,4.32)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455210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2.56 (1.36,4.84)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8FBB5B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3.09 (1.30,7.35)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F5D8DB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6.50 (3.06,13.80)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004D4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(0.70,1.88)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7037E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B2DBFE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(0.57,1.61)</w:t>
            </w:r>
          </w:p>
        </w:tc>
      </w:tr>
      <w:tr w14:paraId="520C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FA8083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4.52 (1.90,10.76)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7E8BB2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1.96 (1.02,3.77)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DC6430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2.68 (1.87,3.86)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3CE722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3.24 (1.62,6.46)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D7AE51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6.80 (3.96,11.71)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D951C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1.20 (0.74,1.95)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9DFA43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1.05 (0.62,1.76)</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5F2C93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0B304A6C">
      <w:pPr>
        <w:pStyle w:val="11"/>
        <w:rPr>
          <w:rFonts w:cs="Times New Roman"/>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56A3D57E">
      <w:pPr>
        <w:rPr>
          <w:rFonts w:cs="Times New Roman"/>
          <w:lang w:bidi="ar"/>
        </w:rPr>
      </w:pPr>
      <w:r>
        <w:rPr>
          <w:rFonts w:cs="Times New Roman"/>
          <w:lang w:bidi="ar"/>
        </w:rPr>
        <w:br w:type="page"/>
      </w:r>
    </w:p>
    <w:p w14:paraId="66422ED1">
      <w:pPr>
        <w:pStyle w:val="11"/>
        <w:outlineLvl w:val="0"/>
        <w:rPr>
          <w:rFonts w:ascii="Times New Roman" w:hAnsi="Times New Roman" w:eastAsia="宋体" w:cs="Times New Roman"/>
          <w:sz w:val="21"/>
          <w:lang w:bidi="ar"/>
        </w:rPr>
      </w:pPr>
      <w:bookmarkStart w:id="18" w:name="_Toc24353"/>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11</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patient-reported outcomes 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without biologic failure.</w:t>
      </w:r>
      <w:bookmarkEnd w:id="18"/>
    </w:p>
    <w:tbl>
      <w:tblPr>
        <w:tblW w:w="9864"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1"/>
        <w:gridCol w:w="1637"/>
        <w:gridCol w:w="1634"/>
        <w:gridCol w:w="1661"/>
        <w:gridCol w:w="1661"/>
        <w:gridCol w:w="1630"/>
      </w:tblGrid>
      <w:tr w14:paraId="3A86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864293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EF29C2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0.85 (0.41,1.78)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854D45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0.70 (0.36,1.36)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F0FFD0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(0.23,0.83)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61C521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0.47 (0.25,0.89)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5CADC3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0.37 (0.21,0.65)</w:t>
            </w:r>
          </w:p>
        </w:tc>
      </w:tr>
      <w:tr w14:paraId="6BD5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8F1A46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1.17 (0.56,2.46)</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9ECFA4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5EB14B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(0.46,1.47)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D3889C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0.51 (0.30,0.89)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3C2B8E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0.55 (0.32,0.96)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DEF296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0.43 (0.27,0.69)</w:t>
            </w:r>
          </w:p>
        </w:tc>
      </w:tr>
      <w:tr w14:paraId="1D4C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4F6C8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1.42 (0.73,2.77)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3E8782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1.21 (0.68,2.17)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E5269E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AC423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0.62 (0.40,0.97)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469D7D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0.67 (0.43,1.04)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3AA273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0.52 (0.37,0.74)</w:t>
            </w:r>
          </w:p>
        </w:tc>
      </w:tr>
      <w:tr w14:paraId="5132F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DB787B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2.29 (1.21,4.33)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60321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1.95 (1.12,3.38)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CDBAC4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1.60 (1.03,2.50)</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63CD0F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6F8A0D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1.07 (0.82,1.40)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88D4C6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0.84 (0.63,1.12)</w:t>
            </w:r>
          </w:p>
        </w:tc>
      </w:tr>
      <w:tr w14:paraId="6E8C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04020B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2.13 (1.12,4.03)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3680C5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1.81 (1.05,3.14)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1BD5A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1.49 (0.96,2.33)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EB05BA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0.93 (0.71,1.21)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56AFE2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D99F57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0.78 (0.59,1.04)</w:t>
            </w:r>
          </w:p>
        </w:tc>
      </w:tr>
      <w:tr w14:paraId="40759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CB0C43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2.72 (1.54,4.81)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89DD4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2.32 (1.45,3.71)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B91B7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1.91 (1.36,2.68)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997530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1.19 (0.89,1.58)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03D15A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1.28 (0.96,1.70)</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0D23E3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05D67094">
      <w:pPr>
        <w:pStyle w:val="11"/>
        <w:rPr>
          <w:rFonts w:cs="Times New Roman"/>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2060A70B">
      <w:pPr>
        <w:rPr>
          <w:rFonts w:ascii="Times New Roman" w:hAnsi="Times New Roman" w:eastAsia="宋体" w:cs="Times New Roman"/>
          <w:sz w:val="21"/>
          <w:lang w:bidi="ar"/>
        </w:rPr>
      </w:pPr>
      <w:bookmarkStart w:id="19" w:name="_Toc11223"/>
    </w:p>
    <w:p w14:paraId="1A9D448B">
      <w:pPr>
        <w:rPr>
          <w:rFonts w:ascii="Times New Roman" w:hAnsi="Times New Roman" w:eastAsia="宋体" w:cs="Times New Roman"/>
          <w:sz w:val="21"/>
          <w:lang w:bidi="ar"/>
        </w:rPr>
      </w:pPr>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12</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patient-reported outcomes 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 biologic failure.</w:t>
      </w:r>
      <w:bookmarkEnd w:id="19"/>
    </w:p>
    <w:tbl>
      <w:tblPr>
        <w:tblW w:w="115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2"/>
        <w:gridCol w:w="1638"/>
        <w:gridCol w:w="1636"/>
        <w:gridCol w:w="1661"/>
        <w:gridCol w:w="1661"/>
        <w:gridCol w:w="1637"/>
        <w:gridCol w:w="1633"/>
      </w:tblGrid>
      <w:tr w14:paraId="34C5C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EC2094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Guselkumab_SC</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274217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0.59 (0.30,1.15)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0BB100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(0.49,1.98)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A5C9E0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0.34 (0.17,0.72)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051838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0.54 (0.27,1.11)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922F81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0.37 (0.18,0.74)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E51F46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0.33 (0.18,0.61)</w:t>
            </w:r>
          </w:p>
        </w:tc>
      </w:tr>
      <w:tr w14:paraId="08504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7B440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1.70 (0.87,3.35)</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7624EE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863C32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1.67 (1.10,2.54)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52C7DE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0.59 (0.37,0.94)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B3D908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0.93 (0.60,1.44)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E28D3C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0.63 (0.52,0.76)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05464B7">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0.56 (0.43,0.73)</w:t>
            </w:r>
          </w:p>
        </w:tc>
      </w:tr>
      <w:tr w14:paraId="411E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08C8B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(0.51,2.06)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7365EA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0.60 (0.39,0.91)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33318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165CA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0.35 (0.21,0.58)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8A8E80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0.55 (0.34,0.89)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BB4A3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0.37 (0.24,0.59)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46FA1F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0.33 (0.24,0.46)</w:t>
            </w:r>
          </w:p>
        </w:tc>
      </w:tr>
      <w:tr w14:paraId="06037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997B08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2.90 (1.39,6.03)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BE4E9B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1.70 (1.06,2.72)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3A12152">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2.84 (1.72,4.71)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0E6324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4B66E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1.57 (1.12,2.22)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AD8EE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1.07 (0.64,1.77)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011FB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0.95 (0.64,1.40)</w:t>
            </w:r>
          </w:p>
        </w:tc>
      </w:tr>
      <w:tr w14:paraId="5F759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C7EC3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1.84 (0.90,3.76)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E45C53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1.08 (0.70,1.67)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BEC6E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1.81 (1.12,2.91)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B3C5FF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0.63 (0.45,0.89)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03A4E2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3FC9D3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0.68 (0.42,1.09)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84B53FD">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0.60 (0.43,0.85)</w:t>
            </w:r>
          </w:p>
        </w:tc>
      </w:tr>
      <w:tr w14:paraId="34117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464F6C7">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2.72 (1.35,5.49)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5A81E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1.60 (1.32,1.93)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AE2ADD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2.67 (1.69,4.23)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803E86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0.94 (0.57,1.56)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2EF3E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1.48 (0.92,2.38)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FA03E3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Ustekinumab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8DA36D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0.89 (0.64,1.24)</w:t>
            </w:r>
          </w:p>
        </w:tc>
      </w:tr>
      <w:tr w14:paraId="10F93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6A68ED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3.05 (1.64,5.69)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55A997B">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1.79 (1.37,2.34)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C4959D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2.99 (2.17,4.14)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E5D3E0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1.05 (0.72,1.55)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F37FBD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1.66 (1.17,2.35)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2FA62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1.12 (0.81,1.56)</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B7BEDF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2DCAC91D">
      <w:pPr>
        <w:pStyle w:val="11"/>
        <w:rPr>
          <w:rFonts w:cs="Times New Roman"/>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r>
        <w:rPr>
          <w:rFonts w:hint="eastAsia" w:ascii="Times New Roman" w:hAnsi="Times New Roman" w:eastAsia="宋体" w:cs="Times New Roman"/>
          <w:sz w:val="21"/>
          <w:lang w:bidi="ar"/>
        </w:rPr>
        <w:t>.</w:t>
      </w:r>
    </w:p>
    <w:p w14:paraId="57921D99">
      <w:pPr>
        <w:rPr>
          <w:rFonts w:cs="Times New Roman"/>
          <w:lang w:bidi="ar"/>
        </w:rPr>
      </w:pPr>
      <w:r>
        <w:rPr>
          <w:rFonts w:cs="Times New Roman"/>
          <w:lang w:bidi="ar"/>
        </w:rPr>
        <w:br w:type="page"/>
      </w:r>
    </w:p>
    <w:p w14:paraId="1B865C0A">
      <w:pPr>
        <w:pStyle w:val="11"/>
        <w:outlineLvl w:val="0"/>
        <w:rPr>
          <w:rFonts w:ascii="Times New Roman" w:hAnsi="Times New Roman" w:eastAsia="宋体" w:cs="Times New Roman"/>
          <w:sz w:val="21"/>
          <w:lang w:bidi="ar"/>
        </w:rPr>
      </w:pPr>
      <w:bookmarkStart w:id="20" w:name="_Toc17447"/>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13</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endoscopic </w:t>
      </w:r>
      <w:r>
        <w:rPr>
          <w:rFonts w:hint="eastAsia" w:ascii="Times New Roman" w:hAnsi="Times New Roman" w:eastAsia="宋体" w:cs="Times New Roman"/>
          <w:sz w:val="21"/>
          <w:lang w:bidi="ar"/>
        </w:rPr>
        <w:t xml:space="preserve">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without biologic failure.</w:t>
      </w:r>
      <w:bookmarkEnd w:id="20"/>
    </w:p>
    <w:tbl>
      <w:tblPr>
        <w:tblW w:w="822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1"/>
        <w:gridCol w:w="1640"/>
        <w:gridCol w:w="1640"/>
        <w:gridCol w:w="1661"/>
        <w:gridCol w:w="1638"/>
      </w:tblGrid>
      <w:tr w14:paraId="47DD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F80668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352672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1.08 (0.39,3.00)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F34A9A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1.57 (0.67,3.72)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B5FFE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0.60 (0.26,1.36)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6EEF15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(0.24,0.80)</w:t>
            </w:r>
          </w:p>
        </w:tc>
      </w:tr>
      <w:tr w14:paraId="64CD2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0F3E08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0.92 (0.33,2.55)</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0CF88A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00B83D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1.45 (0.52,4.07)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67B390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0.55 (0.20,1.50)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F1B883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0.41 (0.18,0.93)</w:t>
            </w:r>
          </w:p>
        </w:tc>
      </w:tr>
      <w:tr w14:paraId="4C08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3B8589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0.64 (0.27,1.50)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0846A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0.69 (0.25,1.93)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DF3D59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CE185D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0.38 (0.16,0.88)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218DEC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0.28 (0.15,0.52)</w:t>
            </w:r>
          </w:p>
        </w:tc>
      </w:tr>
      <w:tr w14:paraId="5611A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35B1D6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1.68 (0.73,3.84)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F1B645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1.82 (0.67,4.96)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7CA88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2.64 (1.14,6.14)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E1B288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5CFD6E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0.74 (0.42,1.32)</w:t>
            </w:r>
          </w:p>
        </w:tc>
      </w:tr>
      <w:tr w14:paraId="1E6C4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285B73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2.26 (1.24,4.12)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EAAB7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2.45 (1.08,5.59)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47A242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3.56 (1.92,6.61)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62BB0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1.35 (0.76,2.39)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FFF30F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7CDF8AB8">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p w14:paraId="26D9BD24">
      <w:pPr>
        <w:rPr>
          <w:rFonts w:cs="Times New Roman"/>
          <w:lang w:bidi="ar"/>
        </w:rPr>
      </w:pPr>
    </w:p>
    <w:p w14:paraId="0A39D124">
      <w:pPr>
        <w:rPr>
          <w:rFonts w:cs="Times New Roman"/>
          <w:lang w:bidi="ar"/>
        </w:rPr>
      </w:pPr>
    </w:p>
    <w:p w14:paraId="493B64A0">
      <w:pPr>
        <w:pStyle w:val="11"/>
        <w:outlineLvl w:val="0"/>
        <w:rPr>
          <w:rFonts w:ascii="Times New Roman" w:hAnsi="Times New Roman" w:eastAsia="宋体" w:cs="Times New Roman"/>
          <w:sz w:val="21"/>
          <w:lang w:bidi="ar"/>
        </w:rPr>
      </w:pPr>
      <w:bookmarkStart w:id="21" w:name="_Toc6353"/>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14</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endoscopic </w:t>
      </w:r>
      <w:r>
        <w:rPr>
          <w:rFonts w:hint="eastAsia" w:ascii="Times New Roman" w:hAnsi="Times New Roman" w:eastAsia="宋体" w:cs="Times New Roman"/>
          <w:sz w:val="21"/>
          <w:lang w:bidi="ar"/>
        </w:rPr>
        <w:t xml:space="preserve">remission </w:t>
      </w:r>
      <w:r>
        <w:rPr>
          <w:rFonts w:ascii="Times New Roman" w:hAnsi="Times New Roman" w:eastAsia="宋体" w:cs="Times New Roman"/>
          <w:sz w:val="21"/>
          <w:lang w:bidi="ar"/>
        </w:rPr>
        <w:t xml:space="preserve">in </w:t>
      </w:r>
      <w:r>
        <w:rPr>
          <w:rFonts w:hint="eastAsia" w:ascii="Times New Roman" w:hAnsi="Times New Roman" w:eastAsia="宋体" w:cs="Times New Roman"/>
          <w:sz w:val="21"/>
          <w:lang w:bidi="ar"/>
        </w:rPr>
        <w:t>patients with biologic failure.</w:t>
      </w:r>
      <w:bookmarkEnd w:id="21"/>
    </w:p>
    <w:tbl>
      <w:tblPr>
        <w:tblW w:w="850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701"/>
        <w:gridCol w:w="1701"/>
        <w:gridCol w:w="1701"/>
        <w:gridCol w:w="1701"/>
        <w:gridCol w:w="1701"/>
      </w:tblGrid>
      <w:tr w14:paraId="50EB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63310C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8031A5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0.90 (0.19,4.21)</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B810D2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1.81 (0.70,4.65)</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6DA15E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0.11 (0.03,0.38)</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ED8B1E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0.26 (0.15,0.46)</w:t>
            </w:r>
          </w:p>
        </w:tc>
      </w:tr>
      <w:tr w14:paraId="6020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646DCCE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1.11 (0.24,5.22)</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1CA94F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Mirikizumab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33923C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2.01 (0.40,10.16)</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8AF304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0.12 (0.02,0.74)</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43B71AF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0.29 (0.07,1.22)</w:t>
            </w:r>
          </w:p>
        </w:tc>
      </w:tr>
      <w:tr w14:paraId="2677C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092510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0.55 (0.21,1.43)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55F17C2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0.50 (0.10,2.51)</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054262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70312EF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0.06 (0.02,0.23)</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E11D63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0.14 (0.07,0.31)</w:t>
            </w:r>
          </w:p>
        </w:tc>
      </w:tr>
      <w:tr w14:paraId="65BF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AFE8239">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9.32 (2.63,33.07)</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1867117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8.37 (1.35,51.98)</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838FB3C">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16.83 (4.34,65.35)</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9A82AD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E27285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2.43 (0.78,7.50)</w:t>
            </w:r>
          </w:p>
        </w:tc>
      </w:tr>
      <w:tr w14:paraId="05F21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0E97C2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3.84 (2.16,6.82)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283A43F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3.45 (0.82,14.50)</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34B2635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6.94 (3.27,14.72)</w:t>
            </w:r>
          </w:p>
        </w:tc>
        <w:tc>
          <w:tcPr>
            <w:tcW w:w="1701" w:type="dxa"/>
            <w:tcBorders>
              <w:top w:val="single" w:color="000000" w:sz="4" w:space="0"/>
              <w:left w:val="single" w:color="000000" w:sz="4" w:space="0"/>
              <w:bottom w:val="single" w:color="000000" w:sz="4" w:space="0"/>
              <w:right w:val="single" w:color="000000" w:sz="4" w:space="0"/>
            </w:tcBorders>
            <w:shd w:val="clear"/>
            <w:vAlign w:val="center"/>
          </w:tcPr>
          <w:p w14:paraId="073CAA2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0.41 (0.13,1.27)</w:t>
            </w:r>
          </w:p>
        </w:tc>
        <w:tc>
          <w:tcPr>
            <w:tcW w:w="170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F5ED79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06901D8E">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IV: intravenous. SC: subcutaneous. </w:t>
      </w:r>
    </w:p>
    <w:p w14:paraId="61CA7260">
      <w:pPr>
        <w:rPr>
          <w:rFonts w:cs="Times New Roman"/>
          <w:lang w:bidi="ar"/>
        </w:rPr>
      </w:pPr>
    </w:p>
    <w:p w14:paraId="2E92CA02">
      <w:pPr>
        <w:rPr>
          <w:rFonts w:cs="Times New Roman"/>
          <w:lang w:bidi="ar"/>
        </w:rPr>
      </w:pPr>
      <w:r>
        <w:rPr>
          <w:rFonts w:cs="Times New Roman"/>
          <w:lang w:bidi="ar"/>
        </w:rPr>
        <w:br w:type="page"/>
      </w:r>
    </w:p>
    <w:p w14:paraId="05246010">
      <w:pPr>
        <w:pStyle w:val="11"/>
        <w:outlineLvl w:val="0"/>
        <w:rPr>
          <w:rFonts w:ascii="Times New Roman" w:hAnsi="Times New Roman" w:eastAsia="宋体" w:cs="Times New Roman"/>
          <w:sz w:val="21"/>
          <w:lang w:bidi="ar"/>
        </w:rPr>
      </w:pPr>
      <w:bookmarkStart w:id="22" w:name="_Toc14130"/>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15</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adverse events </w:t>
      </w:r>
      <w:r>
        <w:rPr>
          <w:rFonts w:ascii="Times New Roman" w:hAnsi="Times New Roman" w:eastAsia="宋体" w:cs="Times New Roman"/>
          <w:sz w:val="21"/>
          <w:lang w:bidi="ar"/>
        </w:rPr>
        <w:t>in network meta-analysis.</w:t>
      </w:r>
      <w:bookmarkEnd w:id="22"/>
      <w:r>
        <w:rPr>
          <w:rFonts w:ascii="Times New Roman" w:hAnsi="Times New Roman" w:eastAsia="宋体" w:cs="Times New Roman"/>
          <w:sz w:val="21"/>
          <w:lang w:bidi="ar"/>
        </w:rPr>
        <w:t xml:space="preserve"> </w:t>
      </w:r>
    </w:p>
    <w:tbl>
      <w:tblPr>
        <w:tblW w:w="115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2"/>
        <w:gridCol w:w="1638"/>
        <w:gridCol w:w="1636"/>
        <w:gridCol w:w="1661"/>
        <w:gridCol w:w="1661"/>
        <w:gridCol w:w="1637"/>
        <w:gridCol w:w="1633"/>
      </w:tblGrid>
      <w:tr w14:paraId="62D5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3ECA0E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354E04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(0.57,1.33)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37F959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1.25 (0.83,1.89)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1B5589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(0.66,1.52)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209559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(0.65,1.49)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A3356D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(0.71,1.37)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C1B26F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1.03 (0.73,1.45)</w:t>
            </w:r>
          </w:p>
        </w:tc>
      </w:tr>
      <w:tr w14:paraId="19910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0C2B0C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1.14 (0.75,1.74)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43758F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E1F4CE6">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1.43 (1.03,1.99)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6D39AF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1.15 (0.82,1.60)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A30AF6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1.13 (0.81,1.57)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5EABD4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1.13 (0.73,1.73)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AED6E2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1.18 (0.93,1.49)</w:t>
            </w:r>
          </w:p>
        </w:tc>
      </w:tr>
      <w:tr w14:paraId="1CF25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7F1E6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0.80 (0.53,1.21)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B6A713">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0.70 (0.50,0.97)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5E5EC87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1ABD62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0.80 (0.58,1.11)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68FBB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(0.57,1.09)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24B68F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0.79 (0.52,1.20)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0B6C2F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0.82 (0.66,1.03)</w:t>
            </w:r>
          </w:p>
        </w:tc>
      </w:tr>
      <w:tr w14:paraId="1B50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96F099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(0.66,1.51)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7CBC13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0.87 (0.63,1.21)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B58D07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1.25 (0.90,1.72)</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9B1325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694DF1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(0.78,1.24)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53AB14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(0.64,1.50)</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CE00FC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(0.81,1.29)</w:t>
            </w:r>
          </w:p>
        </w:tc>
      </w:tr>
      <w:tr w14:paraId="205B1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BB9358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(0.67,1.54)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082A59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0.89 (0.64,1.24)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60FA3C7">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1.27 (0.92,1.76)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E3C5FB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(0.81,1.29)</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671252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E61C24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(0.65,1.53)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A8EF3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1.04 (0.83,1.32)</w:t>
            </w:r>
          </w:p>
        </w:tc>
      </w:tr>
      <w:tr w14:paraId="1CE3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57BF83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(0.73,1.41)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35A129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0.89 (0.58,1.36)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904C48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1.27 (0.83,1.94)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8CE975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(0.67,1.56)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73F59B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(0.65,1.53)</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286BBF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Ustekinumab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A42855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1.04 (0.73,1.49)</w:t>
            </w:r>
          </w:p>
        </w:tc>
      </w:tr>
      <w:tr w14:paraId="17DD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BC4BB7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0.97 (0.69,1.38)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243705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0.85 (0.67,1.08)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66FE39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1.22 (0.97,1.53)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C5C4C5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(0.78,1.23)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D0360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(0.76,1.21)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B51BC0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(0.67,1.37)</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7D7C26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5F8604AD">
      <w:pPr>
        <w:pStyle w:val="11"/>
        <w:rPr>
          <w:rFonts w:ascii="Times New Roman" w:hAnsi="Times New Roman" w:eastAsia="宋体" w:cs="Times New Roman"/>
          <w:sz w:val="21"/>
          <w:lang w:bidi="ar"/>
        </w:rPr>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IV: intravenous. SC: subcutaneous. </w:t>
      </w:r>
    </w:p>
    <w:p w14:paraId="336E49E6">
      <w:pPr>
        <w:rPr>
          <w:rFonts w:cs="Times New Roman"/>
          <w:lang w:bidi="ar"/>
        </w:rPr>
      </w:pPr>
    </w:p>
    <w:p w14:paraId="2915C95C">
      <w:pPr>
        <w:rPr>
          <w:rFonts w:cs="Times New Roman"/>
          <w:lang w:bidi="ar"/>
        </w:rPr>
      </w:pPr>
    </w:p>
    <w:p w14:paraId="43DA88DE">
      <w:pPr>
        <w:pStyle w:val="11"/>
        <w:outlineLvl w:val="0"/>
        <w:rPr>
          <w:rFonts w:ascii="Times New Roman" w:hAnsi="Times New Roman" w:eastAsia="宋体" w:cs="Times New Roman"/>
          <w:sz w:val="21"/>
          <w:lang w:bidi="ar"/>
        </w:rPr>
      </w:pPr>
      <w:bookmarkStart w:id="23" w:name="_Toc26470"/>
      <w:r>
        <w:rPr>
          <w:rFonts w:ascii="Times New Roman" w:hAnsi="Times New Roman" w:eastAsia="宋体" w:cs="Times New Roman"/>
          <w:sz w:val="21"/>
          <w:lang w:bidi="ar"/>
        </w:rPr>
        <w:t xml:space="preserve">Supplementary </w:t>
      </w:r>
      <w:r>
        <w:rPr>
          <w:rFonts w:hint="eastAsia" w:ascii="Times New Roman" w:hAnsi="Times New Roman"/>
        </w:rPr>
        <w:t xml:space="preserve">Table </w:t>
      </w:r>
      <w:r>
        <w:rPr>
          <w:rFonts w:ascii="Times New Roman" w:hAnsi="Times New Roman" w:eastAsia="宋体" w:cs="Times New Roman"/>
          <w:sz w:val="21"/>
          <w:lang w:bidi="ar"/>
        </w:rPr>
        <w:fldChar w:fldCharType="begin"/>
      </w:r>
      <w:r>
        <w:rPr>
          <w:rFonts w:ascii="Times New Roman" w:hAnsi="Times New Roman" w:eastAsia="宋体" w:cs="Times New Roman"/>
          <w:sz w:val="21"/>
          <w:lang w:bidi="ar"/>
        </w:rPr>
        <w:instrText xml:space="preserve"> SEQ Supplementary_Table \* ARABIC </w:instrText>
      </w:r>
      <w:r>
        <w:rPr>
          <w:rFonts w:ascii="Times New Roman" w:hAnsi="Times New Roman" w:eastAsia="宋体" w:cs="Times New Roman"/>
          <w:sz w:val="21"/>
          <w:lang w:bidi="ar"/>
        </w:rPr>
        <w:fldChar w:fldCharType="separate"/>
      </w:r>
      <w:r>
        <w:rPr>
          <w:rFonts w:ascii="Times New Roman" w:hAnsi="Times New Roman" w:eastAsia="宋体" w:cs="Times New Roman"/>
          <w:sz w:val="21"/>
          <w:lang w:bidi="ar"/>
        </w:rPr>
        <w:t>16</w:t>
      </w:r>
      <w:r>
        <w:rPr>
          <w:rFonts w:ascii="Times New Roman" w:hAnsi="Times New Roman" w:eastAsia="宋体" w:cs="Times New Roman"/>
          <w:sz w:val="21"/>
          <w:lang w:bidi="ar"/>
        </w:rPr>
        <w:fldChar w:fldCharType="end"/>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 xml:space="preserve">Indirect comparison of IL-23p19 inhibitors and small molecule drugs for the induction of </w:t>
      </w:r>
      <w:r>
        <w:rPr>
          <w:rFonts w:hint="eastAsia" w:ascii="Times New Roman" w:hAnsi="Times New Roman" w:eastAsia="宋体" w:cs="Times New Roman"/>
          <w:sz w:val="21"/>
          <w:lang w:bidi="ar"/>
        </w:rPr>
        <w:t xml:space="preserve">serious adverse events </w:t>
      </w:r>
      <w:r>
        <w:rPr>
          <w:rFonts w:ascii="Times New Roman" w:hAnsi="Times New Roman" w:eastAsia="宋体" w:cs="Times New Roman"/>
          <w:sz w:val="21"/>
          <w:lang w:bidi="ar"/>
        </w:rPr>
        <w:t>in network meta-analysis.</w:t>
      </w:r>
      <w:bookmarkEnd w:id="23"/>
      <w:r>
        <w:rPr>
          <w:rFonts w:ascii="Times New Roman" w:hAnsi="Times New Roman" w:eastAsia="宋体" w:cs="Times New Roman"/>
          <w:sz w:val="21"/>
          <w:lang w:bidi="ar"/>
        </w:rPr>
        <w:t xml:space="preserve"> </w:t>
      </w:r>
    </w:p>
    <w:tbl>
      <w:tblPr>
        <w:tblW w:w="115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2"/>
        <w:gridCol w:w="1638"/>
        <w:gridCol w:w="1636"/>
        <w:gridCol w:w="1661"/>
        <w:gridCol w:w="1661"/>
        <w:gridCol w:w="1637"/>
        <w:gridCol w:w="1633"/>
      </w:tblGrid>
      <w:tr w14:paraId="10A2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5C0539C">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Guselkumab_IV</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621A61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0.92 (0.38,2.23)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4708A5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1.98 (0.81,4.86)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D3CC6A7">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2.63 (1.09,6.33)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DB8485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2.10 (0.86,5.14)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4179750">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1.98 (1.03,3.83)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40B3D5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2.06 (0.94,4.53)</w:t>
            </w:r>
          </w:p>
        </w:tc>
      </w:tr>
      <w:tr w14:paraId="79F7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7171AE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1.09 (0.45,2.64)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BA296B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Risankizumab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7A59B8E">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2.15 (1.19,3.89)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32E6385">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2.86 (1.63,5.01)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DE5538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2.28 (1.27,4.11)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6B4C5310">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2.16 (0.89,5.21)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687F338">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2.24 (1.49,3.36)</w:t>
            </w:r>
          </w:p>
        </w:tc>
      </w:tr>
      <w:tr w14:paraId="679D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D9BBF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0.51 (0.21,1.24)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93CD50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0.46 (0.26,0.84)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63A30D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Upadacitinib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89DEED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1.33 (0.74,2.37)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8D6C19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1.06 (0.58,1.94)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01CE48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(0.41,2.45)</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8ADDCA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1.04 (0.68,1.60)</w:t>
            </w:r>
          </w:p>
        </w:tc>
      </w:tr>
      <w:tr w14:paraId="22E1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938B22A">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0.38 (0.16,0.91)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05F31F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0.35 (0.20,0.61)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585BF8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0.75 (0.42,1.34)</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2B7CB2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Filgotinib_100mg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13E7FF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0.80 (0.53,1.19)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6C2ED2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0.75 (0.31,1.81)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D1238C5">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0.78 (0.53,1.15)</w:t>
            </w:r>
          </w:p>
        </w:tc>
      </w:tr>
      <w:tr w14:paraId="45FF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149D0E34">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0.48 (0.19,1.17)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D8325FF">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0.44 (0.24,0.79)</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BB51A73">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0.94 (0.51,1.73)</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F80F081">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1.25 (0.84,1.88)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17C3BF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Filgotinib_200mg</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8BBF0E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0.94 (0.39,2.31)</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2A4F49D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0.98 (0.64,1.50)</w:t>
            </w:r>
          </w:p>
        </w:tc>
      </w:tr>
      <w:tr w14:paraId="52435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1A5BFC4">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0.50 (0.26,0.97)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BAAC3C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0.46 (0.19,1.12)</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193AFFB">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1.00 (0.41,2.44)</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0C745C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1.33 (0.55,3.18)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33F2A0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1.06 (0.43,2.58)</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6477610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Ustekinumab</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40D53FC2">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1.04 (0.47,2.27)</w:t>
            </w:r>
          </w:p>
        </w:tc>
      </w:tr>
      <w:tr w14:paraId="2D0B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E4AA65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0.49 (0.22,1.07)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D8DF1D1">
            <w:pPr>
              <w:keepNext w:val="0"/>
              <w:keepLines w:val="0"/>
              <w:widowControl/>
              <w:suppressLineNumbers w:val="0"/>
              <w:jc w:val="center"/>
              <w:textAlignment w:val="center"/>
              <w:rPr>
                <w:rFonts w:hint="default" w:ascii="Times New Roman" w:hAnsi="Times New Roman" w:eastAsia="微软雅黑" w:cs="Times New Roman"/>
                <w:b/>
                <w:bCs/>
                <w:i w:val="0"/>
                <w:iCs w:val="0"/>
                <w:color w:val="000000"/>
                <w:sz w:val="20"/>
                <w:szCs w:val="20"/>
                <w:u w:val="none"/>
              </w:rPr>
            </w:pPr>
            <w:r>
              <w:rPr>
                <w:rFonts w:hint="default" w:ascii="Times New Roman" w:hAnsi="Times New Roman" w:eastAsia="微软雅黑" w:cs="Times New Roman"/>
                <w:b w:val="0"/>
                <w:bCs/>
                <w:i/>
                <w:iCs w:val="0"/>
                <w:color w:val="000000"/>
                <w:kern w:val="0"/>
                <w:sz w:val="20"/>
                <w:szCs w:val="20"/>
                <w:u w:val="none"/>
                <w:bdr w:val="none" w:color="auto" w:sz="0" w:space="0"/>
                <w:lang w:val="en-US" w:eastAsia="zh-CN" w:bidi="ar"/>
              </w:rPr>
              <w:t>0.45 (0.30,0.67)</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7E3B7149">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(0.62,1.48)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094DCCF6">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1.28 (0.87,1.88)</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52FD034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1.02 (0.67,1.56)</w:t>
            </w:r>
          </w:p>
        </w:tc>
        <w:tc>
          <w:tcPr>
            <w:tcW w:w="1644" w:type="dxa"/>
            <w:tcBorders>
              <w:top w:val="single" w:color="000000" w:sz="4" w:space="0"/>
              <w:left w:val="single" w:color="000000" w:sz="4" w:space="0"/>
              <w:bottom w:val="single" w:color="000000" w:sz="4" w:space="0"/>
              <w:right w:val="single" w:color="000000" w:sz="4" w:space="0"/>
            </w:tcBorders>
            <w:shd w:val="clear"/>
            <w:vAlign w:val="center"/>
          </w:tcPr>
          <w:p w14:paraId="3EDE881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0.96 (0.44,2.11)</w:t>
            </w:r>
          </w:p>
        </w:tc>
        <w:tc>
          <w:tcPr>
            <w:tcW w:w="164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16515748">
            <w:pPr>
              <w:keepNext w:val="0"/>
              <w:keepLines w:val="0"/>
              <w:widowControl/>
              <w:suppressLineNumbers w:val="0"/>
              <w:jc w:val="center"/>
              <w:textAlignment w:val="center"/>
              <w:rPr>
                <w:rFonts w:hint="default" w:ascii="Times New Roman" w:hAnsi="Times New Roman" w:eastAsia="微软雅黑" w:cs="Times New Roman"/>
                <w:i w:val="0"/>
                <w:iCs w:val="0"/>
                <w:color w:val="000000"/>
                <w:sz w:val="20"/>
                <w:szCs w:val="20"/>
                <w:u w:val="none"/>
              </w:rPr>
            </w:pPr>
            <w:r>
              <w:rPr>
                <w:rFonts w:hint="default" w:ascii="Times New Roman" w:hAnsi="Times New Roman" w:eastAsia="微软雅黑" w:cs="Times New Roman"/>
                <w:i w:val="0"/>
                <w:iCs w:val="0"/>
                <w:color w:val="000000"/>
                <w:kern w:val="0"/>
                <w:sz w:val="20"/>
                <w:szCs w:val="20"/>
                <w:u w:val="none"/>
                <w:bdr w:val="none" w:color="auto" w:sz="0" w:space="0"/>
                <w:lang w:val="en-US" w:eastAsia="zh-CN" w:bidi="ar"/>
              </w:rPr>
              <w:t>Placebo</w:t>
            </w:r>
          </w:p>
        </w:tc>
      </w:tr>
    </w:tbl>
    <w:p w14:paraId="6679D04A">
      <w:pPr>
        <w:pStyle w:val="11"/>
      </w:pPr>
      <w:r>
        <w:rPr>
          <w:rFonts w:ascii="Times New Roman" w:hAnsi="Times New Roman" w:eastAsia="宋体" w:cs="Times New Roman"/>
          <w:sz w:val="21"/>
          <w:lang w:bidi="ar"/>
        </w:rPr>
        <w:t xml:space="preserve">Values in each cell represent the relative treatment effect (risk ratio and 95% credible intervals) of the column-defining treatment compared to the row-defining treatment. The </w:t>
      </w:r>
      <w:r>
        <w:rPr>
          <w:rFonts w:hint="eastAsia" w:ascii="Times New Roman" w:hAnsi="Times New Roman" w:eastAsia="宋体" w:cs="Times New Roman"/>
          <w:sz w:val="21"/>
          <w:lang w:bidi="ar"/>
        </w:rPr>
        <w:t>bold</w:t>
      </w:r>
      <w:r>
        <w:rPr>
          <w:rFonts w:ascii="Times New Roman" w:hAnsi="Times New Roman" w:eastAsia="宋体" w:cs="Times New Roman"/>
          <w:sz w:val="21"/>
          <w:lang w:bidi="ar"/>
        </w:rPr>
        <w:t xml:space="preserve"> font represent statistically significant comparisons.</w:t>
      </w:r>
      <w:r>
        <w:rPr>
          <w:rFonts w:hint="eastAsia" w:ascii="Times New Roman" w:hAnsi="Times New Roman" w:eastAsia="宋体" w:cs="Times New Roman"/>
          <w:sz w:val="21"/>
          <w:lang w:bidi="ar"/>
        </w:rPr>
        <w:t xml:space="preserve"> </w:t>
      </w:r>
      <w:r>
        <w:rPr>
          <w:rFonts w:ascii="Times New Roman" w:hAnsi="Times New Roman" w:eastAsia="宋体" w:cs="Times New Roman"/>
          <w:sz w:val="21"/>
          <w:lang w:bidi="ar"/>
        </w:rPr>
        <w:t>IV: intravenous. SC: subcutaneous.</w:t>
      </w:r>
    </w:p>
    <w:sectPr>
      <w:pgSz w:w="16838" w:h="11906" w:orient="landscape"/>
      <w:pgMar w:top="1800" w:right="1440" w:bottom="14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QxNTWzsDA2NrawNLVQ0lEKTi0uzszPAykwrgUAiwn/piwAAAA="/>
  </w:docVars>
  <w:rsids>
    <w:rsidRoot w:val="00172A27"/>
    <w:rsid w:val="00060B59"/>
    <w:rsid w:val="000807B0"/>
    <w:rsid w:val="00110BE0"/>
    <w:rsid w:val="00172A27"/>
    <w:rsid w:val="001D68E2"/>
    <w:rsid w:val="001E7F15"/>
    <w:rsid w:val="00232300"/>
    <w:rsid w:val="0028234E"/>
    <w:rsid w:val="002A48C9"/>
    <w:rsid w:val="002C4620"/>
    <w:rsid w:val="00365F99"/>
    <w:rsid w:val="003C3361"/>
    <w:rsid w:val="00412070"/>
    <w:rsid w:val="00412C98"/>
    <w:rsid w:val="0043264B"/>
    <w:rsid w:val="005821E9"/>
    <w:rsid w:val="005F447F"/>
    <w:rsid w:val="00635B1E"/>
    <w:rsid w:val="0064143F"/>
    <w:rsid w:val="00681FC0"/>
    <w:rsid w:val="006B4756"/>
    <w:rsid w:val="007C00AD"/>
    <w:rsid w:val="007F14BA"/>
    <w:rsid w:val="00802C7C"/>
    <w:rsid w:val="008D5D1E"/>
    <w:rsid w:val="00A3006E"/>
    <w:rsid w:val="00A94CAC"/>
    <w:rsid w:val="00B85D08"/>
    <w:rsid w:val="00BD6707"/>
    <w:rsid w:val="00C73D98"/>
    <w:rsid w:val="00CC2FF3"/>
    <w:rsid w:val="00CE45F3"/>
    <w:rsid w:val="00DD5DE4"/>
    <w:rsid w:val="00DD7F6F"/>
    <w:rsid w:val="00F15E7D"/>
    <w:rsid w:val="00F5273D"/>
    <w:rsid w:val="02B33413"/>
    <w:rsid w:val="04194CE4"/>
    <w:rsid w:val="05290F57"/>
    <w:rsid w:val="068C514E"/>
    <w:rsid w:val="06DA24F3"/>
    <w:rsid w:val="06F37617"/>
    <w:rsid w:val="0B662F05"/>
    <w:rsid w:val="0BFE313E"/>
    <w:rsid w:val="0D837D9E"/>
    <w:rsid w:val="0D8458C4"/>
    <w:rsid w:val="0E87741A"/>
    <w:rsid w:val="10C34956"/>
    <w:rsid w:val="12A17861"/>
    <w:rsid w:val="13A91BE1"/>
    <w:rsid w:val="13E7095B"/>
    <w:rsid w:val="16A029FF"/>
    <w:rsid w:val="16EA74BB"/>
    <w:rsid w:val="17AF0DDF"/>
    <w:rsid w:val="17E551B2"/>
    <w:rsid w:val="187975A2"/>
    <w:rsid w:val="1988559A"/>
    <w:rsid w:val="1D2D73DF"/>
    <w:rsid w:val="1D8B2357"/>
    <w:rsid w:val="1DE347CF"/>
    <w:rsid w:val="1FF468DA"/>
    <w:rsid w:val="20BD4F1E"/>
    <w:rsid w:val="20D55AA2"/>
    <w:rsid w:val="211B1C44"/>
    <w:rsid w:val="211F359D"/>
    <w:rsid w:val="21884E0F"/>
    <w:rsid w:val="21F81D50"/>
    <w:rsid w:val="23922D25"/>
    <w:rsid w:val="239A78B3"/>
    <w:rsid w:val="24174945"/>
    <w:rsid w:val="24305074"/>
    <w:rsid w:val="24522084"/>
    <w:rsid w:val="25FB1AD6"/>
    <w:rsid w:val="266F0A68"/>
    <w:rsid w:val="26733F16"/>
    <w:rsid w:val="27051CAA"/>
    <w:rsid w:val="273A7B3D"/>
    <w:rsid w:val="277C2A42"/>
    <w:rsid w:val="278D7FD8"/>
    <w:rsid w:val="27B506FD"/>
    <w:rsid w:val="27DF5779"/>
    <w:rsid w:val="2849353B"/>
    <w:rsid w:val="28616AD6"/>
    <w:rsid w:val="28A30D8C"/>
    <w:rsid w:val="29842B68"/>
    <w:rsid w:val="2ACD2440"/>
    <w:rsid w:val="2B6A2F55"/>
    <w:rsid w:val="2C87004E"/>
    <w:rsid w:val="2D305893"/>
    <w:rsid w:val="2F1321AD"/>
    <w:rsid w:val="2F196628"/>
    <w:rsid w:val="31505F30"/>
    <w:rsid w:val="31D249A5"/>
    <w:rsid w:val="32BC735B"/>
    <w:rsid w:val="32CE28B5"/>
    <w:rsid w:val="33B0446E"/>
    <w:rsid w:val="34FA6DEB"/>
    <w:rsid w:val="3690766D"/>
    <w:rsid w:val="397C5AE7"/>
    <w:rsid w:val="3A791390"/>
    <w:rsid w:val="3A7C154E"/>
    <w:rsid w:val="3C8C04F2"/>
    <w:rsid w:val="3D471E87"/>
    <w:rsid w:val="3D5243D7"/>
    <w:rsid w:val="3E3913D7"/>
    <w:rsid w:val="3FE17168"/>
    <w:rsid w:val="402045D7"/>
    <w:rsid w:val="41004A67"/>
    <w:rsid w:val="42636FFD"/>
    <w:rsid w:val="42846F4A"/>
    <w:rsid w:val="4330249D"/>
    <w:rsid w:val="433E7C12"/>
    <w:rsid w:val="44CE5CD1"/>
    <w:rsid w:val="46A07635"/>
    <w:rsid w:val="46EB3822"/>
    <w:rsid w:val="46F649F7"/>
    <w:rsid w:val="47F606B5"/>
    <w:rsid w:val="480B771E"/>
    <w:rsid w:val="4ABB2762"/>
    <w:rsid w:val="4B3C2D5F"/>
    <w:rsid w:val="4B7A73E4"/>
    <w:rsid w:val="4C580CB9"/>
    <w:rsid w:val="4F4915A7"/>
    <w:rsid w:val="507B60D8"/>
    <w:rsid w:val="50E10F66"/>
    <w:rsid w:val="51F66E7A"/>
    <w:rsid w:val="52163E03"/>
    <w:rsid w:val="53095D90"/>
    <w:rsid w:val="53C93484"/>
    <w:rsid w:val="543475AD"/>
    <w:rsid w:val="54762ACB"/>
    <w:rsid w:val="549A5EE9"/>
    <w:rsid w:val="54FC6D3D"/>
    <w:rsid w:val="55DE4688"/>
    <w:rsid w:val="55F54618"/>
    <w:rsid w:val="571B6828"/>
    <w:rsid w:val="57A10296"/>
    <w:rsid w:val="59AD1935"/>
    <w:rsid w:val="5C6C6ABA"/>
    <w:rsid w:val="5D79399F"/>
    <w:rsid w:val="5D972FAA"/>
    <w:rsid w:val="5E967907"/>
    <w:rsid w:val="5EF0658F"/>
    <w:rsid w:val="5F1C3163"/>
    <w:rsid w:val="601D5F81"/>
    <w:rsid w:val="61300657"/>
    <w:rsid w:val="614222FA"/>
    <w:rsid w:val="61966B1E"/>
    <w:rsid w:val="61F60472"/>
    <w:rsid w:val="637075F2"/>
    <w:rsid w:val="63D80CF3"/>
    <w:rsid w:val="63EA5CF8"/>
    <w:rsid w:val="64276DCF"/>
    <w:rsid w:val="649B04A9"/>
    <w:rsid w:val="6522491C"/>
    <w:rsid w:val="653463FD"/>
    <w:rsid w:val="665264EC"/>
    <w:rsid w:val="66C0344C"/>
    <w:rsid w:val="674E0AEE"/>
    <w:rsid w:val="6838764F"/>
    <w:rsid w:val="68742918"/>
    <w:rsid w:val="6C7A646F"/>
    <w:rsid w:val="7025516C"/>
    <w:rsid w:val="705C5EEF"/>
    <w:rsid w:val="71690E5D"/>
    <w:rsid w:val="71DB1072"/>
    <w:rsid w:val="721675B7"/>
    <w:rsid w:val="72C66324"/>
    <w:rsid w:val="742C4E6F"/>
    <w:rsid w:val="74E3517A"/>
    <w:rsid w:val="757E33E6"/>
    <w:rsid w:val="76277FE4"/>
    <w:rsid w:val="763A297D"/>
    <w:rsid w:val="77143F1A"/>
    <w:rsid w:val="771F6F0D"/>
    <w:rsid w:val="7723485F"/>
    <w:rsid w:val="78141569"/>
    <w:rsid w:val="78BE5428"/>
    <w:rsid w:val="792A1B99"/>
    <w:rsid w:val="7CC9327A"/>
    <w:rsid w:val="7D3D633F"/>
    <w:rsid w:val="7EF46E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ascii="Arial" w:hAnsi="Arial" w:eastAsia="黑体"/>
      <w:sz w:val="20"/>
    </w:rPr>
  </w:style>
  <w:style w:type="paragraph" w:styleId="12">
    <w:name w:val="footer"/>
    <w:basedOn w:val="1"/>
    <w:link w:val="42"/>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semiHidden/>
    <w:unhideWhenUsed/>
    <w:qFormat/>
    <w:uiPriority w:val="99"/>
    <w:rPr>
      <w:sz w:val="24"/>
    </w:rPr>
  </w:style>
  <w:style w:type="paragraph" w:styleId="17">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uiPriority w:val="99"/>
    <w:rPr>
      <w:color w:val="96607D"/>
      <w:u w:val="single"/>
    </w:rPr>
  </w:style>
  <w:style w:type="character" w:styleId="22">
    <w:name w:val="Hyperlink"/>
    <w:basedOn w:val="20"/>
    <w:semiHidden/>
    <w:unhideWhenUsed/>
    <w:qFormat/>
    <w:uiPriority w:val="99"/>
    <w:rPr>
      <w:color w:val="0000FF"/>
      <w:u w:val="single"/>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27">
    <w:name w:val="标题 5 字符"/>
    <w:basedOn w:val="20"/>
    <w:link w:val="6"/>
    <w:semiHidden/>
    <w:qFormat/>
    <w:uiPriority w:val="9"/>
    <w:rPr>
      <w:rFonts w:asciiTheme="minorHAnsi" w:hAnsiTheme="minorHAnsi" w:eastAsiaTheme="minorEastAsia" w:cstheme="majorBidi"/>
      <w:color w:val="104862" w:themeColor="accent1" w:themeShade="BF"/>
      <w:sz w:val="24"/>
      <w:szCs w:val="24"/>
    </w:rPr>
  </w:style>
  <w:style w:type="character" w:customStyle="1" w:styleId="28">
    <w:name w:val="标题 6 字符"/>
    <w:basedOn w:val="20"/>
    <w:link w:val="7"/>
    <w:semiHidden/>
    <w:qFormat/>
    <w:uiPriority w:val="9"/>
    <w:rPr>
      <w:rFonts w:asciiTheme="minorHAnsi" w:hAnsiTheme="minorHAnsi" w:eastAsiaTheme="minorEastAsia" w:cstheme="majorBidi"/>
      <w:b/>
      <w:bCs/>
      <w:color w:val="104862" w:themeColor="accent1" w:themeShade="BF"/>
    </w:rPr>
  </w:style>
  <w:style w:type="character" w:customStyle="1" w:styleId="29">
    <w:name w:val="标题 7 字符"/>
    <w:basedOn w:val="20"/>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明显强调1"/>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明显参考1"/>
    <w:basedOn w:val="20"/>
    <w:qFormat/>
    <w:uiPriority w:val="32"/>
    <w:rPr>
      <w:b/>
      <w:bCs/>
      <w:smallCaps/>
      <w:color w:val="104862" w:themeColor="accent1" w:themeShade="BF"/>
      <w:spacing w:val="5"/>
    </w:rPr>
  </w:style>
  <w:style w:type="character" w:customStyle="1" w:styleId="41">
    <w:name w:val="页眉 字符"/>
    <w:basedOn w:val="20"/>
    <w:link w:val="13"/>
    <w:qFormat/>
    <w:uiPriority w:val="99"/>
    <w:rPr>
      <w:sz w:val="18"/>
      <w:szCs w:val="18"/>
    </w:rPr>
  </w:style>
  <w:style w:type="character" w:customStyle="1" w:styleId="42">
    <w:name w:val="页脚 字符"/>
    <w:basedOn w:val="20"/>
    <w:link w:val="12"/>
    <w:qFormat/>
    <w:uiPriority w:val="99"/>
    <w:rPr>
      <w:sz w:val="18"/>
      <w:szCs w:val="18"/>
    </w:rPr>
  </w:style>
  <w:style w:type="paragraph" w:customStyle="1" w:styleId="43">
    <w:name w:val="正文1"/>
    <w:qFormat/>
    <w:uiPriority w:val="0"/>
    <w:pPr>
      <w:jc w:val="both"/>
    </w:pPr>
    <w:rPr>
      <w:rFonts w:ascii="等线" w:hAnsi="等线" w:eastAsia="宋体" w:cs="宋体"/>
      <w:kern w:val="2"/>
      <w:sz w:val="21"/>
      <w:szCs w:val="21"/>
      <w:lang w:val="en-US" w:eastAsia="zh-CN" w:bidi="ar-SA"/>
    </w:rPr>
  </w:style>
  <w:style w:type="paragraph" w:customStyle="1" w:styleId="44">
    <w:name w:val="修订1"/>
    <w:hidden/>
    <w:unhideWhenUsed/>
    <w:qFormat/>
    <w:uiPriority w:val="99"/>
    <w:rPr>
      <w:rFonts w:ascii="Times New Roman" w:hAnsi="Times New Roman"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tiff"/><Relationship Id="rId7" Type="http://schemas.openxmlformats.org/officeDocument/2006/relationships/image" Target="media/image4.svg"/><Relationship Id="rId6" Type="http://schemas.openxmlformats.org/officeDocument/2006/relationships/image" Target="media/image3.png"/><Relationship Id="rId5" Type="http://schemas.openxmlformats.org/officeDocument/2006/relationships/image" Target="media/image2.sv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svg"/><Relationship Id="rId16" Type="http://schemas.openxmlformats.org/officeDocument/2006/relationships/image" Target="media/image13.png"/><Relationship Id="rId15" Type="http://schemas.openxmlformats.org/officeDocument/2006/relationships/image" Target="media/image12.svg"/><Relationship Id="rId14" Type="http://schemas.openxmlformats.org/officeDocument/2006/relationships/image" Target="media/image11.png"/><Relationship Id="rId13" Type="http://schemas.openxmlformats.org/officeDocument/2006/relationships/image" Target="media/image10.svg"/><Relationship Id="rId12" Type="http://schemas.openxmlformats.org/officeDocument/2006/relationships/image" Target="media/image9.png"/><Relationship Id="rId11" Type="http://schemas.openxmlformats.org/officeDocument/2006/relationships/image" Target="media/image8.sv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2AD6-E227-43E0-8814-2CE96488DC1B}">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2845</Words>
  <Characters>18385</Characters>
  <Lines>170</Lines>
  <Paragraphs>47</Paragraphs>
  <TotalTime>16</TotalTime>
  <ScaleCrop>false</ScaleCrop>
  <LinksUpToDate>false</LinksUpToDate>
  <CharactersWithSpaces>21061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2025-02-04T00:38:00Z</dcterms:created>
  <dc:creator>YuTing S</dc:creator>
  <cp:lastModifiedBy>-.-</cp:lastModifiedBy>
  <cp:lastPrinted>2025-05-11T17:46:00Z</cp:lastPrinted>
  <dcterms:modified xsi:type="dcterms:W3CDTF">2026-02-11T09:19:37Z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eyJoZGlkIjoiZjcyNDIzMjU3MjJmMzk2NDk1OWQ0NWI3NDIzMzIyNTYiLCJ1c2VySWQiOiIyMzcyNjc2NDEifQ==</vt:lpwstr>
  </property>
  <property fmtid="{D5CDD505-2E9C-101B-9397-08002B2CF9AE}" pid="3" name="KSOProductBuildVer">
    <vt:lpwstr>2052-12.1.0.24657</vt:lpwstr>
  </property>
  <property fmtid="{D5CDD505-2E9C-101B-9397-08002B2CF9AE}" pid="4" name="ICV">
    <vt:lpwstr>93D29191072444E897DECC8A4FFD1A8D_13</vt:lpwstr>
  </property>
</Properties>
</file>