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7A5C0" w14:textId="08193259" w:rsidR="002332AF" w:rsidRDefault="002332AF" w:rsidP="0028478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Information </w:t>
      </w:r>
    </w:p>
    <w:p w14:paraId="125378C6" w14:textId="77777777" w:rsidR="002332AF" w:rsidRDefault="002332AF" w:rsidP="0028478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C50C48" w14:textId="28DB4736" w:rsidR="00B2696C" w:rsidRDefault="00B2696C" w:rsidP="00284787">
      <w:pPr>
        <w:spacing w:line="480" w:lineRule="auto"/>
        <w:rPr>
          <w:rFonts w:hint="eastAsia"/>
        </w:rPr>
      </w:pPr>
      <w:r w:rsidRPr="00B2696C">
        <w:rPr>
          <w:rFonts w:ascii="Times New Roman" w:hAnsi="Times New Roman" w:cs="Times New Roman"/>
          <w:b/>
          <w:bCs/>
          <w:sz w:val="24"/>
          <w:szCs w:val="24"/>
        </w:rPr>
        <w:t>Article title:</w:t>
      </w:r>
      <w:r w:rsidRPr="00B2696C">
        <w:rPr>
          <w:rFonts w:hint="eastAsia"/>
        </w:rPr>
        <w:t xml:space="preserve"> </w:t>
      </w:r>
    </w:p>
    <w:p w14:paraId="5B0FB409" w14:textId="31F02B97" w:rsidR="002C1E12" w:rsidRDefault="00B2696C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696C">
        <w:rPr>
          <w:rFonts w:ascii="Times New Roman" w:hAnsi="Times New Roman" w:cs="Times New Roman" w:hint="eastAsia"/>
          <w:sz w:val="24"/>
          <w:szCs w:val="24"/>
        </w:rPr>
        <w:t>Predicting Adolescent Life Satisfaction Types from Multi-Scale Psychological Measures Using Explainable Machine Learning</w:t>
      </w:r>
    </w:p>
    <w:p w14:paraId="4C201934" w14:textId="77777777" w:rsidR="00B2696C" w:rsidRDefault="00B2696C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5E4FF8" w14:textId="0AD305AD" w:rsidR="00B2696C" w:rsidRPr="006F4AE2" w:rsidRDefault="006F4AE2" w:rsidP="0028478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4AE2">
        <w:rPr>
          <w:rFonts w:ascii="Times New Roman" w:hAnsi="Times New Roman" w:cs="Times New Roman" w:hint="eastAsia"/>
          <w:b/>
          <w:bCs/>
          <w:sz w:val="24"/>
          <w:szCs w:val="24"/>
        </w:rPr>
        <w:t>Journal:</w:t>
      </w:r>
    </w:p>
    <w:p w14:paraId="39414ED3" w14:textId="54589B28" w:rsidR="006F4AE2" w:rsidRPr="00B2696C" w:rsidRDefault="00B52D4F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BMC Psychology</w:t>
      </w:r>
    </w:p>
    <w:p w14:paraId="179E87A7" w14:textId="77777777" w:rsidR="006F4AE2" w:rsidRPr="005D745F" w:rsidRDefault="006F4AE2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5752234" w14:textId="77777777" w:rsidR="006F4AE2" w:rsidRPr="005D745F" w:rsidRDefault="006F4AE2" w:rsidP="0028478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745F">
        <w:rPr>
          <w:rFonts w:ascii="Times New Roman" w:hAnsi="Times New Roman" w:cs="Times New Roman" w:hint="eastAsia"/>
          <w:b/>
          <w:bCs/>
          <w:sz w:val="24"/>
          <w:szCs w:val="24"/>
        </w:rPr>
        <w:t>Authors:</w:t>
      </w:r>
    </w:p>
    <w:p w14:paraId="302242D1" w14:textId="77777777" w:rsidR="006F4AE2" w:rsidRPr="005D745F" w:rsidRDefault="006F4AE2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745F">
        <w:rPr>
          <w:rFonts w:ascii="Times New Roman" w:hAnsi="Times New Roman" w:cs="Times New Roman" w:hint="eastAsia"/>
          <w:sz w:val="24"/>
          <w:szCs w:val="24"/>
        </w:rPr>
        <w:t>Lan Yu</w:t>
      </w:r>
    </w:p>
    <w:p w14:paraId="3C1A3C80" w14:textId="77777777" w:rsidR="003C4E7C" w:rsidRPr="005D745F" w:rsidRDefault="003C4E7C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745F">
        <w:rPr>
          <w:rFonts w:ascii="Times New Roman" w:hAnsi="Times New Roman" w:cs="Times New Roman" w:hint="eastAsia"/>
          <w:sz w:val="24"/>
          <w:szCs w:val="24"/>
        </w:rPr>
        <w:t>Xiaoyu Li</w:t>
      </w:r>
    </w:p>
    <w:p w14:paraId="19D75FFD" w14:textId="77777777" w:rsidR="003C4E7C" w:rsidRPr="005D745F" w:rsidRDefault="003C4E7C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745F">
        <w:rPr>
          <w:rFonts w:ascii="Times New Roman" w:hAnsi="Times New Roman" w:cs="Times New Roman" w:hint="eastAsia"/>
          <w:sz w:val="24"/>
          <w:szCs w:val="24"/>
        </w:rPr>
        <w:t>Can Huang</w:t>
      </w:r>
    </w:p>
    <w:p w14:paraId="2CC9DEF9" w14:textId="77777777" w:rsidR="003C4E7C" w:rsidRPr="005D745F" w:rsidRDefault="003C4E7C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07E38D" w14:textId="77777777" w:rsidR="003D5277" w:rsidRPr="005D745F" w:rsidRDefault="003C4E7C" w:rsidP="0028478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745F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3D5277" w:rsidRPr="005D745F">
        <w:rPr>
          <w:rFonts w:ascii="Times New Roman" w:hAnsi="Times New Roman" w:cs="Times New Roman" w:hint="eastAsia"/>
          <w:b/>
          <w:bCs/>
          <w:sz w:val="24"/>
          <w:szCs w:val="24"/>
        </w:rPr>
        <w:t>orresponding Author:</w:t>
      </w:r>
    </w:p>
    <w:p w14:paraId="445EC74E" w14:textId="0310C4D8" w:rsidR="006E1DDE" w:rsidRDefault="003D527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745F">
        <w:rPr>
          <w:rFonts w:ascii="Times New Roman" w:hAnsi="Times New Roman" w:cs="Times New Roman" w:hint="eastAsia"/>
          <w:sz w:val="24"/>
          <w:szCs w:val="24"/>
        </w:rPr>
        <w:t xml:space="preserve">Can Huang </w:t>
      </w:r>
    </w:p>
    <w:p w14:paraId="4B266AA7" w14:textId="17236823" w:rsidR="005D745F" w:rsidRPr="005D745F" w:rsidRDefault="005D745F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745F">
        <w:rPr>
          <w:rFonts w:ascii="Times New Roman" w:hAnsi="Times New Roman" w:cs="Times New Roman" w:hint="eastAsia"/>
          <w:sz w:val="24"/>
          <w:szCs w:val="24"/>
        </w:rPr>
        <w:t xml:space="preserve">School of Information Technology in Education, South China Normal University, Guangzhou 510632, China </w:t>
      </w:r>
    </w:p>
    <w:p w14:paraId="7062638E" w14:textId="332DFAE4" w:rsidR="002C1E12" w:rsidRDefault="00F53E3D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Email: </w:t>
      </w:r>
      <w:hyperlink r:id="rId7" w:history="1">
        <w:r w:rsidR="00B52D4F" w:rsidRPr="00117D1C">
          <w:rPr>
            <w:rStyle w:val="af2"/>
            <w:rFonts w:ascii="Times New Roman" w:hAnsi="Times New Roman" w:cs="Times New Roman" w:hint="eastAsia"/>
            <w:sz w:val="24"/>
            <w:szCs w:val="24"/>
          </w:rPr>
          <w:t>huangcan97@foxmail.com</w:t>
        </w:r>
      </w:hyperlink>
    </w:p>
    <w:p w14:paraId="33B83691" w14:textId="77777777" w:rsidR="00B52D4F" w:rsidRDefault="00B52D4F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0A57979" w14:textId="77777777" w:rsidR="00B52D4F" w:rsidRDefault="00B52D4F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95D84A" w14:textId="77777777" w:rsidR="00B52D4F" w:rsidRDefault="00B52D4F" w:rsidP="00284787">
      <w:pPr>
        <w:spacing w:line="480" w:lineRule="auto"/>
        <w:rPr>
          <w:rFonts w:hint="eastAsia"/>
        </w:rPr>
      </w:pPr>
    </w:p>
    <w:p w14:paraId="2AAC3B2C" w14:textId="047AA6EC" w:rsidR="00746211" w:rsidRDefault="008A3A0B" w:rsidP="00284787">
      <w:pPr>
        <w:spacing w:line="480" w:lineRule="auto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AB6C5A4" wp14:editId="757BB693">
            <wp:extent cx="4284000" cy="2685600"/>
            <wp:effectExtent l="0" t="0" r="2540" b="635"/>
            <wp:docPr id="2358159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26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F1A7E" w14:textId="70F8571D" w:rsidR="004C5D43" w:rsidRDefault="00BC7FBE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6B5C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D355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36B5C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Pr="00936B5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C7FBE">
        <w:rPr>
          <w:rFonts w:ascii="Times New Roman" w:hAnsi="Times New Roman" w:cs="Times New Roman" w:hint="eastAsia"/>
          <w:sz w:val="24"/>
          <w:szCs w:val="24"/>
        </w:rPr>
        <w:t xml:space="preserve">Cumulative explained variance of </w:t>
      </w:r>
      <w:r>
        <w:rPr>
          <w:rFonts w:ascii="Times New Roman" w:hAnsi="Times New Roman" w:cs="Times New Roman" w:hint="eastAsia"/>
          <w:sz w:val="24"/>
          <w:szCs w:val="24"/>
        </w:rPr>
        <w:t>Y-side</w:t>
      </w:r>
      <w:r w:rsidRPr="00BC7FBE">
        <w:rPr>
          <w:rFonts w:ascii="Times New Roman" w:hAnsi="Times New Roman" w:cs="Times New Roman" w:hint="eastAsia"/>
          <w:sz w:val="24"/>
          <w:szCs w:val="24"/>
        </w:rPr>
        <w:t xml:space="preserve"> PCA</w:t>
      </w:r>
    </w:p>
    <w:p w14:paraId="0EC95208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C040478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D124196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DDF757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551308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36FA94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21AC0BD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C101FA9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84964C7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888ACD0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07985B9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C58BEA6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9DF9E1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B2EB965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D8C6FA7" w14:textId="1C881232" w:rsidR="006963F5" w:rsidRDefault="006963F5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(a)</w:t>
      </w:r>
    </w:p>
    <w:p w14:paraId="56063B76" w14:textId="7A8998A1" w:rsidR="006963F5" w:rsidRDefault="006963F5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E0F575A" wp14:editId="677CD100">
            <wp:extent cx="4284000" cy="3542400"/>
            <wp:effectExtent l="0" t="0" r="2540" b="1270"/>
            <wp:docPr id="11450866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35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3C3E4" w14:textId="03C91577" w:rsidR="00AA7B77" w:rsidRDefault="00AA7B7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(b)</w:t>
      </w:r>
    </w:p>
    <w:p w14:paraId="14A12423" w14:textId="72B7EACB" w:rsidR="00AA7B77" w:rsidRPr="00936B5C" w:rsidRDefault="00713CF1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872E175" wp14:editId="57E374AC">
            <wp:extent cx="4284000" cy="3542400"/>
            <wp:effectExtent l="0" t="0" r="2540" b="1270"/>
            <wp:docPr id="2867578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35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44519" w14:textId="010ABA4C" w:rsidR="00656611" w:rsidRDefault="00713CF1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6B5C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D355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36B5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936B5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6735D">
        <w:rPr>
          <w:rFonts w:ascii="Times New Roman" w:hAnsi="Times New Roman" w:cs="Times New Roman" w:hint="eastAsia"/>
          <w:sz w:val="24"/>
          <w:szCs w:val="24"/>
        </w:rPr>
        <w:t>t-SNE scatterplots colored by cluster for (a) RAW and (b) PCA routes, respectively</w:t>
      </w:r>
      <w:r w:rsidR="00004301">
        <w:rPr>
          <w:rFonts w:ascii="Times New Roman" w:hAnsi="Times New Roman" w:cs="Times New Roman" w:hint="eastAsia"/>
          <w:sz w:val="24"/>
          <w:szCs w:val="24"/>
        </w:rPr>
        <w:t xml:space="preserve"> (K-</w:t>
      </w:r>
      <w:r w:rsidR="00B954F0">
        <w:rPr>
          <w:rFonts w:ascii="Times New Roman" w:hAnsi="Times New Roman" w:cs="Times New Roman" w:hint="eastAsia"/>
          <w:sz w:val="24"/>
          <w:szCs w:val="24"/>
        </w:rPr>
        <w:t>M</w:t>
      </w:r>
      <w:r w:rsidR="00004301">
        <w:rPr>
          <w:rFonts w:ascii="Times New Roman" w:hAnsi="Times New Roman" w:cs="Times New Roman" w:hint="eastAsia"/>
          <w:sz w:val="24"/>
          <w:szCs w:val="24"/>
        </w:rPr>
        <w:t>eans, K=2)</w:t>
      </w:r>
    </w:p>
    <w:p w14:paraId="69EE4EFB" w14:textId="241C9960" w:rsidR="006E649B" w:rsidRPr="00226642" w:rsidRDefault="007E7D0E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642">
        <w:rPr>
          <w:rFonts w:ascii="Times New Roman" w:hAnsi="Times New Roman" w:cs="Times New Roman" w:hint="eastAsia"/>
          <w:sz w:val="24"/>
          <w:szCs w:val="24"/>
        </w:rPr>
        <w:lastRenderedPageBreak/>
        <w:t>(a)</w:t>
      </w:r>
    </w:p>
    <w:p w14:paraId="1A788C85" w14:textId="3E94FEC9" w:rsidR="007E7D0E" w:rsidRDefault="00226642" w:rsidP="00284787">
      <w:pPr>
        <w:spacing w:line="480" w:lineRule="auto"/>
        <w:rPr>
          <w:rFonts w:hint="eastAsia"/>
        </w:rPr>
      </w:pPr>
      <w:r>
        <w:rPr>
          <w:noProof/>
        </w:rPr>
        <w:drawing>
          <wp:inline distT="0" distB="0" distL="0" distR="0" wp14:anchorId="347192E0" wp14:editId="69C03C3C">
            <wp:extent cx="4284000" cy="1857600"/>
            <wp:effectExtent l="0" t="0" r="2540" b="9525"/>
            <wp:docPr id="10483805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18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1531B" w14:textId="31F76096" w:rsidR="00226642" w:rsidRDefault="00226642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642">
        <w:rPr>
          <w:rFonts w:ascii="Times New Roman" w:hAnsi="Times New Roman" w:cs="Times New Roman" w:hint="eastAsia"/>
          <w:sz w:val="24"/>
          <w:szCs w:val="24"/>
        </w:rPr>
        <w:t>(b)</w:t>
      </w:r>
    </w:p>
    <w:p w14:paraId="1AE1EE72" w14:textId="074AF83D" w:rsidR="00226642" w:rsidRPr="00226642" w:rsidRDefault="00226642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ACFBDD1" wp14:editId="0A2FE065">
            <wp:extent cx="4284000" cy="1854000"/>
            <wp:effectExtent l="0" t="0" r="2540" b="0"/>
            <wp:docPr id="98986148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18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6B53B" w14:textId="7508AAA5" w:rsidR="00E73FF6" w:rsidRDefault="00656611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6B5C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D355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36B5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AE6681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936B5C">
        <w:rPr>
          <w:rFonts w:ascii="Times New Roman" w:hAnsi="Times New Roman" w:cs="Times New Roman" w:hint="eastAsia"/>
          <w:sz w:val="24"/>
          <w:szCs w:val="24"/>
        </w:rPr>
        <w:t xml:space="preserve"> PCA loadings of the Anxiety (ANX) items. Panel (a) shows the top items by absolute loading on PC1; panel (b) shows PC2. Loadings are signed; bars to the right are positive and to the left are negative</w:t>
      </w:r>
    </w:p>
    <w:p w14:paraId="1B9E16A1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E238A1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C467EEA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E56259A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42EA19C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F1F2E94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72EAD6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0671B1D" w14:textId="0A4AB0F2" w:rsidR="00656611" w:rsidRDefault="004C5D43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5D43">
        <w:rPr>
          <w:rFonts w:ascii="Times New Roman" w:hAnsi="Times New Roman" w:cs="Times New Roman" w:hint="eastAsia"/>
          <w:sz w:val="24"/>
          <w:szCs w:val="24"/>
        </w:rPr>
        <w:lastRenderedPageBreak/>
        <w:t>(a)</w:t>
      </w:r>
    </w:p>
    <w:p w14:paraId="4D180405" w14:textId="5F56BB5F" w:rsidR="004C5D43" w:rsidRPr="004C5D43" w:rsidRDefault="009822AF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AC47F4A" wp14:editId="2B3ACF4F">
            <wp:extent cx="4284000" cy="2458800"/>
            <wp:effectExtent l="0" t="0" r="2540" b="0"/>
            <wp:docPr id="5577032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24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4A86B" w14:textId="1741FD2F" w:rsidR="004C5D43" w:rsidRDefault="004C5D43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5D43">
        <w:rPr>
          <w:rFonts w:ascii="Times New Roman" w:hAnsi="Times New Roman" w:cs="Times New Roman" w:hint="eastAsia"/>
          <w:sz w:val="24"/>
          <w:szCs w:val="24"/>
        </w:rPr>
        <w:t>(b)</w:t>
      </w:r>
    </w:p>
    <w:p w14:paraId="1C7E06F6" w14:textId="5BC1EEE6" w:rsidR="009822AF" w:rsidRPr="004C5D43" w:rsidRDefault="00E73FF6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5047276" wp14:editId="71C199EB">
            <wp:extent cx="4284000" cy="2458800"/>
            <wp:effectExtent l="0" t="0" r="2540" b="0"/>
            <wp:docPr id="131470577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24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5A617" w14:textId="6887855C" w:rsidR="00656611" w:rsidRDefault="00656611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B5183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D355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5B5183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AE6681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 xml:space="preserve"> PCA loadings of the Depression (DEP) items. Panel (a) shows the top items by absolute loading on PC1; panel (b) shows PC2. Loadings are signed; bars to the right are positive and to the left are negative</w:t>
      </w:r>
    </w:p>
    <w:p w14:paraId="4851A5CF" w14:textId="77777777" w:rsidR="00656611" w:rsidRDefault="00656611" w:rsidP="00284787">
      <w:pPr>
        <w:spacing w:line="480" w:lineRule="auto"/>
        <w:rPr>
          <w:rFonts w:hint="eastAsia"/>
        </w:rPr>
      </w:pPr>
    </w:p>
    <w:p w14:paraId="36A32650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BB681D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FFF504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ADA530" w14:textId="11961713" w:rsidR="00656611" w:rsidRDefault="00E73FF6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73FF6">
        <w:rPr>
          <w:rFonts w:ascii="Times New Roman" w:hAnsi="Times New Roman" w:cs="Times New Roman" w:hint="eastAsia"/>
          <w:sz w:val="24"/>
          <w:szCs w:val="24"/>
        </w:rPr>
        <w:lastRenderedPageBreak/>
        <w:t>(a)</w:t>
      </w:r>
    </w:p>
    <w:p w14:paraId="0CF36DA2" w14:textId="26DD6591" w:rsidR="00E73FF6" w:rsidRPr="00E73FF6" w:rsidRDefault="002E53D0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06C161C" wp14:editId="6CDCE2D2">
            <wp:extent cx="4284000" cy="2458800"/>
            <wp:effectExtent l="0" t="0" r="2540" b="0"/>
            <wp:docPr id="119808744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24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5E968" w14:textId="7AEDDB0F" w:rsidR="00E73FF6" w:rsidRPr="00E73FF6" w:rsidRDefault="00E73FF6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73FF6">
        <w:rPr>
          <w:rFonts w:ascii="Times New Roman" w:hAnsi="Times New Roman" w:cs="Times New Roman" w:hint="eastAsia"/>
          <w:sz w:val="24"/>
          <w:szCs w:val="24"/>
        </w:rPr>
        <w:t>(b)</w:t>
      </w:r>
    </w:p>
    <w:p w14:paraId="6EA6DE01" w14:textId="389D40D4" w:rsidR="00656611" w:rsidRDefault="00EE5DEF" w:rsidP="00284787">
      <w:pPr>
        <w:spacing w:line="480" w:lineRule="auto"/>
        <w:rPr>
          <w:rFonts w:hint="eastAsia"/>
        </w:rPr>
      </w:pPr>
      <w:r>
        <w:rPr>
          <w:noProof/>
        </w:rPr>
        <w:drawing>
          <wp:inline distT="0" distB="0" distL="0" distR="0" wp14:anchorId="533867DE" wp14:editId="50DA04BE">
            <wp:extent cx="4284000" cy="2458800"/>
            <wp:effectExtent l="0" t="0" r="2540" b="0"/>
            <wp:docPr id="55054529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24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3C46F" w14:textId="62B2A2F2" w:rsidR="00656611" w:rsidRDefault="00656611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6211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D355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4621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AE6681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 PCA loadings of the future time perspective (FTP) items. Panel (a) shows the top items by absolute loading on PC1; panel (b) shows PC2. Loadings are signed; bars to the right are positive and to the left are negative</w:t>
      </w:r>
    </w:p>
    <w:p w14:paraId="2751590C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F50CD4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0FC5F94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3E645D6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1B32AD" w14:textId="4CEB8F53" w:rsidR="00EE5DEF" w:rsidRDefault="00EE5DEF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(a)</w:t>
      </w:r>
    </w:p>
    <w:p w14:paraId="00FBA448" w14:textId="63B8B07D" w:rsidR="00EE5DEF" w:rsidRDefault="009E6CC4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AF6B172" wp14:editId="429B99D2">
            <wp:extent cx="4284000" cy="1854000"/>
            <wp:effectExtent l="0" t="0" r="2540" b="0"/>
            <wp:docPr id="65608376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18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65395" w14:textId="6B424DB4" w:rsidR="00EE5DEF" w:rsidRDefault="00EE5DEF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(b)</w:t>
      </w:r>
    </w:p>
    <w:p w14:paraId="0283FA0B" w14:textId="22B50606" w:rsidR="00EE5DEF" w:rsidRDefault="00030633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30F12B2" wp14:editId="18CF4D3D">
            <wp:extent cx="4284000" cy="1854000"/>
            <wp:effectExtent l="0" t="0" r="2540" b="0"/>
            <wp:docPr id="129837459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18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C3876" w14:textId="7A221B31" w:rsidR="00656611" w:rsidRDefault="00656611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6211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D355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4621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AE6681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>
        <w:rPr>
          <w:rFonts w:ascii="Times New Roman" w:hAnsi="Times New Roman" w:cs="Times New Roman" w:hint="eastAsia"/>
          <w:sz w:val="24"/>
          <w:szCs w:val="24"/>
        </w:rPr>
        <w:t xml:space="preserve"> PCA loadings of the growth mindset (GMS) items. Panel (a) shows the top items by absolute loading on PC1; panel (b) shows PC2. Loadings are signed; bars to the right are positive and to the left are negative</w:t>
      </w:r>
    </w:p>
    <w:p w14:paraId="290EE01C" w14:textId="77777777" w:rsidR="00656611" w:rsidRDefault="00656611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B9919B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66CF38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001667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B7C69E3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BF5393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76464A4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CB9204" w14:textId="57F61A86" w:rsidR="00656611" w:rsidRDefault="00030633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(a)</w:t>
      </w:r>
    </w:p>
    <w:p w14:paraId="1FAF07EA" w14:textId="445760F4" w:rsidR="00030633" w:rsidRDefault="008D6623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D48B939" wp14:editId="0535B169">
            <wp:extent cx="4284000" cy="2458800"/>
            <wp:effectExtent l="0" t="0" r="2540" b="0"/>
            <wp:docPr id="67531849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24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B5350" w14:textId="383685FD" w:rsidR="00030633" w:rsidRDefault="00030633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(b)</w:t>
      </w:r>
    </w:p>
    <w:p w14:paraId="4F988455" w14:textId="3094087D" w:rsidR="00656611" w:rsidRDefault="00DB030D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0ED7EDB" wp14:editId="204FDE59">
            <wp:extent cx="4284000" cy="2458800"/>
            <wp:effectExtent l="0" t="0" r="2540" b="0"/>
            <wp:docPr id="22150680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24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00281" w14:textId="097A1B9E" w:rsidR="00656611" w:rsidRDefault="00656611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6211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D355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4621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AE6681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>
        <w:rPr>
          <w:rFonts w:ascii="Times New Roman" w:hAnsi="Times New Roman" w:cs="Times New Roman" w:hint="eastAsia"/>
          <w:sz w:val="24"/>
          <w:szCs w:val="24"/>
        </w:rPr>
        <w:t xml:space="preserve"> PCA loadings of the smartphone dependence (PHONE) items. Panel (a) shows the top items by absolute loading on PC1; panel (b) shows PC2. Loadings are signed; bars to the right are positive and to the left are negative</w:t>
      </w:r>
    </w:p>
    <w:p w14:paraId="53CAEF13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D1DC03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9909FC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32E35EE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0ED6340" w14:textId="74210E4B" w:rsidR="00656611" w:rsidRDefault="00DB030D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030D">
        <w:rPr>
          <w:rFonts w:ascii="Times New Roman" w:hAnsi="Times New Roman" w:cs="Times New Roman" w:hint="eastAsia"/>
          <w:sz w:val="24"/>
          <w:szCs w:val="24"/>
        </w:rPr>
        <w:lastRenderedPageBreak/>
        <w:t>(a)</w:t>
      </w:r>
    </w:p>
    <w:p w14:paraId="06590635" w14:textId="17171457" w:rsidR="00DB030D" w:rsidRPr="00DB030D" w:rsidRDefault="004B0730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07AE8E5" wp14:editId="4628C19F">
            <wp:extent cx="4284000" cy="2210400"/>
            <wp:effectExtent l="0" t="0" r="2540" b="0"/>
            <wp:docPr id="84880254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22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87F8E" w14:textId="235225F2" w:rsidR="00DB030D" w:rsidRDefault="00DB030D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030D">
        <w:rPr>
          <w:rFonts w:ascii="Times New Roman" w:hAnsi="Times New Roman" w:cs="Times New Roman" w:hint="eastAsia"/>
          <w:sz w:val="24"/>
          <w:szCs w:val="24"/>
        </w:rPr>
        <w:t>(b)</w:t>
      </w:r>
    </w:p>
    <w:p w14:paraId="43F3CDBA" w14:textId="4A8EAD5C" w:rsidR="004B0730" w:rsidRPr="00DB030D" w:rsidRDefault="004B0730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1651EA7" wp14:editId="0FA97BB4">
            <wp:extent cx="4284000" cy="2206800"/>
            <wp:effectExtent l="0" t="0" r="2540" b="3175"/>
            <wp:docPr id="208638140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22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4FFD1" w14:textId="2C8236C5" w:rsidR="00656611" w:rsidRDefault="00656611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OLE_LINK2"/>
      <w:r w:rsidRPr="00746211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D355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4621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AE6681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74621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PCA loadings of the parental phubbing (PHUB) items. Panel (a) shows the top items by absolute loading on PC1; panel (b) shows PC2. Loadings are signed; bars to the right are positive and to the left are negative</w:t>
      </w:r>
    </w:p>
    <w:p w14:paraId="4C5A8D68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BCE9CD3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2B7693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98BA57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CD8B19A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E741F1" w14:textId="1C315D65" w:rsidR="00656611" w:rsidRDefault="005D68B2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(a)</w:t>
      </w:r>
    </w:p>
    <w:p w14:paraId="6D988815" w14:textId="443F439F" w:rsidR="005D68B2" w:rsidRDefault="004A686B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EA7B1BB" wp14:editId="0E63F652">
            <wp:extent cx="5274310" cy="3028950"/>
            <wp:effectExtent l="0" t="0" r="2540" b="0"/>
            <wp:docPr id="7095885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0C932" w14:textId="1ADE7158" w:rsidR="005D68B2" w:rsidRDefault="005D68B2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(b)</w:t>
      </w:r>
    </w:p>
    <w:p w14:paraId="0B1FDBFE" w14:textId="2DD6FBD7" w:rsidR="004A686B" w:rsidRDefault="004A686B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A8A56FA" wp14:editId="6E856441">
            <wp:extent cx="5274310" cy="3028950"/>
            <wp:effectExtent l="0" t="0" r="2540" b="0"/>
            <wp:docPr id="34207015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BA6FC" w14:textId="1A7BEA27" w:rsidR="00656611" w:rsidRDefault="00656611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6211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D355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4621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AE6681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>
        <w:rPr>
          <w:rFonts w:ascii="Times New Roman" w:hAnsi="Times New Roman" w:cs="Times New Roman" w:hint="eastAsia"/>
          <w:sz w:val="24"/>
          <w:szCs w:val="24"/>
        </w:rPr>
        <w:t xml:space="preserve"> PCA loadings of the resilience (RES) items. Panel (a) shows the top items by absolute loading on PC1; panel (b) shows PC2. Loadings are signed; bars to the right are positive and to the left are negative</w:t>
      </w:r>
    </w:p>
    <w:p w14:paraId="46A78293" w14:textId="77777777" w:rsidR="00284787" w:rsidRDefault="00284787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C75F987" w14:textId="52880152" w:rsidR="00656611" w:rsidRDefault="00B81648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(a)</w:t>
      </w:r>
    </w:p>
    <w:p w14:paraId="7E0CE3B4" w14:textId="123D1285" w:rsidR="00B81648" w:rsidRDefault="00CB06A6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8808E39" wp14:editId="71C5B941">
            <wp:extent cx="4284000" cy="2458800"/>
            <wp:effectExtent l="0" t="0" r="2540" b="0"/>
            <wp:docPr id="21463490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24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B33FE" w14:textId="3AB24236" w:rsidR="00B81648" w:rsidRDefault="00B81648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(b)</w:t>
      </w:r>
    </w:p>
    <w:p w14:paraId="54F29D5D" w14:textId="0619D771" w:rsidR="00656611" w:rsidRDefault="00E53CBC" w:rsidP="002847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8654BD4" wp14:editId="11F4A760">
            <wp:extent cx="4284000" cy="2458800"/>
            <wp:effectExtent l="0" t="0" r="2540" b="0"/>
            <wp:docPr id="169422529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24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E30BF" w14:textId="1ED291B1" w:rsidR="00656611" w:rsidRPr="00656611" w:rsidRDefault="00656611" w:rsidP="00284787">
      <w:pPr>
        <w:spacing w:line="480" w:lineRule="auto"/>
        <w:rPr>
          <w:rFonts w:hint="eastAsia"/>
        </w:rPr>
      </w:pPr>
      <w:r w:rsidRPr="00746211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D355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4621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AE6681"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 w:rsidRPr="00746211">
        <w:rPr>
          <w:rFonts w:ascii="Times New Roman" w:hAnsi="Times New Roman" w:cs="Times New Roman" w:hint="eastAsia"/>
          <w:sz w:val="24"/>
          <w:szCs w:val="24"/>
        </w:rPr>
        <w:t xml:space="preserve"> PCA loadings of the Big F</w:t>
      </w:r>
      <w:r w:rsidRPr="00746211">
        <w:rPr>
          <w:rFonts w:ascii="Times New Roman" w:hAnsi="Times New Roman" w:cs="Times New Roman"/>
          <w:sz w:val="24"/>
          <w:szCs w:val="24"/>
        </w:rPr>
        <w:t>i</w:t>
      </w:r>
      <w:r w:rsidRPr="00746211">
        <w:rPr>
          <w:rFonts w:ascii="Times New Roman" w:hAnsi="Times New Roman" w:cs="Times New Roman" w:hint="eastAsia"/>
          <w:sz w:val="24"/>
          <w:szCs w:val="24"/>
        </w:rPr>
        <w:t>ve Personality (BIG 5) items. Panel (a) shows the top items by absolute loading on PC1; panel (b) shows PC2. Loadings are signed; bars to the right are positive and to the left are negative</w:t>
      </w:r>
      <w:bookmarkEnd w:id="0"/>
    </w:p>
    <w:sectPr w:rsidR="00656611" w:rsidRPr="00656611" w:rsidSect="00284787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F43D5" w14:textId="77777777" w:rsidR="00C51651" w:rsidRDefault="00C51651" w:rsidP="00936B5C">
      <w:pPr>
        <w:rPr>
          <w:rFonts w:hint="eastAsia"/>
        </w:rPr>
      </w:pPr>
      <w:r>
        <w:separator/>
      </w:r>
    </w:p>
  </w:endnote>
  <w:endnote w:type="continuationSeparator" w:id="0">
    <w:p w14:paraId="6951F112" w14:textId="77777777" w:rsidR="00C51651" w:rsidRDefault="00C51651" w:rsidP="00936B5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982D" w14:textId="77777777" w:rsidR="00284787" w:rsidRDefault="00284787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6616387"/>
      <w:docPartObj>
        <w:docPartGallery w:val="Page Numbers (Bottom of Page)"/>
        <w:docPartUnique/>
      </w:docPartObj>
    </w:sdtPr>
    <w:sdtContent>
      <w:p w14:paraId="3EFA0A25" w14:textId="3E4831F5" w:rsidR="00284787" w:rsidRDefault="00284787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AA0D86E" w14:textId="77777777" w:rsidR="00284787" w:rsidRDefault="00284787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9DB97" w14:textId="77777777" w:rsidR="00284787" w:rsidRDefault="00284787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EB99E" w14:textId="77777777" w:rsidR="00C51651" w:rsidRDefault="00C51651" w:rsidP="00936B5C">
      <w:pPr>
        <w:rPr>
          <w:rFonts w:hint="eastAsia"/>
        </w:rPr>
      </w:pPr>
      <w:r>
        <w:separator/>
      </w:r>
    </w:p>
  </w:footnote>
  <w:footnote w:type="continuationSeparator" w:id="0">
    <w:p w14:paraId="2F545FE5" w14:textId="77777777" w:rsidR="00C51651" w:rsidRDefault="00C51651" w:rsidP="00936B5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32FD4" w14:textId="77777777" w:rsidR="00284787" w:rsidRDefault="00284787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5B18" w14:textId="77777777" w:rsidR="00284787" w:rsidRDefault="00284787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4DFDB" w14:textId="77777777" w:rsidR="00284787" w:rsidRDefault="00284787">
    <w:pPr>
      <w:pStyle w:val="a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202F"/>
    <w:multiLevelType w:val="hybridMultilevel"/>
    <w:tmpl w:val="C800613A"/>
    <w:lvl w:ilvl="0" w:tplc="95CE66B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54E670E"/>
    <w:multiLevelType w:val="hybridMultilevel"/>
    <w:tmpl w:val="26165F94"/>
    <w:lvl w:ilvl="0" w:tplc="4606B1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E592F13"/>
    <w:multiLevelType w:val="hybridMultilevel"/>
    <w:tmpl w:val="220C91BC"/>
    <w:lvl w:ilvl="0" w:tplc="E91A0E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91D0F07"/>
    <w:multiLevelType w:val="hybridMultilevel"/>
    <w:tmpl w:val="95BA86C4"/>
    <w:lvl w:ilvl="0" w:tplc="D1FE765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52310F7"/>
    <w:multiLevelType w:val="hybridMultilevel"/>
    <w:tmpl w:val="8C88B21C"/>
    <w:lvl w:ilvl="0" w:tplc="FCA299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72126995">
    <w:abstractNumId w:val="4"/>
  </w:num>
  <w:num w:numId="2" w16cid:durableId="1634630660">
    <w:abstractNumId w:val="3"/>
  </w:num>
  <w:num w:numId="3" w16cid:durableId="1710570942">
    <w:abstractNumId w:val="2"/>
  </w:num>
  <w:num w:numId="4" w16cid:durableId="1125927534">
    <w:abstractNumId w:val="1"/>
  </w:num>
  <w:num w:numId="5" w16cid:durableId="440490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2F"/>
    <w:rsid w:val="00004301"/>
    <w:rsid w:val="00025512"/>
    <w:rsid w:val="00030633"/>
    <w:rsid w:val="000E0C9A"/>
    <w:rsid w:val="00180428"/>
    <w:rsid w:val="001C3E59"/>
    <w:rsid w:val="00226642"/>
    <w:rsid w:val="002332AF"/>
    <w:rsid w:val="00284787"/>
    <w:rsid w:val="002C1E12"/>
    <w:rsid w:val="002C7967"/>
    <w:rsid w:val="002E53D0"/>
    <w:rsid w:val="003C4E7C"/>
    <w:rsid w:val="003D5277"/>
    <w:rsid w:val="003F38E3"/>
    <w:rsid w:val="00410D11"/>
    <w:rsid w:val="004A686B"/>
    <w:rsid w:val="004B0730"/>
    <w:rsid w:val="004C2F49"/>
    <w:rsid w:val="004C5D43"/>
    <w:rsid w:val="005B5183"/>
    <w:rsid w:val="005C4FB4"/>
    <w:rsid w:val="005D68B2"/>
    <w:rsid w:val="005D745F"/>
    <w:rsid w:val="00656611"/>
    <w:rsid w:val="0066735D"/>
    <w:rsid w:val="006963F5"/>
    <w:rsid w:val="006C302F"/>
    <w:rsid w:val="006E1DDE"/>
    <w:rsid w:val="006E649B"/>
    <w:rsid w:val="006F4AE2"/>
    <w:rsid w:val="00713CF1"/>
    <w:rsid w:val="00746211"/>
    <w:rsid w:val="007E7D0E"/>
    <w:rsid w:val="008408D4"/>
    <w:rsid w:val="008A3A0B"/>
    <w:rsid w:val="008D6623"/>
    <w:rsid w:val="00936B5C"/>
    <w:rsid w:val="00956B6C"/>
    <w:rsid w:val="009822AF"/>
    <w:rsid w:val="009C1CE9"/>
    <w:rsid w:val="009E6CC4"/>
    <w:rsid w:val="00A840A6"/>
    <w:rsid w:val="00AA674F"/>
    <w:rsid w:val="00AA7B77"/>
    <w:rsid w:val="00AE6681"/>
    <w:rsid w:val="00B10F62"/>
    <w:rsid w:val="00B2696C"/>
    <w:rsid w:val="00B52D4F"/>
    <w:rsid w:val="00B81648"/>
    <w:rsid w:val="00B954F0"/>
    <w:rsid w:val="00BA1F22"/>
    <w:rsid w:val="00BC7FBE"/>
    <w:rsid w:val="00BF6D56"/>
    <w:rsid w:val="00C30CFC"/>
    <w:rsid w:val="00C51651"/>
    <w:rsid w:val="00CA2519"/>
    <w:rsid w:val="00CB06A6"/>
    <w:rsid w:val="00D332BC"/>
    <w:rsid w:val="00D35513"/>
    <w:rsid w:val="00D50E6A"/>
    <w:rsid w:val="00D533B7"/>
    <w:rsid w:val="00D754D8"/>
    <w:rsid w:val="00D778CA"/>
    <w:rsid w:val="00DB030D"/>
    <w:rsid w:val="00E00024"/>
    <w:rsid w:val="00E53CBC"/>
    <w:rsid w:val="00E73FF6"/>
    <w:rsid w:val="00EE5DEF"/>
    <w:rsid w:val="00EF4603"/>
    <w:rsid w:val="00F06C59"/>
    <w:rsid w:val="00F5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C2A582"/>
  <w15:chartTrackingRefBased/>
  <w15:docId w15:val="{181B974D-A51F-4660-B09B-38D5A1F2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B5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0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3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30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302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302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302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302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302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302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02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C30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C30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C302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C302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C302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C302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C302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C302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C30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C3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302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C30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30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C30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30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C302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C30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C302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C302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36B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36B5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36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36B5C"/>
    <w:rPr>
      <w:sz w:val="18"/>
      <w:szCs w:val="18"/>
    </w:rPr>
  </w:style>
  <w:style w:type="character" w:styleId="af2">
    <w:name w:val="Hyperlink"/>
    <w:basedOn w:val="a0"/>
    <w:uiPriority w:val="99"/>
    <w:unhideWhenUsed/>
    <w:rsid w:val="00B52D4F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52D4F"/>
    <w:rPr>
      <w:color w:val="605E5C"/>
      <w:shd w:val="clear" w:color="auto" w:fill="E1DFDD"/>
    </w:rPr>
  </w:style>
  <w:style w:type="character" w:styleId="af4">
    <w:name w:val="line number"/>
    <w:basedOn w:val="a0"/>
    <w:uiPriority w:val="99"/>
    <w:semiHidden/>
    <w:unhideWhenUsed/>
    <w:rsid w:val="00284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" Type="http://schemas.openxmlformats.org/officeDocument/2006/relationships/settings" Target="settings.xml"/><Relationship Id="rId21" Type="http://schemas.openxmlformats.org/officeDocument/2006/relationships/image" Target="media/image14.tiff"/><Relationship Id="rId34" Type="http://schemas.openxmlformats.org/officeDocument/2006/relationships/theme" Target="theme/theme1.xml"/><Relationship Id="rId7" Type="http://schemas.openxmlformats.org/officeDocument/2006/relationships/hyperlink" Target="mailto:huangcan97@foxmail.com" TargetMode="Externa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header" Target="header2.xml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433</Words>
  <Characters>2067</Characters>
  <Application>Microsoft Office Word</Application>
  <DocSecurity>0</DocSecurity>
  <Lines>114</Lines>
  <Paragraphs>52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澜 余</dc:creator>
  <cp:keywords/>
  <dc:description/>
  <cp:lastModifiedBy>澜 余</cp:lastModifiedBy>
  <cp:revision>58</cp:revision>
  <dcterms:created xsi:type="dcterms:W3CDTF">2025-12-22T07:15:00Z</dcterms:created>
  <dcterms:modified xsi:type="dcterms:W3CDTF">2026-03-19T02:47:00Z</dcterms:modified>
</cp:coreProperties>
</file>