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3AA76" w14:textId="77777777" w:rsidR="00A948F4" w:rsidRDefault="00A948F4" w:rsidP="00F267B5">
      <w:pPr>
        <w:pStyle w:val="Heading1"/>
        <w:spacing w:line="480" w:lineRule="auto"/>
        <w:rPr>
          <w:caps/>
        </w:rPr>
      </w:pPr>
      <w:bookmarkStart w:id="0" w:name="_Hlk214127054"/>
      <w:r>
        <w:rPr>
          <w:caps/>
        </w:rPr>
        <w:t>Manuscript title</w:t>
      </w:r>
    </w:p>
    <w:p w14:paraId="7335B36E" w14:textId="77777777" w:rsidR="00A948F4" w:rsidRDefault="00A948F4" w:rsidP="00A948F4">
      <w:pPr>
        <w:spacing w:after="240" w:line="480" w:lineRule="auto"/>
        <w:rPr>
          <w:b/>
          <w:bCs/>
        </w:rPr>
      </w:pPr>
      <w:r w:rsidRPr="00C32122">
        <w:rPr>
          <w:b/>
          <w:bCs/>
        </w:rPr>
        <w:t>Short-Lived Success: Repeated Peroxide-Peracetic Acid-Based Foam</w:t>
      </w:r>
      <w:r>
        <w:rPr>
          <w:b/>
          <w:bCs/>
        </w:rPr>
        <w:t xml:space="preserve"> </w:t>
      </w:r>
      <w:r w:rsidRPr="00C32122">
        <w:rPr>
          <w:b/>
          <w:bCs/>
        </w:rPr>
        <w:t>Disinfection</w:t>
      </w:r>
      <w:r>
        <w:rPr>
          <w:b/>
          <w:bCs/>
        </w:rPr>
        <w:t xml:space="preserve"> Selects for </w:t>
      </w:r>
      <w:r w:rsidRPr="00C32122">
        <w:rPr>
          <w:b/>
          <w:bCs/>
        </w:rPr>
        <w:t xml:space="preserve">Carbapenem-Resistant Enterobacterales in </w:t>
      </w:r>
      <w:r>
        <w:rPr>
          <w:b/>
          <w:bCs/>
        </w:rPr>
        <w:t xml:space="preserve">Hospital </w:t>
      </w:r>
      <w:r w:rsidRPr="00C32122">
        <w:rPr>
          <w:b/>
          <w:bCs/>
        </w:rPr>
        <w:t xml:space="preserve">Sinks </w:t>
      </w:r>
      <w:r>
        <w:rPr>
          <w:b/>
          <w:bCs/>
        </w:rPr>
        <w:t>Drains</w:t>
      </w:r>
    </w:p>
    <w:p w14:paraId="005CF940" w14:textId="77777777" w:rsidR="00A948F4" w:rsidRPr="00A948F4" w:rsidRDefault="00A948F4" w:rsidP="00A948F4">
      <w:pPr>
        <w:pStyle w:val="Heading1"/>
        <w:spacing w:line="480" w:lineRule="auto"/>
        <w:rPr>
          <w:b w:val="0"/>
          <w:bCs w:val="0"/>
          <w:vertAlign w:val="superscript"/>
        </w:rPr>
      </w:pPr>
      <w:r w:rsidRPr="00A948F4">
        <w:rPr>
          <w:b w:val="0"/>
          <w:bCs w:val="0"/>
        </w:rPr>
        <w:t>Shireen M Kotay</w:t>
      </w:r>
      <w:r w:rsidRPr="00A948F4">
        <w:rPr>
          <w:b w:val="0"/>
          <w:bCs w:val="0"/>
          <w:vertAlign w:val="superscript"/>
        </w:rPr>
        <w:t>1</w:t>
      </w:r>
      <w:r w:rsidRPr="00A948F4">
        <w:rPr>
          <w:b w:val="0"/>
          <w:bCs w:val="0"/>
        </w:rPr>
        <w:t>, Aubrey E Hetzler</w:t>
      </w:r>
      <w:r w:rsidRPr="00A948F4">
        <w:rPr>
          <w:b w:val="0"/>
          <w:bCs w:val="0"/>
          <w:vertAlign w:val="superscript"/>
        </w:rPr>
        <w:t>1</w:t>
      </w:r>
      <w:r w:rsidRPr="00A948F4">
        <w:rPr>
          <w:b w:val="0"/>
          <w:bCs w:val="0"/>
        </w:rPr>
        <w:t>, Sharvari Narendra</w:t>
      </w:r>
      <w:r w:rsidRPr="00A948F4">
        <w:rPr>
          <w:b w:val="0"/>
          <w:bCs w:val="0"/>
          <w:vertAlign w:val="superscript"/>
        </w:rPr>
        <w:t>1</w:t>
      </w:r>
      <w:r w:rsidRPr="00A948F4">
        <w:rPr>
          <w:b w:val="0"/>
          <w:bCs w:val="0"/>
        </w:rPr>
        <w:t>, Kevin K Chau</w:t>
      </w:r>
      <w:r w:rsidRPr="00A948F4">
        <w:rPr>
          <w:b w:val="0"/>
          <w:bCs w:val="0"/>
          <w:vertAlign w:val="superscript"/>
        </w:rPr>
        <w:t>2,3</w:t>
      </w:r>
      <w:r w:rsidRPr="00A948F4">
        <w:rPr>
          <w:b w:val="0"/>
          <w:bCs w:val="0"/>
        </w:rPr>
        <w:t>, Salvador Castañeda-Barba</w:t>
      </w:r>
      <w:r w:rsidRPr="00A948F4">
        <w:rPr>
          <w:b w:val="0"/>
          <w:bCs w:val="0"/>
          <w:vertAlign w:val="superscript"/>
        </w:rPr>
        <w:t>1</w:t>
      </w:r>
      <w:r w:rsidRPr="00A948F4">
        <w:rPr>
          <w:b w:val="0"/>
          <w:bCs w:val="0"/>
        </w:rPr>
        <w:t>, Nicole Stoesser</w:t>
      </w:r>
      <w:r w:rsidRPr="00A948F4">
        <w:rPr>
          <w:b w:val="0"/>
          <w:bCs w:val="0"/>
          <w:vertAlign w:val="superscript"/>
        </w:rPr>
        <w:t>2,3,4</w:t>
      </w:r>
      <w:r w:rsidRPr="00A948F4">
        <w:rPr>
          <w:b w:val="0"/>
          <w:bCs w:val="0"/>
        </w:rPr>
        <w:t>, Amy J Mathers</w:t>
      </w:r>
      <w:r w:rsidRPr="00A948F4">
        <w:rPr>
          <w:b w:val="0"/>
          <w:bCs w:val="0"/>
          <w:vertAlign w:val="superscript"/>
        </w:rPr>
        <w:t>1,5#</w:t>
      </w:r>
    </w:p>
    <w:p w14:paraId="6AC68AE2" w14:textId="77777777" w:rsidR="00A948F4" w:rsidRDefault="00A948F4" w:rsidP="00A948F4">
      <w:pPr>
        <w:pStyle w:val="Heading1"/>
        <w:spacing w:line="480" w:lineRule="auto"/>
        <w:rPr>
          <w:vertAlign w:val="superscript"/>
        </w:rPr>
      </w:pPr>
    </w:p>
    <w:p w14:paraId="2EFC4A3B" w14:textId="7FB5568E" w:rsidR="00F267B5" w:rsidRPr="00E45F48" w:rsidRDefault="00F267B5" w:rsidP="00A948F4">
      <w:pPr>
        <w:pStyle w:val="Heading1"/>
        <w:spacing w:line="480" w:lineRule="auto"/>
        <w:rPr>
          <w:caps/>
        </w:rPr>
      </w:pPr>
      <w:r w:rsidRPr="00E45F48">
        <w:rPr>
          <w:caps/>
        </w:rPr>
        <w:t>Supplemental materials</w:t>
      </w:r>
    </w:p>
    <w:p w14:paraId="1FB87800" w14:textId="77777777" w:rsidR="00F267B5" w:rsidRDefault="00F267B5" w:rsidP="00F267B5">
      <w:pPr>
        <w:spacing w:line="480" w:lineRule="auto"/>
      </w:pPr>
      <w:bookmarkStart w:id="1" w:name="_Hlk217298332"/>
      <w:r w:rsidRPr="00112EB9">
        <w:rPr>
          <w:b/>
          <w:bCs/>
        </w:rPr>
        <w:t>Table S1.</w:t>
      </w:r>
      <w:r>
        <w:rPr>
          <w:b/>
          <w:bCs/>
        </w:rPr>
        <w:t xml:space="preserve"> </w:t>
      </w:r>
      <w:r>
        <w:t>Comparison of sink-drain CPE abundance at baseline and post-treatment endpoint (D35) across PPAA-foam treatment regimens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800"/>
        <w:gridCol w:w="1440"/>
        <w:gridCol w:w="1440"/>
        <w:gridCol w:w="1530"/>
        <w:gridCol w:w="1843"/>
      </w:tblGrid>
      <w:tr w:rsidR="00F267B5" w14:paraId="00133A56" w14:textId="77777777" w:rsidTr="00093952">
        <w:trPr>
          <w:trHeight w:val="1934"/>
        </w:trPr>
        <w:tc>
          <w:tcPr>
            <w:tcW w:w="1525" w:type="dxa"/>
            <w:vAlign w:val="center"/>
          </w:tcPr>
          <w:p w14:paraId="02E0652E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Treatment group</w:t>
            </w:r>
          </w:p>
        </w:tc>
        <w:tc>
          <w:tcPr>
            <w:tcW w:w="1800" w:type="dxa"/>
            <w:vAlign w:val="center"/>
          </w:tcPr>
          <w:p w14:paraId="75964CA1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Baseline (D-3) mean ± SD (log₁₀ CFUml⁻¹)</w:t>
            </w:r>
          </w:p>
        </w:tc>
        <w:tc>
          <w:tcPr>
            <w:tcW w:w="1440" w:type="dxa"/>
            <w:vAlign w:val="center"/>
          </w:tcPr>
          <w:p w14:paraId="2206C22A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Baseline median (IQR)</w:t>
            </w:r>
          </w:p>
        </w:tc>
        <w:tc>
          <w:tcPr>
            <w:tcW w:w="1440" w:type="dxa"/>
            <w:vAlign w:val="center"/>
          </w:tcPr>
          <w:p w14:paraId="7853919B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D35 mean ± SD (log₁₀ CFU ml⁻¹)</w:t>
            </w:r>
          </w:p>
        </w:tc>
        <w:tc>
          <w:tcPr>
            <w:tcW w:w="1530" w:type="dxa"/>
            <w:vAlign w:val="center"/>
          </w:tcPr>
          <w:p w14:paraId="3905EB09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D35 median (IQR)</w:t>
            </w:r>
          </w:p>
        </w:tc>
        <w:tc>
          <w:tcPr>
            <w:tcW w:w="1843" w:type="dxa"/>
            <w:vAlign w:val="center"/>
          </w:tcPr>
          <w:p w14:paraId="33167856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Adjusted </w:t>
            </w:r>
            <w:r>
              <w:rPr>
                <w:rStyle w:val="Emphasis"/>
                <w:b/>
                <w:bCs/>
              </w:rPr>
              <w:t>p</w:t>
            </w:r>
            <w:r>
              <w:rPr>
                <w:b/>
                <w:bCs/>
              </w:rPr>
              <w:t xml:space="preserve"> value† (Interpretation)</w:t>
            </w:r>
          </w:p>
        </w:tc>
      </w:tr>
      <w:tr w:rsidR="00F267B5" w14:paraId="7FD63FFE" w14:textId="77777777" w:rsidTr="00093952">
        <w:trPr>
          <w:trHeight w:val="1086"/>
        </w:trPr>
        <w:tc>
          <w:tcPr>
            <w:tcW w:w="1525" w:type="dxa"/>
            <w:vAlign w:val="center"/>
          </w:tcPr>
          <w:p w14:paraId="7CB1A677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rStyle w:val="Strong"/>
              </w:rPr>
              <w:t>T3 (3-day interval)</w:t>
            </w:r>
          </w:p>
        </w:tc>
        <w:tc>
          <w:tcPr>
            <w:tcW w:w="1800" w:type="dxa"/>
            <w:vAlign w:val="center"/>
          </w:tcPr>
          <w:p w14:paraId="464C3066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7.55 ± 0.91</w:t>
            </w:r>
          </w:p>
        </w:tc>
        <w:tc>
          <w:tcPr>
            <w:tcW w:w="1440" w:type="dxa"/>
            <w:vAlign w:val="center"/>
          </w:tcPr>
          <w:p w14:paraId="73E98268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7.37 (0.44)</w:t>
            </w:r>
          </w:p>
        </w:tc>
        <w:tc>
          <w:tcPr>
            <w:tcW w:w="1440" w:type="dxa"/>
            <w:vAlign w:val="center"/>
          </w:tcPr>
          <w:p w14:paraId="603CC950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7.39 ± 0.27</w:t>
            </w:r>
          </w:p>
        </w:tc>
        <w:tc>
          <w:tcPr>
            <w:tcW w:w="1530" w:type="dxa"/>
            <w:vAlign w:val="center"/>
          </w:tcPr>
          <w:p w14:paraId="1703F3E2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7.51 (0.54)</w:t>
            </w:r>
          </w:p>
        </w:tc>
        <w:tc>
          <w:tcPr>
            <w:tcW w:w="1843" w:type="dxa"/>
            <w:vAlign w:val="center"/>
          </w:tcPr>
          <w:p w14:paraId="0DAFD535" w14:textId="77777777" w:rsidR="00F267B5" w:rsidRDefault="00F267B5" w:rsidP="00093952">
            <w:pPr>
              <w:spacing w:line="480" w:lineRule="auto"/>
            </w:pPr>
            <w:r>
              <w:t xml:space="preserve">1.00 </w:t>
            </w:r>
          </w:p>
          <w:p w14:paraId="2D931D42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(Not significant)</w:t>
            </w:r>
          </w:p>
        </w:tc>
      </w:tr>
      <w:tr w:rsidR="00F267B5" w14:paraId="5F45B66B" w14:textId="77777777" w:rsidTr="00093952">
        <w:trPr>
          <w:trHeight w:val="1086"/>
        </w:trPr>
        <w:tc>
          <w:tcPr>
            <w:tcW w:w="1525" w:type="dxa"/>
            <w:vAlign w:val="center"/>
          </w:tcPr>
          <w:p w14:paraId="5961FD5D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rStyle w:val="Strong"/>
              </w:rPr>
              <w:t>T5 (5-day interval)</w:t>
            </w:r>
          </w:p>
        </w:tc>
        <w:tc>
          <w:tcPr>
            <w:tcW w:w="1800" w:type="dxa"/>
            <w:vAlign w:val="center"/>
          </w:tcPr>
          <w:p w14:paraId="1F41D000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7.37 ± 1.09</w:t>
            </w:r>
          </w:p>
        </w:tc>
        <w:tc>
          <w:tcPr>
            <w:tcW w:w="1440" w:type="dxa"/>
            <w:vAlign w:val="center"/>
          </w:tcPr>
          <w:p w14:paraId="3AD5431A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7.33 (0.40)</w:t>
            </w:r>
          </w:p>
        </w:tc>
        <w:tc>
          <w:tcPr>
            <w:tcW w:w="1440" w:type="dxa"/>
            <w:vAlign w:val="center"/>
          </w:tcPr>
          <w:p w14:paraId="227C11A4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6.70 ± 2.02</w:t>
            </w:r>
          </w:p>
        </w:tc>
        <w:tc>
          <w:tcPr>
            <w:tcW w:w="1530" w:type="dxa"/>
            <w:vAlign w:val="center"/>
          </w:tcPr>
          <w:p w14:paraId="0CBD8837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7.57 (2.12)</w:t>
            </w:r>
          </w:p>
        </w:tc>
        <w:tc>
          <w:tcPr>
            <w:tcW w:w="1843" w:type="dxa"/>
            <w:vAlign w:val="center"/>
          </w:tcPr>
          <w:p w14:paraId="5E1F4BF8" w14:textId="77777777" w:rsidR="00F267B5" w:rsidRDefault="00F267B5" w:rsidP="00093952">
            <w:pPr>
              <w:spacing w:line="480" w:lineRule="auto"/>
            </w:pPr>
            <w:r>
              <w:t xml:space="preserve">1.00 </w:t>
            </w:r>
          </w:p>
          <w:p w14:paraId="71B24674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(Not significant)</w:t>
            </w:r>
          </w:p>
        </w:tc>
      </w:tr>
      <w:tr w:rsidR="00F267B5" w14:paraId="34D622B8" w14:textId="77777777" w:rsidTr="00093952">
        <w:trPr>
          <w:trHeight w:val="1086"/>
        </w:trPr>
        <w:tc>
          <w:tcPr>
            <w:tcW w:w="1525" w:type="dxa"/>
            <w:vAlign w:val="center"/>
          </w:tcPr>
          <w:p w14:paraId="1073FE77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rStyle w:val="Strong"/>
              </w:rPr>
              <w:t>T7 (7-day interval)</w:t>
            </w:r>
          </w:p>
        </w:tc>
        <w:tc>
          <w:tcPr>
            <w:tcW w:w="1800" w:type="dxa"/>
            <w:vAlign w:val="center"/>
          </w:tcPr>
          <w:p w14:paraId="4CF5DBAB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7.23 ± 1.53</w:t>
            </w:r>
          </w:p>
        </w:tc>
        <w:tc>
          <w:tcPr>
            <w:tcW w:w="1440" w:type="dxa"/>
            <w:vAlign w:val="center"/>
          </w:tcPr>
          <w:p w14:paraId="0EF9110E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7.23 (0.59)</w:t>
            </w:r>
          </w:p>
        </w:tc>
        <w:tc>
          <w:tcPr>
            <w:tcW w:w="1440" w:type="dxa"/>
            <w:vAlign w:val="center"/>
          </w:tcPr>
          <w:p w14:paraId="04100913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7.08 ± 1.90</w:t>
            </w:r>
          </w:p>
        </w:tc>
        <w:tc>
          <w:tcPr>
            <w:tcW w:w="1530" w:type="dxa"/>
            <w:vAlign w:val="center"/>
          </w:tcPr>
          <w:p w14:paraId="7638E036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7.52 (0.44)</w:t>
            </w:r>
          </w:p>
        </w:tc>
        <w:tc>
          <w:tcPr>
            <w:tcW w:w="1843" w:type="dxa"/>
            <w:vAlign w:val="center"/>
          </w:tcPr>
          <w:p w14:paraId="7EFE6E4D" w14:textId="77777777" w:rsidR="00F267B5" w:rsidRDefault="00F267B5" w:rsidP="00093952">
            <w:pPr>
              <w:spacing w:line="480" w:lineRule="auto"/>
            </w:pPr>
            <w:r>
              <w:t>1.00</w:t>
            </w:r>
          </w:p>
          <w:p w14:paraId="01DA7564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(Not significant)</w:t>
            </w:r>
          </w:p>
        </w:tc>
      </w:tr>
      <w:tr w:rsidR="00F267B5" w14:paraId="60B0FF09" w14:textId="77777777" w:rsidTr="00093952">
        <w:trPr>
          <w:trHeight w:val="536"/>
        </w:trPr>
        <w:tc>
          <w:tcPr>
            <w:tcW w:w="1525" w:type="dxa"/>
          </w:tcPr>
          <w:p w14:paraId="15FEB8D4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Control (No treatment)</w:t>
            </w:r>
          </w:p>
        </w:tc>
        <w:tc>
          <w:tcPr>
            <w:tcW w:w="1800" w:type="dxa"/>
          </w:tcPr>
          <w:p w14:paraId="6805482C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 w:rsidRPr="00255BC3">
              <w:rPr>
                <w:lang w:eastAsia="zh-CN"/>
              </w:rPr>
              <w:t>7.06</w:t>
            </w:r>
            <w:r>
              <w:rPr>
                <w:lang w:eastAsia="zh-CN"/>
              </w:rPr>
              <w:t xml:space="preserve"> </w:t>
            </w:r>
            <w:r>
              <w:t>± 0.21</w:t>
            </w:r>
          </w:p>
        </w:tc>
        <w:tc>
          <w:tcPr>
            <w:tcW w:w="1440" w:type="dxa"/>
          </w:tcPr>
          <w:p w14:paraId="2DAEB1CD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>
              <w:t>7.42 (1.08)</w:t>
            </w:r>
          </w:p>
        </w:tc>
        <w:tc>
          <w:tcPr>
            <w:tcW w:w="1440" w:type="dxa"/>
          </w:tcPr>
          <w:p w14:paraId="21E7DBF1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 w:rsidRPr="00255BC3">
              <w:rPr>
                <w:lang w:eastAsia="zh-CN"/>
              </w:rPr>
              <w:t>7.98</w:t>
            </w:r>
            <w:r>
              <w:rPr>
                <w:lang w:eastAsia="zh-CN"/>
              </w:rPr>
              <w:t xml:space="preserve"> </w:t>
            </w:r>
            <w:r>
              <w:t xml:space="preserve">± </w:t>
            </w:r>
            <w:r w:rsidRPr="00255BC3">
              <w:rPr>
                <w:lang w:eastAsia="zh-CN"/>
              </w:rPr>
              <w:t>0.56</w:t>
            </w:r>
          </w:p>
        </w:tc>
        <w:tc>
          <w:tcPr>
            <w:tcW w:w="1530" w:type="dxa"/>
          </w:tcPr>
          <w:p w14:paraId="56ED778E" w14:textId="77777777" w:rsidR="00F267B5" w:rsidRDefault="00F267B5" w:rsidP="00093952">
            <w:pPr>
              <w:spacing w:line="480" w:lineRule="auto"/>
              <w:rPr>
                <w:b/>
                <w:bCs/>
              </w:rPr>
            </w:pPr>
            <w:r w:rsidRPr="00255BC3">
              <w:rPr>
                <w:lang w:eastAsia="zh-CN"/>
              </w:rPr>
              <w:t>8.03</w:t>
            </w:r>
            <w:r>
              <w:rPr>
                <w:lang w:eastAsia="zh-CN"/>
              </w:rPr>
              <w:t xml:space="preserve"> (</w:t>
            </w:r>
            <w:r w:rsidRPr="00255BC3">
              <w:rPr>
                <w:lang w:eastAsia="zh-CN"/>
              </w:rPr>
              <w:t>0.87)</w:t>
            </w:r>
          </w:p>
        </w:tc>
        <w:tc>
          <w:tcPr>
            <w:tcW w:w="1843" w:type="dxa"/>
          </w:tcPr>
          <w:p w14:paraId="6F10559B" w14:textId="77777777" w:rsidR="00F267B5" w:rsidRPr="00A86715" w:rsidRDefault="00F267B5" w:rsidP="00093952">
            <w:pPr>
              <w:spacing w:line="480" w:lineRule="auto"/>
              <w:rPr>
                <w:b/>
                <w:bCs/>
              </w:rPr>
            </w:pPr>
            <w:r w:rsidRPr="00255BC3">
              <w:rPr>
                <w:lang w:eastAsia="zh-CN"/>
              </w:rPr>
              <w:t>0.004</w:t>
            </w:r>
            <w:r>
              <w:rPr>
                <w:lang w:eastAsia="zh-CN"/>
              </w:rPr>
              <w:t xml:space="preserve"> </w:t>
            </w:r>
            <w:r>
              <w:t>(Significant)</w:t>
            </w:r>
          </w:p>
        </w:tc>
      </w:tr>
    </w:tbl>
    <w:p w14:paraId="0134F37C" w14:textId="77777777" w:rsidR="00F267B5" w:rsidRDefault="00F267B5" w:rsidP="00F267B5">
      <w:pPr>
        <w:spacing w:line="480" w:lineRule="auto"/>
      </w:pPr>
      <w:r>
        <w:t>† Wilcoxon signed-rank test comparing baseline (D–3) and D35 within each treatment group, with Bonferroni correction for multiple testing.</w:t>
      </w:r>
    </w:p>
    <w:bookmarkEnd w:id="1"/>
    <w:p w14:paraId="676D8F25" w14:textId="77777777" w:rsidR="00F267B5" w:rsidRDefault="00F267B5" w:rsidP="00F267B5">
      <w:pPr>
        <w:spacing w:line="480" w:lineRule="auto"/>
      </w:pPr>
    </w:p>
    <w:p w14:paraId="243A7AEF" w14:textId="77777777" w:rsidR="00F267B5" w:rsidRPr="00D45339" w:rsidRDefault="00F267B5" w:rsidP="00F267B5">
      <w:pPr>
        <w:spacing w:line="480" w:lineRule="auto"/>
      </w:pPr>
      <w:r w:rsidRPr="00112EB9">
        <w:rPr>
          <w:b/>
          <w:bCs/>
        </w:rPr>
        <w:lastRenderedPageBreak/>
        <w:t>Table S</w:t>
      </w:r>
      <w:r>
        <w:rPr>
          <w:b/>
          <w:bCs/>
        </w:rPr>
        <w:t>2</w:t>
      </w:r>
      <w:r w:rsidRPr="00112EB9">
        <w:rPr>
          <w:b/>
          <w:bCs/>
        </w:rPr>
        <w:t xml:space="preserve">. </w:t>
      </w:r>
      <w:r>
        <w:rPr>
          <w:b/>
          <w:bCs/>
        </w:rPr>
        <w:t>C</w:t>
      </w:r>
      <w:r w:rsidRPr="00112EB9">
        <w:rPr>
          <w:b/>
          <w:bCs/>
        </w:rPr>
        <w:t>arbapenemase-p</w:t>
      </w:r>
      <w:r>
        <w:rPr>
          <w:b/>
          <w:bCs/>
        </w:rPr>
        <w:t>roducing Enterobacterales</w:t>
      </w:r>
      <w:r w:rsidRPr="00112EB9">
        <w:rPr>
          <w:b/>
          <w:bCs/>
        </w:rPr>
        <w:t xml:space="preserve"> strains </w:t>
      </w:r>
      <w:r>
        <w:rPr>
          <w:b/>
          <w:bCs/>
        </w:rPr>
        <w:t>used to inoculate</w:t>
      </w:r>
      <w:r w:rsidRPr="00112EB9">
        <w:rPr>
          <w:b/>
          <w:bCs/>
        </w:rPr>
        <w:t xml:space="preserve"> experimental sinks. </w:t>
      </w:r>
      <w:r w:rsidRPr="00E45F48">
        <w:t>List of isolates spiked into experimental sinks, including species, carbapenemase genotype, source, and date of isolation.</w:t>
      </w:r>
    </w:p>
    <w:tbl>
      <w:tblPr>
        <w:tblW w:w="93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2"/>
        <w:gridCol w:w="2880"/>
        <w:gridCol w:w="1260"/>
        <w:gridCol w:w="2250"/>
        <w:gridCol w:w="1570"/>
      </w:tblGrid>
      <w:tr w:rsidR="00F267B5" w:rsidRPr="00D45339" w14:paraId="30A7F35B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8ADCD1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b/>
                <w:bCs/>
                <w:color w:val="000000" w:themeColor="text1"/>
              </w:rPr>
              <w:t>Isolate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462E64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b/>
                <w:bCs/>
                <w:color w:val="000000" w:themeColor="text1"/>
              </w:rPr>
              <w:t>Species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EA4E5" w14:textId="77777777" w:rsidR="00F267B5" w:rsidRPr="00D45339" w:rsidRDefault="00F267B5" w:rsidP="00093952">
            <w:pPr>
              <w:spacing w:line="480" w:lineRule="auto"/>
              <w:rPr>
                <w:rFonts w:eastAsia="Calibri"/>
                <w:b/>
                <w:bCs/>
                <w:color w:val="000000" w:themeColor="text1"/>
              </w:rPr>
            </w:pPr>
            <w:r w:rsidRPr="00D45339">
              <w:rPr>
                <w:rFonts w:eastAsia="Calibri"/>
                <w:b/>
                <w:bCs/>
                <w:color w:val="000000" w:themeColor="text1"/>
              </w:rPr>
              <w:t>AMR gene harbored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B8B49D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b/>
                <w:bCs/>
                <w:color w:val="000000" w:themeColor="text1"/>
              </w:rPr>
              <w:t>Source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F5D98E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b/>
                <w:bCs/>
                <w:color w:val="000000" w:themeColor="text1"/>
              </w:rPr>
              <w:t>Isolation date</w:t>
            </w:r>
          </w:p>
        </w:tc>
      </w:tr>
      <w:tr w:rsidR="00F267B5" w:rsidRPr="00D45339" w14:paraId="10C0E290" w14:textId="77777777" w:rsidTr="00093952">
        <w:trPr>
          <w:trHeight w:val="317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2FAA93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CAV1492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AF8BF0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Serratia marcescens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85B6B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KPC</w:t>
            </w:r>
            <w:r>
              <w:rPr>
                <w:rFonts w:eastAsia="Calibri"/>
                <w:color w:val="000000" w:themeColor="text1"/>
                <w:vertAlign w:val="subscript"/>
              </w:rPr>
              <w:t>-2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7DA8F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Patient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886CC0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Dec-2011</w:t>
            </w:r>
          </w:p>
        </w:tc>
      </w:tr>
      <w:tr w:rsidR="00F267B5" w:rsidRPr="00D45339" w14:paraId="210FF85C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C05580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CAV7026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9CE944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 xml:space="preserve">Citrobacter freundii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DA069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KPC</w:t>
            </w:r>
            <w:r>
              <w:rPr>
                <w:rFonts w:eastAsia="Calibri"/>
                <w:color w:val="000000" w:themeColor="text1"/>
                <w:vertAlign w:val="subscript"/>
              </w:rPr>
              <w:t>-2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934B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F27218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Oct-2017</w:t>
            </w:r>
          </w:p>
        </w:tc>
      </w:tr>
      <w:tr w:rsidR="00F267B5" w:rsidRPr="00D45339" w14:paraId="32F13B84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79BA3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CAV7297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DAC197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 xml:space="preserve">Enterobacter </w:t>
            </w:r>
            <w:r>
              <w:rPr>
                <w:rFonts w:eastAsia="Calibri"/>
                <w:i/>
                <w:iCs/>
                <w:color w:val="000000" w:themeColor="text1"/>
              </w:rPr>
              <w:t>asburiae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17D9F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KPC</w:t>
            </w:r>
            <w:r>
              <w:rPr>
                <w:rFonts w:eastAsia="Calibri"/>
                <w:color w:val="000000" w:themeColor="text1"/>
                <w:vertAlign w:val="subscript"/>
              </w:rPr>
              <w:t>-2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7D0657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691FAE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Dec-2017</w:t>
            </w:r>
          </w:p>
        </w:tc>
      </w:tr>
      <w:tr w:rsidR="00F267B5" w:rsidRPr="00D45339" w14:paraId="0531815F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5009B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CAV7640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75295A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 xml:space="preserve">Enterobacter </w:t>
            </w:r>
            <w:r>
              <w:rPr>
                <w:rFonts w:eastAsia="Calibri"/>
                <w:i/>
                <w:iCs/>
                <w:color w:val="000000" w:themeColor="text1"/>
              </w:rPr>
              <w:t>adelaidei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C04306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NDM</w:t>
            </w:r>
            <w:r>
              <w:rPr>
                <w:rFonts w:eastAsia="Calibri"/>
                <w:color w:val="000000" w:themeColor="text1"/>
                <w:vertAlign w:val="subscript"/>
              </w:rPr>
              <w:t>-1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D83B81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6FCDA8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Apr-2018</w:t>
            </w:r>
          </w:p>
        </w:tc>
      </w:tr>
      <w:tr w:rsidR="00F267B5" w:rsidRPr="00D45339" w14:paraId="2607B81D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3CDD19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CAV7887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FADBC7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Escherichia coli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E3703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NDM</w:t>
            </w:r>
            <w:r>
              <w:rPr>
                <w:rFonts w:eastAsia="Calibri"/>
                <w:color w:val="000000" w:themeColor="text1"/>
                <w:vertAlign w:val="subscript"/>
              </w:rPr>
              <w:t>-1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214023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A65495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Nov-2018</w:t>
            </w:r>
          </w:p>
        </w:tc>
      </w:tr>
      <w:tr w:rsidR="00F267B5" w:rsidRPr="00D45339" w14:paraId="25AD5601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2EFE2A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CAV7023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D94BA0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Klebsiella</w:t>
            </w:r>
            <w:r>
              <w:rPr>
                <w:rFonts w:eastAsia="Calibri"/>
                <w:i/>
                <w:iCs/>
                <w:color w:val="000000" w:themeColor="text1"/>
              </w:rPr>
              <w:t xml:space="preserve"> michiganensis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372611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KPC</w:t>
            </w:r>
            <w:r>
              <w:rPr>
                <w:rFonts w:eastAsia="Calibri"/>
                <w:color w:val="000000" w:themeColor="text1"/>
                <w:vertAlign w:val="subscript"/>
              </w:rPr>
              <w:t>-2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BC5E6C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7F4600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Oct-2017</w:t>
            </w:r>
          </w:p>
        </w:tc>
      </w:tr>
      <w:tr w:rsidR="00F267B5" w:rsidRPr="00D45339" w14:paraId="29229970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C91C57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CAV9733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0DD05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Klebsiella pnuemoniae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3BD120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D45339">
              <w:rPr>
                <w:rFonts w:eastAsia="Calibri"/>
                <w:color w:val="000000" w:themeColor="text1"/>
                <w:vertAlign w:val="subscript"/>
              </w:rPr>
              <w:t>KPC</w:t>
            </w:r>
            <w:r>
              <w:rPr>
                <w:rFonts w:eastAsia="Calibri"/>
                <w:color w:val="000000" w:themeColor="text1"/>
                <w:vertAlign w:val="subscript"/>
              </w:rPr>
              <w:t>-3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D276F8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Wastewater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2AC05D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May-2023</w:t>
            </w:r>
          </w:p>
        </w:tc>
      </w:tr>
      <w:tr w:rsidR="00F267B5" w:rsidRPr="00D45339" w14:paraId="323ED976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651583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CAV7420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F7026E" w14:textId="77777777" w:rsidR="00F267B5" w:rsidRPr="00CB4DB7" w:rsidRDefault="00F267B5" w:rsidP="00093952">
            <w:pPr>
              <w:spacing w:line="480" w:lineRule="auto"/>
              <w:rPr>
                <w:rFonts w:eastAsia="Calibri"/>
                <w:i/>
                <w:iCs/>
                <w:color w:val="000000" w:themeColor="text1"/>
              </w:rPr>
            </w:pPr>
            <w:r>
              <w:rPr>
                <w:rFonts w:eastAsia="Calibri"/>
                <w:i/>
                <w:iCs/>
                <w:color w:val="000000" w:themeColor="text1"/>
              </w:rPr>
              <w:t>Phytobacter diazotrophicus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250682" w14:textId="77777777" w:rsidR="00F267B5" w:rsidRPr="00CB4DB7" w:rsidRDefault="00F267B5" w:rsidP="00093952">
            <w:pPr>
              <w:spacing w:line="480" w:lineRule="auto"/>
              <w:rPr>
                <w:rFonts w:eastAsia="Calibri"/>
                <w:i/>
                <w:iCs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E6226D">
              <w:rPr>
                <w:rFonts w:eastAsia="Calibri"/>
                <w:i/>
                <w:iCs/>
                <w:color w:val="000000" w:themeColor="text1"/>
                <w:vertAlign w:val="subscript"/>
              </w:rPr>
              <w:t>KPC-3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778D2F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700364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Jan-2018</w:t>
            </w:r>
          </w:p>
        </w:tc>
      </w:tr>
      <w:tr w:rsidR="00F267B5" w:rsidRPr="00D45339" w14:paraId="3DB0B8D3" w14:textId="77777777" w:rsidTr="00093952">
        <w:trPr>
          <w:trHeight w:val="288"/>
        </w:trPr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295E4F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CAV7307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13B964" w14:textId="77777777" w:rsidR="00F267B5" w:rsidRPr="00CB4DB7" w:rsidRDefault="00F267B5" w:rsidP="00093952">
            <w:pPr>
              <w:spacing w:line="480" w:lineRule="auto"/>
              <w:rPr>
                <w:rFonts w:eastAsia="Calibri"/>
                <w:i/>
                <w:iCs/>
                <w:color w:val="000000" w:themeColor="text1"/>
              </w:rPr>
            </w:pPr>
            <w:r>
              <w:rPr>
                <w:rFonts w:eastAsia="Calibri"/>
                <w:i/>
                <w:iCs/>
                <w:color w:val="000000" w:themeColor="text1"/>
              </w:rPr>
              <w:t>Phytobacter ursingii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C101E" w14:textId="77777777" w:rsidR="00F267B5" w:rsidRPr="00CB4DB7" w:rsidRDefault="00F267B5" w:rsidP="00093952">
            <w:pPr>
              <w:spacing w:line="480" w:lineRule="auto"/>
              <w:rPr>
                <w:rFonts w:eastAsia="Calibri"/>
                <w:i/>
                <w:iCs/>
                <w:color w:val="000000" w:themeColor="text1"/>
              </w:rPr>
            </w:pPr>
            <w:r w:rsidRPr="00D45339">
              <w:rPr>
                <w:rFonts w:eastAsia="Calibri"/>
                <w:i/>
                <w:iCs/>
                <w:color w:val="000000" w:themeColor="text1"/>
              </w:rPr>
              <w:t>bla</w:t>
            </w:r>
            <w:r w:rsidRPr="00E6226D">
              <w:rPr>
                <w:rFonts w:eastAsia="Calibri"/>
                <w:i/>
                <w:iCs/>
                <w:color w:val="000000" w:themeColor="text1"/>
                <w:vertAlign w:val="subscript"/>
              </w:rPr>
              <w:t>KPC-3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C2F9C1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Hospital Sink Drain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F45D6B" w14:textId="77777777" w:rsidR="00F267B5" w:rsidRPr="00D45339" w:rsidRDefault="00F267B5" w:rsidP="00093952">
            <w:pPr>
              <w:spacing w:line="480" w:lineRule="auto"/>
              <w:rPr>
                <w:rFonts w:eastAsia="Calibri"/>
                <w:color w:val="000000" w:themeColor="text1"/>
              </w:rPr>
            </w:pPr>
            <w:r w:rsidRPr="00D45339">
              <w:rPr>
                <w:rFonts w:eastAsia="Calibri"/>
                <w:color w:val="000000" w:themeColor="text1"/>
              </w:rPr>
              <w:t>Dec-2017</w:t>
            </w:r>
          </w:p>
        </w:tc>
      </w:tr>
    </w:tbl>
    <w:p w14:paraId="3FAF4028" w14:textId="77777777" w:rsidR="00F267B5" w:rsidRDefault="00F267B5" w:rsidP="00F267B5">
      <w:pPr>
        <w:spacing w:line="480" w:lineRule="auto"/>
      </w:pPr>
    </w:p>
    <w:p w14:paraId="413D1FA3" w14:textId="77777777" w:rsidR="00F267B5" w:rsidRDefault="00F267B5" w:rsidP="00F267B5">
      <w:pPr>
        <w:spacing w:line="480" w:lineRule="auto"/>
      </w:pPr>
    </w:p>
    <w:p w14:paraId="60F399A3" w14:textId="77777777" w:rsidR="00F267B5" w:rsidRDefault="00F267B5" w:rsidP="00F267B5">
      <w:pPr>
        <w:spacing w:line="480" w:lineRule="auto"/>
      </w:pPr>
    </w:p>
    <w:p w14:paraId="7C59F1DB" w14:textId="77777777" w:rsidR="00F267B5" w:rsidRDefault="00F267B5" w:rsidP="00F267B5">
      <w:pPr>
        <w:pStyle w:val="Heading1"/>
        <w:spacing w:line="480" w:lineRule="auto"/>
      </w:pPr>
      <w:r>
        <w:rPr>
          <w:noProof/>
        </w:rPr>
        <w:lastRenderedPageBreak/>
        <w:drawing>
          <wp:inline distT="0" distB="0" distL="0" distR="0" wp14:anchorId="33889DF0" wp14:editId="1B1FD6CF">
            <wp:extent cx="3764807" cy="71323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169" cy="71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5120" w14:textId="77777777" w:rsidR="00F267B5" w:rsidRDefault="00F267B5" w:rsidP="00F267B5">
      <w:pPr>
        <w:spacing w:line="480" w:lineRule="auto"/>
      </w:pPr>
      <w:r w:rsidRPr="7D327F29">
        <w:rPr>
          <w:b/>
          <w:bCs/>
        </w:rPr>
        <w:t xml:space="preserve">Supplemental Figure </w:t>
      </w:r>
      <w:r>
        <w:rPr>
          <w:b/>
          <w:bCs/>
        </w:rPr>
        <w:t>S</w:t>
      </w:r>
      <w:r w:rsidRPr="7D327F29">
        <w:rPr>
          <w:b/>
          <w:bCs/>
        </w:rPr>
        <w:t>1</w:t>
      </w:r>
      <w:r>
        <w:t>.</w:t>
      </w:r>
      <w:r w:rsidRPr="00112EB9">
        <w:rPr>
          <w:b/>
          <w:bCs/>
        </w:rPr>
        <w:t xml:space="preserve"> Quantitative culture </w:t>
      </w:r>
      <w:r>
        <w:rPr>
          <w:b/>
          <w:bCs/>
        </w:rPr>
        <w:t xml:space="preserve">of </w:t>
      </w:r>
      <w:r w:rsidRPr="00112EB9">
        <w:rPr>
          <w:b/>
          <w:bCs/>
        </w:rPr>
        <w:t>Gram-negative bacilli</w:t>
      </w:r>
      <w:r>
        <w:rPr>
          <w:b/>
          <w:bCs/>
        </w:rPr>
        <w:t xml:space="preserve"> from</w:t>
      </w:r>
      <w:r w:rsidRPr="00112EB9">
        <w:rPr>
          <w:b/>
          <w:bCs/>
        </w:rPr>
        <w:t xml:space="preserve"> experimental (Sink</w:t>
      </w:r>
      <w:r>
        <w:rPr>
          <w:b/>
          <w:bCs/>
        </w:rPr>
        <w:t>L</w:t>
      </w:r>
      <w:r w:rsidRPr="00112EB9">
        <w:rPr>
          <w:b/>
          <w:bCs/>
        </w:rPr>
        <w:t>ab) sink-drains.</w:t>
      </w:r>
      <w:r>
        <w:t xml:space="preserve"> MacConkey agar cultures showing longitudinal counts of lactose-fermenting (LF) and non-lactose-fermenting (NLF) </w:t>
      </w:r>
      <w:r w:rsidRPr="00CB4DB7">
        <w:t>Gram-negative bacilli</w:t>
      </w:r>
      <w:r>
        <w:t xml:space="preserve"> across treatment groups. </w:t>
      </w:r>
    </w:p>
    <w:p w14:paraId="1E550820" w14:textId="77777777" w:rsidR="00F267B5" w:rsidRDefault="00F267B5" w:rsidP="00F267B5">
      <w:pPr>
        <w:spacing w:line="480" w:lineRule="auto"/>
        <w:sectPr w:rsidR="00F267B5" w:rsidSect="0080425E">
          <w:pgSz w:w="12240" w:h="15840"/>
          <w:pgMar w:top="1152" w:right="1152" w:bottom="1152" w:left="1152" w:header="720" w:footer="720" w:gutter="0"/>
          <w:lnNumType w:countBy="1" w:restart="continuous"/>
          <w:cols w:space="720"/>
          <w:docGrid w:linePitch="360"/>
        </w:sectPr>
      </w:pPr>
    </w:p>
    <w:p w14:paraId="3F2582C0" w14:textId="77777777" w:rsidR="00F267B5" w:rsidRDefault="00F267B5" w:rsidP="00F267B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F8075C7" wp14:editId="6E331E12">
            <wp:extent cx="5886450" cy="64417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0769" cy="645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5D266" w14:textId="77777777" w:rsidR="00F267B5" w:rsidRDefault="00F267B5" w:rsidP="00F267B5">
      <w:pPr>
        <w:spacing w:line="480" w:lineRule="auto"/>
      </w:pPr>
      <w:r w:rsidRPr="7D327F29">
        <w:rPr>
          <w:b/>
          <w:bCs/>
        </w:rPr>
        <w:t xml:space="preserve">Supplemental Figure </w:t>
      </w:r>
      <w:r>
        <w:rPr>
          <w:b/>
          <w:bCs/>
        </w:rPr>
        <w:t>S2</w:t>
      </w:r>
      <w:r>
        <w:t xml:space="preserve">. </w:t>
      </w:r>
      <w:r w:rsidRPr="00E45F48">
        <w:rPr>
          <w:b/>
          <w:bCs/>
        </w:rPr>
        <w:t>Temporal dynamics of the top 20 bacterial genera in experimental sink</w:t>
      </w:r>
      <w:r>
        <w:rPr>
          <w:b/>
          <w:bCs/>
        </w:rPr>
        <w:t>-</w:t>
      </w:r>
      <w:r w:rsidRPr="00E45F48">
        <w:rPr>
          <w:b/>
          <w:bCs/>
        </w:rPr>
        <w:t>drains.</w:t>
      </w:r>
      <w:r>
        <w:t xml:space="preserve"> Heatmap showing log transformed mean relative abundance across the sampling timepoints, stratified by treatment interval (Control, T3, T5 &amp; T7). </w:t>
      </w:r>
    </w:p>
    <w:p w14:paraId="693553F1" w14:textId="77777777" w:rsidR="00F267B5" w:rsidRDefault="00F267B5" w:rsidP="00F267B5">
      <w:pPr>
        <w:spacing w:line="480" w:lineRule="auto"/>
      </w:pPr>
    </w:p>
    <w:p w14:paraId="3DE229EE" w14:textId="77777777" w:rsidR="00F267B5" w:rsidRDefault="00F267B5" w:rsidP="00F267B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A157D05" wp14:editId="6569F29E">
            <wp:extent cx="6309360" cy="7473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6016" w14:textId="77777777" w:rsidR="00F267B5" w:rsidRDefault="00F267B5" w:rsidP="00F267B5">
      <w:pPr>
        <w:spacing w:line="480" w:lineRule="auto"/>
      </w:pPr>
      <w:r w:rsidRPr="00112EB9">
        <w:rPr>
          <w:b/>
          <w:bCs/>
        </w:rPr>
        <w:t>Supplemental Figure S</w:t>
      </w:r>
      <w:r>
        <w:rPr>
          <w:b/>
          <w:bCs/>
        </w:rPr>
        <w:t>3</w:t>
      </w:r>
      <w:r w:rsidRPr="00112EB9">
        <w:rPr>
          <w:b/>
          <w:bCs/>
        </w:rPr>
        <w:t>.</w:t>
      </w:r>
      <w:r>
        <w:t xml:space="preserve"> </w:t>
      </w:r>
      <w:r>
        <w:rPr>
          <w:b/>
          <w:bCs/>
        </w:rPr>
        <w:t>Effect</w:t>
      </w:r>
      <w:r w:rsidRPr="00BA3D0F">
        <w:rPr>
          <w:b/>
          <w:bCs/>
        </w:rPr>
        <w:t xml:space="preserve"> of </w:t>
      </w:r>
      <w:r>
        <w:rPr>
          <w:b/>
          <w:bCs/>
        </w:rPr>
        <w:t>PPAA-</w:t>
      </w:r>
      <w:r w:rsidRPr="00BA3D0F">
        <w:rPr>
          <w:b/>
          <w:bCs/>
        </w:rPr>
        <w:t>foam</w:t>
      </w:r>
      <w:r w:rsidRPr="006F2DF1">
        <w:rPr>
          <w:b/>
          <w:bCs/>
        </w:rPr>
        <w:t xml:space="preserve"> treatment on bacterial populations in experimental</w:t>
      </w:r>
      <w:r w:rsidRPr="00D05FD0">
        <w:rPr>
          <w:b/>
          <w:bCs/>
        </w:rPr>
        <w:t xml:space="preserve"> (Sink</w:t>
      </w:r>
      <w:r>
        <w:rPr>
          <w:b/>
          <w:bCs/>
        </w:rPr>
        <w:t>L</w:t>
      </w:r>
      <w:r w:rsidRPr="00D05FD0">
        <w:rPr>
          <w:b/>
          <w:bCs/>
        </w:rPr>
        <w:t>ab) sink-traps.</w:t>
      </w:r>
      <w:r>
        <w:rPr>
          <w:b/>
          <w:bCs/>
        </w:rPr>
        <w:t xml:space="preserve"> </w:t>
      </w:r>
      <w:r w:rsidRPr="00EA28C2">
        <w:t xml:space="preserve">Quantitative culture results for experimental (Sinklab) sink-traps for </w:t>
      </w:r>
      <w:r>
        <w:t>a</w:t>
      </w:r>
      <w:r w:rsidRPr="00EA28C2">
        <w:t>) carbapenem-</w:t>
      </w:r>
      <w:r>
        <w:t>producing</w:t>
      </w:r>
      <w:r w:rsidRPr="00EA28C2">
        <w:t xml:space="preserve"> Enterobacterales (C</w:t>
      </w:r>
      <w:r>
        <w:t>P</w:t>
      </w:r>
      <w:r w:rsidRPr="00EA28C2">
        <w:t xml:space="preserve">E) and </w:t>
      </w:r>
      <w:r>
        <w:t>b</w:t>
      </w:r>
      <w:r w:rsidRPr="00EA28C2">
        <w:t>) Gram-negative bacilli.</w:t>
      </w:r>
      <w:r>
        <w:t xml:space="preserve"> Cultures were </w:t>
      </w:r>
      <w:r>
        <w:lastRenderedPageBreak/>
        <w:t xml:space="preserve">performed on selective chromogenic agar and MacConkey agar respectively and for the latter, counts estimated for both lactose-fermenters (LF) and non-lactose-fermenters (NLF). c) Order-level relative abundance profiles of major bacterial orders in sink-traps over time and across treatment groups; d) Alpha-diversity indices for sink-trap microbiomes over time and across treatment groups and, E) Non-metric multidimensional scaling (NMDS) ordination based on </w:t>
      </w:r>
      <w:r w:rsidRPr="005E03A0">
        <w:t xml:space="preserve">Bray–Curtis </w:t>
      </w:r>
      <w:r>
        <w:t>dissimilarities</w:t>
      </w:r>
      <w:r w:rsidRPr="005E03A0">
        <w:t xml:space="preserve"> at the </w:t>
      </w:r>
      <w:r>
        <w:t>genus-</w:t>
      </w:r>
      <w:r w:rsidRPr="005E03A0">
        <w:t>level</w:t>
      </w:r>
      <w:r>
        <w:t xml:space="preserve"> comparing baseline (D-3) to post-treatment timepoints (D28, D35).</w:t>
      </w:r>
    </w:p>
    <w:p w14:paraId="53C5F08D" w14:textId="77777777" w:rsidR="00F267B5" w:rsidRDefault="00F267B5" w:rsidP="00F267B5">
      <w:pPr>
        <w:spacing w:line="480" w:lineRule="auto"/>
        <w:sectPr w:rsidR="00F267B5" w:rsidSect="0080425E">
          <w:pgSz w:w="12240" w:h="15840"/>
          <w:pgMar w:top="1152" w:right="1152" w:bottom="1152" w:left="1152" w:header="720" w:footer="720" w:gutter="0"/>
          <w:lnNumType w:countBy="1" w:restart="continuous"/>
          <w:cols w:space="720"/>
          <w:docGrid w:linePitch="360"/>
        </w:sectPr>
      </w:pPr>
    </w:p>
    <w:p w14:paraId="6BAA32C7" w14:textId="77777777" w:rsidR="00F267B5" w:rsidRDefault="00F267B5" w:rsidP="00F267B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C8D9461" wp14:editId="4E82262D">
            <wp:extent cx="6309360" cy="4344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E929" w14:textId="77777777" w:rsidR="00F267B5" w:rsidRDefault="00F267B5" w:rsidP="00F267B5">
      <w:pPr>
        <w:spacing w:line="480" w:lineRule="auto"/>
        <w:sectPr w:rsidR="00F267B5" w:rsidSect="0080425E">
          <w:pgSz w:w="12240" w:h="15840"/>
          <w:pgMar w:top="1152" w:right="1152" w:bottom="1152" w:left="1152" w:header="720" w:footer="720" w:gutter="0"/>
          <w:lnNumType w:countBy="1" w:restart="continuous"/>
          <w:cols w:space="720"/>
          <w:docGrid w:linePitch="360"/>
        </w:sectPr>
      </w:pPr>
      <w:r w:rsidRPr="7D327F29">
        <w:rPr>
          <w:b/>
          <w:bCs/>
        </w:rPr>
        <w:t xml:space="preserve">Supplemental Figure </w:t>
      </w:r>
      <w:r>
        <w:rPr>
          <w:b/>
          <w:bCs/>
        </w:rPr>
        <w:t>S4. Resistome responses to</w:t>
      </w:r>
      <w:r w:rsidRPr="005C7461">
        <w:rPr>
          <w:b/>
          <w:bCs/>
        </w:rPr>
        <w:t xml:space="preserve"> </w:t>
      </w:r>
      <w:r>
        <w:rPr>
          <w:b/>
          <w:bCs/>
        </w:rPr>
        <w:t>PPAA-</w:t>
      </w:r>
      <w:r w:rsidRPr="005C7461">
        <w:rPr>
          <w:b/>
          <w:bCs/>
        </w:rPr>
        <w:t>foam treatment in experimental</w:t>
      </w:r>
      <w:r>
        <w:rPr>
          <w:b/>
          <w:bCs/>
        </w:rPr>
        <w:t xml:space="preserve"> (SinkLab)</w:t>
      </w:r>
      <w:r w:rsidRPr="005C7461">
        <w:rPr>
          <w:b/>
          <w:bCs/>
        </w:rPr>
        <w:t xml:space="preserve"> sink-</w:t>
      </w:r>
      <w:r>
        <w:rPr>
          <w:b/>
          <w:bCs/>
        </w:rPr>
        <w:t>drains and sink-traps</w:t>
      </w:r>
      <w:r w:rsidRPr="005C7461">
        <w:rPr>
          <w:b/>
          <w:bCs/>
        </w:rPr>
        <w:t>.</w:t>
      </w:r>
      <w:r>
        <w:t xml:space="preserve"> Change in alpha-diversity indices of AMR gene families for a) sink-drain and b) sink-trap across the treatment groups. Non-metric multidimensional scaling (NMDS) plots showing</w:t>
      </w:r>
      <w:r w:rsidRPr="005E03A0">
        <w:t xml:space="preserve"> Bray–Curtis </w:t>
      </w:r>
      <w:r>
        <w:t>dissimilarities</w:t>
      </w:r>
      <w:r w:rsidRPr="005E03A0">
        <w:t xml:space="preserve"> </w:t>
      </w:r>
      <w:r>
        <w:t>at the AMR gene family-level for c) sink-drain and d) sink-trap resistomes, comparing baseline (D-3) with post-treatment (D28, D35).</w:t>
      </w:r>
    </w:p>
    <w:p w14:paraId="4F7FC740" w14:textId="77777777" w:rsidR="00F267B5" w:rsidRDefault="00F267B5" w:rsidP="00F267B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1FF7D7D" wp14:editId="717E08E3">
            <wp:extent cx="6309360" cy="6147490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"/>
                    <a:stretch/>
                  </pic:blipFill>
                  <pic:spPr bwMode="auto">
                    <a:xfrm>
                      <a:off x="0" y="0"/>
                      <a:ext cx="6309360" cy="614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BB7BE" w14:textId="77777777" w:rsidR="00F267B5" w:rsidRDefault="00F267B5" w:rsidP="00F267B5">
      <w:pPr>
        <w:spacing w:line="480" w:lineRule="auto"/>
        <w:sectPr w:rsidR="00F267B5" w:rsidSect="0080425E">
          <w:pgSz w:w="12240" w:h="15840"/>
          <w:pgMar w:top="1152" w:right="1152" w:bottom="1152" w:left="1152" w:header="720" w:footer="720" w:gutter="0"/>
          <w:lnNumType w:countBy="1" w:restart="continuous"/>
          <w:cols w:space="720"/>
          <w:docGrid w:linePitch="360"/>
        </w:sectPr>
      </w:pPr>
      <w:r w:rsidRPr="7D327F29">
        <w:rPr>
          <w:b/>
          <w:bCs/>
        </w:rPr>
        <w:t xml:space="preserve">Supplemental Figure </w:t>
      </w:r>
      <w:r>
        <w:rPr>
          <w:b/>
          <w:bCs/>
        </w:rPr>
        <w:t>S</w:t>
      </w:r>
      <w:r w:rsidRPr="7D327F29">
        <w:rPr>
          <w:b/>
          <w:bCs/>
        </w:rPr>
        <w:t>5</w:t>
      </w:r>
      <w:r>
        <w:t xml:space="preserve">. </w:t>
      </w:r>
      <w:r>
        <w:rPr>
          <w:b/>
          <w:bCs/>
        </w:rPr>
        <w:t xml:space="preserve">Temporal patterns in the top 20 bacterial genera in hospital sink drains. </w:t>
      </w:r>
      <w:r>
        <w:t>Heatmap profile of the log transformed mean relative abundance across historical, immediately before-treatment and after-treatment the sampling timepoints.</w:t>
      </w:r>
    </w:p>
    <w:p w14:paraId="0094D788" w14:textId="77777777" w:rsidR="00F267B5" w:rsidRDefault="00F267B5" w:rsidP="00F267B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B27DCA3" wp14:editId="1348098C">
            <wp:extent cx="6309360" cy="29444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3846" w14:textId="77E58850" w:rsidR="00F267B5" w:rsidRDefault="00F267B5" w:rsidP="00F267B5">
      <w:pPr>
        <w:spacing w:line="480" w:lineRule="auto"/>
      </w:pPr>
      <w:r w:rsidRPr="7D327F29">
        <w:rPr>
          <w:b/>
          <w:bCs/>
        </w:rPr>
        <w:t xml:space="preserve">Supplemental Figure </w:t>
      </w:r>
      <w:r>
        <w:rPr>
          <w:b/>
          <w:bCs/>
        </w:rPr>
        <w:t>S6</w:t>
      </w:r>
      <w:r w:rsidRPr="7D327F29">
        <w:rPr>
          <w:b/>
          <w:bCs/>
        </w:rPr>
        <w:t xml:space="preserve">. </w:t>
      </w:r>
      <w:r>
        <w:rPr>
          <w:b/>
          <w:bCs/>
        </w:rPr>
        <w:t xml:space="preserve">Shifts in dominant AMR gene families in hospital sink-drains and sink-traps. </w:t>
      </w:r>
      <w:r w:rsidRPr="004D36E8">
        <w:t>Heatmap</w:t>
      </w:r>
      <w:r>
        <w:t xml:space="preserve"> of the changes in mean abundance (TPM) of the top </w:t>
      </w:r>
      <w:r w:rsidRPr="00AB174D">
        <w:t>20</w:t>
      </w:r>
      <w:r>
        <w:t xml:space="preserve"> AMR gene families across treatment groups for sink-drains and sink-traps.</w:t>
      </w:r>
    </w:p>
    <w:p w14:paraId="3BAB5E13" w14:textId="32CF8EF2" w:rsidR="00F267B5" w:rsidRDefault="00F267B5" w:rsidP="00F267B5">
      <w:pPr>
        <w:spacing w:line="480" w:lineRule="auto"/>
      </w:pPr>
    </w:p>
    <w:p w14:paraId="5FABB028" w14:textId="2A91F8DC" w:rsidR="00F267B5" w:rsidRDefault="00F267B5" w:rsidP="00F267B5">
      <w:pPr>
        <w:spacing w:line="480" w:lineRule="auto"/>
      </w:pPr>
    </w:p>
    <w:p w14:paraId="3D04D874" w14:textId="6363B822" w:rsidR="00F267B5" w:rsidRDefault="00F267B5" w:rsidP="00F267B5">
      <w:pPr>
        <w:spacing w:line="480" w:lineRule="auto"/>
      </w:pPr>
    </w:p>
    <w:p w14:paraId="039BE10C" w14:textId="1849E7FA" w:rsidR="00F267B5" w:rsidRDefault="00F267B5" w:rsidP="00F267B5">
      <w:pPr>
        <w:spacing w:line="480" w:lineRule="auto"/>
      </w:pPr>
    </w:p>
    <w:p w14:paraId="66550D94" w14:textId="383C1F67" w:rsidR="00F267B5" w:rsidRDefault="00F267B5" w:rsidP="00F267B5">
      <w:pPr>
        <w:spacing w:line="480" w:lineRule="auto"/>
      </w:pPr>
    </w:p>
    <w:p w14:paraId="758D861C" w14:textId="54CFA920" w:rsidR="00F267B5" w:rsidRDefault="00F267B5" w:rsidP="00F267B5">
      <w:pPr>
        <w:spacing w:line="480" w:lineRule="auto"/>
      </w:pPr>
    </w:p>
    <w:p w14:paraId="3D980E83" w14:textId="72723C03" w:rsidR="00F267B5" w:rsidRDefault="00F267B5" w:rsidP="00F267B5">
      <w:pPr>
        <w:spacing w:line="480" w:lineRule="auto"/>
      </w:pPr>
    </w:p>
    <w:p w14:paraId="23753A80" w14:textId="50C008A2" w:rsidR="00F267B5" w:rsidRDefault="00F267B5" w:rsidP="00F267B5">
      <w:pPr>
        <w:spacing w:line="480" w:lineRule="auto"/>
      </w:pPr>
    </w:p>
    <w:p w14:paraId="72181474" w14:textId="231AD2C3" w:rsidR="00F267B5" w:rsidRDefault="00F267B5" w:rsidP="00F267B5">
      <w:pPr>
        <w:spacing w:line="480" w:lineRule="auto"/>
      </w:pPr>
    </w:p>
    <w:p w14:paraId="57144227" w14:textId="1ED1A4BD" w:rsidR="00F267B5" w:rsidRDefault="00F267B5" w:rsidP="00F267B5">
      <w:pPr>
        <w:spacing w:line="480" w:lineRule="auto"/>
      </w:pPr>
    </w:p>
    <w:p w14:paraId="6BA9B362" w14:textId="77777777" w:rsidR="00F267B5" w:rsidRDefault="00F267B5" w:rsidP="00F267B5">
      <w:pPr>
        <w:spacing w:line="480" w:lineRule="auto"/>
      </w:pPr>
    </w:p>
    <w:p w14:paraId="5B1BBE14" w14:textId="77777777" w:rsidR="00F267B5" w:rsidRDefault="00F267B5" w:rsidP="00F267B5">
      <w:pPr>
        <w:spacing w:line="480" w:lineRule="auto"/>
      </w:pPr>
    </w:p>
    <w:p w14:paraId="2104B44B" w14:textId="77777777" w:rsidR="00F267B5" w:rsidRDefault="00F267B5" w:rsidP="00F267B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DA2F967" wp14:editId="0046D171">
            <wp:extent cx="6309360" cy="29444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5726" w14:textId="3ECDC209" w:rsidR="00821FEB" w:rsidRDefault="00F267B5" w:rsidP="00F267B5">
      <w:pPr>
        <w:spacing w:line="480" w:lineRule="auto"/>
      </w:pPr>
      <w:r w:rsidRPr="7D327F29">
        <w:rPr>
          <w:b/>
          <w:bCs/>
        </w:rPr>
        <w:t xml:space="preserve">Supplemental Figure 7. </w:t>
      </w:r>
      <w:r>
        <w:rPr>
          <w:b/>
          <w:bCs/>
        </w:rPr>
        <w:t xml:space="preserve">Shifts in dominant AMR gene families in experimental sink-drains and sink-traps. </w:t>
      </w:r>
      <w:r>
        <w:t>Heatmap of the top 20 AMR gene families (TPM)</w:t>
      </w:r>
      <w:r w:rsidRPr="006D4E6A">
        <w:t xml:space="preserve"> </w:t>
      </w:r>
      <w:r>
        <w:t>across the treatment groups in the sink-drains and sink-traps.</w:t>
      </w:r>
      <w:bookmarkEnd w:id="0"/>
    </w:p>
    <w:sectPr w:rsidR="00821FEB" w:rsidSect="0080425E">
      <w:pgSz w:w="12240" w:h="15840"/>
      <w:pgMar w:top="1152" w:right="1152" w:bottom="1152" w:left="1152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7B5"/>
    <w:rsid w:val="002B01B9"/>
    <w:rsid w:val="00821FEB"/>
    <w:rsid w:val="00A948F4"/>
    <w:rsid w:val="00F2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A8426"/>
  <w15:chartTrackingRefBased/>
  <w15:docId w15:val="{9FC82F59-7288-4835-93E9-616C5FEC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7B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7B5"/>
    <w:pPr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7B5"/>
    <w:rPr>
      <w:rFonts w:ascii="Times New Roman" w:eastAsiaTheme="minorEastAsia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F26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267B5"/>
    <w:rPr>
      <w:i/>
      <w:iCs/>
    </w:rPr>
  </w:style>
  <w:style w:type="character" w:styleId="Strong">
    <w:name w:val="Strong"/>
    <w:basedOn w:val="DefaultParagraphFont"/>
    <w:uiPriority w:val="22"/>
    <w:qFormat/>
    <w:rsid w:val="00F267B5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F2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683</Words>
  <Characters>3898</Characters>
  <Application>Microsoft Office Word</Application>
  <DocSecurity>0</DocSecurity>
  <Lines>32</Lines>
  <Paragraphs>9</Paragraphs>
  <ScaleCrop>false</ScaleCrop>
  <Company>UVA Health System</Company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Kotay, Shireen *HS</dc:creator>
  <cp:keywords/>
  <dc:description/>
  <cp:lastModifiedBy>Kotay, Shireen *HS</cp:lastModifiedBy>
  <cp:revision>2</cp:revision>
  <dcterms:created xsi:type="dcterms:W3CDTF">2026-02-10T19:29:00Z</dcterms:created>
  <dcterms:modified xsi:type="dcterms:W3CDTF">2026-03-19T01:13:00Z</dcterms:modified>
</cp:coreProperties>
</file>