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E6FAF" w14:textId="5B839569" w:rsidR="00840340" w:rsidRDefault="00840340" w:rsidP="00840340">
      <w:pPr>
        <w:rPr>
          <w:rFonts w:cs="Times New Roman"/>
          <w:b/>
          <w:bCs/>
        </w:rPr>
      </w:pPr>
      <w:r w:rsidRPr="00D534E5">
        <w:rPr>
          <w:rFonts w:cs="Times New Roman" w:hint="eastAsia"/>
          <w:b/>
          <w:bCs/>
        </w:rPr>
        <w:t>Appendix</w:t>
      </w:r>
      <w:r w:rsidRPr="00D534E5">
        <w:rPr>
          <w:rFonts w:cs="Times New Roman"/>
          <w:b/>
          <w:bCs/>
        </w:rPr>
        <w:t xml:space="preserve"> A: </w:t>
      </w:r>
      <w:r>
        <w:rPr>
          <w:rFonts w:cs="Times New Roman"/>
          <w:b/>
          <w:bCs/>
        </w:rPr>
        <w:t>ICD-10 Codes</w:t>
      </w:r>
      <w:r w:rsidR="00010A3B">
        <w:rPr>
          <w:rFonts w:cs="Times New Roman"/>
          <w:b/>
          <w:bCs/>
        </w:rPr>
        <w:t xml:space="preserve"> </w:t>
      </w:r>
      <w:r>
        <w:rPr>
          <w:rFonts w:cs="Times New Roman"/>
          <w:b/>
          <w:bCs/>
        </w:rPr>
        <w:t xml:space="preserve">and </w:t>
      </w:r>
      <w:r w:rsidRPr="00D534E5">
        <w:rPr>
          <w:rFonts w:cs="Times New Roman"/>
          <w:b/>
          <w:bCs/>
        </w:rPr>
        <w:t>Definition of Mental Health as the primary Diagnose</w:t>
      </w:r>
    </w:p>
    <w:p w14:paraId="52DF82BC" w14:textId="77777777" w:rsidR="00840340" w:rsidRDefault="00840340" w:rsidP="00840340">
      <w:pPr>
        <w:rPr>
          <w:rFonts w:cs="Times New Roman"/>
          <w:szCs w:val="24"/>
        </w:rPr>
      </w:pPr>
      <w:r w:rsidRPr="00EE54D8">
        <w:rPr>
          <w:rFonts w:cs="Times New Roman"/>
          <w:szCs w:val="24"/>
        </w:rPr>
        <w:t>The International Classification of Diseases, 10</w:t>
      </w:r>
      <w:r w:rsidRPr="00EE54D8">
        <w:rPr>
          <w:rFonts w:cs="Times New Roman"/>
          <w:szCs w:val="24"/>
          <w:vertAlign w:val="superscript"/>
        </w:rPr>
        <w:t>th</w:t>
      </w:r>
      <w:r w:rsidRPr="00EE54D8">
        <w:rPr>
          <w:rFonts w:cs="Times New Roman"/>
          <w:szCs w:val="24"/>
        </w:rPr>
        <w:t xml:space="preserve"> Revision (ICD -10) is a standardized system for classifying diseases, conditions, and health-related issues. It is widely used in healthcare data analysis, including within the Healthcare Cost and Utilization Project (HCUP) databases such as the State Inpatient </w:t>
      </w:r>
      <w:proofErr w:type="spellStart"/>
      <w:r w:rsidRPr="00EE54D8">
        <w:rPr>
          <w:rFonts w:cs="Times New Roman"/>
          <w:szCs w:val="24"/>
        </w:rPr>
        <w:t>Databasese</w:t>
      </w:r>
      <w:proofErr w:type="spellEnd"/>
      <w:r w:rsidRPr="00EE54D8">
        <w:rPr>
          <w:rFonts w:cs="Times New Roman"/>
          <w:szCs w:val="24"/>
        </w:rPr>
        <w:t xml:space="preserve"> (SID) and the State Emergency Department Databases (SEDD). The ICD-10 Clinical Modification (ICD-10-CM) is the U.S. adaptation for morbidity coding, which provides enhanced specificity compared to its predecessor, ICD-9-CM</w:t>
      </w:r>
      <w:r>
        <w:rPr>
          <w:rFonts w:cs="Times New Roman"/>
        </w:rPr>
        <w:fldChar w:fldCharType="begin"/>
      </w:r>
      <w:r>
        <w:rPr>
          <w:rFonts w:cs="Times New Roman"/>
        </w:rPr>
        <w:instrText xml:space="preserve"> ADDIN ZOTERO_ITEM CSL_CITATION {"citationID":"d7gCZEd1","properties":{"unsorted":false,"formattedCitation":"(Agency for Healthcare Research and Quality (AHRQ), 2022)","plainCitation":"(Agency for Healthcare Research and Quality (AHRQ), 2022)","noteIndex":0},"citationItems":[{"id":5588,"uris":["http://zotero.org/users/12445093/items/UBEBHZRP"],"itemData":{"id":5588,"type":"webpage","container-title":"Healthcare Cost and Utilization Project (HCUP)","note":"This page summarizes key issues for researchers using HCUP administrative databases with ICD-10-CM/PCS coding, including differences from ICD-9-CM and guidance for trend analysis.","publisher":"Agency for Healthcare Research and Quality (AHRQ)","publisher-place":"Rockville, MD","title":"ICD-10-CM/PCS Resources","URL":"https://www.hcup-us.ahrq.gov/datainnovations/icd10_resources.jsp","accessed":{"date-parts":[["2026",2,19]]},"issued":{"date-parts":[["2022",4]]}}}],"schema":"https://github.com/citation-style-language/schema/raw/master/csl-citation.json"} </w:instrText>
      </w:r>
      <w:r>
        <w:rPr>
          <w:rFonts w:cs="Times New Roman"/>
        </w:rPr>
        <w:fldChar w:fldCharType="separate"/>
      </w:r>
      <w:r>
        <w:rPr>
          <w:rFonts w:cs="Times New Roman"/>
          <w:noProof/>
        </w:rPr>
        <w:t>(Agency for Healthcare Research and Quality (AHRQ), 2022)</w:t>
      </w:r>
      <w:r>
        <w:rPr>
          <w:rFonts w:cs="Times New Roman"/>
        </w:rPr>
        <w:fldChar w:fldCharType="end"/>
      </w:r>
      <w:r w:rsidRPr="00EE54D8">
        <w:rPr>
          <w:rFonts w:cs="Times New Roman"/>
          <w:szCs w:val="24"/>
        </w:rPr>
        <w:t>.</w:t>
      </w:r>
    </w:p>
    <w:p w14:paraId="4B0DB847" w14:textId="77777777" w:rsidR="00F27B26" w:rsidRPr="00EE54D8" w:rsidRDefault="00F27B26" w:rsidP="00840340">
      <w:pPr>
        <w:rPr>
          <w:rFonts w:cs="Times New Roman"/>
          <w:szCs w:val="24"/>
        </w:rPr>
      </w:pPr>
    </w:p>
    <w:p w14:paraId="63A7514B" w14:textId="77777777" w:rsidR="00840340" w:rsidRDefault="00840340" w:rsidP="00840340">
      <w:pPr>
        <w:rPr>
          <w:rFonts w:eastAsia="Times New Roman" w:cs="Times New Roman"/>
          <w:szCs w:val="24"/>
        </w:rPr>
      </w:pPr>
      <w:r w:rsidRPr="00EE54D8">
        <w:rPr>
          <w:rFonts w:cs="Times New Roman"/>
          <w:szCs w:val="24"/>
        </w:rPr>
        <w:t xml:space="preserve">The Clinical Classifications Software Refined (CCSR) tool, developed by the Agency for Healthcare Research and Quality (AHRQ), aggregates ICD-10-CM diagnosis codes into clinically meaningful categories to facilitate research on healthcare utilization, costs, quality, and policy evaluation. The use of ICD-10-CM codes in HCUP data ensures that diagnostic information is systematically categorized for robust statistical analysis. </w:t>
      </w:r>
      <w:r w:rsidRPr="00EE54D8">
        <w:rPr>
          <w:rFonts w:eastAsia="Times New Roman" w:cs="Times New Roman"/>
          <w:szCs w:val="24"/>
        </w:rPr>
        <w:t xml:space="preserve">By categorizing diagnoses into these structured ICD-10-CM groupings, the study ensures that mental health conditions and related injuries are systematically analyzed across hospital admissions visits. </w:t>
      </w:r>
    </w:p>
    <w:p w14:paraId="51A63BBB" w14:textId="77777777" w:rsidR="00F27B26" w:rsidRDefault="00F27B26" w:rsidP="00840340">
      <w:pPr>
        <w:rPr>
          <w:rFonts w:eastAsia="Times New Roman" w:cs="Times New Roman"/>
        </w:rPr>
      </w:pPr>
    </w:p>
    <w:p w14:paraId="24E692C6" w14:textId="77777777" w:rsidR="00840340" w:rsidRDefault="00840340" w:rsidP="00840340">
      <w:pPr>
        <w:rPr>
          <w:rFonts w:eastAsia="Times New Roman" w:cs="Times New Roman"/>
        </w:rPr>
      </w:pPr>
      <w:r>
        <w:rPr>
          <w:rFonts w:cs="Times New Roman"/>
        </w:rPr>
        <w:t>HCUP SID includes up to 57 diagnosis fields (DX1-</w:t>
      </w:r>
      <w:r>
        <w:rPr>
          <w:rFonts w:eastAsia="Times New Roman" w:cs="Times New Roman"/>
        </w:rPr>
        <w:t xml:space="preserve">DX57), but this study uses DX1 only. Cases with mental health conditions recorded only in secondary fields (DX2-DX57) are excluded. For example, if DX1 is a cardiovascular condition and anxiety (F41) appears in DX2, the admission is not counted as a primary mental health </w:t>
      </w:r>
      <w:proofErr w:type="gramStart"/>
      <w:r>
        <w:rPr>
          <w:rFonts w:eastAsia="Times New Roman" w:cs="Times New Roman"/>
        </w:rPr>
        <w:t>hospitalizations</w:t>
      </w:r>
      <w:proofErr w:type="gramEnd"/>
      <w:r>
        <w:rPr>
          <w:rFonts w:eastAsia="Times New Roman" w:cs="Times New Roman"/>
        </w:rPr>
        <w:t xml:space="preserve">. This restriction is intended to capture acute and severe mental health events that drive inpatient utilization and to reduce confounding from physical-health admissions with incidental psychiatric comorbidity. </w:t>
      </w:r>
    </w:p>
    <w:p w14:paraId="200D236F" w14:textId="77777777" w:rsidR="00F27B26" w:rsidRDefault="00F27B26" w:rsidP="00840340">
      <w:pPr>
        <w:rPr>
          <w:rFonts w:eastAsia="Times New Roman" w:cs="Times New Roman"/>
        </w:rPr>
      </w:pPr>
    </w:p>
    <w:p w14:paraId="3C997851" w14:textId="77777777" w:rsidR="00840340" w:rsidRDefault="00840340" w:rsidP="00840340">
      <w:pPr>
        <w:rPr>
          <w:rFonts w:cs="Times New Roman"/>
        </w:rPr>
      </w:pPr>
      <w:r w:rsidRPr="00FF749B">
        <w:rPr>
          <w:rFonts w:cs="Times New Roman"/>
          <w:color w:val="000000" w:themeColor="text1"/>
        </w:rPr>
        <w:t xml:space="preserve">Our primary outcome focuses on </w:t>
      </w:r>
      <w:r w:rsidRPr="004F18D5">
        <w:rPr>
          <w:rStyle w:val="Strong"/>
          <w:rFonts w:eastAsiaTheme="majorEastAsia" w:cs="Times New Roman"/>
          <w:b w:val="0"/>
          <w:bCs/>
          <w:color w:val="000000" w:themeColor="text1"/>
        </w:rPr>
        <w:t>mental health conditions as the principal diagnosis</w:t>
      </w:r>
      <w:r w:rsidRPr="00FF749B">
        <w:rPr>
          <w:rFonts w:cs="Times New Roman"/>
          <w:color w:val="000000" w:themeColor="text1"/>
        </w:rPr>
        <w:t xml:space="preserve"> for hospital admissions. This ensures that mental health was the </w:t>
      </w:r>
      <w:r w:rsidRPr="004F18D5">
        <w:rPr>
          <w:rStyle w:val="Strong"/>
          <w:rFonts w:eastAsiaTheme="majorEastAsia" w:cs="Times New Roman"/>
          <w:b w:val="0"/>
          <w:bCs/>
          <w:color w:val="000000" w:themeColor="text1"/>
        </w:rPr>
        <w:t>main reason for the encounter</w:t>
      </w:r>
      <w:r w:rsidRPr="00FF749B">
        <w:rPr>
          <w:rFonts w:cs="Times New Roman"/>
          <w:color w:val="000000" w:themeColor="text1"/>
        </w:rPr>
        <w:t xml:space="preserve">, rather than a coexisting condition. HCUP provides up to 57 diagnosis codes for each visit (DX1–DX57), but our analysis focuses only on the </w:t>
      </w:r>
      <w:r w:rsidRPr="004F18D5">
        <w:rPr>
          <w:rStyle w:val="Strong"/>
          <w:rFonts w:eastAsiaTheme="majorEastAsia" w:cs="Times New Roman"/>
          <w:b w:val="0"/>
          <w:bCs/>
          <w:color w:val="000000" w:themeColor="text1"/>
        </w:rPr>
        <w:t>primary diagnosis (DX1)</w:t>
      </w:r>
      <w:r w:rsidRPr="00FF749B">
        <w:rPr>
          <w:rFonts w:cs="Times New Roman"/>
          <w:color w:val="000000" w:themeColor="text1"/>
        </w:rPr>
        <w:t xml:space="preserve"> to define mental health cases. This means we exclude visits where mental health conditions are recorded </w:t>
      </w:r>
      <w:r w:rsidRPr="004F18D5">
        <w:rPr>
          <w:rStyle w:val="Strong"/>
          <w:rFonts w:eastAsiaTheme="majorEastAsia" w:cs="Times New Roman"/>
          <w:b w:val="0"/>
          <w:bCs/>
          <w:color w:val="000000" w:themeColor="text1"/>
        </w:rPr>
        <w:t>only as comorbidities</w:t>
      </w:r>
      <w:r w:rsidRPr="00FF749B">
        <w:rPr>
          <w:rFonts w:cs="Times New Roman"/>
          <w:b/>
          <w:bCs/>
          <w:color w:val="000000" w:themeColor="text1"/>
        </w:rPr>
        <w:t xml:space="preserve"> </w:t>
      </w:r>
      <w:r w:rsidRPr="00FF749B">
        <w:rPr>
          <w:rFonts w:cs="Times New Roman"/>
          <w:color w:val="000000" w:themeColor="text1"/>
        </w:rPr>
        <w:t xml:space="preserve">(i.e., in DX2–DX57). For example, if a patient is hospitalized for a heart condition (DX1) but has a secondary diagnosis of anxiety (F41) in DX2, such cases are </w:t>
      </w:r>
      <w:r w:rsidRPr="004F18D5">
        <w:rPr>
          <w:rStyle w:val="Strong"/>
          <w:rFonts w:eastAsiaTheme="majorEastAsia" w:cs="Times New Roman"/>
          <w:b w:val="0"/>
          <w:bCs/>
          <w:color w:val="000000" w:themeColor="text1"/>
        </w:rPr>
        <w:t>not</w:t>
      </w:r>
      <w:r w:rsidRPr="004F18D5">
        <w:rPr>
          <w:rFonts w:cs="Times New Roman"/>
          <w:b/>
          <w:bCs/>
          <w:color w:val="000000" w:themeColor="text1"/>
        </w:rPr>
        <w:t xml:space="preserve"> </w:t>
      </w:r>
      <w:r w:rsidRPr="00FF749B">
        <w:rPr>
          <w:rFonts w:cs="Times New Roman"/>
          <w:color w:val="000000" w:themeColor="text1"/>
        </w:rPr>
        <w:t xml:space="preserve">counted as primary mental health hospitalizations. This approach ensures that our outcome captures </w:t>
      </w:r>
      <w:r w:rsidRPr="004F18D5">
        <w:rPr>
          <w:rStyle w:val="Strong"/>
          <w:rFonts w:eastAsiaTheme="majorEastAsia" w:cs="Times New Roman"/>
          <w:b w:val="0"/>
          <w:bCs/>
          <w:color w:val="000000" w:themeColor="text1"/>
        </w:rPr>
        <w:t>acute and severe mental health events</w:t>
      </w:r>
      <w:r w:rsidRPr="00FF749B">
        <w:rPr>
          <w:rFonts w:cs="Times New Roman"/>
          <w:color w:val="000000" w:themeColor="text1"/>
        </w:rPr>
        <w:t xml:space="preserve"> that are the </w:t>
      </w:r>
      <w:r w:rsidRPr="004F18D5">
        <w:rPr>
          <w:rStyle w:val="Strong"/>
          <w:rFonts w:eastAsiaTheme="majorEastAsia" w:cs="Times New Roman"/>
          <w:b w:val="0"/>
          <w:bCs/>
          <w:color w:val="000000" w:themeColor="text1"/>
        </w:rPr>
        <w:t>main driver</w:t>
      </w:r>
      <w:r w:rsidRPr="00FF749B">
        <w:rPr>
          <w:rFonts w:cs="Times New Roman"/>
          <w:color w:val="000000" w:themeColor="text1"/>
        </w:rPr>
        <w:t xml:space="preserve"> of the hospital visit, avoiding confounding from unrelated physical health admissions. </w:t>
      </w:r>
      <w:r w:rsidRPr="00FF749B">
        <w:rPr>
          <w:rFonts w:cs="Times New Roman"/>
        </w:rPr>
        <w:t xml:space="preserve">The second and third ICD-10 digits are helpful in identifying more specific conditions. </w:t>
      </w:r>
    </w:p>
    <w:p w14:paraId="7C5389F3" w14:textId="77777777" w:rsidR="00F27B26" w:rsidRDefault="00F27B26" w:rsidP="00840340">
      <w:pPr>
        <w:rPr>
          <w:rFonts w:cs="Times New Roman"/>
        </w:rPr>
      </w:pPr>
    </w:p>
    <w:p w14:paraId="1E24A38F" w14:textId="5FAEE61E" w:rsidR="004F18D5" w:rsidRPr="00F27B26" w:rsidRDefault="00840340" w:rsidP="00840340">
      <w:pPr>
        <w:rPr>
          <w:rFonts w:cs="Times New Roman"/>
          <w:szCs w:val="24"/>
        </w:rPr>
      </w:pPr>
      <w:r w:rsidRPr="00EE54D8">
        <w:rPr>
          <w:rFonts w:cs="Times New Roman"/>
          <w:szCs w:val="24"/>
        </w:rPr>
        <w:t>To analyze mental health-related hospital encounters, this study utilizes ICD-10-CM codes within HCUP’s SID data. The selected codes cover primary mental health conditions:</w:t>
      </w:r>
    </w:p>
    <w:p w14:paraId="75E5815F" w14:textId="05A2D745" w:rsidR="00840340" w:rsidRPr="00B4694D" w:rsidRDefault="004F18D5" w:rsidP="00840340">
      <w:pPr>
        <w:rPr>
          <w:rFonts w:cs="Times New Roman"/>
          <w:b/>
          <w:bCs/>
        </w:rPr>
      </w:pPr>
      <w:r>
        <w:rPr>
          <w:rFonts w:cs="Times New Roman"/>
          <w:b/>
          <w:bCs/>
        </w:rPr>
        <w:lastRenderedPageBreak/>
        <w:t xml:space="preserve">Table A1: </w:t>
      </w:r>
      <w:r w:rsidRPr="00F621C6">
        <w:rPr>
          <w:b/>
          <w:bCs/>
        </w:rPr>
        <w:t>Construction of primary mental health diagnosis indicators using ICD-10-CM principal diagnosis codes (I10_DX1)</w:t>
      </w:r>
    </w:p>
    <w:tbl>
      <w:tblPr>
        <w:tblW w:w="10320" w:type="dxa"/>
        <w:tblInd w:w="-614" w:type="dxa"/>
        <w:tblCellMar>
          <w:left w:w="0" w:type="dxa"/>
          <w:right w:w="0" w:type="dxa"/>
        </w:tblCellMar>
        <w:tblLook w:val="0420" w:firstRow="1" w:lastRow="0" w:firstColumn="0" w:lastColumn="0" w:noHBand="0" w:noVBand="1"/>
      </w:tblPr>
      <w:tblGrid>
        <w:gridCol w:w="3821"/>
        <w:gridCol w:w="1460"/>
        <w:gridCol w:w="5039"/>
      </w:tblGrid>
      <w:tr w:rsidR="00840340" w:rsidRPr="00156C27" w14:paraId="3D476EB7" w14:textId="77777777" w:rsidTr="00ED0879">
        <w:trPr>
          <w:trHeight w:val="148"/>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5F3C56A2" w14:textId="77777777" w:rsidR="00840340" w:rsidRPr="00F621C6" w:rsidRDefault="00840340" w:rsidP="00F621C6">
            <w:pPr>
              <w:jc w:val="left"/>
              <w:rPr>
                <w:rFonts w:cs="Times New Roman"/>
                <w:szCs w:val="24"/>
              </w:rPr>
            </w:pPr>
            <w:r w:rsidRPr="00F621C6">
              <w:rPr>
                <w:rFonts w:cs="Times New Roman"/>
                <w:b/>
                <w:bCs/>
                <w:szCs w:val="24"/>
              </w:rPr>
              <w:t>Condition</w:t>
            </w:r>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8D4709A" w14:textId="5EEF875B" w:rsidR="00840340" w:rsidRPr="00F621C6" w:rsidRDefault="00840340" w:rsidP="00F621C6">
            <w:pPr>
              <w:jc w:val="left"/>
              <w:rPr>
                <w:rFonts w:cs="Times New Roman"/>
                <w:b/>
                <w:bCs/>
                <w:szCs w:val="24"/>
              </w:rPr>
            </w:pPr>
            <w:r w:rsidRPr="00F621C6">
              <w:rPr>
                <w:rFonts w:cs="Times New Roman"/>
                <w:b/>
                <w:bCs/>
                <w:szCs w:val="24"/>
              </w:rPr>
              <w:t>ICD-10 Code Range</w:t>
            </w:r>
            <w:r w:rsidR="00ED0879" w:rsidRPr="00F621C6">
              <w:rPr>
                <w:rFonts w:cs="Times New Roman"/>
                <w:b/>
                <w:bCs/>
                <w:szCs w:val="24"/>
              </w:rPr>
              <w:t xml:space="preserve"> (I10_DX1)</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78F07F10" w14:textId="196DEDE2" w:rsidR="00840340" w:rsidRPr="00F621C6" w:rsidRDefault="00ED0879" w:rsidP="00F621C6">
            <w:pPr>
              <w:jc w:val="left"/>
              <w:rPr>
                <w:rFonts w:cs="Times New Roman"/>
                <w:b/>
                <w:bCs/>
                <w:szCs w:val="24"/>
              </w:rPr>
            </w:pPr>
            <w:r w:rsidRPr="00F621C6">
              <w:rPr>
                <w:rFonts w:cs="Times New Roman"/>
                <w:b/>
                <w:bCs/>
                <w:szCs w:val="24"/>
              </w:rPr>
              <w:t>Definitions</w:t>
            </w:r>
          </w:p>
        </w:tc>
      </w:tr>
      <w:tr w:rsidR="00840340" w:rsidRPr="00156C27" w14:paraId="5BD47C72"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786F3D84" w14:textId="77777777" w:rsidR="00840340" w:rsidRPr="00F621C6" w:rsidRDefault="00840340" w:rsidP="00F621C6">
            <w:pPr>
              <w:jc w:val="left"/>
              <w:rPr>
                <w:rFonts w:cs="Times New Roman"/>
                <w:szCs w:val="24"/>
              </w:rPr>
            </w:pPr>
            <w:proofErr w:type="spellStart"/>
            <w:r w:rsidRPr="00F621C6">
              <w:rPr>
                <w:rFonts w:cs="Times New Roman"/>
                <w:szCs w:val="24"/>
              </w:rPr>
              <w:t>Primary_Anxiety_PTSD</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5E97E564" w14:textId="77777777" w:rsidR="00840340" w:rsidRPr="00F621C6" w:rsidRDefault="00840340" w:rsidP="00F621C6">
            <w:pPr>
              <w:jc w:val="left"/>
              <w:rPr>
                <w:rFonts w:cs="Times New Roman"/>
                <w:szCs w:val="24"/>
              </w:rPr>
            </w:pPr>
            <w:r w:rsidRPr="00F621C6">
              <w:rPr>
                <w:rFonts w:cs="Times New Roman"/>
                <w:szCs w:val="24"/>
              </w:rPr>
              <w:t>F41, F43</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8759F51" w14:textId="28D39EE8" w:rsidR="00ED0879" w:rsidRPr="00F621C6" w:rsidRDefault="004F18D5" w:rsidP="00F621C6">
            <w:pPr>
              <w:jc w:val="left"/>
              <w:rPr>
                <w:rFonts w:cs="Times New Roman"/>
                <w:szCs w:val="24"/>
              </w:rPr>
            </w:pPr>
            <w:r w:rsidRPr="00F621C6">
              <w:rPr>
                <w:rFonts w:cs="Times New Roman"/>
                <w:szCs w:val="24"/>
              </w:rPr>
              <w:t xml:space="preserve">Disorders </w:t>
            </w:r>
            <w:r w:rsidR="00ED0879" w:rsidRPr="00F621C6">
              <w:rPr>
                <w:rFonts w:cs="Times New Roman"/>
                <w:szCs w:val="24"/>
              </w:rPr>
              <w:t>Anxiety disorders (F41) and reactions to severe stress, including PTSD and adjustment disorders (F43).</w:t>
            </w:r>
          </w:p>
          <w:p w14:paraId="04481183" w14:textId="31DAA5A1" w:rsidR="00840340" w:rsidRPr="00F621C6" w:rsidRDefault="00840340" w:rsidP="00F621C6">
            <w:pPr>
              <w:jc w:val="left"/>
              <w:rPr>
                <w:rFonts w:cs="Times New Roman"/>
                <w:szCs w:val="24"/>
              </w:rPr>
            </w:pPr>
          </w:p>
        </w:tc>
      </w:tr>
      <w:tr w:rsidR="00840340" w:rsidRPr="00156C27" w14:paraId="0AA853E9"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1B7018D" w14:textId="77777777" w:rsidR="00840340" w:rsidRPr="00F621C6" w:rsidRDefault="00840340" w:rsidP="00F621C6">
            <w:pPr>
              <w:jc w:val="left"/>
              <w:rPr>
                <w:rFonts w:cs="Times New Roman"/>
                <w:szCs w:val="24"/>
              </w:rPr>
            </w:pPr>
            <w:proofErr w:type="spellStart"/>
            <w:r w:rsidRPr="00F621C6">
              <w:rPr>
                <w:rFonts w:cs="Times New Roman"/>
                <w:szCs w:val="24"/>
              </w:rPr>
              <w:t>Primary_Depression</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64C3336B" w14:textId="77777777" w:rsidR="00840340" w:rsidRPr="00F621C6" w:rsidRDefault="00840340" w:rsidP="00F621C6">
            <w:pPr>
              <w:jc w:val="left"/>
              <w:rPr>
                <w:rFonts w:cs="Times New Roman"/>
                <w:szCs w:val="24"/>
              </w:rPr>
            </w:pPr>
            <w:r w:rsidRPr="00F621C6">
              <w:rPr>
                <w:rFonts w:cs="Times New Roman"/>
                <w:szCs w:val="24"/>
              </w:rPr>
              <w:t>F32, F33</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6A9E4C74" w14:textId="23FBF3BE" w:rsidR="00ED0879" w:rsidRPr="00F621C6" w:rsidRDefault="00ED0879" w:rsidP="00F621C6">
            <w:pPr>
              <w:jc w:val="left"/>
              <w:rPr>
                <w:rFonts w:cs="Times New Roman"/>
                <w:szCs w:val="24"/>
              </w:rPr>
            </w:pPr>
            <w:r w:rsidRPr="00F621C6">
              <w:rPr>
                <w:rFonts w:cs="Times New Roman"/>
                <w:szCs w:val="24"/>
              </w:rPr>
              <w:t>Depressive episodes (F32) and recurrent depressive disorder (F33).</w:t>
            </w:r>
          </w:p>
          <w:p w14:paraId="2F988EBA" w14:textId="59F3B9A4" w:rsidR="00ED0879" w:rsidRPr="00F621C6" w:rsidRDefault="00ED0879" w:rsidP="00F621C6">
            <w:pPr>
              <w:jc w:val="left"/>
              <w:rPr>
                <w:rFonts w:cs="Times New Roman"/>
                <w:szCs w:val="24"/>
              </w:rPr>
            </w:pPr>
          </w:p>
        </w:tc>
      </w:tr>
      <w:tr w:rsidR="00840340" w:rsidRPr="00156C27" w14:paraId="1305BC6F"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76A7B90E" w14:textId="77777777" w:rsidR="00840340" w:rsidRPr="00F621C6" w:rsidRDefault="00840340" w:rsidP="00F621C6">
            <w:pPr>
              <w:jc w:val="left"/>
              <w:rPr>
                <w:rFonts w:cs="Times New Roman"/>
                <w:szCs w:val="24"/>
              </w:rPr>
            </w:pPr>
            <w:proofErr w:type="spellStart"/>
            <w:r w:rsidRPr="00F621C6">
              <w:rPr>
                <w:rFonts w:cs="Times New Roman"/>
                <w:szCs w:val="24"/>
              </w:rPr>
              <w:t>Primary_Substance_Use</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1B733CC2" w14:textId="77777777" w:rsidR="00840340" w:rsidRPr="00F621C6" w:rsidRDefault="00840340" w:rsidP="00F621C6">
            <w:pPr>
              <w:jc w:val="left"/>
              <w:rPr>
                <w:rFonts w:cs="Times New Roman"/>
                <w:szCs w:val="24"/>
              </w:rPr>
            </w:pPr>
            <w:r w:rsidRPr="00F621C6">
              <w:rPr>
                <w:rFonts w:cs="Times New Roman"/>
                <w:szCs w:val="24"/>
              </w:rPr>
              <w:t xml:space="preserve">F10–F19 </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EEE9CE5" w14:textId="08E9ED0C" w:rsidR="00840340" w:rsidRPr="00F621C6" w:rsidRDefault="00ED0879" w:rsidP="00F621C6">
            <w:pPr>
              <w:jc w:val="left"/>
              <w:rPr>
                <w:rFonts w:cs="Times New Roman"/>
                <w:szCs w:val="24"/>
              </w:rPr>
            </w:pPr>
            <w:r w:rsidRPr="00F621C6">
              <w:rPr>
                <w:rFonts w:cs="Times New Roman"/>
                <w:szCs w:val="24"/>
              </w:rPr>
              <w:t>Mental and behavioral disorders due to psychoactive substance use, including alcohol, opioids, cannabis, sedatives, stimulants, and other substances.</w:t>
            </w:r>
          </w:p>
        </w:tc>
      </w:tr>
      <w:tr w:rsidR="00840340" w:rsidRPr="00156C27" w14:paraId="75926C3C"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5E1AAD7D" w14:textId="77777777" w:rsidR="00840340" w:rsidRPr="00F621C6" w:rsidRDefault="00840340" w:rsidP="00F621C6">
            <w:pPr>
              <w:jc w:val="left"/>
              <w:rPr>
                <w:rFonts w:cs="Times New Roman"/>
                <w:szCs w:val="24"/>
              </w:rPr>
            </w:pPr>
            <w:proofErr w:type="spellStart"/>
            <w:r w:rsidRPr="00F621C6">
              <w:rPr>
                <w:rFonts w:cs="Times New Roman"/>
                <w:szCs w:val="24"/>
              </w:rPr>
              <w:t>Primary_Schizophrenia_Psychotic</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407E72F8" w14:textId="77777777" w:rsidR="00840340" w:rsidRPr="00F621C6" w:rsidRDefault="00840340" w:rsidP="00F621C6">
            <w:pPr>
              <w:jc w:val="left"/>
              <w:rPr>
                <w:rFonts w:cs="Times New Roman"/>
                <w:szCs w:val="24"/>
              </w:rPr>
            </w:pPr>
            <w:r w:rsidRPr="00F621C6">
              <w:rPr>
                <w:rFonts w:cs="Times New Roman"/>
                <w:szCs w:val="24"/>
              </w:rPr>
              <w:t>F20, F22–F25, F28, F29</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4E0D76C6" w14:textId="06CEB278" w:rsidR="00840340" w:rsidRPr="00F621C6" w:rsidRDefault="00ED0879" w:rsidP="00F621C6">
            <w:pPr>
              <w:jc w:val="left"/>
              <w:rPr>
                <w:rFonts w:cs="Times New Roman"/>
                <w:szCs w:val="24"/>
              </w:rPr>
            </w:pPr>
            <w:r w:rsidRPr="00F621C6">
              <w:rPr>
                <w:rFonts w:cs="Times New Roman"/>
                <w:szCs w:val="24"/>
              </w:rPr>
              <w:t>Schizophrenia, schizotypal, and other non-mood psychotic disorders.</w:t>
            </w:r>
          </w:p>
        </w:tc>
      </w:tr>
      <w:tr w:rsidR="00840340" w:rsidRPr="00156C27" w14:paraId="3161801E"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D4F1FA1" w14:textId="77777777" w:rsidR="00840340" w:rsidRPr="00F621C6" w:rsidRDefault="00840340" w:rsidP="00F621C6">
            <w:pPr>
              <w:jc w:val="left"/>
              <w:rPr>
                <w:rFonts w:cs="Times New Roman"/>
                <w:szCs w:val="24"/>
              </w:rPr>
            </w:pPr>
            <w:proofErr w:type="spellStart"/>
            <w:r w:rsidRPr="00F621C6">
              <w:rPr>
                <w:rFonts w:cs="Times New Roman"/>
                <w:szCs w:val="24"/>
              </w:rPr>
              <w:t>Primary_Bipolar_Disorder</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F7D1145" w14:textId="77777777" w:rsidR="00840340" w:rsidRPr="00F621C6" w:rsidRDefault="00840340" w:rsidP="00F621C6">
            <w:pPr>
              <w:jc w:val="left"/>
              <w:rPr>
                <w:rFonts w:cs="Times New Roman"/>
                <w:szCs w:val="24"/>
              </w:rPr>
            </w:pPr>
            <w:r w:rsidRPr="00F621C6">
              <w:rPr>
                <w:rFonts w:cs="Times New Roman"/>
                <w:szCs w:val="24"/>
              </w:rPr>
              <w:t>F30, F31</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6C0C5D3B" w14:textId="43EEB3BA" w:rsidR="00840340" w:rsidRPr="00F621C6" w:rsidRDefault="00ED0879" w:rsidP="00F621C6">
            <w:pPr>
              <w:jc w:val="left"/>
              <w:rPr>
                <w:rFonts w:cs="Times New Roman"/>
                <w:szCs w:val="24"/>
              </w:rPr>
            </w:pPr>
            <w:r w:rsidRPr="00F621C6">
              <w:rPr>
                <w:rFonts w:cs="Times New Roman"/>
                <w:szCs w:val="24"/>
              </w:rPr>
              <w:t>Manic episodes (F30) and bipolar affective disorder (F31).</w:t>
            </w:r>
          </w:p>
        </w:tc>
      </w:tr>
      <w:tr w:rsidR="00840340" w:rsidRPr="00156C27" w14:paraId="2D293AD5"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47CD718" w14:textId="77777777" w:rsidR="00840340" w:rsidRPr="00F621C6" w:rsidRDefault="00840340" w:rsidP="00F621C6">
            <w:pPr>
              <w:jc w:val="left"/>
              <w:rPr>
                <w:rFonts w:cs="Times New Roman"/>
                <w:szCs w:val="24"/>
              </w:rPr>
            </w:pPr>
            <w:proofErr w:type="spellStart"/>
            <w:r w:rsidRPr="00F621C6">
              <w:rPr>
                <w:rFonts w:cs="Times New Roman"/>
                <w:szCs w:val="24"/>
              </w:rPr>
              <w:t>Primary_Developmental_Behavioral</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44545F2D" w14:textId="77777777" w:rsidR="00840340" w:rsidRPr="00F621C6" w:rsidRDefault="00840340" w:rsidP="00F621C6">
            <w:pPr>
              <w:jc w:val="left"/>
              <w:rPr>
                <w:rFonts w:cs="Times New Roman"/>
                <w:szCs w:val="24"/>
              </w:rPr>
            </w:pPr>
            <w:r w:rsidRPr="00F621C6">
              <w:rPr>
                <w:rFonts w:cs="Times New Roman"/>
                <w:szCs w:val="24"/>
              </w:rPr>
              <w:t>F70–F79, F80–F89, F90–F95</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73D428AC" w14:textId="31F74BA4" w:rsidR="00840340" w:rsidRPr="00F621C6" w:rsidRDefault="00ED0879" w:rsidP="00F621C6">
            <w:pPr>
              <w:jc w:val="left"/>
              <w:rPr>
                <w:rFonts w:cs="Times New Roman"/>
                <w:szCs w:val="24"/>
              </w:rPr>
            </w:pPr>
            <w:r w:rsidRPr="00F621C6">
              <w:rPr>
                <w:rFonts w:cs="Times New Roman"/>
                <w:szCs w:val="24"/>
              </w:rPr>
              <w:t>Developmental and behavioral disorders, including intellectual disabilities and neurodevelopmental disorders.</w:t>
            </w:r>
          </w:p>
        </w:tc>
      </w:tr>
      <w:tr w:rsidR="00840340" w:rsidRPr="00156C27" w14:paraId="6F376B99"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1C2C9E2" w14:textId="77777777" w:rsidR="00840340" w:rsidRPr="00F621C6" w:rsidRDefault="00840340" w:rsidP="00F621C6">
            <w:pPr>
              <w:jc w:val="left"/>
              <w:rPr>
                <w:rFonts w:cs="Times New Roman"/>
                <w:szCs w:val="24"/>
              </w:rPr>
            </w:pPr>
            <w:proofErr w:type="spellStart"/>
            <w:r w:rsidRPr="00F621C6">
              <w:rPr>
                <w:rFonts w:cs="Times New Roman"/>
                <w:szCs w:val="24"/>
              </w:rPr>
              <w:t>Primary_Personality_Impulse</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48C7A809" w14:textId="77777777" w:rsidR="00840340" w:rsidRPr="00F621C6" w:rsidRDefault="00840340" w:rsidP="00F621C6">
            <w:pPr>
              <w:jc w:val="left"/>
              <w:rPr>
                <w:rFonts w:cs="Times New Roman"/>
                <w:szCs w:val="24"/>
              </w:rPr>
            </w:pPr>
            <w:r w:rsidRPr="00F621C6">
              <w:rPr>
                <w:rFonts w:cs="Times New Roman"/>
                <w:szCs w:val="24"/>
              </w:rPr>
              <w:t>F60–F63, F68</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E863F4E" w14:textId="62AA71ED" w:rsidR="00840340" w:rsidRPr="00F621C6" w:rsidRDefault="00F621C6" w:rsidP="00F621C6">
            <w:pPr>
              <w:pStyle w:val="NormalWeb"/>
              <w:jc w:val="left"/>
              <w:rPr>
                <w:rFonts w:ascii="Times New Roman" w:hAnsi="Times New Roman" w:cs="Times New Roman"/>
              </w:rPr>
            </w:pPr>
            <w:r w:rsidRPr="00F621C6">
              <w:rPr>
                <w:rFonts w:ascii="Times New Roman" w:hAnsi="Times New Roman" w:cs="Times New Roman"/>
              </w:rPr>
              <w:t>Personality disorders and impulse-control disorders, including enduring maladaptive personality traits and difficulties in regulating behavior.</w:t>
            </w:r>
          </w:p>
        </w:tc>
      </w:tr>
      <w:tr w:rsidR="00840340" w:rsidRPr="00156C27" w14:paraId="10B64A95"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3C27CBBC" w14:textId="77777777" w:rsidR="00840340" w:rsidRPr="00F621C6" w:rsidRDefault="00840340" w:rsidP="00F621C6">
            <w:pPr>
              <w:jc w:val="left"/>
              <w:rPr>
                <w:rFonts w:cs="Times New Roman"/>
                <w:szCs w:val="24"/>
              </w:rPr>
            </w:pPr>
            <w:proofErr w:type="spellStart"/>
            <w:r w:rsidRPr="00F621C6">
              <w:rPr>
                <w:rFonts w:cs="Times New Roman"/>
                <w:szCs w:val="24"/>
              </w:rPr>
              <w:t>Primary_Dissociative_Somatoform</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5DBFCE93" w14:textId="77777777" w:rsidR="00840340" w:rsidRPr="00F621C6" w:rsidRDefault="00840340" w:rsidP="00F621C6">
            <w:pPr>
              <w:jc w:val="left"/>
              <w:rPr>
                <w:rFonts w:cs="Times New Roman"/>
                <w:szCs w:val="24"/>
              </w:rPr>
            </w:pPr>
            <w:r w:rsidRPr="00F621C6">
              <w:rPr>
                <w:rFonts w:cs="Times New Roman"/>
                <w:szCs w:val="24"/>
              </w:rPr>
              <w:t>F44, F45, F48</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264D118" w14:textId="038144D5" w:rsidR="00840340" w:rsidRPr="00F621C6" w:rsidRDefault="00F621C6" w:rsidP="00F621C6">
            <w:pPr>
              <w:jc w:val="left"/>
              <w:rPr>
                <w:rFonts w:cs="Times New Roman"/>
                <w:szCs w:val="24"/>
              </w:rPr>
            </w:pPr>
            <w:r w:rsidRPr="00F621C6">
              <w:rPr>
                <w:rFonts w:cs="Times New Roman"/>
                <w:szCs w:val="24"/>
              </w:rPr>
              <w:t>Dissociative and somatoform disorders, characterized by disruptions in identity or physical symptoms without clear medical causes.</w:t>
            </w:r>
          </w:p>
        </w:tc>
      </w:tr>
      <w:tr w:rsidR="00840340" w:rsidRPr="00156C27" w14:paraId="071F4C21"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3C57E6D5" w14:textId="77777777" w:rsidR="00840340" w:rsidRPr="00F621C6" w:rsidRDefault="00840340" w:rsidP="00F621C6">
            <w:pPr>
              <w:jc w:val="left"/>
              <w:rPr>
                <w:rFonts w:cs="Times New Roman"/>
                <w:szCs w:val="24"/>
              </w:rPr>
            </w:pPr>
            <w:proofErr w:type="spellStart"/>
            <w:r w:rsidRPr="00F621C6">
              <w:rPr>
                <w:rFonts w:cs="Times New Roman"/>
                <w:szCs w:val="24"/>
              </w:rPr>
              <w:t>Primary_Other_Mood</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133F55C5" w14:textId="77777777" w:rsidR="00840340" w:rsidRPr="00F621C6" w:rsidRDefault="00840340" w:rsidP="00F621C6">
            <w:pPr>
              <w:jc w:val="left"/>
              <w:rPr>
                <w:rFonts w:cs="Times New Roman"/>
                <w:szCs w:val="24"/>
              </w:rPr>
            </w:pPr>
            <w:r w:rsidRPr="00F621C6">
              <w:rPr>
                <w:rFonts w:cs="Times New Roman"/>
                <w:szCs w:val="24"/>
              </w:rPr>
              <w:t>F34, F39</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7FCA189D" w14:textId="2845E698" w:rsidR="00840340" w:rsidRPr="00F621C6" w:rsidRDefault="00F621C6" w:rsidP="00F621C6">
            <w:pPr>
              <w:jc w:val="left"/>
              <w:rPr>
                <w:rFonts w:cs="Times New Roman"/>
                <w:szCs w:val="24"/>
              </w:rPr>
            </w:pPr>
            <w:r w:rsidRPr="00F621C6">
              <w:rPr>
                <w:rFonts w:cs="Times New Roman"/>
                <w:szCs w:val="24"/>
              </w:rPr>
              <w:t>Other mood (affective) disorders, including persistent or unspecified mood disturbances not classified as major depression or bipolar disorder.</w:t>
            </w:r>
          </w:p>
        </w:tc>
      </w:tr>
      <w:tr w:rsidR="00840340" w:rsidRPr="00156C27" w14:paraId="38C57E3F"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56B842A9" w14:textId="77777777" w:rsidR="00840340" w:rsidRPr="00F621C6" w:rsidRDefault="00840340" w:rsidP="00F621C6">
            <w:pPr>
              <w:jc w:val="left"/>
              <w:rPr>
                <w:rFonts w:cs="Times New Roman"/>
                <w:szCs w:val="24"/>
              </w:rPr>
            </w:pPr>
            <w:proofErr w:type="spellStart"/>
            <w:r w:rsidRPr="00F621C6">
              <w:rPr>
                <w:rFonts w:cs="Times New Roman"/>
                <w:szCs w:val="24"/>
              </w:rPr>
              <w:t>Primary_OCD</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75E241D5" w14:textId="77777777" w:rsidR="00840340" w:rsidRPr="00F621C6" w:rsidRDefault="00840340" w:rsidP="00F621C6">
            <w:pPr>
              <w:jc w:val="left"/>
              <w:rPr>
                <w:rFonts w:cs="Times New Roman"/>
                <w:szCs w:val="24"/>
              </w:rPr>
            </w:pPr>
            <w:r w:rsidRPr="00F621C6">
              <w:rPr>
                <w:rFonts w:cs="Times New Roman"/>
                <w:szCs w:val="24"/>
              </w:rPr>
              <w:t>F42</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0CE0711" w14:textId="77777777" w:rsidR="00F621C6" w:rsidRPr="00F621C6" w:rsidRDefault="00F621C6" w:rsidP="00F621C6">
            <w:pPr>
              <w:pStyle w:val="NormalWeb"/>
              <w:jc w:val="left"/>
              <w:rPr>
                <w:rFonts w:ascii="Times New Roman" w:eastAsia="Times New Roman" w:hAnsi="Times New Roman" w:cs="Times New Roman"/>
              </w:rPr>
            </w:pPr>
            <w:r w:rsidRPr="00F621C6">
              <w:rPr>
                <w:rFonts w:ascii="Times New Roman" w:hAnsi="Times New Roman" w:cs="Times New Roman"/>
              </w:rPr>
              <w:t>Obsessive-compulsive disorder, characterized by recurrent intrusive thoughts and repetitive behaviors.</w:t>
            </w:r>
          </w:p>
          <w:p w14:paraId="04046C90" w14:textId="083CD542" w:rsidR="00840340" w:rsidRPr="00F621C6" w:rsidRDefault="00840340" w:rsidP="00F621C6">
            <w:pPr>
              <w:jc w:val="left"/>
              <w:rPr>
                <w:rFonts w:cs="Times New Roman"/>
                <w:szCs w:val="24"/>
              </w:rPr>
            </w:pPr>
          </w:p>
        </w:tc>
      </w:tr>
      <w:tr w:rsidR="00840340" w:rsidRPr="00156C27" w14:paraId="555CEB4E"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B88F7A1" w14:textId="77777777" w:rsidR="00840340" w:rsidRPr="00F621C6" w:rsidRDefault="00840340" w:rsidP="00F621C6">
            <w:pPr>
              <w:jc w:val="left"/>
              <w:rPr>
                <w:rFonts w:cs="Times New Roman"/>
                <w:szCs w:val="24"/>
              </w:rPr>
            </w:pPr>
            <w:proofErr w:type="spellStart"/>
            <w:r w:rsidRPr="00F621C6">
              <w:rPr>
                <w:rFonts w:cs="Times New Roman"/>
                <w:szCs w:val="24"/>
              </w:rPr>
              <w:lastRenderedPageBreak/>
              <w:t>Primary_Eating_Disorders</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20908C92" w14:textId="77777777" w:rsidR="00840340" w:rsidRPr="00F621C6" w:rsidRDefault="00840340" w:rsidP="00F621C6">
            <w:pPr>
              <w:jc w:val="left"/>
              <w:rPr>
                <w:rFonts w:cs="Times New Roman"/>
                <w:szCs w:val="24"/>
              </w:rPr>
            </w:pPr>
            <w:r w:rsidRPr="00F621C6">
              <w:rPr>
                <w:rFonts w:cs="Times New Roman"/>
                <w:szCs w:val="24"/>
              </w:rPr>
              <w:t>F50</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96D66E0" w14:textId="77777777" w:rsidR="00F621C6" w:rsidRPr="00F621C6" w:rsidRDefault="00F621C6" w:rsidP="00F621C6">
            <w:pPr>
              <w:pStyle w:val="NormalWeb"/>
              <w:jc w:val="left"/>
              <w:rPr>
                <w:rFonts w:ascii="Times New Roman" w:eastAsia="Times New Roman" w:hAnsi="Times New Roman" w:cs="Times New Roman"/>
              </w:rPr>
            </w:pPr>
            <w:r w:rsidRPr="00F621C6">
              <w:rPr>
                <w:rFonts w:ascii="Times New Roman" w:hAnsi="Times New Roman" w:cs="Times New Roman"/>
              </w:rPr>
              <w:t>Eating disorders involving abnormal eating behaviors that adversely affect physical and mental health.</w:t>
            </w:r>
          </w:p>
          <w:p w14:paraId="646D6F8A" w14:textId="0D6C28FF" w:rsidR="00840340" w:rsidRPr="00F621C6" w:rsidRDefault="00840340" w:rsidP="00F621C6">
            <w:pPr>
              <w:jc w:val="left"/>
              <w:rPr>
                <w:rFonts w:cs="Times New Roman"/>
                <w:szCs w:val="24"/>
              </w:rPr>
            </w:pPr>
          </w:p>
        </w:tc>
      </w:tr>
      <w:tr w:rsidR="00840340" w:rsidRPr="00156C27" w14:paraId="05D4A96E" w14:textId="77777777" w:rsidTr="00ED0879">
        <w:trPr>
          <w:trHeight w:val="113"/>
        </w:trPr>
        <w:tc>
          <w:tcPr>
            <w:tcW w:w="3821"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68BBF7EF" w14:textId="77777777" w:rsidR="00840340" w:rsidRPr="00F621C6" w:rsidRDefault="00840340" w:rsidP="00F621C6">
            <w:pPr>
              <w:jc w:val="left"/>
              <w:rPr>
                <w:rFonts w:cs="Times New Roman"/>
                <w:szCs w:val="24"/>
              </w:rPr>
            </w:pPr>
            <w:proofErr w:type="spellStart"/>
            <w:r w:rsidRPr="00F621C6">
              <w:rPr>
                <w:rFonts w:cs="Times New Roman"/>
                <w:szCs w:val="24"/>
              </w:rPr>
              <w:t>Primary_Other_Mental_Health</w:t>
            </w:r>
            <w:proofErr w:type="spellEnd"/>
          </w:p>
        </w:tc>
        <w:tc>
          <w:tcPr>
            <w:tcW w:w="1460"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E237B8C" w14:textId="77777777" w:rsidR="00840340" w:rsidRPr="00F621C6" w:rsidRDefault="00840340" w:rsidP="00F621C6">
            <w:pPr>
              <w:jc w:val="left"/>
              <w:rPr>
                <w:rFonts w:cs="Times New Roman"/>
                <w:szCs w:val="24"/>
              </w:rPr>
            </w:pPr>
            <w:r w:rsidRPr="00F621C6">
              <w:rPr>
                <w:rFonts w:cs="Times New Roman"/>
                <w:szCs w:val="24"/>
              </w:rPr>
              <w:t>Other diagnoses starting with 'F' that are not included in the above categories.</w:t>
            </w:r>
          </w:p>
        </w:tc>
        <w:tc>
          <w:tcPr>
            <w:tcW w:w="5039" w:type="dxa"/>
            <w:tcBorders>
              <w:top w:val="single" w:sz="6" w:space="0" w:color="9E9E9E"/>
              <w:left w:val="single" w:sz="6" w:space="0" w:color="9E9E9E"/>
              <w:bottom w:val="single" w:sz="6" w:space="0" w:color="9E9E9E"/>
              <w:right w:val="single" w:sz="6" w:space="0" w:color="9E9E9E"/>
            </w:tcBorders>
            <w:tcMar>
              <w:top w:w="72" w:type="dxa"/>
              <w:left w:w="144" w:type="dxa"/>
              <w:bottom w:w="72" w:type="dxa"/>
              <w:right w:w="144" w:type="dxa"/>
            </w:tcMar>
            <w:hideMark/>
          </w:tcPr>
          <w:p w14:paraId="024756AC" w14:textId="7B83C40F" w:rsidR="00840340" w:rsidRPr="00F621C6" w:rsidRDefault="00F621C6" w:rsidP="00F621C6">
            <w:pPr>
              <w:jc w:val="left"/>
              <w:rPr>
                <w:rFonts w:cs="Times New Roman"/>
                <w:szCs w:val="24"/>
              </w:rPr>
            </w:pPr>
            <w:r w:rsidRPr="00F621C6">
              <w:rPr>
                <w:rFonts w:cs="Times New Roman"/>
                <w:szCs w:val="24"/>
              </w:rPr>
              <w:t>All remaining ICD-10 mental health diagnoses (F00–F99) not captured by the above categories, including organic mental disorders, sleep disorders, and other unspecified conditions.</w:t>
            </w:r>
          </w:p>
        </w:tc>
      </w:tr>
    </w:tbl>
    <w:p w14:paraId="670287C4" w14:textId="77777777" w:rsidR="004F18D5" w:rsidRDefault="004F18D5" w:rsidP="00840340">
      <w:pPr>
        <w:rPr>
          <w:rFonts w:cs="Times New Roman"/>
        </w:rPr>
      </w:pPr>
    </w:p>
    <w:p w14:paraId="72D7733B" w14:textId="4BC24AD5" w:rsidR="00840340" w:rsidRDefault="00840340" w:rsidP="00840340">
      <w:pPr>
        <w:rPr>
          <w:rFonts w:cs="Times New Roman"/>
        </w:rPr>
      </w:pPr>
      <w:r w:rsidRPr="00D94A37">
        <w:rPr>
          <w:rFonts w:cs="Times New Roman"/>
        </w:rPr>
        <w:t xml:space="preserve">Table </w:t>
      </w:r>
      <w:r w:rsidR="00F621C6">
        <w:rPr>
          <w:rFonts w:cs="Times New Roman"/>
        </w:rPr>
        <w:t>A</w:t>
      </w:r>
      <w:r w:rsidRPr="00D94A37">
        <w:rPr>
          <w:rFonts w:cs="Times New Roman"/>
        </w:rPr>
        <w:t>2 provides a detailed breakdown by mental health condition type, comparing prevalence when conditions are recorded as the primary diagnosis versus any diagnosis position. Primary diagnoses were classified using ICD-10-CM codes beginning with "F" in the first diagnosis field (I10_DX1). Secondary diagnoses were identified from diagnosis fields I10_DX2 through I10_DX40.</w:t>
      </w:r>
    </w:p>
    <w:p w14:paraId="4E6C865C" w14:textId="77777777" w:rsidR="00840340" w:rsidRPr="00D94A37" w:rsidRDefault="00840340" w:rsidP="00840340">
      <w:pPr>
        <w:rPr>
          <w:rFonts w:cs="Times New Roman"/>
          <w:b/>
          <w:bCs/>
        </w:rPr>
      </w:pPr>
    </w:p>
    <w:p w14:paraId="346B4EDD" w14:textId="381E1C62" w:rsidR="00840340" w:rsidRPr="00D94A37" w:rsidRDefault="00840340" w:rsidP="00840340">
      <w:pPr>
        <w:rPr>
          <w:rFonts w:cs="Times New Roman"/>
          <w:b/>
          <w:bCs/>
        </w:rPr>
      </w:pPr>
      <w:r w:rsidRPr="00D94A37">
        <w:rPr>
          <w:rFonts w:cs="Times New Roman"/>
          <w:b/>
          <w:bCs/>
        </w:rPr>
        <w:t xml:space="preserve">Table </w:t>
      </w:r>
      <w:r w:rsidR="004F18D5">
        <w:rPr>
          <w:rFonts w:cs="Times New Roman"/>
          <w:b/>
          <w:bCs/>
        </w:rPr>
        <w:t>A2</w:t>
      </w:r>
      <w:r w:rsidRPr="00D94A37">
        <w:rPr>
          <w:rFonts w:cs="Times New Roman"/>
          <w:b/>
          <w:bCs/>
        </w:rPr>
        <w:t>: Distribution of Mental Health</w:t>
      </w:r>
      <w:r w:rsidR="00C93EE2">
        <w:rPr>
          <w:rFonts w:cs="Times New Roman"/>
          <w:b/>
          <w:bCs/>
        </w:rPr>
        <w:t xml:space="preserve"> (MH)</w:t>
      </w:r>
      <w:r w:rsidRPr="00D94A37">
        <w:rPr>
          <w:rFonts w:cs="Times New Roman"/>
          <w:b/>
          <w:bCs/>
        </w:rPr>
        <w:t xml:space="preserve"> Diagnoses Among Inpatient cases, Maryland 2018-2023</w:t>
      </w:r>
    </w:p>
    <w:tbl>
      <w:tblPr>
        <w:tblStyle w:val="TableGrid"/>
        <w:tblW w:w="0" w:type="auto"/>
        <w:tblLook w:val="04A0" w:firstRow="1" w:lastRow="0" w:firstColumn="1" w:lastColumn="0" w:noHBand="0" w:noVBand="1"/>
      </w:tblPr>
      <w:tblGrid>
        <w:gridCol w:w="2778"/>
        <w:gridCol w:w="2765"/>
        <w:gridCol w:w="2753"/>
      </w:tblGrid>
      <w:tr w:rsidR="00840340" w:rsidRPr="00D94A37" w14:paraId="5768AF97" w14:textId="77777777" w:rsidTr="00EE54D8">
        <w:tc>
          <w:tcPr>
            <w:tcW w:w="3005" w:type="dxa"/>
          </w:tcPr>
          <w:p w14:paraId="13BD4D27" w14:textId="77777777" w:rsidR="00840340" w:rsidRPr="00D94A37" w:rsidRDefault="00840340" w:rsidP="00EE54D8">
            <w:pPr>
              <w:rPr>
                <w:rFonts w:cs="Times New Roman"/>
                <w:b/>
                <w:bCs/>
              </w:rPr>
            </w:pPr>
            <w:r w:rsidRPr="00D94A37">
              <w:rPr>
                <w:rFonts w:cs="Times New Roman"/>
                <w:b/>
                <w:bCs/>
              </w:rPr>
              <w:t>Category</w:t>
            </w:r>
          </w:p>
        </w:tc>
        <w:tc>
          <w:tcPr>
            <w:tcW w:w="3005" w:type="dxa"/>
          </w:tcPr>
          <w:p w14:paraId="604594FA" w14:textId="77777777" w:rsidR="00840340" w:rsidRPr="00D94A37" w:rsidRDefault="00840340" w:rsidP="00EE54D8">
            <w:pPr>
              <w:rPr>
                <w:rFonts w:cs="Times New Roman"/>
                <w:b/>
                <w:bCs/>
              </w:rPr>
            </w:pPr>
            <w:r w:rsidRPr="00D94A37">
              <w:rPr>
                <w:rFonts w:cs="Times New Roman"/>
                <w:b/>
                <w:bCs/>
              </w:rPr>
              <w:t>N</w:t>
            </w:r>
          </w:p>
        </w:tc>
        <w:tc>
          <w:tcPr>
            <w:tcW w:w="3006" w:type="dxa"/>
          </w:tcPr>
          <w:p w14:paraId="6871236B" w14:textId="77777777" w:rsidR="00840340" w:rsidRPr="00D94A37" w:rsidRDefault="00840340" w:rsidP="00EE54D8">
            <w:pPr>
              <w:rPr>
                <w:rFonts w:cs="Times New Roman"/>
                <w:b/>
                <w:bCs/>
              </w:rPr>
            </w:pPr>
            <w:r w:rsidRPr="00D94A37">
              <w:rPr>
                <w:rFonts w:cs="Times New Roman"/>
                <w:b/>
                <w:bCs/>
              </w:rPr>
              <w:t>% of Total Cases</w:t>
            </w:r>
          </w:p>
        </w:tc>
      </w:tr>
      <w:tr w:rsidR="00840340" w:rsidRPr="00D94A37" w14:paraId="43C7AE08" w14:textId="77777777" w:rsidTr="00EE54D8">
        <w:tc>
          <w:tcPr>
            <w:tcW w:w="3005" w:type="dxa"/>
          </w:tcPr>
          <w:p w14:paraId="66250706" w14:textId="77777777" w:rsidR="00840340" w:rsidRPr="00D94A37" w:rsidRDefault="00840340" w:rsidP="00C93EE2">
            <w:pPr>
              <w:jc w:val="left"/>
              <w:rPr>
                <w:rFonts w:cs="Times New Roman"/>
              </w:rPr>
            </w:pPr>
            <w:r w:rsidRPr="00D94A37">
              <w:rPr>
                <w:rFonts w:cs="Times New Roman"/>
              </w:rPr>
              <w:t>Total Inpatient Cases</w:t>
            </w:r>
          </w:p>
        </w:tc>
        <w:tc>
          <w:tcPr>
            <w:tcW w:w="3005" w:type="dxa"/>
          </w:tcPr>
          <w:p w14:paraId="358B62D9" w14:textId="77777777" w:rsidR="00840340" w:rsidRPr="00D94A37" w:rsidRDefault="00840340" w:rsidP="00EE54D8">
            <w:pPr>
              <w:rPr>
                <w:rFonts w:cs="Times New Roman"/>
              </w:rPr>
            </w:pPr>
            <w:r w:rsidRPr="00D94A37">
              <w:rPr>
                <w:rFonts w:cs="Times New Roman"/>
              </w:rPr>
              <w:t>3,279,869</w:t>
            </w:r>
          </w:p>
        </w:tc>
        <w:tc>
          <w:tcPr>
            <w:tcW w:w="3006" w:type="dxa"/>
          </w:tcPr>
          <w:p w14:paraId="3F5BE75D" w14:textId="77777777" w:rsidR="00840340" w:rsidRPr="00D94A37" w:rsidRDefault="00840340" w:rsidP="00EE54D8">
            <w:pPr>
              <w:rPr>
                <w:rFonts w:cs="Times New Roman"/>
              </w:rPr>
            </w:pPr>
            <w:r w:rsidRPr="00D94A37">
              <w:rPr>
                <w:rFonts w:cs="Times New Roman"/>
              </w:rPr>
              <w:t>100.00%</w:t>
            </w:r>
          </w:p>
        </w:tc>
      </w:tr>
      <w:tr w:rsidR="00840340" w:rsidRPr="00D94A37" w14:paraId="7927181E" w14:textId="77777777" w:rsidTr="00EE54D8">
        <w:tc>
          <w:tcPr>
            <w:tcW w:w="9016" w:type="dxa"/>
            <w:gridSpan w:val="3"/>
          </w:tcPr>
          <w:p w14:paraId="5E6C3B2D" w14:textId="77777777" w:rsidR="00840340" w:rsidRPr="00D94A37" w:rsidRDefault="00840340" w:rsidP="00C93EE2">
            <w:pPr>
              <w:jc w:val="left"/>
              <w:rPr>
                <w:rFonts w:cs="Times New Roman"/>
              </w:rPr>
            </w:pPr>
            <w:r w:rsidRPr="00D94A37">
              <w:rPr>
                <w:rFonts w:cs="Times New Roman"/>
              </w:rPr>
              <w:t>Mental Health Diagnosis Position</w:t>
            </w:r>
          </w:p>
        </w:tc>
      </w:tr>
      <w:tr w:rsidR="00840340" w:rsidRPr="00D94A37" w14:paraId="15167E3A" w14:textId="77777777" w:rsidTr="00EE54D8">
        <w:tc>
          <w:tcPr>
            <w:tcW w:w="3005" w:type="dxa"/>
          </w:tcPr>
          <w:p w14:paraId="6BD530E1" w14:textId="77777777" w:rsidR="00840340" w:rsidRPr="00D94A37" w:rsidRDefault="00840340" w:rsidP="00C93EE2">
            <w:pPr>
              <w:jc w:val="left"/>
              <w:rPr>
                <w:rFonts w:cs="Times New Roman"/>
              </w:rPr>
            </w:pPr>
            <w:r w:rsidRPr="00D94A37">
              <w:rPr>
                <w:rFonts w:cs="Times New Roman"/>
              </w:rPr>
              <w:t>Any MH diagnosis (primary or secondary)</w:t>
            </w:r>
          </w:p>
        </w:tc>
        <w:tc>
          <w:tcPr>
            <w:tcW w:w="3005" w:type="dxa"/>
          </w:tcPr>
          <w:p w14:paraId="6CC11CD9" w14:textId="77777777" w:rsidR="00840340" w:rsidRPr="00D94A37" w:rsidRDefault="00840340" w:rsidP="00EE54D8">
            <w:pPr>
              <w:rPr>
                <w:rFonts w:cs="Times New Roman"/>
              </w:rPr>
            </w:pPr>
            <w:r w:rsidRPr="00D94A37">
              <w:rPr>
                <w:rFonts w:cs="Times New Roman"/>
              </w:rPr>
              <w:t>1,385,736</w:t>
            </w:r>
          </w:p>
        </w:tc>
        <w:tc>
          <w:tcPr>
            <w:tcW w:w="3006" w:type="dxa"/>
          </w:tcPr>
          <w:p w14:paraId="477CAD70" w14:textId="77777777" w:rsidR="00840340" w:rsidRPr="00D94A37" w:rsidRDefault="00840340" w:rsidP="00EE54D8">
            <w:pPr>
              <w:rPr>
                <w:rFonts w:cs="Times New Roman"/>
              </w:rPr>
            </w:pPr>
            <w:r w:rsidRPr="00D94A37">
              <w:rPr>
                <w:rFonts w:cs="Times New Roman"/>
              </w:rPr>
              <w:t>42.25%</w:t>
            </w:r>
          </w:p>
        </w:tc>
      </w:tr>
      <w:tr w:rsidR="00840340" w:rsidRPr="00D94A37" w14:paraId="2E60C233" w14:textId="77777777" w:rsidTr="00EE54D8">
        <w:tc>
          <w:tcPr>
            <w:tcW w:w="3005" w:type="dxa"/>
          </w:tcPr>
          <w:p w14:paraId="1AF53710" w14:textId="77777777" w:rsidR="00840340" w:rsidRPr="00D94A37" w:rsidRDefault="00840340" w:rsidP="00C93EE2">
            <w:pPr>
              <w:jc w:val="left"/>
              <w:rPr>
                <w:rFonts w:cs="Times New Roman"/>
              </w:rPr>
            </w:pPr>
            <w:r w:rsidRPr="00D94A37">
              <w:rPr>
                <w:rFonts w:cs="Times New Roman"/>
              </w:rPr>
              <w:t>Primary MH diagnosis only</w:t>
            </w:r>
          </w:p>
        </w:tc>
        <w:tc>
          <w:tcPr>
            <w:tcW w:w="3005" w:type="dxa"/>
          </w:tcPr>
          <w:p w14:paraId="4C4E18EF" w14:textId="77777777" w:rsidR="00840340" w:rsidRPr="00D94A37" w:rsidRDefault="00840340" w:rsidP="00EE54D8">
            <w:pPr>
              <w:rPr>
                <w:rFonts w:cs="Times New Roman"/>
              </w:rPr>
            </w:pPr>
            <w:r w:rsidRPr="00D94A37">
              <w:rPr>
                <w:rFonts w:cs="Times New Roman"/>
              </w:rPr>
              <w:t>209,988</w:t>
            </w:r>
          </w:p>
        </w:tc>
        <w:tc>
          <w:tcPr>
            <w:tcW w:w="3006" w:type="dxa"/>
          </w:tcPr>
          <w:p w14:paraId="6B1F6489" w14:textId="77777777" w:rsidR="00840340" w:rsidRPr="00D94A37" w:rsidRDefault="00840340" w:rsidP="00EE54D8">
            <w:pPr>
              <w:rPr>
                <w:rFonts w:cs="Times New Roman"/>
              </w:rPr>
            </w:pPr>
            <w:r w:rsidRPr="00D94A37">
              <w:rPr>
                <w:rFonts w:cs="Times New Roman"/>
              </w:rPr>
              <w:t>6.40%</w:t>
            </w:r>
          </w:p>
        </w:tc>
      </w:tr>
      <w:tr w:rsidR="00840340" w:rsidRPr="00D94A37" w14:paraId="64B3FD40" w14:textId="77777777" w:rsidTr="00EE54D8">
        <w:tc>
          <w:tcPr>
            <w:tcW w:w="3005" w:type="dxa"/>
          </w:tcPr>
          <w:p w14:paraId="5106DDB1" w14:textId="77777777" w:rsidR="00840340" w:rsidRPr="00D94A37" w:rsidRDefault="00840340" w:rsidP="00C93EE2">
            <w:pPr>
              <w:jc w:val="left"/>
              <w:rPr>
                <w:rFonts w:cs="Times New Roman"/>
              </w:rPr>
            </w:pPr>
            <w:r w:rsidRPr="00D94A37">
              <w:rPr>
                <w:rFonts w:cs="Times New Roman"/>
              </w:rPr>
              <w:t xml:space="preserve">Secondary MH diagnosis only </w:t>
            </w:r>
          </w:p>
        </w:tc>
        <w:tc>
          <w:tcPr>
            <w:tcW w:w="3005" w:type="dxa"/>
          </w:tcPr>
          <w:p w14:paraId="0F73ADDD" w14:textId="77777777" w:rsidR="00840340" w:rsidRPr="00D94A37" w:rsidRDefault="00840340" w:rsidP="00EE54D8">
            <w:pPr>
              <w:rPr>
                <w:rFonts w:cs="Times New Roman"/>
              </w:rPr>
            </w:pPr>
            <w:r w:rsidRPr="00D94A37">
              <w:rPr>
                <w:rFonts w:cs="Times New Roman"/>
              </w:rPr>
              <w:t>1,175,748</w:t>
            </w:r>
          </w:p>
        </w:tc>
        <w:tc>
          <w:tcPr>
            <w:tcW w:w="3006" w:type="dxa"/>
          </w:tcPr>
          <w:p w14:paraId="63E1B39A" w14:textId="77777777" w:rsidR="00840340" w:rsidRPr="00D94A37" w:rsidRDefault="00840340" w:rsidP="00EE54D8">
            <w:pPr>
              <w:rPr>
                <w:rFonts w:cs="Times New Roman"/>
              </w:rPr>
            </w:pPr>
            <w:r w:rsidRPr="00D94A37">
              <w:rPr>
                <w:rFonts w:cs="Times New Roman"/>
              </w:rPr>
              <w:t>35.85%</w:t>
            </w:r>
          </w:p>
        </w:tc>
      </w:tr>
      <w:tr w:rsidR="00840340" w:rsidRPr="00D94A37" w14:paraId="015B1692" w14:textId="77777777" w:rsidTr="00EE54D8">
        <w:tc>
          <w:tcPr>
            <w:tcW w:w="3005" w:type="dxa"/>
          </w:tcPr>
          <w:p w14:paraId="68076613" w14:textId="77777777" w:rsidR="00840340" w:rsidRPr="00D94A37" w:rsidRDefault="00840340" w:rsidP="00C93EE2">
            <w:pPr>
              <w:jc w:val="left"/>
              <w:rPr>
                <w:rFonts w:cs="Times New Roman"/>
              </w:rPr>
            </w:pPr>
            <w:r w:rsidRPr="00D94A37">
              <w:rPr>
                <w:rFonts w:cs="Times New Roman"/>
              </w:rPr>
              <w:t>No MH diagnosis</w:t>
            </w:r>
          </w:p>
        </w:tc>
        <w:tc>
          <w:tcPr>
            <w:tcW w:w="3005" w:type="dxa"/>
          </w:tcPr>
          <w:p w14:paraId="7EE3E155" w14:textId="77777777" w:rsidR="00840340" w:rsidRPr="00D94A37" w:rsidRDefault="00840340" w:rsidP="00EE54D8">
            <w:pPr>
              <w:rPr>
                <w:rFonts w:cs="Times New Roman"/>
              </w:rPr>
            </w:pPr>
            <w:r w:rsidRPr="00D94A37">
              <w:rPr>
                <w:rFonts w:cs="Times New Roman"/>
              </w:rPr>
              <w:t>1,894,133</w:t>
            </w:r>
          </w:p>
        </w:tc>
        <w:tc>
          <w:tcPr>
            <w:tcW w:w="3006" w:type="dxa"/>
          </w:tcPr>
          <w:p w14:paraId="07487271" w14:textId="77777777" w:rsidR="00840340" w:rsidRPr="00D94A37" w:rsidRDefault="00840340" w:rsidP="00EE54D8">
            <w:pPr>
              <w:rPr>
                <w:rFonts w:cs="Times New Roman"/>
              </w:rPr>
            </w:pPr>
            <w:r w:rsidRPr="00D94A37">
              <w:rPr>
                <w:rFonts w:cs="Times New Roman"/>
              </w:rPr>
              <w:t>57.75%</w:t>
            </w:r>
          </w:p>
        </w:tc>
      </w:tr>
    </w:tbl>
    <w:p w14:paraId="1E7D9763" w14:textId="77777777" w:rsidR="00840340" w:rsidRPr="00C93EE2" w:rsidRDefault="00840340" w:rsidP="00840340">
      <w:pPr>
        <w:rPr>
          <w:rFonts w:cs="Times New Roman"/>
          <w:sz w:val="18"/>
          <w:szCs w:val="18"/>
        </w:rPr>
      </w:pPr>
      <w:r w:rsidRPr="00C93EE2">
        <w:rPr>
          <w:rFonts w:cs="Times New Roman"/>
          <w:sz w:val="18"/>
          <w:szCs w:val="18"/>
        </w:rPr>
        <w:t xml:space="preserve">Note: Primary diagnosis refers to the principal diagnosis (I10_DX1) recorded for the hospitalization. Secondary diagnosis </w:t>
      </w:r>
      <w:proofErr w:type="gramStart"/>
      <w:r w:rsidRPr="00C93EE2">
        <w:rPr>
          <w:rFonts w:cs="Times New Roman"/>
          <w:sz w:val="18"/>
          <w:szCs w:val="18"/>
        </w:rPr>
        <w:t>include</w:t>
      </w:r>
      <w:proofErr w:type="gramEnd"/>
      <w:r w:rsidRPr="00C93EE2">
        <w:rPr>
          <w:rFonts w:cs="Times New Roman"/>
          <w:sz w:val="18"/>
          <w:szCs w:val="18"/>
        </w:rPr>
        <w:t xml:space="preserve"> all other diagnosis positions (I10_DX2 through I10_DX40). MH = Mental Health </w:t>
      </w:r>
    </w:p>
    <w:p w14:paraId="53257B38" w14:textId="77777777" w:rsidR="00840340" w:rsidRPr="00D94A37" w:rsidRDefault="00840340" w:rsidP="00840340">
      <w:pPr>
        <w:rPr>
          <w:rFonts w:cs="Times New Roman"/>
          <w:b/>
          <w:bCs/>
        </w:rPr>
      </w:pPr>
    </w:p>
    <w:p w14:paraId="5FF4F8E8" w14:textId="2906E82C" w:rsidR="00840340" w:rsidRPr="004F18D5" w:rsidRDefault="00840340" w:rsidP="00840340">
      <w:pPr>
        <w:rPr>
          <w:rFonts w:cs="Times New Roman"/>
          <w:b/>
          <w:bCs/>
        </w:rPr>
      </w:pPr>
      <w:r w:rsidRPr="004F18D5">
        <w:rPr>
          <w:rFonts w:cs="Times New Roman"/>
          <w:b/>
          <w:bCs/>
        </w:rPr>
        <w:t xml:space="preserve">Table </w:t>
      </w:r>
      <w:r w:rsidR="004F18D5" w:rsidRPr="004F18D5">
        <w:rPr>
          <w:rFonts w:cs="Times New Roman"/>
          <w:b/>
          <w:bCs/>
        </w:rPr>
        <w:t>A3</w:t>
      </w:r>
      <w:r w:rsidRPr="004F18D5">
        <w:rPr>
          <w:rFonts w:cs="Times New Roman"/>
          <w:b/>
          <w:bCs/>
        </w:rPr>
        <w:t>: Prevalence of Mental Health Conditions by Diagnosis Type, Maryland 2018-2023</w:t>
      </w:r>
    </w:p>
    <w:tbl>
      <w:tblPr>
        <w:tblStyle w:val="TableGrid"/>
        <w:tblW w:w="0" w:type="auto"/>
        <w:tblLook w:val="04A0" w:firstRow="1" w:lastRow="0" w:firstColumn="1" w:lastColumn="0" w:noHBand="0" w:noVBand="1"/>
      </w:tblPr>
      <w:tblGrid>
        <w:gridCol w:w="2133"/>
        <w:gridCol w:w="1954"/>
        <w:gridCol w:w="2031"/>
        <w:gridCol w:w="2178"/>
      </w:tblGrid>
      <w:tr w:rsidR="00840340" w:rsidRPr="00D94A37" w14:paraId="7C10600E" w14:textId="77777777" w:rsidTr="00EE54D8">
        <w:tc>
          <w:tcPr>
            <w:tcW w:w="2254" w:type="dxa"/>
          </w:tcPr>
          <w:p w14:paraId="53FDD18B" w14:textId="77777777" w:rsidR="00840340" w:rsidRPr="00D94A37" w:rsidRDefault="00840340" w:rsidP="00EE54D8">
            <w:pPr>
              <w:rPr>
                <w:rFonts w:cs="Times New Roman"/>
                <w:b/>
                <w:bCs/>
              </w:rPr>
            </w:pPr>
            <w:r w:rsidRPr="00D94A37">
              <w:rPr>
                <w:rFonts w:cs="Times New Roman"/>
                <w:b/>
                <w:bCs/>
              </w:rPr>
              <w:t>Mental Health Conditions</w:t>
            </w:r>
          </w:p>
        </w:tc>
        <w:tc>
          <w:tcPr>
            <w:tcW w:w="2254" w:type="dxa"/>
          </w:tcPr>
          <w:p w14:paraId="4B5CA59A" w14:textId="77777777" w:rsidR="00840340" w:rsidRPr="00D94A37" w:rsidRDefault="00840340" w:rsidP="00EE54D8">
            <w:pPr>
              <w:rPr>
                <w:rFonts w:cs="Times New Roman"/>
                <w:b/>
                <w:bCs/>
              </w:rPr>
            </w:pPr>
            <w:r w:rsidRPr="00D94A37">
              <w:rPr>
                <w:rFonts w:cs="Times New Roman"/>
                <w:b/>
                <w:bCs/>
              </w:rPr>
              <w:t>ICD-10 Codes</w:t>
            </w:r>
          </w:p>
        </w:tc>
        <w:tc>
          <w:tcPr>
            <w:tcW w:w="2254" w:type="dxa"/>
          </w:tcPr>
          <w:p w14:paraId="3C49D232" w14:textId="77777777" w:rsidR="00840340" w:rsidRPr="00D94A37" w:rsidRDefault="00840340" w:rsidP="00EE54D8">
            <w:pPr>
              <w:rPr>
                <w:rFonts w:cs="Times New Roman"/>
                <w:b/>
                <w:bCs/>
              </w:rPr>
            </w:pPr>
            <w:r w:rsidRPr="00D94A37">
              <w:rPr>
                <w:rFonts w:cs="Times New Roman"/>
                <w:b/>
                <w:bCs/>
              </w:rPr>
              <w:t>Primary Diagnosis</w:t>
            </w:r>
          </w:p>
        </w:tc>
        <w:tc>
          <w:tcPr>
            <w:tcW w:w="2254" w:type="dxa"/>
          </w:tcPr>
          <w:p w14:paraId="7711AC6A" w14:textId="77777777" w:rsidR="00840340" w:rsidRPr="00D94A37" w:rsidRDefault="00840340" w:rsidP="00EE54D8">
            <w:pPr>
              <w:rPr>
                <w:rFonts w:cs="Times New Roman"/>
                <w:b/>
                <w:bCs/>
              </w:rPr>
            </w:pPr>
            <w:r w:rsidRPr="00D94A37">
              <w:rPr>
                <w:rFonts w:cs="Times New Roman"/>
                <w:b/>
                <w:bCs/>
              </w:rPr>
              <w:t>Any Diagnosis Position</w:t>
            </w:r>
          </w:p>
        </w:tc>
      </w:tr>
      <w:tr w:rsidR="00840340" w:rsidRPr="00D94A37" w14:paraId="74E32762" w14:textId="77777777" w:rsidTr="00EE54D8">
        <w:tc>
          <w:tcPr>
            <w:tcW w:w="2254" w:type="dxa"/>
          </w:tcPr>
          <w:p w14:paraId="1B41FB8A" w14:textId="77777777" w:rsidR="00840340" w:rsidRPr="00D94A37" w:rsidRDefault="00840340" w:rsidP="00EE54D8">
            <w:pPr>
              <w:rPr>
                <w:rFonts w:cs="Times New Roman"/>
                <w:b/>
                <w:bCs/>
              </w:rPr>
            </w:pPr>
          </w:p>
        </w:tc>
        <w:tc>
          <w:tcPr>
            <w:tcW w:w="2254" w:type="dxa"/>
          </w:tcPr>
          <w:p w14:paraId="4D5B99C0" w14:textId="77777777" w:rsidR="00840340" w:rsidRPr="00D94A37" w:rsidRDefault="00840340" w:rsidP="00EE54D8">
            <w:pPr>
              <w:rPr>
                <w:rFonts w:cs="Times New Roman"/>
                <w:b/>
                <w:bCs/>
              </w:rPr>
            </w:pPr>
          </w:p>
        </w:tc>
        <w:tc>
          <w:tcPr>
            <w:tcW w:w="2254" w:type="dxa"/>
          </w:tcPr>
          <w:p w14:paraId="4E263291" w14:textId="77777777" w:rsidR="00840340" w:rsidRPr="00D94A37" w:rsidRDefault="00840340" w:rsidP="00EE54D8">
            <w:pPr>
              <w:rPr>
                <w:rFonts w:cs="Times New Roman"/>
                <w:b/>
                <w:bCs/>
              </w:rPr>
            </w:pPr>
            <w:r w:rsidRPr="00D94A37">
              <w:rPr>
                <w:rFonts w:cs="Times New Roman"/>
                <w:b/>
                <w:bCs/>
              </w:rPr>
              <w:t>N (%)</w:t>
            </w:r>
          </w:p>
        </w:tc>
        <w:tc>
          <w:tcPr>
            <w:tcW w:w="2254" w:type="dxa"/>
          </w:tcPr>
          <w:p w14:paraId="2A6EBA05" w14:textId="77777777" w:rsidR="00840340" w:rsidRPr="00D94A37" w:rsidRDefault="00840340" w:rsidP="00EE54D8">
            <w:pPr>
              <w:rPr>
                <w:rFonts w:cs="Times New Roman"/>
                <w:b/>
                <w:bCs/>
              </w:rPr>
            </w:pPr>
            <w:r w:rsidRPr="00D94A37">
              <w:rPr>
                <w:rFonts w:cs="Times New Roman"/>
                <w:b/>
                <w:bCs/>
              </w:rPr>
              <w:t>N (%)</w:t>
            </w:r>
          </w:p>
        </w:tc>
      </w:tr>
      <w:tr w:rsidR="00840340" w:rsidRPr="00D94A37" w14:paraId="20722A13" w14:textId="77777777" w:rsidTr="00EE54D8">
        <w:tc>
          <w:tcPr>
            <w:tcW w:w="2254" w:type="dxa"/>
          </w:tcPr>
          <w:p w14:paraId="496AC513" w14:textId="77777777" w:rsidR="00840340" w:rsidRPr="00D94A37" w:rsidRDefault="00840340" w:rsidP="00EE54D8">
            <w:pPr>
              <w:rPr>
                <w:rFonts w:cs="Times New Roman"/>
              </w:rPr>
            </w:pPr>
            <w:r w:rsidRPr="00D94A37">
              <w:rPr>
                <w:rFonts w:cs="Times New Roman"/>
              </w:rPr>
              <w:t>Mood Disorders</w:t>
            </w:r>
          </w:p>
        </w:tc>
        <w:tc>
          <w:tcPr>
            <w:tcW w:w="2254" w:type="dxa"/>
          </w:tcPr>
          <w:p w14:paraId="20174817" w14:textId="77777777" w:rsidR="00840340" w:rsidRPr="00D94A37" w:rsidRDefault="00840340" w:rsidP="00EE54D8">
            <w:pPr>
              <w:rPr>
                <w:rFonts w:cs="Times New Roman"/>
              </w:rPr>
            </w:pPr>
          </w:p>
        </w:tc>
        <w:tc>
          <w:tcPr>
            <w:tcW w:w="2254" w:type="dxa"/>
          </w:tcPr>
          <w:p w14:paraId="38355A32" w14:textId="77777777" w:rsidR="00840340" w:rsidRPr="00D94A37" w:rsidRDefault="00840340" w:rsidP="00EE54D8">
            <w:pPr>
              <w:rPr>
                <w:rFonts w:cs="Times New Roman"/>
              </w:rPr>
            </w:pPr>
          </w:p>
        </w:tc>
        <w:tc>
          <w:tcPr>
            <w:tcW w:w="2254" w:type="dxa"/>
          </w:tcPr>
          <w:p w14:paraId="71D200B6" w14:textId="77777777" w:rsidR="00840340" w:rsidRPr="00D94A37" w:rsidRDefault="00840340" w:rsidP="00EE54D8">
            <w:pPr>
              <w:rPr>
                <w:rFonts w:cs="Times New Roman"/>
              </w:rPr>
            </w:pPr>
          </w:p>
        </w:tc>
      </w:tr>
      <w:tr w:rsidR="00840340" w:rsidRPr="00D94A37" w14:paraId="51EEBF31" w14:textId="77777777" w:rsidTr="00EE54D8">
        <w:tc>
          <w:tcPr>
            <w:tcW w:w="2254" w:type="dxa"/>
          </w:tcPr>
          <w:p w14:paraId="56C4DA37" w14:textId="77777777" w:rsidR="00840340" w:rsidRPr="00D94A37" w:rsidRDefault="00840340" w:rsidP="00EE54D8">
            <w:pPr>
              <w:rPr>
                <w:rFonts w:cs="Times New Roman"/>
              </w:rPr>
            </w:pPr>
            <w:r w:rsidRPr="00D94A37">
              <w:rPr>
                <w:rFonts w:cs="Times New Roman"/>
              </w:rPr>
              <w:t>Depression</w:t>
            </w:r>
          </w:p>
        </w:tc>
        <w:tc>
          <w:tcPr>
            <w:tcW w:w="2254" w:type="dxa"/>
          </w:tcPr>
          <w:p w14:paraId="58F45C7A" w14:textId="77777777" w:rsidR="00840340" w:rsidRPr="00D94A37" w:rsidRDefault="00840340" w:rsidP="00EE54D8">
            <w:pPr>
              <w:rPr>
                <w:rFonts w:cs="Times New Roman"/>
              </w:rPr>
            </w:pPr>
            <w:r w:rsidRPr="00D94A37">
              <w:rPr>
                <w:rFonts w:cs="Times New Roman"/>
              </w:rPr>
              <w:t>F32-F33</w:t>
            </w:r>
          </w:p>
        </w:tc>
        <w:tc>
          <w:tcPr>
            <w:tcW w:w="2254" w:type="dxa"/>
          </w:tcPr>
          <w:p w14:paraId="318C8EC3" w14:textId="77777777" w:rsidR="00840340" w:rsidRPr="00D94A37" w:rsidRDefault="00840340" w:rsidP="00EE54D8">
            <w:pPr>
              <w:rPr>
                <w:rFonts w:cs="Times New Roman"/>
              </w:rPr>
            </w:pPr>
            <w:r w:rsidRPr="00D94A37">
              <w:rPr>
                <w:rFonts w:cs="Times New Roman"/>
              </w:rPr>
              <w:t>52,051 (1.59%</w:t>
            </w:r>
            <w:r>
              <w:rPr>
                <w:rFonts w:cs="Times New Roman"/>
              </w:rPr>
              <w:t>)</w:t>
            </w:r>
          </w:p>
        </w:tc>
        <w:tc>
          <w:tcPr>
            <w:tcW w:w="2254" w:type="dxa"/>
          </w:tcPr>
          <w:p w14:paraId="784D8B87" w14:textId="77777777" w:rsidR="00840340" w:rsidRPr="00D94A37" w:rsidRDefault="00840340" w:rsidP="00EE54D8">
            <w:pPr>
              <w:rPr>
                <w:rFonts w:cs="Times New Roman"/>
              </w:rPr>
            </w:pPr>
            <w:r w:rsidRPr="00D94A37">
              <w:rPr>
                <w:rFonts w:cs="Times New Roman"/>
              </w:rPr>
              <w:t>617,650 (18.83%)</w:t>
            </w:r>
          </w:p>
        </w:tc>
      </w:tr>
      <w:tr w:rsidR="00840340" w:rsidRPr="00D94A37" w14:paraId="4EF4BC86" w14:textId="77777777" w:rsidTr="00EE54D8">
        <w:tc>
          <w:tcPr>
            <w:tcW w:w="2254" w:type="dxa"/>
          </w:tcPr>
          <w:p w14:paraId="4F298C19" w14:textId="77777777" w:rsidR="00840340" w:rsidRPr="00D94A37" w:rsidRDefault="00840340" w:rsidP="00EE54D8">
            <w:pPr>
              <w:rPr>
                <w:rFonts w:cs="Times New Roman"/>
              </w:rPr>
            </w:pPr>
            <w:r w:rsidRPr="00D94A37">
              <w:rPr>
                <w:rFonts w:cs="Times New Roman"/>
              </w:rPr>
              <w:t>Bipolar Disorder</w:t>
            </w:r>
          </w:p>
        </w:tc>
        <w:tc>
          <w:tcPr>
            <w:tcW w:w="2254" w:type="dxa"/>
          </w:tcPr>
          <w:p w14:paraId="07F077FF" w14:textId="77777777" w:rsidR="00840340" w:rsidRPr="00D94A37" w:rsidRDefault="00840340" w:rsidP="00EE54D8">
            <w:pPr>
              <w:rPr>
                <w:rFonts w:cs="Times New Roman"/>
              </w:rPr>
            </w:pPr>
            <w:r w:rsidRPr="00D94A37">
              <w:rPr>
                <w:rFonts w:cs="Times New Roman"/>
              </w:rPr>
              <w:t>F30-F31</w:t>
            </w:r>
          </w:p>
        </w:tc>
        <w:tc>
          <w:tcPr>
            <w:tcW w:w="2254" w:type="dxa"/>
          </w:tcPr>
          <w:p w14:paraId="2F382E1B" w14:textId="77777777" w:rsidR="00840340" w:rsidRPr="00D94A37" w:rsidRDefault="00840340" w:rsidP="00EE54D8">
            <w:pPr>
              <w:rPr>
                <w:rFonts w:cs="Times New Roman"/>
              </w:rPr>
            </w:pPr>
            <w:r w:rsidRPr="00D94A37">
              <w:rPr>
                <w:rFonts w:cs="Times New Roman"/>
              </w:rPr>
              <w:t>41,119 (1.25%)</w:t>
            </w:r>
          </w:p>
        </w:tc>
        <w:tc>
          <w:tcPr>
            <w:tcW w:w="2254" w:type="dxa"/>
          </w:tcPr>
          <w:p w14:paraId="194D8BB1" w14:textId="77777777" w:rsidR="00840340" w:rsidRPr="00D94A37" w:rsidRDefault="00840340" w:rsidP="00EE54D8">
            <w:pPr>
              <w:rPr>
                <w:rFonts w:cs="Times New Roman"/>
              </w:rPr>
            </w:pPr>
            <w:r w:rsidRPr="00D94A37">
              <w:rPr>
                <w:rFonts w:cs="Times New Roman"/>
              </w:rPr>
              <w:t>-</w:t>
            </w:r>
          </w:p>
        </w:tc>
      </w:tr>
      <w:tr w:rsidR="00840340" w:rsidRPr="00D94A37" w14:paraId="6FD83A8E" w14:textId="77777777" w:rsidTr="00EE54D8">
        <w:tc>
          <w:tcPr>
            <w:tcW w:w="2254" w:type="dxa"/>
          </w:tcPr>
          <w:p w14:paraId="1DF13580" w14:textId="77777777" w:rsidR="00840340" w:rsidRPr="00D94A37" w:rsidRDefault="00840340" w:rsidP="00EE54D8">
            <w:pPr>
              <w:rPr>
                <w:rFonts w:cs="Times New Roman"/>
              </w:rPr>
            </w:pPr>
            <w:r w:rsidRPr="00D94A37">
              <w:rPr>
                <w:rFonts w:cs="Times New Roman"/>
              </w:rPr>
              <w:t>Other Mood Disorders</w:t>
            </w:r>
          </w:p>
        </w:tc>
        <w:tc>
          <w:tcPr>
            <w:tcW w:w="2254" w:type="dxa"/>
          </w:tcPr>
          <w:p w14:paraId="499E3AA7" w14:textId="77777777" w:rsidR="00840340" w:rsidRPr="00D94A37" w:rsidRDefault="00840340" w:rsidP="00EE54D8">
            <w:pPr>
              <w:rPr>
                <w:rFonts w:cs="Times New Roman"/>
              </w:rPr>
            </w:pPr>
            <w:r w:rsidRPr="00D94A37">
              <w:rPr>
                <w:rFonts w:cs="Times New Roman"/>
              </w:rPr>
              <w:t>F34, F39</w:t>
            </w:r>
          </w:p>
        </w:tc>
        <w:tc>
          <w:tcPr>
            <w:tcW w:w="2254" w:type="dxa"/>
          </w:tcPr>
          <w:p w14:paraId="563CF9A0" w14:textId="77777777" w:rsidR="00840340" w:rsidRPr="00D94A37" w:rsidRDefault="00840340" w:rsidP="00EE54D8">
            <w:pPr>
              <w:rPr>
                <w:rFonts w:cs="Times New Roman"/>
              </w:rPr>
            </w:pPr>
            <w:r w:rsidRPr="00D94A37">
              <w:rPr>
                <w:rFonts w:cs="Times New Roman"/>
              </w:rPr>
              <w:t>3,594 (0.11%)</w:t>
            </w:r>
          </w:p>
        </w:tc>
        <w:tc>
          <w:tcPr>
            <w:tcW w:w="2254" w:type="dxa"/>
          </w:tcPr>
          <w:p w14:paraId="7C414A9C" w14:textId="77777777" w:rsidR="00840340" w:rsidRPr="00D94A37" w:rsidRDefault="00840340" w:rsidP="00EE54D8">
            <w:pPr>
              <w:rPr>
                <w:rFonts w:cs="Times New Roman"/>
              </w:rPr>
            </w:pPr>
            <w:r w:rsidRPr="00D94A37">
              <w:rPr>
                <w:rFonts w:cs="Times New Roman"/>
              </w:rPr>
              <w:t>-</w:t>
            </w:r>
          </w:p>
        </w:tc>
      </w:tr>
      <w:tr w:rsidR="00840340" w:rsidRPr="00D94A37" w14:paraId="2CE3ABF8" w14:textId="77777777" w:rsidTr="00EE54D8">
        <w:tc>
          <w:tcPr>
            <w:tcW w:w="2254" w:type="dxa"/>
          </w:tcPr>
          <w:p w14:paraId="554B4B67" w14:textId="77777777" w:rsidR="00840340" w:rsidRPr="00D94A37" w:rsidRDefault="00840340" w:rsidP="00EE54D8">
            <w:pPr>
              <w:rPr>
                <w:rFonts w:cs="Times New Roman"/>
              </w:rPr>
            </w:pPr>
            <w:r w:rsidRPr="00D94A37">
              <w:rPr>
                <w:rFonts w:cs="Times New Roman"/>
              </w:rPr>
              <w:lastRenderedPageBreak/>
              <w:t>Anxiety &amp; Stress Related</w:t>
            </w:r>
          </w:p>
        </w:tc>
        <w:tc>
          <w:tcPr>
            <w:tcW w:w="2254" w:type="dxa"/>
          </w:tcPr>
          <w:p w14:paraId="449884F6" w14:textId="77777777" w:rsidR="00840340" w:rsidRPr="00D94A37" w:rsidRDefault="00840340" w:rsidP="00EE54D8">
            <w:pPr>
              <w:rPr>
                <w:rFonts w:cs="Times New Roman"/>
              </w:rPr>
            </w:pPr>
          </w:p>
        </w:tc>
        <w:tc>
          <w:tcPr>
            <w:tcW w:w="2254" w:type="dxa"/>
          </w:tcPr>
          <w:p w14:paraId="2A31A357" w14:textId="77777777" w:rsidR="00840340" w:rsidRPr="00D94A37" w:rsidRDefault="00840340" w:rsidP="00EE54D8">
            <w:pPr>
              <w:rPr>
                <w:rFonts w:cs="Times New Roman"/>
              </w:rPr>
            </w:pPr>
          </w:p>
        </w:tc>
        <w:tc>
          <w:tcPr>
            <w:tcW w:w="2254" w:type="dxa"/>
          </w:tcPr>
          <w:p w14:paraId="4D540F81" w14:textId="77777777" w:rsidR="00840340" w:rsidRPr="00D94A37" w:rsidRDefault="00840340" w:rsidP="00EE54D8">
            <w:pPr>
              <w:rPr>
                <w:rFonts w:cs="Times New Roman"/>
              </w:rPr>
            </w:pPr>
          </w:p>
        </w:tc>
      </w:tr>
      <w:tr w:rsidR="00840340" w:rsidRPr="00D94A37" w14:paraId="71EAA6D3" w14:textId="77777777" w:rsidTr="00EE54D8">
        <w:tc>
          <w:tcPr>
            <w:tcW w:w="2254" w:type="dxa"/>
          </w:tcPr>
          <w:p w14:paraId="35491659" w14:textId="77777777" w:rsidR="00840340" w:rsidRPr="00D94A37" w:rsidRDefault="00840340" w:rsidP="00EE54D8">
            <w:pPr>
              <w:rPr>
                <w:rFonts w:cs="Times New Roman"/>
              </w:rPr>
            </w:pPr>
            <w:r w:rsidRPr="00D94A37">
              <w:rPr>
                <w:rFonts w:cs="Times New Roman"/>
              </w:rPr>
              <w:t>Anxiety &amp; PTSD</w:t>
            </w:r>
          </w:p>
        </w:tc>
        <w:tc>
          <w:tcPr>
            <w:tcW w:w="2254" w:type="dxa"/>
          </w:tcPr>
          <w:p w14:paraId="4FEB1239" w14:textId="77777777" w:rsidR="00840340" w:rsidRPr="00D94A37" w:rsidRDefault="00840340" w:rsidP="00EE54D8">
            <w:pPr>
              <w:rPr>
                <w:rFonts w:cs="Times New Roman"/>
              </w:rPr>
            </w:pPr>
            <w:r w:rsidRPr="00D94A37">
              <w:rPr>
                <w:rFonts w:cs="Times New Roman"/>
              </w:rPr>
              <w:t>F41, F43</w:t>
            </w:r>
          </w:p>
        </w:tc>
        <w:tc>
          <w:tcPr>
            <w:tcW w:w="2254" w:type="dxa"/>
          </w:tcPr>
          <w:p w14:paraId="0826EFE6" w14:textId="77777777" w:rsidR="00840340" w:rsidRPr="00D94A37" w:rsidRDefault="00840340" w:rsidP="00EE54D8">
            <w:pPr>
              <w:rPr>
                <w:rFonts w:cs="Times New Roman"/>
              </w:rPr>
            </w:pPr>
            <w:r w:rsidRPr="00D94A37">
              <w:rPr>
                <w:rFonts w:cs="Times New Roman"/>
              </w:rPr>
              <w:t>7,608 (0.23%)</w:t>
            </w:r>
          </w:p>
        </w:tc>
        <w:tc>
          <w:tcPr>
            <w:tcW w:w="2254" w:type="dxa"/>
          </w:tcPr>
          <w:p w14:paraId="58CE0034" w14:textId="77777777" w:rsidR="00840340" w:rsidRPr="00D94A37" w:rsidRDefault="00840340" w:rsidP="00EE54D8">
            <w:pPr>
              <w:rPr>
                <w:rFonts w:cs="Times New Roman"/>
              </w:rPr>
            </w:pPr>
            <w:r>
              <w:rPr>
                <w:rFonts w:cs="Times New Roman"/>
              </w:rPr>
              <w:t>559,148(17.05%)</w:t>
            </w:r>
          </w:p>
        </w:tc>
      </w:tr>
      <w:tr w:rsidR="00840340" w:rsidRPr="00D94A37" w14:paraId="01D91B83" w14:textId="77777777" w:rsidTr="00EE54D8">
        <w:tc>
          <w:tcPr>
            <w:tcW w:w="2254" w:type="dxa"/>
          </w:tcPr>
          <w:p w14:paraId="520EE7FC" w14:textId="77777777" w:rsidR="00840340" w:rsidRPr="00D94A37" w:rsidRDefault="00840340" w:rsidP="00EE54D8">
            <w:pPr>
              <w:rPr>
                <w:rFonts w:cs="Times New Roman"/>
              </w:rPr>
            </w:pPr>
            <w:r w:rsidRPr="00D94A37">
              <w:rPr>
                <w:rFonts w:cs="Times New Roman"/>
              </w:rPr>
              <w:t>Stress-Related Disorders</w:t>
            </w:r>
          </w:p>
        </w:tc>
        <w:tc>
          <w:tcPr>
            <w:tcW w:w="2254" w:type="dxa"/>
          </w:tcPr>
          <w:p w14:paraId="20E687A4" w14:textId="77777777" w:rsidR="00840340" w:rsidRPr="00D94A37" w:rsidRDefault="00840340" w:rsidP="00EE54D8">
            <w:pPr>
              <w:rPr>
                <w:rFonts w:cs="Times New Roman"/>
              </w:rPr>
            </w:pPr>
            <w:r w:rsidRPr="00D94A37">
              <w:rPr>
                <w:rFonts w:cs="Times New Roman"/>
              </w:rPr>
              <w:t>F43</w:t>
            </w:r>
          </w:p>
        </w:tc>
        <w:tc>
          <w:tcPr>
            <w:tcW w:w="2254" w:type="dxa"/>
          </w:tcPr>
          <w:p w14:paraId="46EE50EE" w14:textId="77777777" w:rsidR="00840340" w:rsidRPr="00D94A37" w:rsidRDefault="00840340" w:rsidP="00EE54D8">
            <w:pPr>
              <w:rPr>
                <w:rFonts w:cs="Times New Roman"/>
              </w:rPr>
            </w:pPr>
            <w:r w:rsidRPr="00D94A37">
              <w:rPr>
                <w:rFonts w:cs="Times New Roman"/>
              </w:rPr>
              <w:t>-</w:t>
            </w:r>
          </w:p>
        </w:tc>
        <w:tc>
          <w:tcPr>
            <w:tcW w:w="2254" w:type="dxa"/>
          </w:tcPr>
          <w:p w14:paraId="3FA396B3" w14:textId="77777777" w:rsidR="00840340" w:rsidRPr="00D94A37" w:rsidRDefault="00840340" w:rsidP="00EE54D8">
            <w:pPr>
              <w:rPr>
                <w:rFonts w:cs="Times New Roman"/>
              </w:rPr>
            </w:pPr>
            <w:r w:rsidRPr="00D94A37">
              <w:rPr>
                <w:rFonts w:cs="Times New Roman"/>
              </w:rPr>
              <w:t>86,185 (2.63%)</w:t>
            </w:r>
          </w:p>
        </w:tc>
      </w:tr>
      <w:tr w:rsidR="00840340" w:rsidRPr="00D94A37" w14:paraId="4BB85855" w14:textId="77777777" w:rsidTr="00EE54D8">
        <w:tc>
          <w:tcPr>
            <w:tcW w:w="2254" w:type="dxa"/>
          </w:tcPr>
          <w:p w14:paraId="010112D6" w14:textId="77777777" w:rsidR="00840340" w:rsidRPr="002A1B23" w:rsidRDefault="00840340" w:rsidP="00EE54D8">
            <w:pPr>
              <w:rPr>
                <w:rFonts w:cs="Times New Roman"/>
              </w:rPr>
            </w:pPr>
            <w:r w:rsidRPr="002A1B23">
              <w:rPr>
                <w:rFonts w:cs="Times New Roman"/>
              </w:rPr>
              <w:t xml:space="preserve">Substance Use Disorders </w:t>
            </w:r>
          </w:p>
        </w:tc>
        <w:tc>
          <w:tcPr>
            <w:tcW w:w="2254" w:type="dxa"/>
          </w:tcPr>
          <w:p w14:paraId="213C4F99" w14:textId="77777777" w:rsidR="00840340" w:rsidRPr="002A1B23" w:rsidRDefault="00840340" w:rsidP="00EE54D8">
            <w:pPr>
              <w:rPr>
                <w:rFonts w:cs="Times New Roman"/>
              </w:rPr>
            </w:pPr>
            <w:r w:rsidRPr="002A1B23">
              <w:rPr>
                <w:rFonts w:cs="Times New Roman"/>
              </w:rPr>
              <w:t>F10-F19</w:t>
            </w:r>
          </w:p>
        </w:tc>
        <w:tc>
          <w:tcPr>
            <w:tcW w:w="2254" w:type="dxa"/>
          </w:tcPr>
          <w:p w14:paraId="21C65F5E" w14:textId="77777777" w:rsidR="00840340" w:rsidRPr="002A1B23" w:rsidRDefault="00840340" w:rsidP="00EE54D8">
            <w:pPr>
              <w:rPr>
                <w:rFonts w:cs="Times New Roman"/>
              </w:rPr>
            </w:pPr>
            <w:r w:rsidRPr="002A1B23">
              <w:rPr>
                <w:rFonts w:cs="Times New Roman"/>
              </w:rPr>
              <w:t>47,808 (1.46%)</w:t>
            </w:r>
          </w:p>
        </w:tc>
        <w:tc>
          <w:tcPr>
            <w:tcW w:w="2254" w:type="dxa"/>
          </w:tcPr>
          <w:p w14:paraId="5245681F" w14:textId="77777777" w:rsidR="00840340" w:rsidRPr="002A1B23" w:rsidRDefault="00840340" w:rsidP="00EE54D8">
            <w:pPr>
              <w:rPr>
                <w:rFonts w:cs="Times New Roman"/>
              </w:rPr>
            </w:pPr>
            <w:r w:rsidRPr="002A1B23">
              <w:rPr>
                <w:rFonts w:cs="Times New Roman"/>
              </w:rPr>
              <w:t>642,743 (19.60%)</w:t>
            </w:r>
          </w:p>
        </w:tc>
      </w:tr>
      <w:tr w:rsidR="00840340" w:rsidRPr="00D94A37" w14:paraId="33024652" w14:textId="77777777" w:rsidTr="00EE54D8">
        <w:tc>
          <w:tcPr>
            <w:tcW w:w="2254" w:type="dxa"/>
          </w:tcPr>
          <w:p w14:paraId="7A21A45E" w14:textId="77777777" w:rsidR="00840340" w:rsidRPr="002A1B23" w:rsidRDefault="00840340" w:rsidP="00EE54D8">
            <w:pPr>
              <w:rPr>
                <w:rFonts w:cs="Times New Roman"/>
              </w:rPr>
            </w:pPr>
            <w:r w:rsidRPr="002A1B23">
              <w:rPr>
                <w:rFonts w:cs="Times New Roman"/>
              </w:rPr>
              <w:t>Psychotic Disorders</w:t>
            </w:r>
          </w:p>
        </w:tc>
        <w:tc>
          <w:tcPr>
            <w:tcW w:w="2254" w:type="dxa"/>
          </w:tcPr>
          <w:p w14:paraId="77ABB523" w14:textId="77777777" w:rsidR="00840340" w:rsidRPr="002A1B23" w:rsidRDefault="00840340" w:rsidP="00EE54D8">
            <w:pPr>
              <w:rPr>
                <w:rFonts w:cs="Times New Roman"/>
              </w:rPr>
            </w:pPr>
          </w:p>
        </w:tc>
        <w:tc>
          <w:tcPr>
            <w:tcW w:w="2254" w:type="dxa"/>
          </w:tcPr>
          <w:p w14:paraId="1150FDD3" w14:textId="77777777" w:rsidR="00840340" w:rsidRPr="00D94A37" w:rsidRDefault="00840340" w:rsidP="00EE54D8">
            <w:pPr>
              <w:rPr>
                <w:rFonts w:cs="Times New Roman"/>
                <w:b/>
                <w:bCs/>
              </w:rPr>
            </w:pPr>
          </w:p>
        </w:tc>
        <w:tc>
          <w:tcPr>
            <w:tcW w:w="2254" w:type="dxa"/>
          </w:tcPr>
          <w:p w14:paraId="6B262FBD" w14:textId="77777777" w:rsidR="00840340" w:rsidRPr="00D94A37" w:rsidRDefault="00840340" w:rsidP="00EE54D8">
            <w:pPr>
              <w:rPr>
                <w:rFonts w:cs="Times New Roman"/>
                <w:b/>
                <w:bCs/>
              </w:rPr>
            </w:pPr>
          </w:p>
        </w:tc>
      </w:tr>
      <w:tr w:rsidR="00840340" w:rsidRPr="00D94A37" w14:paraId="226C86FE" w14:textId="77777777" w:rsidTr="00EE54D8">
        <w:tc>
          <w:tcPr>
            <w:tcW w:w="2254" w:type="dxa"/>
          </w:tcPr>
          <w:p w14:paraId="79507766" w14:textId="77777777" w:rsidR="00840340" w:rsidRPr="00D94A37" w:rsidRDefault="00840340" w:rsidP="00EE54D8">
            <w:pPr>
              <w:rPr>
                <w:rFonts w:cs="Times New Roman"/>
                <w:b/>
                <w:bCs/>
              </w:rPr>
            </w:pPr>
            <w:r w:rsidRPr="00D94A37">
              <w:rPr>
                <w:rFonts w:cs="Times New Roman"/>
              </w:rPr>
              <w:t>Schizophrenia &amp; Psychotic</w:t>
            </w:r>
          </w:p>
        </w:tc>
        <w:tc>
          <w:tcPr>
            <w:tcW w:w="2254" w:type="dxa"/>
          </w:tcPr>
          <w:p w14:paraId="1F018C6D" w14:textId="77777777" w:rsidR="00840340" w:rsidRPr="00D94A37" w:rsidRDefault="00840340" w:rsidP="00EE54D8">
            <w:pPr>
              <w:rPr>
                <w:rFonts w:cs="Times New Roman"/>
                <w:b/>
                <w:bCs/>
              </w:rPr>
            </w:pPr>
            <w:r w:rsidRPr="00D94A37">
              <w:rPr>
                <w:rFonts w:cs="Times New Roman"/>
              </w:rPr>
              <w:t>F20-F29</w:t>
            </w:r>
          </w:p>
        </w:tc>
        <w:tc>
          <w:tcPr>
            <w:tcW w:w="2254" w:type="dxa"/>
          </w:tcPr>
          <w:p w14:paraId="1974FB8E" w14:textId="77777777" w:rsidR="00840340" w:rsidRPr="00D94A37" w:rsidRDefault="00840340" w:rsidP="00EE54D8">
            <w:pPr>
              <w:rPr>
                <w:rFonts w:cs="Times New Roman"/>
                <w:b/>
                <w:bCs/>
              </w:rPr>
            </w:pPr>
            <w:r w:rsidRPr="00D94A37">
              <w:rPr>
                <w:rFonts w:cs="Times New Roman"/>
              </w:rPr>
              <w:t>45,341 (1.38%)</w:t>
            </w:r>
          </w:p>
        </w:tc>
        <w:tc>
          <w:tcPr>
            <w:tcW w:w="2254" w:type="dxa"/>
          </w:tcPr>
          <w:p w14:paraId="37E334C7" w14:textId="77777777" w:rsidR="00840340" w:rsidRPr="00D94A37" w:rsidRDefault="00840340" w:rsidP="00EE54D8">
            <w:pPr>
              <w:rPr>
                <w:rFonts w:cs="Times New Roman"/>
                <w:b/>
                <w:bCs/>
              </w:rPr>
            </w:pPr>
            <w:r w:rsidRPr="00D94A37">
              <w:rPr>
                <w:rFonts w:cs="Times New Roman"/>
              </w:rPr>
              <w:t>96,456 (2.94%)</w:t>
            </w:r>
          </w:p>
        </w:tc>
      </w:tr>
      <w:tr w:rsidR="00840340" w:rsidRPr="00D94A37" w14:paraId="0E1679E6" w14:textId="77777777" w:rsidTr="00EE54D8">
        <w:tc>
          <w:tcPr>
            <w:tcW w:w="2254" w:type="dxa"/>
          </w:tcPr>
          <w:p w14:paraId="388389CD" w14:textId="77777777" w:rsidR="00840340" w:rsidRPr="00D94A37" w:rsidRDefault="00840340" w:rsidP="00EE54D8">
            <w:pPr>
              <w:rPr>
                <w:rFonts w:cs="Times New Roman"/>
                <w:b/>
                <w:bCs/>
              </w:rPr>
            </w:pPr>
            <w:r w:rsidRPr="00D94A37">
              <w:rPr>
                <w:rFonts w:cs="Times New Roman"/>
              </w:rPr>
              <w:t>Other Mental Health Conditions</w:t>
            </w:r>
          </w:p>
        </w:tc>
        <w:tc>
          <w:tcPr>
            <w:tcW w:w="2254" w:type="dxa"/>
          </w:tcPr>
          <w:p w14:paraId="294A5AE9" w14:textId="77777777" w:rsidR="00840340" w:rsidRPr="00D94A37" w:rsidRDefault="00840340" w:rsidP="00EE54D8">
            <w:pPr>
              <w:rPr>
                <w:rFonts w:cs="Times New Roman"/>
                <w:b/>
                <w:bCs/>
              </w:rPr>
            </w:pPr>
          </w:p>
        </w:tc>
        <w:tc>
          <w:tcPr>
            <w:tcW w:w="2254" w:type="dxa"/>
          </w:tcPr>
          <w:p w14:paraId="248E6387" w14:textId="77777777" w:rsidR="00840340" w:rsidRPr="00D94A37" w:rsidRDefault="00840340" w:rsidP="00EE54D8">
            <w:pPr>
              <w:rPr>
                <w:rFonts w:cs="Times New Roman"/>
                <w:b/>
                <w:bCs/>
              </w:rPr>
            </w:pPr>
          </w:p>
        </w:tc>
        <w:tc>
          <w:tcPr>
            <w:tcW w:w="2254" w:type="dxa"/>
          </w:tcPr>
          <w:p w14:paraId="058D0571" w14:textId="77777777" w:rsidR="00840340" w:rsidRPr="00D94A37" w:rsidRDefault="00840340" w:rsidP="00EE54D8">
            <w:pPr>
              <w:rPr>
                <w:rFonts w:cs="Times New Roman"/>
                <w:b/>
                <w:bCs/>
              </w:rPr>
            </w:pPr>
          </w:p>
        </w:tc>
      </w:tr>
      <w:tr w:rsidR="00840340" w:rsidRPr="00D94A37" w14:paraId="3BB523E7" w14:textId="77777777" w:rsidTr="00EE54D8">
        <w:tc>
          <w:tcPr>
            <w:tcW w:w="2254" w:type="dxa"/>
          </w:tcPr>
          <w:p w14:paraId="0F4F28BA" w14:textId="77777777" w:rsidR="00840340" w:rsidRPr="00D94A37" w:rsidRDefault="00840340" w:rsidP="00EE54D8">
            <w:pPr>
              <w:rPr>
                <w:rFonts w:cs="Times New Roman"/>
                <w:b/>
                <w:bCs/>
              </w:rPr>
            </w:pPr>
            <w:r w:rsidRPr="00D94A37">
              <w:rPr>
                <w:rFonts w:cs="Times New Roman"/>
              </w:rPr>
              <w:t>Developmental &amp; Behavioral</w:t>
            </w:r>
          </w:p>
        </w:tc>
        <w:tc>
          <w:tcPr>
            <w:tcW w:w="2254" w:type="dxa"/>
          </w:tcPr>
          <w:p w14:paraId="6ADA1593" w14:textId="77777777" w:rsidR="00840340" w:rsidRPr="00D94A37" w:rsidRDefault="00840340" w:rsidP="00EE54D8">
            <w:pPr>
              <w:rPr>
                <w:rFonts w:cs="Times New Roman"/>
                <w:b/>
                <w:bCs/>
              </w:rPr>
            </w:pPr>
            <w:r w:rsidRPr="00D94A37">
              <w:rPr>
                <w:rFonts w:cs="Times New Roman"/>
              </w:rPr>
              <w:t>F70-F95</w:t>
            </w:r>
          </w:p>
        </w:tc>
        <w:tc>
          <w:tcPr>
            <w:tcW w:w="2254" w:type="dxa"/>
          </w:tcPr>
          <w:p w14:paraId="4B7A9679" w14:textId="77777777" w:rsidR="00840340" w:rsidRPr="00D94A37" w:rsidRDefault="00840340" w:rsidP="00EE54D8">
            <w:pPr>
              <w:rPr>
                <w:rFonts w:cs="Times New Roman"/>
                <w:b/>
                <w:bCs/>
              </w:rPr>
            </w:pPr>
            <w:r w:rsidRPr="00D94A37">
              <w:rPr>
                <w:rFonts w:cs="Times New Roman"/>
              </w:rPr>
              <w:t>1,572 (0.05%)</w:t>
            </w:r>
          </w:p>
        </w:tc>
        <w:tc>
          <w:tcPr>
            <w:tcW w:w="2254" w:type="dxa"/>
          </w:tcPr>
          <w:p w14:paraId="38EB735A" w14:textId="77777777" w:rsidR="00840340" w:rsidRPr="00D94A37" w:rsidRDefault="00840340" w:rsidP="00840340">
            <w:pPr>
              <w:pStyle w:val="ListParagraph"/>
              <w:numPr>
                <w:ilvl w:val="0"/>
                <w:numId w:val="3"/>
              </w:numPr>
              <w:contextualSpacing/>
              <w:jc w:val="left"/>
              <w:rPr>
                <w:rFonts w:cs="Times New Roman"/>
                <w:b/>
                <w:bCs/>
              </w:rPr>
            </w:pPr>
          </w:p>
        </w:tc>
      </w:tr>
      <w:tr w:rsidR="00840340" w:rsidRPr="00D94A37" w14:paraId="0BCB1FE3" w14:textId="77777777" w:rsidTr="00EE54D8">
        <w:tc>
          <w:tcPr>
            <w:tcW w:w="2254" w:type="dxa"/>
          </w:tcPr>
          <w:p w14:paraId="2F2F3773" w14:textId="77777777" w:rsidR="00840340" w:rsidRPr="00D94A37" w:rsidRDefault="00840340" w:rsidP="00EE54D8">
            <w:pPr>
              <w:rPr>
                <w:rFonts w:cs="Times New Roman"/>
              </w:rPr>
            </w:pPr>
            <w:r>
              <w:rPr>
                <w:rFonts w:cs="Times New Roman"/>
              </w:rPr>
              <w:t>Dissociative &amp; Somatoform</w:t>
            </w:r>
          </w:p>
        </w:tc>
        <w:tc>
          <w:tcPr>
            <w:tcW w:w="2254" w:type="dxa"/>
          </w:tcPr>
          <w:p w14:paraId="416F0B26" w14:textId="77777777" w:rsidR="00840340" w:rsidRPr="00D94A37" w:rsidRDefault="00840340" w:rsidP="00EE54D8">
            <w:pPr>
              <w:rPr>
                <w:rFonts w:cs="Times New Roman"/>
              </w:rPr>
            </w:pPr>
            <w:r>
              <w:rPr>
                <w:rFonts w:cs="Times New Roman"/>
              </w:rPr>
              <w:t>F44-F45, F48</w:t>
            </w:r>
          </w:p>
        </w:tc>
        <w:tc>
          <w:tcPr>
            <w:tcW w:w="2254" w:type="dxa"/>
          </w:tcPr>
          <w:p w14:paraId="5C0B7882" w14:textId="77777777" w:rsidR="00840340" w:rsidRPr="00D94A37" w:rsidRDefault="00840340" w:rsidP="00EE54D8">
            <w:pPr>
              <w:rPr>
                <w:rFonts w:cs="Times New Roman"/>
              </w:rPr>
            </w:pPr>
            <w:r>
              <w:rPr>
                <w:rFonts w:cs="Times New Roman"/>
              </w:rPr>
              <w:t>1,366 (0.04%)</w:t>
            </w:r>
          </w:p>
        </w:tc>
        <w:tc>
          <w:tcPr>
            <w:tcW w:w="2254" w:type="dxa"/>
          </w:tcPr>
          <w:p w14:paraId="3F1B0CE9" w14:textId="77777777" w:rsidR="00840340" w:rsidRPr="00D94A37" w:rsidRDefault="00840340" w:rsidP="00840340">
            <w:pPr>
              <w:pStyle w:val="ListParagraph"/>
              <w:numPr>
                <w:ilvl w:val="0"/>
                <w:numId w:val="2"/>
              </w:numPr>
              <w:contextualSpacing/>
              <w:jc w:val="left"/>
              <w:rPr>
                <w:rFonts w:cs="Times New Roman"/>
                <w:b/>
                <w:bCs/>
              </w:rPr>
            </w:pPr>
          </w:p>
        </w:tc>
      </w:tr>
      <w:tr w:rsidR="00840340" w:rsidRPr="00D94A37" w14:paraId="415A008D" w14:textId="77777777" w:rsidTr="00EE54D8">
        <w:tc>
          <w:tcPr>
            <w:tcW w:w="2254" w:type="dxa"/>
          </w:tcPr>
          <w:p w14:paraId="0A9307C2" w14:textId="77777777" w:rsidR="00840340" w:rsidRPr="00D94A37" w:rsidRDefault="00840340" w:rsidP="00EE54D8">
            <w:pPr>
              <w:rPr>
                <w:rFonts w:cs="Times New Roman"/>
                <w:b/>
                <w:bCs/>
              </w:rPr>
            </w:pPr>
            <w:r w:rsidRPr="00D94A37">
              <w:rPr>
                <w:rFonts w:cs="Times New Roman"/>
              </w:rPr>
              <w:t>Personality &amp; Impulse</w:t>
            </w:r>
          </w:p>
        </w:tc>
        <w:tc>
          <w:tcPr>
            <w:tcW w:w="2254" w:type="dxa"/>
          </w:tcPr>
          <w:p w14:paraId="459D4B1C" w14:textId="77777777" w:rsidR="00840340" w:rsidRPr="00D94A37" w:rsidRDefault="00840340" w:rsidP="00EE54D8">
            <w:pPr>
              <w:rPr>
                <w:rFonts w:cs="Times New Roman"/>
                <w:b/>
                <w:bCs/>
              </w:rPr>
            </w:pPr>
            <w:r w:rsidRPr="00D94A37">
              <w:rPr>
                <w:rFonts w:cs="Times New Roman"/>
              </w:rPr>
              <w:t>F60-F63, F68</w:t>
            </w:r>
          </w:p>
        </w:tc>
        <w:tc>
          <w:tcPr>
            <w:tcW w:w="2254" w:type="dxa"/>
          </w:tcPr>
          <w:p w14:paraId="3E573C66" w14:textId="77777777" w:rsidR="00840340" w:rsidRPr="00D94A37" w:rsidRDefault="00840340" w:rsidP="00EE54D8">
            <w:pPr>
              <w:rPr>
                <w:rFonts w:cs="Times New Roman"/>
                <w:b/>
                <w:bCs/>
              </w:rPr>
            </w:pPr>
            <w:r w:rsidRPr="00D94A37">
              <w:rPr>
                <w:rFonts w:cs="Times New Roman"/>
              </w:rPr>
              <w:t>959 (0.03%)</w:t>
            </w:r>
          </w:p>
        </w:tc>
        <w:tc>
          <w:tcPr>
            <w:tcW w:w="2254" w:type="dxa"/>
          </w:tcPr>
          <w:p w14:paraId="33B4FCFB" w14:textId="77777777" w:rsidR="00840340" w:rsidRPr="00D94A37" w:rsidRDefault="00840340" w:rsidP="00840340">
            <w:pPr>
              <w:pStyle w:val="ListParagraph"/>
              <w:numPr>
                <w:ilvl w:val="0"/>
                <w:numId w:val="2"/>
              </w:numPr>
              <w:contextualSpacing/>
              <w:jc w:val="left"/>
              <w:rPr>
                <w:rFonts w:cs="Times New Roman"/>
                <w:b/>
                <w:bCs/>
              </w:rPr>
            </w:pPr>
          </w:p>
        </w:tc>
      </w:tr>
      <w:tr w:rsidR="00840340" w:rsidRPr="00D94A37" w14:paraId="36CE89A6" w14:textId="77777777" w:rsidTr="00EE54D8">
        <w:tc>
          <w:tcPr>
            <w:tcW w:w="2254" w:type="dxa"/>
          </w:tcPr>
          <w:p w14:paraId="34D3F31F" w14:textId="77777777" w:rsidR="00840340" w:rsidRPr="00D94A37" w:rsidRDefault="00840340" w:rsidP="00EE54D8">
            <w:pPr>
              <w:rPr>
                <w:rFonts w:cs="Times New Roman"/>
                <w:b/>
                <w:bCs/>
              </w:rPr>
            </w:pPr>
            <w:r w:rsidRPr="00D94A37">
              <w:rPr>
                <w:rFonts w:cs="Times New Roman"/>
              </w:rPr>
              <w:t xml:space="preserve">OCD </w:t>
            </w:r>
          </w:p>
        </w:tc>
        <w:tc>
          <w:tcPr>
            <w:tcW w:w="2254" w:type="dxa"/>
          </w:tcPr>
          <w:p w14:paraId="4222B431" w14:textId="77777777" w:rsidR="00840340" w:rsidRPr="00D94A37" w:rsidRDefault="00840340" w:rsidP="00EE54D8">
            <w:pPr>
              <w:rPr>
                <w:rFonts w:cs="Times New Roman"/>
                <w:b/>
                <w:bCs/>
              </w:rPr>
            </w:pPr>
            <w:r w:rsidRPr="00D94A37">
              <w:rPr>
                <w:rFonts w:cs="Times New Roman"/>
              </w:rPr>
              <w:t>F42</w:t>
            </w:r>
          </w:p>
        </w:tc>
        <w:tc>
          <w:tcPr>
            <w:tcW w:w="2254" w:type="dxa"/>
          </w:tcPr>
          <w:p w14:paraId="4867A407" w14:textId="77777777" w:rsidR="00840340" w:rsidRPr="00D94A37" w:rsidRDefault="00840340" w:rsidP="00EE54D8">
            <w:pPr>
              <w:rPr>
                <w:rFonts w:cs="Times New Roman"/>
                <w:b/>
                <w:bCs/>
              </w:rPr>
            </w:pPr>
            <w:r w:rsidRPr="00D94A37">
              <w:rPr>
                <w:rFonts w:cs="Times New Roman"/>
              </w:rPr>
              <w:t>205 (0.01%)</w:t>
            </w:r>
          </w:p>
        </w:tc>
        <w:tc>
          <w:tcPr>
            <w:tcW w:w="2254" w:type="dxa"/>
          </w:tcPr>
          <w:p w14:paraId="4B0C6D6B" w14:textId="77777777" w:rsidR="00840340" w:rsidRPr="00D94A37" w:rsidRDefault="00840340" w:rsidP="00840340">
            <w:pPr>
              <w:pStyle w:val="ListParagraph"/>
              <w:numPr>
                <w:ilvl w:val="0"/>
                <w:numId w:val="2"/>
              </w:numPr>
              <w:contextualSpacing/>
              <w:jc w:val="left"/>
              <w:rPr>
                <w:rFonts w:cs="Times New Roman"/>
                <w:b/>
                <w:bCs/>
              </w:rPr>
            </w:pPr>
          </w:p>
        </w:tc>
      </w:tr>
      <w:tr w:rsidR="00840340" w:rsidRPr="00D94A37" w14:paraId="235EC119" w14:textId="77777777" w:rsidTr="00EE54D8">
        <w:tc>
          <w:tcPr>
            <w:tcW w:w="2254" w:type="dxa"/>
          </w:tcPr>
          <w:p w14:paraId="2C836EBC" w14:textId="77777777" w:rsidR="00840340" w:rsidRPr="00D94A37" w:rsidRDefault="00840340" w:rsidP="00EE54D8">
            <w:pPr>
              <w:rPr>
                <w:rFonts w:cs="Times New Roman"/>
                <w:b/>
                <w:bCs/>
              </w:rPr>
            </w:pPr>
            <w:r w:rsidRPr="00D94A37">
              <w:rPr>
                <w:rFonts w:cs="Times New Roman"/>
              </w:rPr>
              <w:t>Eating Disorders</w:t>
            </w:r>
          </w:p>
        </w:tc>
        <w:tc>
          <w:tcPr>
            <w:tcW w:w="2254" w:type="dxa"/>
          </w:tcPr>
          <w:p w14:paraId="493BFC6F" w14:textId="77777777" w:rsidR="00840340" w:rsidRPr="00D94A37" w:rsidRDefault="00840340" w:rsidP="00EE54D8">
            <w:pPr>
              <w:rPr>
                <w:rFonts w:cs="Times New Roman"/>
                <w:b/>
                <w:bCs/>
              </w:rPr>
            </w:pPr>
            <w:r w:rsidRPr="00D94A37">
              <w:rPr>
                <w:rFonts w:cs="Times New Roman"/>
              </w:rPr>
              <w:t>F50</w:t>
            </w:r>
          </w:p>
        </w:tc>
        <w:tc>
          <w:tcPr>
            <w:tcW w:w="2254" w:type="dxa"/>
          </w:tcPr>
          <w:p w14:paraId="1D501BDF" w14:textId="77777777" w:rsidR="00840340" w:rsidRPr="00D94A37" w:rsidRDefault="00840340" w:rsidP="00EE54D8">
            <w:pPr>
              <w:rPr>
                <w:rFonts w:cs="Times New Roman"/>
                <w:b/>
                <w:bCs/>
              </w:rPr>
            </w:pPr>
            <w:r w:rsidRPr="00D94A37">
              <w:rPr>
                <w:rFonts w:cs="Times New Roman"/>
              </w:rPr>
              <w:t>646 (0.02%)</w:t>
            </w:r>
          </w:p>
        </w:tc>
        <w:tc>
          <w:tcPr>
            <w:tcW w:w="2254" w:type="dxa"/>
          </w:tcPr>
          <w:p w14:paraId="254A02EB" w14:textId="77777777" w:rsidR="00840340" w:rsidRPr="00D94A37" w:rsidRDefault="00840340" w:rsidP="00840340">
            <w:pPr>
              <w:pStyle w:val="ListParagraph"/>
              <w:numPr>
                <w:ilvl w:val="0"/>
                <w:numId w:val="2"/>
              </w:numPr>
              <w:contextualSpacing/>
              <w:jc w:val="left"/>
              <w:rPr>
                <w:rFonts w:cs="Times New Roman"/>
                <w:b/>
                <w:bCs/>
              </w:rPr>
            </w:pPr>
          </w:p>
        </w:tc>
      </w:tr>
      <w:tr w:rsidR="00840340" w:rsidRPr="00D94A37" w14:paraId="602075A0" w14:textId="77777777" w:rsidTr="00EE54D8">
        <w:tc>
          <w:tcPr>
            <w:tcW w:w="2254" w:type="dxa"/>
          </w:tcPr>
          <w:p w14:paraId="052299C0" w14:textId="77777777" w:rsidR="00840340" w:rsidRPr="00D94A37" w:rsidRDefault="00840340" w:rsidP="00EE54D8">
            <w:pPr>
              <w:rPr>
                <w:rFonts w:cs="Times New Roman"/>
                <w:b/>
                <w:bCs/>
              </w:rPr>
            </w:pPr>
            <w:r w:rsidRPr="00D94A37">
              <w:rPr>
                <w:rFonts w:cs="Times New Roman"/>
              </w:rPr>
              <w:t>Other Mental Health</w:t>
            </w:r>
          </w:p>
        </w:tc>
        <w:tc>
          <w:tcPr>
            <w:tcW w:w="2254" w:type="dxa"/>
          </w:tcPr>
          <w:p w14:paraId="1B712109" w14:textId="77777777" w:rsidR="00840340" w:rsidRPr="00D94A37" w:rsidRDefault="00840340" w:rsidP="00EE54D8">
            <w:pPr>
              <w:rPr>
                <w:rFonts w:cs="Times New Roman"/>
                <w:b/>
                <w:bCs/>
              </w:rPr>
            </w:pPr>
            <w:r w:rsidRPr="00D94A37">
              <w:rPr>
                <w:rFonts w:cs="Times New Roman"/>
              </w:rPr>
              <w:t>Other F codes</w:t>
            </w:r>
          </w:p>
        </w:tc>
        <w:tc>
          <w:tcPr>
            <w:tcW w:w="2254" w:type="dxa"/>
          </w:tcPr>
          <w:p w14:paraId="5E0D1848" w14:textId="77777777" w:rsidR="00840340" w:rsidRPr="00D94A37" w:rsidRDefault="00840340" w:rsidP="00EE54D8">
            <w:pPr>
              <w:rPr>
                <w:rFonts w:cs="Times New Roman"/>
                <w:b/>
                <w:bCs/>
              </w:rPr>
            </w:pPr>
            <w:r w:rsidRPr="00D94A37">
              <w:rPr>
                <w:rFonts w:cs="Times New Roman"/>
              </w:rPr>
              <w:t>7,719 (0.24%)</w:t>
            </w:r>
          </w:p>
        </w:tc>
        <w:tc>
          <w:tcPr>
            <w:tcW w:w="2254" w:type="dxa"/>
          </w:tcPr>
          <w:p w14:paraId="37695CF8" w14:textId="77777777" w:rsidR="00840340" w:rsidRPr="00D94A37" w:rsidRDefault="00840340" w:rsidP="00840340">
            <w:pPr>
              <w:pStyle w:val="ListParagraph"/>
              <w:numPr>
                <w:ilvl w:val="0"/>
                <w:numId w:val="2"/>
              </w:numPr>
              <w:contextualSpacing/>
              <w:jc w:val="left"/>
              <w:rPr>
                <w:rFonts w:cs="Times New Roman"/>
                <w:b/>
                <w:bCs/>
              </w:rPr>
            </w:pPr>
          </w:p>
        </w:tc>
      </w:tr>
      <w:tr w:rsidR="00840340" w:rsidRPr="00D94A37" w14:paraId="6F64F63A" w14:textId="77777777" w:rsidTr="00EE54D8">
        <w:tc>
          <w:tcPr>
            <w:tcW w:w="2254" w:type="dxa"/>
          </w:tcPr>
          <w:p w14:paraId="584D6BAB" w14:textId="77777777" w:rsidR="00840340" w:rsidRPr="00D94A37" w:rsidRDefault="00840340" w:rsidP="00EE54D8">
            <w:pPr>
              <w:rPr>
                <w:rFonts w:cs="Times New Roman"/>
                <w:b/>
                <w:bCs/>
              </w:rPr>
            </w:pPr>
            <w:r w:rsidRPr="00D94A37">
              <w:rPr>
                <w:rFonts w:cs="Times New Roman"/>
              </w:rPr>
              <w:t>Total</w:t>
            </w:r>
          </w:p>
        </w:tc>
        <w:tc>
          <w:tcPr>
            <w:tcW w:w="2254" w:type="dxa"/>
          </w:tcPr>
          <w:p w14:paraId="2D285238" w14:textId="77777777" w:rsidR="00840340" w:rsidRPr="00D94A37" w:rsidRDefault="00840340" w:rsidP="00EE54D8">
            <w:pPr>
              <w:rPr>
                <w:rFonts w:cs="Times New Roman"/>
                <w:b/>
                <w:bCs/>
              </w:rPr>
            </w:pPr>
            <w:r w:rsidRPr="00D94A37">
              <w:rPr>
                <w:rFonts w:cs="Times New Roman"/>
              </w:rPr>
              <w:t>All F codes</w:t>
            </w:r>
          </w:p>
        </w:tc>
        <w:tc>
          <w:tcPr>
            <w:tcW w:w="2254" w:type="dxa"/>
          </w:tcPr>
          <w:p w14:paraId="7EE6F2AD" w14:textId="77777777" w:rsidR="00840340" w:rsidRPr="00D94A37" w:rsidRDefault="00840340" w:rsidP="00EE54D8">
            <w:pPr>
              <w:rPr>
                <w:rFonts w:cs="Times New Roman"/>
                <w:b/>
                <w:bCs/>
              </w:rPr>
            </w:pPr>
            <w:r w:rsidRPr="00D94A37">
              <w:rPr>
                <w:rFonts w:cs="Times New Roman"/>
              </w:rPr>
              <w:t>209,988 (6.40%)</w:t>
            </w:r>
          </w:p>
        </w:tc>
        <w:tc>
          <w:tcPr>
            <w:tcW w:w="2254" w:type="dxa"/>
          </w:tcPr>
          <w:p w14:paraId="7CF8C9DC" w14:textId="77777777" w:rsidR="00840340" w:rsidRPr="00D94A37" w:rsidRDefault="00840340" w:rsidP="00EE54D8">
            <w:pPr>
              <w:rPr>
                <w:rFonts w:cs="Times New Roman"/>
                <w:b/>
                <w:bCs/>
              </w:rPr>
            </w:pPr>
            <w:r w:rsidRPr="00D94A37">
              <w:rPr>
                <w:rFonts w:cs="Times New Roman"/>
              </w:rPr>
              <w:t>1,385,736 (42.25%)</w:t>
            </w:r>
          </w:p>
        </w:tc>
      </w:tr>
    </w:tbl>
    <w:p w14:paraId="0F471246" w14:textId="77777777" w:rsidR="00840340" w:rsidRPr="00402322" w:rsidRDefault="00840340" w:rsidP="00840340">
      <w:pPr>
        <w:rPr>
          <w:rFonts w:eastAsia="Times New Roman" w:cs="Times New Roman"/>
          <w:sz w:val="18"/>
          <w:szCs w:val="18"/>
        </w:rPr>
      </w:pPr>
      <w:r w:rsidRPr="00402322">
        <w:rPr>
          <w:rFonts w:eastAsia="Times New Roman" w:cs="Times New Roman"/>
          <w:sz w:val="18"/>
          <w:szCs w:val="18"/>
        </w:rPr>
        <w:t>Notes: Percentages calculated as proportion of total inpatient cases (N = 3,279,869). "Any Position" percentages are not mutually exclusive as patients may have multiple diagnoses. "—" indicates not separately calculated.</w:t>
      </w:r>
    </w:p>
    <w:p w14:paraId="3494BD01" w14:textId="77777777" w:rsidR="00840340" w:rsidRPr="00402322" w:rsidRDefault="00840340" w:rsidP="00840340">
      <w:pPr>
        <w:rPr>
          <w:rFonts w:eastAsia="Times New Roman" w:cs="Times New Roman"/>
          <w:sz w:val="18"/>
          <w:szCs w:val="18"/>
        </w:rPr>
      </w:pPr>
      <w:r w:rsidRPr="00402322">
        <w:rPr>
          <w:rFonts w:eastAsia="Times New Roman" w:cs="Times New Roman"/>
          <w:sz w:val="18"/>
          <w:szCs w:val="18"/>
        </w:rPr>
        <w:t>* "Any Position" for Depression includes all F30-F39 codes (mood disorders including bipolar).</w:t>
      </w:r>
    </w:p>
    <w:p w14:paraId="4923A455" w14:textId="77777777" w:rsidR="00840340" w:rsidRPr="00402322" w:rsidRDefault="00840340" w:rsidP="00840340">
      <w:pPr>
        <w:rPr>
          <w:rFonts w:eastAsia="Times New Roman" w:cs="Times New Roman"/>
          <w:sz w:val="18"/>
          <w:szCs w:val="18"/>
        </w:rPr>
      </w:pPr>
      <w:r w:rsidRPr="00402322">
        <w:rPr>
          <w:rFonts w:eastAsia="Times New Roman" w:cs="Times New Roman"/>
          <w:sz w:val="18"/>
          <w:szCs w:val="18"/>
        </w:rPr>
        <w:t>** "Any Position" for Anxiety includes F40-F48 codes.</w:t>
      </w:r>
    </w:p>
    <w:p w14:paraId="776429F7" w14:textId="77777777" w:rsidR="00840340" w:rsidRDefault="00840340" w:rsidP="00840340">
      <w:pPr>
        <w:rPr>
          <w:rFonts w:cs="Times New Roman"/>
          <w:b/>
          <w:bCs/>
        </w:rPr>
      </w:pPr>
    </w:p>
    <w:p w14:paraId="58AAE7CF" w14:textId="77777777" w:rsidR="00840340" w:rsidRDefault="00840340" w:rsidP="00840340">
      <w:pPr>
        <w:rPr>
          <w:rFonts w:cs="Times New Roman"/>
          <w:b/>
          <w:bCs/>
        </w:rPr>
      </w:pPr>
    </w:p>
    <w:p w14:paraId="1D8986D4" w14:textId="77777777" w:rsidR="00840340" w:rsidRDefault="00840340" w:rsidP="00840340">
      <w:pPr>
        <w:rPr>
          <w:rFonts w:cs="Times New Roman"/>
          <w:b/>
          <w:bCs/>
        </w:rPr>
      </w:pPr>
    </w:p>
    <w:p w14:paraId="7596F8FE" w14:textId="77777777" w:rsidR="00840340" w:rsidRDefault="00840340" w:rsidP="00840340">
      <w:pPr>
        <w:rPr>
          <w:rFonts w:cs="Times New Roman"/>
          <w:b/>
          <w:bCs/>
        </w:rPr>
      </w:pPr>
    </w:p>
    <w:p w14:paraId="17D1E96A" w14:textId="77777777" w:rsidR="00840340" w:rsidRDefault="00840340" w:rsidP="00840340">
      <w:pPr>
        <w:rPr>
          <w:rFonts w:cs="Times New Roman"/>
          <w:b/>
          <w:bCs/>
        </w:rPr>
      </w:pPr>
    </w:p>
    <w:p w14:paraId="03311454" w14:textId="77777777" w:rsidR="00840340" w:rsidRDefault="00840340" w:rsidP="00840340">
      <w:pPr>
        <w:rPr>
          <w:rFonts w:cs="Times New Roman"/>
          <w:b/>
          <w:bCs/>
        </w:rPr>
      </w:pPr>
    </w:p>
    <w:p w14:paraId="263C12C5" w14:textId="77777777" w:rsidR="00840340" w:rsidRDefault="00840340" w:rsidP="00840340">
      <w:pPr>
        <w:rPr>
          <w:rFonts w:cs="Times New Roman"/>
          <w:b/>
          <w:bCs/>
        </w:rPr>
      </w:pPr>
    </w:p>
    <w:p w14:paraId="64FC30EA" w14:textId="77777777" w:rsidR="00840340" w:rsidRDefault="00840340" w:rsidP="00840340">
      <w:pPr>
        <w:rPr>
          <w:rFonts w:cs="Times New Roman"/>
          <w:b/>
          <w:bCs/>
        </w:rPr>
      </w:pPr>
    </w:p>
    <w:p w14:paraId="1A459664" w14:textId="77777777" w:rsidR="00840340" w:rsidRDefault="00840340" w:rsidP="00840340">
      <w:pPr>
        <w:rPr>
          <w:rFonts w:cs="Times New Roman"/>
          <w:b/>
          <w:bCs/>
        </w:rPr>
      </w:pPr>
    </w:p>
    <w:p w14:paraId="4C11042F" w14:textId="77777777" w:rsidR="00840340" w:rsidRDefault="00840340" w:rsidP="00840340">
      <w:pPr>
        <w:rPr>
          <w:rFonts w:cs="Times New Roman"/>
          <w:b/>
          <w:bCs/>
        </w:rPr>
      </w:pPr>
    </w:p>
    <w:p w14:paraId="6D2C5A61" w14:textId="77777777" w:rsidR="00840340" w:rsidRDefault="00840340" w:rsidP="00840340">
      <w:pPr>
        <w:rPr>
          <w:rFonts w:cs="Times New Roman"/>
          <w:b/>
          <w:bCs/>
        </w:rPr>
      </w:pPr>
    </w:p>
    <w:p w14:paraId="7129C7BB" w14:textId="77777777" w:rsidR="00840340" w:rsidRDefault="00840340" w:rsidP="00840340">
      <w:pPr>
        <w:rPr>
          <w:rFonts w:cs="Times New Roman"/>
          <w:b/>
          <w:bCs/>
        </w:rPr>
      </w:pPr>
    </w:p>
    <w:p w14:paraId="0E6302AD" w14:textId="77777777" w:rsidR="00840340" w:rsidRDefault="00840340" w:rsidP="00840340">
      <w:pPr>
        <w:rPr>
          <w:rFonts w:cs="Times New Roman"/>
          <w:b/>
          <w:bCs/>
        </w:rPr>
      </w:pPr>
    </w:p>
    <w:p w14:paraId="2BB35EE2" w14:textId="77777777" w:rsidR="00840340" w:rsidRDefault="00840340" w:rsidP="00840340">
      <w:pPr>
        <w:rPr>
          <w:rFonts w:cs="Times New Roman"/>
          <w:b/>
          <w:bCs/>
        </w:rPr>
      </w:pPr>
    </w:p>
    <w:p w14:paraId="3526FCD6" w14:textId="77777777" w:rsidR="00402322" w:rsidRDefault="00402322" w:rsidP="00840340">
      <w:pPr>
        <w:rPr>
          <w:rFonts w:cs="Times New Roman"/>
          <w:b/>
          <w:bCs/>
        </w:rPr>
      </w:pPr>
    </w:p>
    <w:p w14:paraId="0A2298FC" w14:textId="77777777" w:rsidR="00402322" w:rsidRDefault="00402322" w:rsidP="00840340">
      <w:pPr>
        <w:rPr>
          <w:rFonts w:cs="Times New Roman"/>
          <w:b/>
          <w:bCs/>
        </w:rPr>
      </w:pPr>
    </w:p>
    <w:p w14:paraId="7B44B4BB" w14:textId="77777777" w:rsidR="00402322" w:rsidRDefault="00402322" w:rsidP="00840340">
      <w:pPr>
        <w:rPr>
          <w:rFonts w:cs="Times New Roman"/>
          <w:b/>
          <w:bCs/>
        </w:rPr>
      </w:pPr>
    </w:p>
    <w:p w14:paraId="4872C609" w14:textId="77777777" w:rsidR="007B42DE" w:rsidRPr="007453E6" w:rsidRDefault="007B42DE" w:rsidP="007B42DE">
      <w:pPr>
        <w:rPr>
          <w:rFonts w:cs="Times New Roman"/>
          <w:b/>
          <w:bCs/>
        </w:rPr>
      </w:pPr>
      <w:r w:rsidRPr="007453E6">
        <w:rPr>
          <w:rFonts w:cs="Times New Roman"/>
          <w:b/>
          <w:bCs/>
        </w:rPr>
        <w:lastRenderedPageBreak/>
        <w:t xml:space="preserve">Appendix B: </w:t>
      </w:r>
      <w:r>
        <w:rPr>
          <w:rFonts w:cs="Times New Roman"/>
          <w:b/>
          <w:bCs/>
        </w:rPr>
        <w:t xml:space="preserve">Construction of </w:t>
      </w:r>
      <w:r w:rsidRPr="007453E6">
        <w:rPr>
          <w:rFonts w:cs="Times New Roman"/>
          <w:b/>
          <w:bCs/>
        </w:rPr>
        <w:t xml:space="preserve">Percentile-Based Power Outage Episode </w:t>
      </w:r>
      <w:r>
        <w:rPr>
          <w:rFonts w:cs="Times New Roman"/>
          <w:b/>
          <w:bCs/>
        </w:rPr>
        <w:t>Measures</w:t>
      </w:r>
      <w:r w:rsidRPr="007453E6">
        <w:rPr>
          <w:rFonts w:cs="Times New Roman"/>
          <w:b/>
          <w:bCs/>
        </w:rPr>
        <w:t xml:space="preserve"> </w:t>
      </w:r>
    </w:p>
    <w:p w14:paraId="7624332A" w14:textId="77777777" w:rsidR="007B42DE" w:rsidRDefault="007B42DE" w:rsidP="007B42DE">
      <w:pPr>
        <w:rPr>
          <w:rFonts w:cs="Times New Roman"/>
        </w:rPr>
      </w:pPr>
      <w:r w:rsidRPr="007453E6">
        <w:rPr>
          <w:rFonts w:cs="Times New Roman"/>
        </w:rPr>
        <w:t xml:space="preserve">This section provides a detailed explanation for calculating power outage episodes using data-driven percentile thresholds. </w:t>
      </w:r>
    </w:p>
    <w:p w14:paraId="51CFB2AE" w14:textId="77777777" w:rsidR="00F27B26" w:rsidRPr="007453E6" w:rsidRDefault="00F27B26" w:rsidP="007B42DE">
      <w:pPr>
        <w:rPr>
          <w:rFonts w:cs="Times New Roman"/>
        </w:rPr>
      </w:pPr>
    </w:p>
    <w:p w14:paraId="65CBC1AD" w14:textId="77777777" w:rsidR="007B42DE" w:rsidRPr="007453E6" w:rsidRDefault="007B42DE" w:rsidP="007B42DE">
      <w:pPr>
        <w:rPr>
          <w:rFonts w:cs="Times New Roman"/>
          <w:i/>
          <w:iCs/>
        </w:rPr>
      </w:pPr>
      <w:r w:rsidRPr="007453E6">
        <w:rPr>
          <w:rFonts w:cs="Times New Roman"/>
          <w:i/>
          <w:iCs/>
        </w:rPr>
        <w:t xml:space="preserve">Overview of the Approach </w:t>
      </w:r>
    </w:p>
    <w:p w14:paraId="54D1E795" w14:textId="77777777" w:rsidR="007B42DE" w:rsidRPr="007453E6" w:rsidRDefault="007B42DE" w:rsidP="007B42DE">
      <w:pPr>
        <w:rPr>
          <w:rFonts w:cs="Times New Roman"/>
        </w:rPr>
      </w:pPr>
      <w:r w:rsidRPr="007453E6">
        <w:rPr>
          <w:rFonts w:cs="Times New Roman"/>
        </w:rPr>
        <w:t xml:space="preserve">The method </w:t>
      </w:r>
      <w:r>
        <w:rPr>
          <w:rFonts w:cs="Times New Roman"/>
        </w:rPr>
        <w:t>we</w:t>
      </w:r>
      <w:r w:rsidRPr="007453E6">
        <w:rPr>
          <w:rFonts w:cs="Times New Roman"/>
        </w:rPr>
        <w:t xml:space="preserve"> use is based on percentiles of the actual outage distribution and identifies continuous outage episodes that may span multiple time periods. There are mainly four steps:</w:t>
      </w:r>
    </w:p>
    <w:p w14:paraId="13AE21E3" w14:textId="77777777" w:rsidR="007B42DE" w:rsidRPr="007453E6" w:rsidRDefault="007B42DE" w:rsidP="007B42DE">
      <w:pPr>
        <w:pStyle w:val="ListParagraph"/>
        <w:numPr>
          <w:ilvl w:val="2"/>
          <w:numId w:val="4"/>
        </w:numPr>
        <w:ind w:left="0" w:firstLine="0"/>
        <w:contextualSpacing/>
        <w:rPr>
          <w:rFonts w:cs="Times New Roman"/>
        </w:rPr>
      </w:pPr>
      <w:r w:rsidRPr="007453E6">
        <w:rPr>
          <w:rFonts w:cs="Times New Roman"/>
        </w:rPr>
        <w:t>Threshold determination: calculate meaningful outage severity levels from the data itself.</w:t>
      </w:r>
    </w:p>
    <w:p w14:paraId="1A56C461" w14:textId="77777777" w:rsidR="007B42DE" w:rsidRPr="007453E6" w:rsidRDefault="007B42DE" w:rsidP="007B42DE">
      <w:pPr>
        <w:pStyle w:val="ListParagraph"/>
        <w:numPr>
          <w:ilvl w:val="2"/>
          <w:numId w:val="4"/>
        </w:numPr>
        <w:ind w:left="0" w:firstLine="0"/>
        <w:contextualSpacing/>
        <w:rPr>
          <w:rFonts w:cs="Times New Roman"/>
        </w:rPr>
      </w:pPr>
      <w:r w:rsidRPr="007453E6">
        <w:rPr>
          <w:rFonts w:cs="Times New Roman"/>
        </w:rPr>
        <w:t xml:space="preserve">Episode identification: group consecutive time periods into continuous outage events </w:t>
      </w:r>
    </w:p>
    <w:p w14:paraId="0DB87896" w14:textId="77777777" w:rsidR="007B42DE" w:rsidRPr="007453E6" w:rsidRDefault="007B42DE" w:rsidP="007B42DE">
      <w:pPr>
        <w:pStyle w:val="ListParagraph"/>
        <w:numPr>
          <w:ilvl w:val="2"/>
          <w:numId w:val="4"/>
        </w:numPr>
        <w:ind w:left="0" w:firstLine="0"/>
        <w:contextualSpacing/>
        <w:rPr>
          <w:rFonts w:cs="Times New Roman"/>
        </w:rPr>
      </w:pPr>
      <w:r w:rsidRPr="007453E6">
        <w:rPr>
          <w:rFonts w:cs="Times New Roman"/>
        </w:rPr>
        <w:t>Performance measurement: aggregate episodes into quarterly performance metrics</w:t>
      </w:r>
    </w:p>
    <w:p w14:paraId="78F6C092" w14:textId="77777777" w:rsidR="007B42DE" w:rsidRPr="007453E6" w:rsidRDefault="007B42DE" w:rsidP="007B42DE">
      <w:pPr>
        <w:pStyle w:val="ListParagraph"/>
        <w:numPr>
          <w:ilvl w:val="2"/>
          <w:numId w:val="4"/>
        </w:numPr>
        <w:ind w:left="0" w:firstLine="0"/>
        <w:contextualSpacing/>
        <w:rPr>
          <w:rFonts w:cs="Times New Roman"/>
        </w:rPr>
      </w:pPr>
      <w:r w:rsidRPr="007453E6">
        <w:rPr>
          <w:rFonts w:cs="Times New Roman"/>
        </w:rPr>
        <w:t xml:space="preserve">Multi-level analysis: generate comparable metrics across different severity levels. </w:t>
      </w:r>
    </w:p>
    <w:p w14:paraId="2D469614" w14:textId="77777777" w:rsidR="007B42DE" w:rsidRPr="007453E6" w:rsidRDefault="007B42DE" w:rsidP="007B42DE">
      <w:pPr>
        <w:rPr>
          <w:rFonts w:cs="Times New Roman"/>
        </w:rPr>
      </w:pPr>
    </w:p>
    <w:p w14:paraId="07F84C78" w14:textId="77777777" w:rsidR="007B42DE" w:rsidRPr="007453E6" w:rsidRDefault="007B42DE" w:rsidP="007B42DE">
      <w:pPr>
        <w:rPr>
          <w:rFonts w:cs="Times New Roman"/>
          <w:i/>
          <w:iCs/>
        </w:rPr>
      </w:pPr>
      <w:r w:rsidRPr="007453E6">
        <w:rPr>
          <w:rFonts w:cs="Times New Roman"/>
          <w:i/>
          <w:iCs/>
        </w:rPr>
        <w:t>Determining Outage Severity Thresholds</w:t>
      </w:r>
    </w:p>
    <w:p w14:paraId="5B9A4AD8" w14:textId="77777777" w:rsidR="007B42DE" w:rsidRPr="007453E6" w:rsidRDefault="007B42DE" w:rsidP="007B42DE">
      <w:pPr>
        <w:rPr>
          <w:rFonts w:cs="Times New Roman"/>
        </w:rPr>
      </w:pPr>
      <w:r w:rsidRPr="007453E6">
        <w:rPr>
          <w:rFonts w:cs="Times New Roman"/>
        </w:rPr>
        <w:t xml:space="preserve">Using fixed thresholds (e.g., “outage affecting more than 5% of customers”) creates several problems. Different geographic areas have vastly different customer bases, seasonal patterns vary across years, and arbitrary cutoffs may miss locally significant events while including trivial ones elsewhere. </w:t>
      </w:r>
    </w:p>
    <w:p w14:paraId="49362399" w14:textId="77777777" w:rsidR="007B42DE" w:rsidRDefault="007B42DE" w:rsidP="007B42DE">
      <w:pPr>
        <w:rPr>
          <w:rFonts w:cs="Times New Roman"/>
        </w:rPr>
      </w:pPr>
      <w:r w:rsidRPr="007453E6">
        <w:rPr>
          <w:rFonts w:cs="Times New Roman"/>
        </w:rPr>
        <w:t xml:space="preserve">Instead, </w:t>
      </w:r>
      <w:r>
        <w:rPr>
          <w:rFonts w:cs="Times New Roman"/>
        </w:rPr>
        <w:t>we</w:t>
      </w:r>
      <w:r w:rsidRPr="007453E6">
        <w:rPr>
          <w:rFonts w:cs="Times New Roman"/>
        </w:rPr>
        <w:t xml:space="preserve"> calculate thresholds directly from the distribution of observed outage rates. </w:t>
      </w:r>
      <w:r>
        <w:rPr>
          <w:rFonts w:cs="Times New Roman"/>
        </w:rPr>
        <w:t>We</w:t>
      </w:r>
      <w:r w:rsidRPr="007453E6">
        <w:rPr>
          <w:rFonts w:cs="Times New Roman"/>
        </w:rPr>
        <w:t xml:space="preserve"> first identify all time periods when actual outages occurred (outage rate &gt; </w:t>
      </w:r>
      <w:proofErr w:type="gramStart"/>
      <w:r w:rsidRPr="007453E6">
        <w:rPr>
          <w:rFonts w:cs="Times New Roman"/>
        </w:rPr>
        <w:t>0 )</w:t>
      </w:r>
      <w:proofErr w:type="gramEnd"/>
      <w:r w:rsidRPr="007453E6">
        <w:rPr>
          <w:rFonts w:cs="Times New Roman"/>
        </w:rPr>
        <w:t xml:space="preserve"> and then calculate key percentiles of this distribution. </w:t>
      </w:r>
    </w:p>
    <w:p w14:paraId="0A686D86" w14:textId="77777777" w:rsidR="007B42DE" w:rsidRPr="007453E6" w:rsidRDefault="007B42DE" w:rsidP="007B42DE">
      <w:pPr>
        <w:rPr>
          <w:rFonts w:cs="Times New Roman"/>
        </w:rPr>
      </w:pPr>
    </w:p>
    <w:p w14:paraId="3D008A56" w14:textId="77777777" w:rsidR="007B42DE" w:rsidRPr="007453E6" w:rsidRDefault="007B42DE" w:rsidP="007B42DE">
      <w:pPr>
        <w:rPr>
          <w:rFonts w:cs="Times New Roman"/>
          <w:i/>
          <w:iCs/>
        </w:rPr>
      </w:pPr>
      <w:r w:rsidRPr="007453E6">
        <w:rPr>
          <w:rFonts w:cs="Times New Roman"/>
          <w:i/>
          <w:iCs/>
        </w:rPr>
        <w:t>Data Source and Study Period</w:t>
      </w:r>
    </w:p>
    <w:p w14:paraId="58C7D258" w14:textId="77777777" w:rsidR="007B42DE" w:rsidRPr="007453E6" w:rsidRDefault="007B42DE" w:rsidP="007B42DE">
      <w:pPr>
        <w:rPr>
          <w:rFonts w:cs="Times New Roman"/>
        </w:rPr>
      </w:pPr>
      <w:r w:rsidRPr="007453E6">
        <w:rPr>
          <w:rFonts w:cs="Times New Roman"/>
        </w:rPr>
        <w:t xml:space="preserve">For the power outage data, </w:t>
      </w:r>
      <w:r>
        <w:rPr>
          <w:rFonts w:cs="Times New Roman"/>
        </w:rPr>
        <w:t>we</w:t>
      </w:r>
      <w:r w:rsidRPr="007453E6">
        <w:rPr>
          <w:rFonts w:cs="Times New Roman"/>
        </w:rPr>
        <w:t xml:space="preserve"> obtained the power outage data from year 2014 to 2023 from the State of Maryland. Our study period is from 2018 to 2023.</w:t>
      </w:r>
    </w:p>
    <w:p w14:paraId="04DD504A" w14:textId="77777777" w:rsidR="007B42DE" w:rsidRPr="007453E6" w:rsidRDefault="007B42DE" w:rsidP="007B42DE">
      <w:pPr>
        <w:rPr>
          <w:rFonts w:cs="Times New Roman"/>
        </w:rPr>
      </w:pPr>
      <w:r w:rsidRPr="007453E6">
        <w:rPr>
          <w:rFonts w:cs="Times New Roman"/>
        </w:rPr>
        <w:t>The original raw data file has the following information</w:t>
      </w:r>
    </w:p>
    <w:p w14:paraId="395DE3F3" w14:textId="77777777" w:rsidR="007B42DE" w:rsidRPr="007453E6" w:rsidRDefault="007B42DE" w:rsidP="007B42DE">
      <w:pPr>
        <w:rPr>
          <w:rFonts w:cs="Times New Roman"/>
        </w:rPr>
      </w:pPr>
      <w:r w:rsidRPr="007453E6">
        <w:rPr>
          <w:rFonts w:cs="Times New Roman"/>
        </w:rPr>
        <w:t>ZIPCODE: Geographic identifier</w:t>
      </w:r>
    </w:p>
    <w:p w14:paraId="61FEBC8A" w14:textId="77777777" w:rsidR="007B42DE" w:rsidRPr="007453E6" w:rsidRDefault="007B42DE" w:rsidP="007B42DE">
      <w:pPr>
        <w:rPr>
          <w:rFonts w:cs="Times New Roman"/>
        </w:rPr>
      </w:pPr>
      <w:r w:rsidRPr="007453E6">
        <w:rPr>
          <w:rFonts w:cs="Times New Roman"/>
        </w:rPr>
        <w:t>PROVIDER: Utility company identifier</w:t>
      </w:r>
    </w:p>
    <w:p w14:paraId="0493DD1E" w14:textId="77777777" w:rsidR="007B42DE" w:rsidRPr="007453E6" w:rsidRDefault="007B42DE" w:rsidP="007B42DE">
      <w:pPr>
        <w:rPr>
          <w:rFonts w:cs="Times New Roman"/>
        </w:rPr>
      </w:pPr>
      <w:r w:rsidRPr="007453E6">
        <w:rPr>
          <w:rFonts w:cs="Times New Roman"/>
        </w:rPr>
        <w:t>ARCHIVED: Timestamp of outage record</w:t>
      </w:r>
    </w:p>
    <w:p w14:paraId="3796795A" w14:textId="77777777" w:rsidR="007B42DE" w:rsidRPr="007453E6" w:rsidRDefault="007B42DE" w:rsidP="007B42DE">
      <w:pPr>
        <w:rPr>
          <w:rFonts w:cs="Times New Roman"/>
        </w:rPr>
      </w:pPr>
      <w:r w:rsidRPr="007453E6">
        <w:rPr>
          <w:rFonts w:cs="Times New Roman"/>
        </w:rPr>
        <w:t xml:space="preserve">OUTAGE: number of customers affected </w:t>
      </w:r>
    </w:p>
    <w:p w14:paraId="22BA470A" w14:textId="77777777" w:rsidR="007B42DE" w:rsidRPr="007453E6" w:rsidRDefault="007B42DE" w:rsidP="007B42DE">
      <w:pPr>
        <w:rPr>
          <w:rFonts w:cs="Times New Roman"/>
        </w:rPr>
      </w:pPr>
      <w:r w:rsidRPr="007453E6">
        <w:rPr>
          <w:rFonts w:cs="Times New Roman"/>
        </w:rPr>
        <w:t>YEAR: calendar year</w:t>
      </w:r>
    </w:p>
    <w:p w14:paraId="5F442033" w14:textId="77777777" w:rsidR="007B42DE" w:rsidRPr="007453E6" w:rsidRDefault="007B42DE" w:rsidP="007B42DE">
      <w:pPr>
        <w:rPr>
          <w:rFonts w:cs="Times New Roman"/>
        </w:rPr>
      </w:pPr>
      <w:r w:rsidRPr="007453E6">
        <w:rPr>
          <w:rFonts w:cs="Times New Roman"/>
        </w:rPr>
        <w:t xml:space="preserve">When the OUTAGE = 0, it represents no current outages. </w:t>
      </w:r>
    </w:p>
    <w:p w14:paraId="53942F00" w14:textId="77777777" w:rsidR="007B42DE" w:rsidRPr="007453E6" w:rsidRDefault="007B42DE" w:rsidP="007B42DE">
      <w:pPr>
        <w:rPr>
          <w:rFonts w:cs="Times New Roman"/>
        </w:rPr>
      </w:pPr>
    </w:p>
    <w:p w14:paraId="76DBF11B" w14:textId="77777777" w:rsidR="007B42DE" w:rsidRPr="007453E6" w:rsidRDefault="007B42DE" w:rsidP="007B42DE">
      <w:pPr>
        <w:rPr>
          <w:rFonts w:cs="Times New Roman"/>
          <w:i/>
          <w:iCs/>
        </w:rPr>
      </w:pPr>
      <w:r w:rsidRPr="007453E6">
        <w:rPr>
          <w:rFonts w:cs="Times New Roman"/>
          <w:i/>
          <w:iCs/>
        </w:rPr>
        <w:t xml:space="preserve">Estimating Customer Coverage </w:t>
      </w:r>
    </w:p>
    <w:p w14:paraId="6EBD9E67" w14:textId="77777777" w:rsidR="007B42DE" w:rsidRPr="007453E6" w:rsidRDefault="007B42DE" w:rsidP="007B42DE">
      <w:pPr>
        <w:rPr>
          <w:rFonts w:cs="Times New Roman"/>
        </w:rPr>
      </w:pPr>
      <w:r w:rsidRPr="007453E6">
        <w:rPr>
          <w:rFonts w:cs="Times New Roman"/>
        </w:rPr>
        <w:t xml:space="preserve">For the calculation of customers tracked, </w:t>
      </w:r>
      <w:r>
        <w:rPr>
          <w:rFonts w:cs="Times New Roman"/>
        </w:rPr>
        <w:t>we</w:t>
      </w:r>
      <w:r w:rsidRPr="007453E6">
        <w:rPr>
          <w:rFonts w:cs="Times New Roman"/>
        </w:rPr>
        <w:t xml:space="preserve"> follow the</w:t>
      </w:r>
      <w:r>
        <w:rPr>
          <w:rFonts w:cs="Times New Roman"/>
        </w:rPr>
        <w:t xml:space="preserve"> approach used by </w:t>
      </w:r>
      <w:r w:rsidRPr="007453E6">
        <w:rPr>
          <w:rFonts w:cs="Times New Roman"/>
        </w:rPr>
        <w:t xml:space="preserve"> </w:t>
      </w:r>
      <w:r w:rsidRPr="007B42DE">
        <w:rPr>
          <w:rFonts w:cs="Times New Roman"/>
        </w:rPr>
        <w:t>poweroutage.us</w:t>
      </w:r>
      <w:r>
        <w:rPr>
          <w:rFonts w:cs="Times New Roman"/>
          <w:i/>
          <w:iCs/>
        </w:rPr>
        <w:t xml:space="preserve"> </w:t>
      </w:r>
      <w:r w:rsidRPr="00EE54D8">
        <w:rPr>
          <w:rFonts w:cs="Times New Roman"/>
        </w:rPr>
        <w:fldChar w:fldCharType="begin"/>
      </w:r>
      <w:r w:rsidRPr="00EE54D8">
        <w:rPr>
          <w:rFonts w:cs="Times New Roman"/>
        </w:rPr>
        <w:instrText xml:space="preserve"> ADDIN ZOTERO_ITEM CSL_CITATION {"citationID":"yrMiObJs","properties":{"unsorted":false,"formattedCitation":"(PowerOutage.com, n.d.)","plainCitation":"(PowerOutage.com, n.d.)","noteIndex":0},"citationItems":[{"id":5535,"uris":["http://zotero.org/users/12445093/items/7XL8L6R5"],"itemData":{"id":5535,"type":"webpage","note":"Real-time outage monitoring dashboard; state-level outage counts","title":"Live US Power Outages","title-short":"US Power Outage Dashboard","URL":"https://poweroutage.us/","author":[{"family":"PowerOutage.com","given":""}],"accessed":{"date-parts":[["2026",2,17]]}}}],"schema":"https://github.com/citation-style-language/schema/raw/master/csl-citation.json"} </w:instrText>
      </w:r>
      <w:r w:rsidRPr="00EE54D8">
        <w:rPr>
          <w:rFonts w:cs="Times New Roman"/>
        </w:rPr>
        <w:fldChar w:fldCharType="separate"/>
      </w:r>
      <w:r w:rsidRPr="00EE54D8">
        <w:rPr>
          <w:rFonts w:cs="Times New Roman"/>
          <w:noProof/>
        </w:rPr>
        <w:t>(PowerOutage.com, n.d.)</w:t>
      </w:r>
      <w:r w:rsidRPr="00EE54D8">
        <w:rPr>
          <w:rFonts w:cs="Times New Roman"/>
        </w:rPr>
        <w:fldChar w:fldCharType="end"/>
      </w:r>
      <w:r w:rsidRPr="007453E6">
        <w:rPr>
          <w:rFonts w:cs="Times New Roman"/>
        </w:rPr>
        <w:t xml:space="preserve"> </w:t>
      </w:r>
      <w:r>
        <w:rPr>
          <w:rFonts w:cs="Times New Roman"/>
        </w:rPr>
        <w:t xml:space="preserve">(e.g., </w:t>
      </w:r>
      <w:r>
        <w:rPr>
          <w:rFonts w:cs="Times New Roman"/>
        </w:rPr>
        <w:fldChar w:fldCharType="begin"/>
      </w:r>
      <w:r>
        <w:rPr>
          <w:rFonts w:cs="Times New Roman"/>
        </w:rPr>
        <w:instrText xml:space="preserve"> ADDIN ZOTERO_ITEM CSL_CITATION {"citationID":"dhtlbApg","properties":{"unsorted":false,"formattedCitation":"(Richards et al., 2024; Wang et al., 2022)","plainCitation":"(Richards et al., 2024; Wang et al., 2022)","noteIndex":0},"citationItems":[{"id":5590,"uris":["http://zotero.org/users/12445093/items/682EAFJR"],"itemData":{"id":5590,"type":"article-journal","abstract":"Major power outages have risen over the last two decades, largely due to more extreme weather conditions. However, there is a lack of knowledge on the distribution of power outages and its relationship to social vulnerability and co-occurring hazards. We examined the associations between localized outages and social vulnerability factors (demographic characteristics), controlling for environmental factors (weather), in Washington State between 2018–2021. We additionally analyzed the validity of PowerOutage.us data compared to federal datasets. The population included 27 counties served by 14 electric utilities. We developed a continuous measure of daily outage burden using PowerOutage.us data and operationalized social vulnerability using four factors: poverty level, unemployment, disability, and limited English proficiency. We applied zero-altered lognormal generalized additive mixed-effects models to characterize the relationship between social vulnerability and daily power outage burden, controlling for daily minimum temperature, maximum wind speed, and precipitation, from 2018 to 2021 in Washington State. We found that social vulnerability factors have non-linear relationships with outages. Wind and precipitation are consistent drivers of outage occurrence and duration. There are seasonal effects that vary by county-utility area. Both PowerOutage.us and federal datasets have missing and inaccurate outage data. This is the first study evaluating differential exposure to localized outages as related to social vulnerability that has accounted for weather and temporal correlation. There is a lack of transparency into power outage distribution for those most vulnerable to climate impacts, despite known contributions by electric utilities to climate change. For effective public health surveillance of power outages and transparency, outage data should be made available at finer spatial resolution and temporal scales and/or utilities should be required to report differential exposure to power outages for socially vulnerable populations.","container-title":"PLOS ONE","DOI":"10.1371/journal.pone.0307742","ISSN":"1932-6203","issue":"9","journal</w:instrText>
      </w:r>
      <w:r>
        <w:rPr>
          <w:rFonts w:cs="Times New Roman" w:hint="eastAsia"/>
        </w:rPr>
        <w:instrText>Abbreviation":"PLoS ONE","language":"en","note":"</w:instrText>
      </w:r>
      <w:r>
        <w:rPr>
          <w:rFonts w:cs="Times New Roman" w:hint="eastAsia"/>
        </w:rPr>
        <w:instrText>此翻译服务不可用，可能是密钥错误，也可能是请求过快。</w:instrText>
      </w:r>
      <w:r>
        <w:rPr>
          <w:rFonts w:cs="Times New Roman" w:hint="eastAsia"/>
        </w:rPr>
        <w:instrText>\n</w:instrText>
      </w:r>
      <w:r>
        <w:rPr>
          <w:rFonts w:cs="Times New Roman" w:hint="eastAsia"/>
        </w:rPr>
        <w:instrText>可以尝试其他翻译服务，或者来此查看相关回答：</w:instrText>
      </w:r>
      <w:r>
        <w:rPr>
          <w:rFonts w:cs="Times New Roman" w:hint="eastAsia"/>
        </w:rPr>
        <w:instrText>\nhttps://zotero.yuque.com/staff-gkhviy/pdf-trans/age09f\n\n</w:instrText>
      </w:r>
      <w:r>
        <w:rPr>
          <w:rFonts w:cs="Times New Roman" w:hint="eastAsia"/>
        </w:rPr>
        <w:instrText>请注意，这些错误与</w:instrText>
      </w:r>
      <w:r>
        <w:rPr>
          <w:rFonts w:cs="Times New Roman" w:hint="eastAsia"/>
        </w:rPr>
        <w:instrText xml:space="preserve"> Zotero </w:instrText>
      </w:r>
      <w:r>
        <w:rPr>
          <w:rFonts w:cs="Times New Roman" w:hint="eastAsia"/>
        </w:rPr>
        <w:instrText>和本翻译插件无关，由该翻译服务引起：</w:instrText>
      </w:r>
      <w:r>
        <w:rPr>
          <w:rFonts w:cs="Times New Roman" w:hint="eastAsia"/>
        </w:rPr>
        <w:instrText xml:space="preserve"> DeepLX(API)\n\ntitleTranslation: [</w:instrText>
      </w:r>
      <w:r>
        <w:rPr>
          <w:rFonts w:cs="Times New Roman" w:hint="eastAsia"/>
        </w:rPr>
        <w:instrText>请求错误</w:instrText>
      </w:r>
      <w:r>
        <w:rPr>
          <w:rFonts w:cs="Times New Roman" w:hint="eastAsia"/>
        </w:rPr>
        <w:instrText>]\nError: HTTP POST https://api.deeplx.org/y-cS26zcyRdzQVtXTjNhBWk5TQOXCjem9HBtsjut7EM/translate failed with status code 401\nabstractTranslation: [</w:instrText>
      </w:r>
      <w:r>
        <w:rPr>
          <w:rFonts w:cs="Times New Roman" w:hint="eastAsia"/>
        </w:rPr>
        <w:instrText>请求错误</w:instrText>
      </w:r>
      <w:r>
        <w:rPr>
          <w:rFonts w:cs="Times New Roman" w:hint="eastAsia"/>
        </w:rPr>
        <w:instrText>]\n</w:instrText>
      </w:r>
      <w:r>
        <w:rPr>
          <w:rFonts w:cs="Times New Roman" w:hint="eastAsia"/>
        </w:rPr>
        <w:instrText>此翻译服务不可用，可能是密钥错误，也可能是请求过快。</w:instrText>
      </w:r>
      <w:r>
        <w:rPr>
          <w:rFonts w:cs="Times New Roman" w:hint="eastAsia"/>
        </w:rPr>
        <w:instrText>\n</w:instrText>
      </w:r>
      <w:r>
        <w:rPr>
          <w:rFonts w:cs="Times New Roman" w:hint="eastAsia"/>
        </w:rPr>
        <w:instrText>可以尝试其他翻译服务，或者来此查看相关回答：</w:instrText>
      </w:r>
      <w:r>
        <w:rPr>
          <w:rFonts w:cs="Times New Roman" w:hint="eastAsia"/>
        </w:rPr>
        <w:instrText>\nhttps://zotero.yuque.com/staff-gkhviy/pdf-trans/age09f\n\n</w:instrText>
      </w:r>
      <w:r>
        <w:rPr>
          <w:rFonts w:cs="Times New Roman" w:hint="eastAsia"/>
        </w:rPr>
        <w:instrText>请注意，这些错误与</w:instrText>
      </w:r>
      <w:r>
        <w:rPr>
          <w:rFonts w:cs="Times New Roman" w:hint="eastAsia"/>
        </w:rPr>
        <w:instrText xml:space="preserve"> Zotero </w:instrText>
      </w:r>
      <w:r>
        <w:rPr>
          <w:rFonts w:cs="Times New Roman" w:hint="eastAsia"/>
        </w:rPr>
        <w:instrText>和本翻译插件无关，由该翻译服务引起：</w:instrText>
      </w:r>
      <w:r>
        <w:rPr>
          <w:rFonts w:cs="Times New Roman" w:hint="eastAsia"/>
        </w:rPr>
        <w:instrText xml:space="preserve"> DeepLX(API)\n\nError: HTTP POST https://api.deeplx.org/y-cS26zcyRdzQVtXTjNhBWk5TQOXCjem9HBtsjut7EM/translate failed with status code 401","page":"e0307742","source":"DOI.org (Crossref)","title":"Association of social vulnerability </w:instrText>
      </w:r>
      <w:r>
        <w:rPr>
          <w:rFonts w:cs="Times New Roman"/>
        </w:rPr>
        <w:instrText>factors with power outage burden in Washington state: 2018–2021","title-short":"Association of social vulnerability factors with power outage burden in Washington state","volume":"19","author":[{"family":"Richards","given":"Claire A."},{"family":"Amiri","given":"Solmaz"},{"family":"Walden","given":"Von P."},{"family":"Postma","given":"Julie"},{"family":"Heidari Kapourchali","given":"Mohammad"},{"family":"Zuur","given":"Alain F."}],"editor":[{"family":"Chowdhury","given":"Sudipta"}],"issued":{"date-parts":[["2024",9,4]]}}},{"id":5592,"uris":["http://zotero.org/users/12445093/items/QNCEHFE3"],"itemData":{"id":5592,"type":"article-journal","abstract":"With growing energy usage, power outages affect millions of households. This case study focuses on gathering power outage historical data, modifying the data to attach weather attributes, and gathering ERCOT energy market conditions for Dallas-Fort Worth and Houston metropolitan areas of Texas. The transformed data is then analyzed using machine learning algorithms including, but not limited to, Regression, Random Forests and XGBoost to consider current weather and ERCOT features and predict power outage percentage for locations. The transformed data is also trained using time series models and serially correlated models including Autoregression and Vector Autoregression. This study also focuses on traditional machine learning models that assume sample independence when compared to those that assume serial correlation. The results show machine learning models that utilize both weather features and ERCOT data yield a lower RMSE and higher prediction accuracy than using one feature-set exclusively. In addition, multivariate Vector Autoregressive models have lower RMSE compared to univariate Auto-Regressive, univariate Random Forest and univariate neural network models when weather and ERCOT data are included to predict power outages. Top performing traditional machine learning models are packaged into an external facing web application for public use in determini</w:instrText>
      </w:r>
      <w:r>
        <w:rPr>
          <w:rFonts w:cs="Times New Roman" w:hint="eastAsia"/>
        </w:rPr>
        <w:instrText>ng current power outage risk.","container-title":"SMU Data Science Review","issue":"1","language":"en","note":"</w:instrText>
      </w:r>
      <w:r>
        <w:rPr>
          <w:rFonts w:cs="Times New Roman" w:hint="eastAsia"/>
        </w:rPr>
        <w:instrText>此翻译服务不可用，可能是密钥错误，也可能是请求过快。</w:instrText>
      </w:r>
      <w:r>
        <w:rPr>
          <w:rFonts w:cs="Times New Roman" w:hint="eastAsia"/>
        </w:rPr>
        <w:instrText>\n</w:instrText>
      </w:r>
      <w:r>
        <w:rPr>
          <w:rFonts w:cs="Times New Roman" w:hint="eastAsia"/>
        </w:rPr>
        <w:instrText>可以尝试其他翻译服务，或者来此查看相关回答：</w:instrText>
      </w:r>
      <w:r>
        <w:rPr>
          <w:rFonts w:cs="Times New Roman" w:hint="eastAsia"/>
        </w:rPr>
        <w:instrText>\nhttps://zotero.yuque.com/staff-gkhviy/pdf-trans/age09f\n\n</w:instrText>
      </w:r>
      <w:r>
        <w:rPr>
          <w:rFonts w:cs="Times New Roman" w:hint="eastAsia"/>
        </w:rPr>
        <w:instrText>请注意，这些错误与</w:instrText>
      </w:r>
      <w:r>
        <w:rPr>
          <w:rFonts w:cs="Times New Roman" w:hint="eastAsia"/>
        </w:rPr>
        <w:instrText xml:space="preserve"> Zotero </w:instrText>
      </w:r>
      <w:r>
        <w:rPr>
          <w:rFonts w:cs="Times New Roman" w:hint="eastAsia"/>
        </w:rPr>
        <w:instrText>和本翻译插件无关，由该翻译服务引起：</w:instrText>
      </w:r>
      <w:r>
        <w:rPr>
          <w:rFonts w:cs="Times New Roman" w:hint="eastAsia"/>
        </w:rPr>
        <w:instrText xml:space="preserve"> DeepLX(API)\n\n</w:instrText>
      </w:r>
      <w:r>
        <w:rPr>
          <w:rFonts w:cs="Times New Roman" w:hint="eastAsia"/>
        </w:rPr>
        <w:instrText>此翻译服务不可用，可能是密钥错误，也可能是请求过快。</w:instrText>
      </w:r>
      <w:r>
        <w:rPr>
          <w:rFonts w:cs="Times New Roman" w:hint="eastAsia"/>
        </w:rPr>
        <w:instrText>\n</w:instrText>
      </w:r>
      <w:r>
        <w:rPr>
          <w:rFonts w:cs="Times New Roman" w:hint="eastAsia"/>
        </w:rPr>
        <w:instrText>可以尝试其他翻译服务，或者来此查看相关回答：</w:instrText>
      </w:r>
      <w:r>
        <w:rPr>
          <w:rFonts w:cs="Times New Roman" w:hint="eastAsia"/>
        </w:rPr>
        <w:instrText>\nhttps://zotero.yuque.com/staff-gkhviy/pdf-trans/age09f\n\n</w:instrText>
      </w:r>
      <w:r>
        <w:rPr>
          <w:rFonts w:cs="Times New Roman" w:hint="eastAsia"/>
        </w:rPr>
        <w:instrText>请注意，这些错误与</w:instrText>
      </w:r>
      <w:r>
        <w:rPr>
          <w:rFonts w:cs="Times New Roman" w:hint="eastAsia"/>
        </w:rPr>
        <w:instrText xml:space="preserve"> Zotero </w:instrText>
      </w:r>
      <w:r>
        <w:rPr>
          <w:rFonts w:cs="Times New Roman" w:hint="eastAsia"/>
        </w:rPr>
        <w:instrText>和本翻译插件无关，由该翻译服务引起：</w:instrText>
      </w:r>
      <w:r>
        <w:rPr>
          <w:rFonts w:cs="Times New Roman" w:hint="eastAsia"/>
        </w:rPr>
        <w:instrText xml:space="preserve"> DeepLX(API)\n\ntitleTranslation: Analysis of the electric power outage data and prediction o</w:instrText>
      </w:r>
      <w:r>
        <w:rPr>
          <w:rFonts w:cs="Times New Roman"/>
        </w:rPr>
        <w:instrText>f electric power outage for major metropolitan areas in Texas using Machine Learning and Time Series Methods\nError: HTTP POST https://api.deeplx.org/y-cS26zcyRdzQVtXTjNhBWk5TQOXCjem9HBtsjut7EM/translate failed with status code 401\nabstractTranslation: [</w:instrText>
      </w:r>
      <w:r>
        <w:rPr>
          <w:rFonts w:cs="Times New Roman" w:hint="eastAsia"/>
        </w:rPr>
        <w:instrText>请求错误</w:instrText>
      </w:r>
      <w:r>
        <w:rPr>
          <w:rFonts w:cs="Times New Roman" w:hint="eastAsia"/>
        </w:rPr>
        <w:instrText>]","publisher":"Southern Methodist University","section":"Article 5","source":"Zotero","title":"Analysis of the electric power outage data and prediction of electric power outage for major metropolitan areas in Texas using Machine Learning and Time Se</w:instrText>
      </w:r>
      <w:r>
        <w:rPr>
          <w:rFonts w:cs="Times New Roman"/>
        </w:rPr>
        <w:instrText xml:space="preserve">ries Methods","URL":"https://scholar.smu.edu/datasciencereview/vol6/iss1/5","volume":"6","author":[{"family":"Wang","given":"Renfeng"},{"family":"Vanga","given":"Venkata Leela MG"},{"family":"Zaiken","given":"Zachary B."},{"family":"Bennett","given":"Jonathan"}],"issued":{"date-parts":[["2022"]]}}}],"schema":"https://github.com/citation-style-language/schema/raw/master/csl-citation.json"} </w:instrText>
      </w:r>
      <w:r>
        <w:rPr>
          <w:rFonts w:cs="Times New Roman"/>
        </w:rPr>
        <w:fldChar w:fldCharType="separate"/>
      </w:r>
      <w:r>
        <w:rPr>
          <w:rFonts w:cs="Times New Roman"/>
          <w:noProof/>
        </w:rPr>
        <w:t>(Richards et al., 2024; Wang et al., 2022)</w:t>
      </w:r>
      <w:r>
        <w:rPr>
          <w:rFonts w:cs="Times New Roman"/>
        </w:rPr>
        <w:fldChar w:fldCharType="end"/>
      </w:r>
      <w:r>
        <w:rPr>
          <w:rFonts w:cs="Times New Roman"/>
        </w:rPr>
        <w:t>)</w:t>
      </w:r>
      <w:r w:rsidRPr="007453E6">
        <w:rPr>
          <w:rFonts w:cs="Times New Roman"/>
        </w:rPr>
        <w:t xml:space="preserve">. </w:t>
      </w:r>
      <w:r>
        <w:rPr>
          <w:rFonts w:cs="Times New Roman"/>
        </w:rPr>
        <w:t>Because</w:t>
      </w:r>
      <w:r w:rsidRPr="007453E6">
        <w:rPr>
          <w:rFonts w:cs="Times New Roman"/>
        </w:rPr>
        <w:t xml:space="preserve"> </w:t>
      </w:r>
      <w:r>
        <w:rPr>
          <w:rFonts w:cs="Times New Roman"/>
        </w:rPr>
        <w:t>many</w:t>
      </w:r>
      <w:r w:rsidRPr="007453E6">
        <w:rPr>
          <w:rFonts w:cs="Times New Roman"/>
        </w:rPr>
        <w:t xml:space="preserve"> electric utilities do not report the total number of customers that they serve </w:t>
      </w:r>
      <w:r>
        <w:rPr>
          <w:rFonts w:cs="Times New Roman"/>
        </w:rPr>
        <w:t>at the local level, this approach defines</w:t>
      </w:r>
      <w:r w:rsidRPr="007453E6">
        <w:rPr>
          <w:rFonts w:cs="Times New Roman"/>
        </w:rPr>
        <w:t xml:space="preserve"> “Customers Tracked” </w:t>
      </w:r>
      <w:r>
        <w:rPr>
          <w:rFonts w:cs="Times New Roman"/>
        </w:rPr>
        <w:t>for each ZIP code- provide pair as the maximum number of customers affected observed historically (2014-2023). This value is used as a proxy for the total customer base in that area</w:t>
      </w:r>
      <w:r w:rsidRPr="007453E6">
        <w:rPr>
          <w:rFonts w:cs="Times New Roman"/>
        </w:rPr>
        <w:t>.</w:t>
      </w:r>
    </w:p>
    <w:p w14:paraId="7B72D086" w14:textId="77777777" w:rsidR="007B42DE" w:rsidRPr="007453E6" w:rsidRDefault="007B42DE" w:rsidP="007B42DE">
      <w:pPr>
        <w:rPr>
          <w:rFonts w:cs="Times New Roman"/>
        </w:rPr>
      </w:pPr>
      <w:r w:rsidRPr="007453E6">
        <w:rPr>
          <w:rFonts w:cs="Times New Roman"/>
        </w:rPr>
        <w:t>Estimating historical customer coverage (“Customers Tracked”): In order to normalize outage counts across time and location, I estimate a denominator for each ZIP-</w:t>
      </w:r>
      <w:r w:rsidRPr="007453E6">
        <w:rPr>
          <w:rFonts w:cs="Times New Roman"/>
        </w:rPr>
        <w:lastRenderedPageBreak/>
        <w:t xml:space="preserve">PROVIDER pair: for each unique (ZIPCODE, PROVIDER) combination, </w:t>
      </w:r>
      <w:r>
        <w:rPr>
          <w:rFonts w:cs="Times New Roman"/>
        </w:rPr>
        <w:t>we</w:t>
      </w:r>
      <w:r w:rsidRPr="007453E6">
        <w:rPr>
          <w:rFonts w:cs="Times New Roman"/>
        </w:rPr>
        <w:t xml:space="preserve"> calculated the maximum observed outage value across the entire 2014-2023 period. This maximum value was stored as “Customers Tracked”, representing the estimated historical capacity or maximum customer base in that ZIP-PROVIDER cell. </w:t>
      </w:r>
    </w:p>
    <w:p w14:paraId="7EB68F4D" w14:textId="77777777" w:rsidR="007B42DE" w:rsidRPr="007453E6" w:rsidRDefault="007B42DE" w:rsidP="007B42DE">
      <w:pPr>
        <w:rPr>
          <w:rFonts w:cs="Times New Roman"/>
        </w:rPr>
      </w:pPr>
    </w:p>
    <w:p w14:paraId="3CA46918" w14:textId="77777777" w:rsidR="007B42DE" w:rsidRPr="007453E6" w:rsidRDefault="007B42DE" w:rsidP="007B42DE">
      <w:pPr>
        <w:rPr>
          <w:rFonts w:cs="Times New Roman"/>
          <w:i/>
          <w:iCs/>
        </w:rPr>
      </w:pPr>
      <w:r w:rsidRPr="007453E6">
        <w:rPr>
          <w:rFonts w:cs="Times New Roman"/>
          <w:i/>
          <w:iCs/>
        </w:rPr>
        <w:t>Percentile-Based Threshold Calculation</w:t>
      </w:r>
    </w:p>
    <w:p w14:paraId="0A609BC2" w14:textId="77777777" w:rsidR="007B42DE" w:rsidRPr="007453E6" w:rsidRDefault="007B42DE" w:rsidP="007B42DE">
      <w:pPr>
        <w:rPr>
          <w:rFonts w:cs="Times New Roman"/>
        </w:rPr>
      </w:pPr>
      <w:r w:rsidRPr="007453E6">
        <w:rPr>
          <w:rFonts w:cs="Times New Roman"/>
        </w:rPr>
        <w:t xml:space="preserve">For each observation </w:t>
      </w:r>
      <w:proofErr w:type="spellStart"/>
      <w:r w:rsidRPr="007453E6">
        <w:rPr>
          <w:rFonts w:cs="Times New Roman"/>
          <w:i/>
          <w:iCs/>
        </w:rPr>
        <w:t>i</w:t>
      </w:r>
      <w:proofErr w:type="spellEnd"/>
      <w:r w:rsidRPr="007453E6">
        <w:rPr>
          <w:rFonts w:cs="Times New Roman"/>
        </w:rPr>
        <w:t xml:space="preserve">, the outage rate is: </w:t>
      </w:r>
    </w:p>
    <w:p w14:paraId="73EDA7FD" w14:textId="77777777" w:rsidR="003A35CC" w:rsidRPr="00007B74" w:rsidRDefault="00000000" w:rsidP="003A35CC">
      <w:pPr>
        <w:pStyle w:val="NormalWeb"/>
        <w:rPr>
          <w:rFonts w:ascii="Times New Roman" w:hAnsi="Times New Roman" w:cs="Times New Roman"/>
        </w:rPr>
      </w:pPr>
      <m:oMathPara>
        <m:oMath>
          <m:sSub>
            <m:sSubPr>
              <m:ctrlPr>
                <w:rPr>
                  <w:rFonts w:ascii="Cambria Math" w:hAnsi="Cambria Math" w:cs="Times New Roman"/>
                </w:rPr>
              </m:ctrlPr>
            </m:sSubPr>
            <m:e>
              <m:r>
                <m:rPr>
                  <m:nor/>
                </m:rPr>
                <w:rPr>
                  <w:rFonts w:ascii="Times New Roman" w:hAnsi="Times New Roman" w:cs="Times New Roman"/>
                </w:rPr>
                <m:t xml:space="preserve"> OutageRate </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nor/>
                    </m:rPr>
                    <w:rPr>
                      <w:rFonts w:ascii="Times New Roman" w:hAnsi="Times New Roman" w:cs="Times New Roman"/>
                    </w:rPr>
                    <m:t xml:space="preserve"> CustomersAffected </m:t>
                  </m:r>
                </m:e>
                <m:sub>
                  <m:r>
                    <w:rPr>
                      <w:rFonts w:ascii="Cambria Math" w:hAnsi="Cambria Math" w:cs="Times New Roman"/>
                    </w:rPr>
                    <m:t>i</m:t>
                  </m:r>
                </m:sub>
              </m:sSub>
            </m:num>
            <m:den>
              <m:sSub>
                <m:sSubPr>
                  <m:ctrlPr>
                    <w:rPr>
                      <w:rFonts w:ascii="Cambria Math" w:hAnsi="Cambria Math" w:cs="Times New Roman"/>
                    </w:rPr>
                  </m:ctrlPr>
                </m:sSubPr>
                <m:e>
                  <m:r>
                    <m:rPr>
                      <m:nor/>
                    </m:rPr>
                    <w:rPr>
                      <w:rFonts w:ascii="Times New Roman" w:hAnsi="Times New Roman" w:cs="Times New Roman"/>
                    </w:rPr>
                    <m:t xml:space="preserve"> CustomersTracked </m:t>
                  </m:r>
                </m:e>
                <m:sub>
                  <m:r>
                    <m:rPr>
                      <m:nor/>
                    </m:rPr>
                    <w:rPr>
                      <w:rFonts w:ascii="Times New Roman" w:hAnsi="Times New Roman" w:cs="Times New Roman"/>
                    </w:rPr>
                    <m:t xml:space="preserve">zip , provider </m:t>
                  </m:r>
                </m:sub>
              </m:sSub>
            </m:den>
          </m:f>
        </m:oMath>
      </m:oMathPara>
    </w:p>
    <w:p w14:paraId="49A84907" w14:textId="77777777" w:rsidR="007B42DE" w:rsidRPr="007453E6" w:rsidRDefault="007B42DE" w:rsidP="007B42DE">
      <w:pPr>
        <w:rPr>
          <w:rFonts w:cs="Times New Roman"/>
        </w:rPr>
      </w:pPr>
      <w:r>
        <w:rPr>
          <w:rFonts w:cs="Times New Roman"/>
        </w:rPr>
        <w:t>we</w:t>
      </w:r>
      <w:r w:rsidRPr="007453E6">
        <w:rPr>
          <w:rFonts w:cs="Times New Roman"/>
        </w:rPr>
        <w:t xml:space="preserve"> then calculate three threshold levels:</w:t>
      </w:r>
    </w:p>
    <w:p w14:paraId="580674BF" w14:textId="77777777" w:rsidR="007B42DE" w:rsidRPr="007453E6" w:rsidRDefault="007B42DE" w:rsidP="007B42DE">
      <w:pPr>
        <w:pStyle w:val="ListParagraph"/>
        <w:numPr>
          <w:ilvl w:val="0"/>
          <w:numId w:val="5"/>
        </w:numPr>
        <w:ind w:left="0" w:firstLine="0"/>
        <w:contextualSpacing/>
        <w:rPr>
          <w:rFonts w:cs="Times New Roman"/>
        </w:rPr>
      </w:pPr>
      <w:r w:rsidRPr="007453E6">
        <w:rPr>
          <w:rFonts w:cs="Times New Roman"/>
        </w:rPr>
        <w:t>50</w:t>
      </w:r>
      <w:r w:rsidRPr="007453E6">
        <w:rPr>
          <w:rFonts w:cs="Times New Roman"/>
          <w:vertAlign w:val="superscript"/>
        </w:rPr>
        <w:t>th</w:t>
      </w:r>
      <w:r w:rsidRPr="007453E6">
        <w:rPr>
          <w:rFonts w:cs="Times New Roman"/>
        </w:rPr>
        <w:t xml:space="preserve"> percentile: captures moderate outages (upper half of all outage events)</w:t>
      </w:r>
    </w:p>
    <w:p w14:paraId="0AB9B01C" w14:textId="77777777" w:rsidR="007B42DE" w:rsidRPr="007453E6" w:rsidRDefault="007B42DE" w:rsidP="007B42DE">
      <w:pPr>
        <w:pStyle w:val="ListParagraph"/>
        <w:numPr>
          <w:ilvl w:val="0"/>
          <w:numId w:val="5"/>
        </w:numPr>
        <w:ind w:left="0" w:firstLine="0"/>
        <w:contextualSpacing/>
        <w:rPr>
          <w:rFonts w:cs="Times New Roman"/>
        </w:rPr>
      </w:pPr>
      <w:r w:rsidRPr="007453E6">
        <w:rPr>
          <w:rFonts w:cs="Times New Roman"/>
        </w:rPr>
        <w:t>75</w:t>
      </w:r>
      <w:r w:rsidRPr="007453E6">
        <w:rPr>
          <w:rFonts w:cs="Times New Roman"/>
          <w:vertAlign w:val="superscript"/>
        </w:rPr>
        <w:t>th</w:t>
      </w:r>
      <w:r w:rsidRPr="007453E6">
        <w:rPr>
          <w:rFonts w:cs="Times New Roman"/>
        </w:rPr>
        <w:t xml:space="preserve"> percentile: identifies significant outages (upper quarter of all outage events)</w:t>
      </w:r>
    </w:p>
    <w:p w14:paraId="10A5EB28" w14:textId="77777777" w:rsidR="007B42DE" w:rsidRPr="007453E6" w:rsidRDefault="007B42DE" w:rsidP="007B42DE">
      <w:pPr>
        <w:pStyle w:val="ListParagraph"/>
        <w:numPr>
          <w:ilvl w:val="0"/>
          <w:numId w:val="5"/>
        </w:numPr>
        <w:ind w:left="0" w:firstLine="0"/>
        <w:contextualSpacing/>
        <w:rPr>
          <w:rFonts w:cs="Times New Roman"/>
        </w:rPr>
      </w:pPr>
      <w:r w:rsidRPr="007453E6">
        <w:rPr>
          <w:rFonts w:cs="Times New Roman"/>
        </w:rPr>
        <w:t>90</w:t>
      </w:r>
      <w:r w:rsidRPr="007453E6">
        <w:rPr>
          <w:rFonts w:cs="Times New Roman"/>
          <w:vertAlign w:val="superscript"/>
        </w:rPr>
        <w:t>th</w:t>
      </w:r>
      <w:r w:rsidRPr="007453E6">
        <w:rPr>
          <w:rFonts w:cs="Times New Roman"/>
        </w:rPr>
        <w:t xml:space="preserve"> percentile: isolates severe outages (top 10% of all outage events) </w:t>
      </w:r>
    </w:p>
    <w:p w14:paraId="483B0DDC" w14:textId="77777777" w:rsidR="007B42DE" w:rsidRDefault="007B42DE" w:rsidP="007B42DE">
      <w:pPr>
        <w:rPr>
          <w:rFonts w:cs="Times New Roman"/>
        </w:rPr>
      </w:pPr>
      <w:r w:rsidRPr="007453E6">
        <w:rPr>
          <w:rFonts w:cs="Times New Roman"/>
        </w:rPr>
        <w:t xml:space="preserve">This approach ensures that the severity classifications are meaningful relative to the actual patterns in the data, rather than being imposed externally. </w:t>
      </w:r>
    </w:p>
    <w:p w14:paraId="1C8F90D5" w14:textId="77777777" w:rsidR="007B42DE" w:rsidRPr="00EE54D8" w:rsidRDefault="007B42DE" w:rsidP="007B42DE">
      <w:pPr>
        <w:rPr>
          <w:rFonts w:cs="Times New Roman"/>
        </w:rPr>
      </w:pPr>
      <w:r>
        <w:rPr>
          <w:rFonts w:cs="Times New Roman"/>
        </w:rPr>
        <w:t>This percentile-based approach is consistent with prior literatures that defines outage exposure using the proportion of customers affected and applies percentile thresholds (e.g., 50</w:t>
      </w:r>
      <w:r w:rsidRPr="00EE54D8">
        <w:rPr>
          <w:rFonts w:cs="Times New Roman"/>
          <w:vertAlign w:val="superscript"/>
        </w:rPr>
        <w:t>th</w:t>
      </w:r>
      <w:r>
        <w:rPr>
          <w:rFonts w:cs="Times New Roman"/>
        </w:rPr>
        <w:t xml:space="preserve"> or 75</w:t>
      </w:r>
      <w:r w:rsidRPr="00EE54D8">
        <w:rPr>
          <w:rFonts w:cs="Times New Roman"/>
          <w:vertAlign w:val="superscript"/>
        </w:rPr>
        <w:t>th</w:t>
      </w:r>
      <w:r>
        <w:rPr>
          <w:rFonts w:cs="Times New Roman"/>
        </w:rPr>
        <w:t xml:space="preserve"> percentile) to distinguish moderate from severe outage events </w:t>
      </w:r>
      <w:r>
        <w:rPr>
          <w:rFonts w:cs="Times New Roman"/>
        </w:rPr>
        <w:fldChar w:fldCharType="begin"/>
      </w:r>
      <w:r>
        <w:rPr>
          <w:rFonts w:cs="Times New Roman"/>
        </w:rPr>
        <w:instrText xml:space="preserve"> ADDIN ZOTERO_ITEM CSL_CITATION {"citationID":"NJuIkBge","properties":{"unsorted":false,"formattedCitation":"(Deng et al., 2022; Lin et al., 2021; Sheridan et al., 2021; Zhang et al., 2020)","plainCitation":"(Deng et al., 2022; Lin et al., 2021; Sheridan et al., 2021; Zhang et al., 2020)","noteIndex":0},"citationItems":[{"id":4625,"uris":["http://zotero.org/users/12445093/items/QXXD2KDS"],"itemData":{"id":4625,"type":"article-journal","call-number":"2","container-title":"Science of The Total Environment","DOI":"10.1016/j.scitotenv.2022.154305","ISSN":"00489697","journalAbbreviation":"Science of The Total Environment","language":"en","note":"TLDR: PO and floods have independently and jointly led to increased hospitalization for multiple diseases, and impro</w:instrText>
      </w:r>
      <w:r>
        <w:rPr>
          <w:rFonts w:cs="Times New Roman" w:hint="eastAsia"/>
        </w:rPr>
        <w:instrText xml:space="preserve">ving power system resiliency could be a very effective way to alleviate the burden on hospitals during co-occurring floods.\ntitleTranslation: </w:instrText>
      </w:r>
      <w:r>
        <w:rPr>
          <w:rFonts w:cs="Times New Roman" w:hint="eastAsia"/>
        </w:rPr>
        <w:instrText>停电和洪水对多种疾病入院治疗的独立和协同影响</w:instrText>
      </w:r>
      <w:r>
        <w:rPr>
          <w:rFonts w:cs="Times New Roman" w:hint="eastAsia"/>
        </w:rPr>
        <w:instrText>","page":"154305","source":"8.2","title":"The independent and synergistic impacts of power</w:instrText>
      </w:r>
      <w:r>
        <w:rPr>
          <w:rFonts w:cs="Times New Roman"/>
        </w:rPr>
        <w:instrText xml:space="preserve"> outages and floods on hospital admissions for multiple diseases","volume":"828","author":[{"family":"Deng","given":"Xinlei"},{"family":"Friedman","given":"Samantha"},{"family":"Ryan","given":"Ian"},{"family":"Zhang","given":"Wangjian"},{"family":"Dong","given":"Guanghui"},{"family":"Rodriguez","given":"Havidan"},{"family":"Yu","given":"Fangqun"},{"family":"Huang","given":"Wenzhong"},{"family":"Nair","given":"Arshad"},{"family":"Luo","given":"Gan"},{"family":"Lin","given":"Shao"}],"issued":{"date-parts":[["2022",7]]}}},{"id":4627,"uris":["http://zotero.org/users/12445093/items/IXS43C89"],"itemData":{"id":4627,"type":"article-journal","abstract":"Background: While most prior research has focused on extreme heat, few assessed the immediate health effects of winter storms and associated power outages (PO), although severe storms have become more frequent. This study evaluates the joint and independent health effects of winter storms and PO, snow versus ice-storm, effects by time window (peak timing, winter/transitional months) and the impacts on critical care indicators including numbers of comorbidity, procedure, length of stay and cost.\nMethods: We use distributed lag nonlinear models to assess the impacts of winter storm/PO on hospitalizations due to cardiovascular, lower respiratory diseases (LRD), respiratory infections, food/water-borne diseases (FWBD) and injuries in New York State on 0–6 lag days following storm/PO compared with non-storm/non-PO periods (references), while controlling for time-varying factors and PM2.5. The storm-related hospitalizations are described by time window. We also calculate changes in critical care indicators between the storm/PO and control periods.\nResults: We found the joint effects of storm/PO are the strongest (risk ratios (RR) range: 1.01–1.90), followed by that of storm alone (1.02–1.39), but not during PO alone. Ice storms have stronger impacts (RRs: 1.04–3.15) than snowstorms (RRs: 1.03–2.21). The storm/PO-health associations, which occur immediately, and some last a whole week, are stronger in FWBD, October/November, and peak between 3:00–8:00 p.m. Comorbidity and medical costs significantly increase after storm/PO.\nConclusion: Winter storms increase multiple diseases, comorbidity and medical costs, especially when accompanied by PO or ice storms. Early warnings and prevention may be critical in the transitional months and afternoon rush hours.","call-number":"2","container-title":"Environmental Research","DOI":"10.1016/j.envres.2021.110924","ISSN":"00139351","journalAbbreviation":"Environmental Research","language":"en","note":"TLDR: Winter storms increase multiple diseases, comorbidity and medical costs, especially when accompanied by PO or ice storms, especially in the transitional months and afternoon rush</w:instrText>
      </w:r>
      <w:r>
        <w:rPr>
          <w:rFonts w:cs="Times New Roman" w:hint="eastAsia"/>
        </w:rPr>
        <w:instrText xml:space="preserve"> hours.\ntitleTranslation: </w:instrText>
      </w:r>
      <w:r>
        <w:rPr>
          <w:rFonts w:cs="Times New Roman" w:hint="eastAsia"/>
        </w:rPr>
        <w:instrText>冬季风暴和停电对多种健康结果的直接影响以及易受影响的时间窗口</w:instrText>
      </w:r>
      <w:r>
        <w:rPr>
          <w:rFonts w:cs="Times New Roman" w:hint="eastAsia"/>
        </w:rPr>
        <w:instrText xml:space="preserve">\nabstractTranslation: </w:instrText>
      </w:r>
      <w:r>
        <w:rPr>
          <w:rFonts w:cs="Times New Roman" w:hint="eastAsia"/>
        </w:rPr>
        <w:instrText>背景：之前的研究大多集中在极端高温方面，但很少有研究对冬季风暴和相关停电（</w:instrText>
      </w:r>
      <w:r>
        <w:rPr>
          <w:rFonts w:cs="Times New Roman" w:hint="eastAsia"/>
        </w:rPr>
        <w:instrText>PO</w:instrText>
      </w:r>
      <w:r>
        <w:rPr>
          <w:rFonts w:cs="Times New Roman" w:hint="eastAsia"/>
        </w:rPr>
        <w:instrText>）对健康的直接影响进行评估，尽管强风暴已变得越来越频繁。本研究评估了冬季暴风雪和停电对健康的共同和独立影响、雪灾和冰灾的影响、不同时间窗口（高峰期、冬季</w:instrText>
      </w:r>
      <w:r>
        <w:rPr>
          <w:rFonts w:cs="Times New Roman" w:hint="eastAsia"/>
        </w:rPr>
        <w:instrText>/</w:instrText>
      </w:r>
      <w:r>
        <w:rPr>
          <w:rFonts w:cs="Times New Roman" w:hint="eastAsia"/>
        </w:rPr>
        <w:instrText>过渡月）的影响以及对重症监护指标的影响，包括合并症数量、手术、住院时间和费用。</w:instrText>
      </w:r>
      <w:r>
        <w:rPr>
          <w:rFonts w:cs="Times New Roman" w:hint="eastAsia"/>
        </w:rPr>
        <w:instrText>\n</w:instrText>
      </w:r>
      <w:r>
        <w:rPr>
          <w:rFonts w:cs="Times New Roman" w:hint="eastAsia"/>
        </w:rPr>
        <w:instrText>方法：我们使用分布式滞后非线性模型来评估冬季暴风雪</w:instrText>
      </w:r>
      <w:r>
        <w:rPr>
          <w:rFonts w:cs="Times New Roman" w:hint="eastAsia"/>
        </w:rPr>
        <w:instrText xml:space="preserve">/PO </w:instrText>
      </w:r>
      <w:r>
        <w:rPr>
          <w:rFonts w:cs="Times New Roman" w:hint="eastAsia"/>
        </w:rPr>
        <w:instrText>对纽约州暴风雪</w:instrText>
      </w:r>
      <w:r>
        <w:rPr>
          <w:rFonts w:cs="Times New Roman" w:hint="eastAsia"/>
        </w:rPr>
        <w:instrText xml:space="preserve">/PO </w:instrText>
      </w:r>
      <w:r>
        <w:rPr>
          <w:rFonts w:cs="Times New Roman" w:hint="eastAsia"/>
        </w:rPr>
        <w:instrText>后</w:instrText>
      </w:r>
      <w:r>
        <w:rPr>
          <w:rFonts w:cs="Times New Roman" w:hint="eastAsia"/>
        </w:rPr>
        <w:instrText xml:space="preserve"> 0-6 </w:instrText>
      </w:r>
      <w:r>
        <w:rPr>
          <w:rFonts w:cs="Times New Roman" w:hint="eastAsia"/>
        </w:rPr>
        <w:instrText>滞后天心血管疾病、下呼吸道疾病</w:instrText>
      </w:r>
      <w:r>
        <w:rPr>
          <w:rFonts w:cs="Times New Roman" w:hint="eastAsia"/>
        </w:rPr>
        <w:instrText xml:space="preserve"> (LRD)</w:instrText>
      </w:r>
      <w:r>
        <w:rPr>
          <w:rFonts w:cs="Times New Roman" w:hint="eastAsia"/>
        </w:rPr>
        <w:instrText>、呼吸道感染、食物</w:instrText>
      </w:r>
      <w:r>
        <w:rPr>
          <w:rFonts w:cs="Times New Roman" w:hint="eastAsia"/>
        </w:rPr>
        <w:instrText>/</w:instrText>
      </w:r>
      <w:r>
        <w:rPr>
          <w:rFonts w:cs="Times New Roman" w:hint="eastAsia"/>
        </w:rPr>
        <w:instrText>水传播疾病</w:instrText>
      </w:r>
      <w:r>
        <w:rPr>
          <w:rFonts w:cs="Times New Roman" w:hint="eastAsia"/>
        </w:rPr>
        <w:instrText xml:space="preserve"> (FWBD) </w:instrText>
      </w:r>
      <w:r>
        <w:rPr>
          <w:rFonts w:cs="Times New Roman" w:hint="eastAsia"/>
        </w:rPr>
        <w:instrText>和受伤住院的影响，并与非暴风雪</w:instrText>
      </w:r>
      <w:r>
        <w:rPr>
          <w:rFonts w:cs="Times New Roman" w:hint="eastAsia"/>
        </w:rPr>
        <w:instrText>/</w:instrText>
      </w:r>
      <w:r>
        <w:rPr>
          <w:rFonts w:cs="Times New Roman" w:hint="eastAsia"/>
        </w:rPr>
        <w:instrText>非</w:instrText>
      </w:r>
      <w:r>
        <w:rPr>
          <w:rFonts w:cs="Times New Roman" w:hint="eastAsia"/>
        </w:rPr>
        <w:instrText xml:space="preserve"> PO </w:instrText>
      </w:r>
      <w:r>
        <w:rPr>
          <w:rFonts w:cs="Times New Roman" w:hint="eastAsia"/>
        </w:rPr>
        <w:instrText>期间（参考）进行比较，同时控制时变因素和</w:instrText>
      </w:r>
      <w:r>
        <w:rPr>
          <w:rFonts w:cs="Times New Roman" w:hint="eastAsia"/>
        </w:rPr>
        <w:instrText xml:space="preserve"> PM2.5</w:instrText>
      </w:r>
      <w:r>
        <w:rPr>
          <w:rFonts w:cs="Times New Roman" w:hint="eastAsia"/>
        </w:rPr>
        <w:instrText>。与风暴相关的住院情况按时间窗口进行描述。我们还计算了风暴</w:instrText>
      </w:r>
      <w:r>
        <w:rPr>
          <w:rFonts w:cs="Times New Roman" w:hint="eastAsia"/>
        </w:rPr>
        <w:instrText xml:space="preserve">/PO </w:instrText>
      </w:r>
      <w:r>
        <w:rPr>
          <w:rFonts w:cs="Times New Roman" w:hint="eastAsia"/>
        </w:rPr>
        <w:instrText>和对照期间危重症指标的变化。</w:instrText>
      </w:r>
      <w:r>
        <w:rPr>
          <w:rFonts w:cs="Times New Roman" w:hint="eastAsia"/>
        </w:rPr>
        <w:instrText>\n</w:instrText>
      </w:r>
      <w:r>
        <w:rPr>
          <w:rFonts w:cs="Times New Roman" w:hint="eastAsia"/>
        </w:rPr>
        <w:instrText>结果：我们发现暴风雪</w:instrText>
      </w:r>
      <w:r>
        <w:rPr>
          <w:rFonts w:cs="Times New Roman" w:hint="eastAsia"/>
        </w:rPr>
        <w:instrText xml:space="preserve">/PO </w:instrText>
      </w:r>
      <w:r>
        <w:rPr>
          <w:rFonts w:cs="Times New Roman" w:hint="eastAsia"/>
        </w:rPr>
        <w:instrText>的联合效应最强（风险比</w:instrText>
      </w:r>
      <w:r>
        <w:rPr>
          <w:rFonts w:cs="Times New Roman" w:hint="eastAsia"/>
        </w:rPr>
        <w:instrText xml:space="preserve"> (RR) </w:instrText>
      </w:r>
      <w:r>
        <w:rPr>
          <w:rFonts w:cs="Times New Roman" w:hint="eastAsia"/>
        </w:rPr>
        <w:instrText>范围：</w:instrText>
      </w:r>
      <w:r>
        <w:rPr>
          <w:rFonts w:cs="Times New Roman" w:hint="eastAsia"/>
        </w:rPr>
        <w:instrText>1.01-1.90</w:instrText>
      </w:r>
      <w:r>
        <w:rPr>
          <w:rFonts w:cs="Times New Roman" w:hint="eastAsia"/>
        </w:rPr>
        <w:instrText>），同时，暴风雪</w:instrText>
      </w:r>
      <w:r>
        <w:rPr>
          <w:rFonts w:cs="Times New Roman" w:hint="eastAsia"/>
        </w:rPr>
        <w:instrText xml:space="preserve">/PO </w:instrText>
      </w:r>
      <w:r>
        <w:rPr>
          <w:rFonts w:cs="Times New Roman" w:hint="eastAsia"/>
        </w:rPr>
        <w:instrText>对危重病人的影响也最大：</w:instrText>
      </w:r>
      <w:r>
        <w:rPr>
          <w:rFonts w:cs="Times New Roman" w:hint="eastAsia"/>
        </w:rPr>
        <w:instrText>1.01-1.90</w:instrText>
      </w:r>
      <w:r>
        <w:rPr>
          <w:rFonts w:cs="Times New Roman" w:hint="eastAsia"/>
        </w:rPr>
        <w:instrText>），其次是风暴单独影响（</w:instrText>
      </w:r>
      <w:r>
        <w:rPr>
          <w:rFonts w:cs="Times New Roman" w:hint="eastAsia"/>
        </w:rPr>
        <w:instrText>1.02-1.39</w:instrText>
      </w:r>
      <w:r>
        <w:rPr>
          <w:rFonts w:cs="Times New Roman" w:hint="eastAsia"/>
        </w:rPr>
        <w:instrText>），而</w:instrText>
      </w:r>
      <w:r>
        <w:rPr>
          <w:rFonts w:cs="Times New Roman" w:hint="eastAsia"/>
        </w:rPr>
        <w:instrText xml:space="preserve"> PO </w:instrText>
      </w:r>
      <w:r>
        <w:rPr>
          <w:rFonts w:cs="Times New Roman" w:hint="eastAsia"/>
        </w:rPr>
        <w:instrText>单独影响则不明显。冰风暴（</w:instrText>
      </w:r>
      <w:r>
        <w:rPr>
          <w:rFonts w:cs="Times New Roman" w:hint="eastAsia"/>
        </w:rPr>
        <w:instrText>RRs</w:instrText>
      </w:r>
      <w:r>
        <w:rPr>
          <w:rFonts w:cs="Times New Roman" w:hint="eastAsia"/>
        </w:rPr>
        <w:instrText>：</w:instrText>
      </w:r>
      <w:r>
        <w:rPr>
          <w:rFonts w:cs="Times New Roman" w:hint="eastAsia"/>
        </w:rPr>
        <w:instrText>1.04-3.15</w:instrText>
      </w:r>
      <w:r>
        <w:rPr>
          <w:rFonts w:cs="Times New Roman" w:hint="eastAsia"/>
        </w:rPr>
        <w:instrText>）比暴风雪（</w:instrText>
      </w:r>
      <w:r>
        <w:rPr>
          <w:rFonts w:cs="Times New Roman" w:hint="eastAsia"/>
        </w:rPr>
        <w:instrText>RRs</w:instrText>
      </w:r>
      <w:r>
        <w:rPr>
          <w:rFonts w:cs="Times New Roman" w:hint="eastAsia"/>
        </w:rPr>
        <w:instrText>：</w:instrText>
      </w:r>
      <w:r>
        <w:rPr>
          <w:rFonts w:cs="Times New Roman" w:hint="eastAsia"/>
        </w:rPr>
        <w:instrText>1.03-2.21</w:instrText>
      </w:r>
      <w:r>
        <w:rPr>
          <w:rFonts w:cs="Times New Roman" w:hint="eastAsia"/>
        </w:rPr>
        <w:instrText>）的影响更大。暴风雪</w:instrText>
      </w:r>
      <w:r>
        <w:rPr>
          <w:rFonts w:cs="Times New Roman" w:hint="eastAsia"/>
        </w:rPr>
        <w:instrText xml:space="preserve">/PO </w:instrText>
      </w:r>
      <w:r>
        <w:rPr>
          <w:rFonts w:cs="Times New Roman" w:hint="eastAsia"/>
        </w:rPr>
        <w:instrText>与健康之间的关联会立即发生，有的甚至会持续整整一周，这种关联在秋冬季、</w:instrText>
      </w:r>
      <w:r>
        <w:rPr>
          <w:rFonts w:cs="Times New Roman" w:hint="eastAsia"/>
        </w:rPr>
        <w:instrText xml:space="preserve">10 </w:instrText>
      </w:r>
      <w:r>
        <w:rPr>
          <w:rFonts w:cs="Times New Roman" w:hint="eastAsia"/>
        </w:rPr>
        <w:instrText>月</w:instrText>
      </w:r>
      <w:r>
        <w:rPr>
          <w:rFonts w:cs="Times New Roman" w:hint="eastAsia"/>
        </w:rPr>
        <w:instrText xml:space="preserve">/11 </w:instrText>
      </w:r>
      <w:r>
        <w:rPr>
          <w:rFonts w:cs="Times New Roman" w:hint="eastAsia"/>
        </w:rPr>
        <w:instrText>月时更为强烈，并在下午</w:instrText>
      </w:r>
      <w:r>
        <w:rPr>
          <w:rFonts w:cs="Times New Roman" w:hint="eastAsia"/>
        </w:rPr>
        <w:instrText xml:space="preserve"> 3:00-8:00 </w:instrText>
      </w:r>
      <w:r>
        <w:rPr>
          <w:rFonts w:cs="Times New Roman" w:hint="eastAsia"/>
        </w:rPr>
        <w:instrText>之间达到高峰。</w:instrText>
      </w:r>
      <w:r>
        <w:rPr>
          <w:rFonts w:cs="Times New Roman" w:hint="eastAsia"/>
        </w:rPr>
        <w:instrText>\n</w:instrText>
      </w:r>
      <w:r>
        <w:rPr>
          <w:rFonts w:cs="Times New Roman" w:hint="eastAsia"/>
        </w:rPr>
        <w:instrText>结论冬季暴风雪会增加多种疾病、并发症和医疗费用，尤其是伴有</w:instrText>
      </w:r>
      <w:r>
        <w:rPr>
          <w:rFonts w:cs="Times New Roman" w:hint="eastAsia"/>
        </w:rPr>
        <w:instrText xml:space="preserve"> PO </w:instrText>
      </w:r>
      <w:r>
        <w:rPr>
          <w:rFonts w:cs="Times New Roman" w:hint="eastAsia"/>
        </w:rPr>
        <w:instrText>或冰风暴时。在过渡月份和下午高峰时段，早期预警和预防可能至关重要。</w:instrText>
      </w:r>
      <w:r>
        <w:rPr>
          <w:rFonts w:cs="Times New Roman" w:hint="eastAsia"/>
        </w:rPr>
        <w:instrText>","page":"110924","source":"7.7","title</w:instrText>
      </w:r>
      <w:r>
        <w:rPr>
          <w:rFonts w:cs="Times New Roman"/>
        </w:rPr>
        <w:instrText>":"The immediate effects of winter storms and power outages on multiple health outcomes and the time windows of vulnerability","volume":"196","author":[{"family":"Lin","given":"Shao"},{"family":"Zhang","given":"Wangjian"},{"family":"Sheridan","given":"Scott"},{"family":"Mongillo","given":"Melanie"},{"family":"DiRienzo","given":"Stephen"},{"family":"Stuart","given":"Neil A."},{"family":"Stern","given":"Eric K."},{"family":"Birkhead","given":"Guthrie"},{"family":"Dong","given":"Guanghui"},{"family":"Wu","given":"Shaowei"},{"family":"Chowdhury","given":"Shahriar"},{"family":"Primeau","given":"Michael J."},{"family":"Hao","given":"Yuantao"},{"family":"Romeiko","given":"Xiaobo X."}],"issued":{"date-parts":[["2021",5]]}}},{"id":4622,"uris":["http://zotero.org/users/12445093/items/HEFADSM6"],"itemData":{"id":4622,"type":"article-journal","abstract":"Background: There is little work in assessing the impact of storm events combined with power outage (PO). In this study, we evaluated the individual and synergistic impacts of wind events and PO on overall and subtypes of injuries in New York State (NYS) and by demographics.\nMethods: The emergency department (ED) visit data were obtained from the NYS Department of Health from November–April 2005–2013 to identify injury cases, length of stay and care costs. Wind event was deﬁned according to high wind, strong wind or thunderstorm wind deﬁned by NOAA. PO occurrence was deﬁned when PO coverage exceeded the 50th percentile of its distribution. By comparing non-event days, we used distributed lag nonlinear models to evaluate the impacts of wind events, PO, and their combined effect on injuries during the cold season over a 0-3-day lag period, while controlling for time-varying confounders. The differences in critical care indicators between event and non-event days were also evaluated.\nResults: Overall injuries ED visits (16,628,812) signiﬁcantly increased during the wind events (highest Risk Ratio (RR): 1.05; 95% CI: 1.02–1.08), and were highest when wind events cooccu</w:instrText>
      </w:r>
      <w:r>
        <w:rPr>
          <w:rFonts w:cs="Times New Roman" w:hint="eastAsia"/>
        </w:rPr>
        <w:instrText>rred with PO (highest RR: 1.14; 95% CI: 1.10</w:instrText>
      </w:r>
      <w:r>
        <w:rPr>
          <w:rFonts w:cs="Times New Roman" w:hint="eastAsia"/>
        </w:rPr>
        <w:instrText>–</w:instrText>
      </w:r>
      <w:r>
        <w:rPr>
          <w:rFonts w:cs="Times New Roman" w:hint="eastAsia"/>
        </w:rPr>
        <w:instrText>1.18), but not during PO alone (RR: 1.00; 95%CI: 0.96</w:instrText>
      </w:r>
      <w:r>
        <w:rPr>
          <w:rFonts w:cs="Times New Roman" w:hint="eastAsia"/>
        </w:rPr>
        <w:instrText>–</w:instrText>
      </w:r>
      <w:r>
        <w:rPr>
          <w:rFonts w:cs="Times New Roman" w:hint="eastAsia"/>
        </w:rPr>
        <w:instrText>1.04). The increase was also observed with all subgroups through Day 2 after the event. Greater risks exist for older adults (</w:instrText>
      </w:r>
      <w:r>
        <w:rPr>
          <w:rFonts w:cs="Times New Roman" w:hint="eastAsia"/>
        </w:rPr>
        <w:instrText>≥</w:instrText>
      </w:r>
      <w:r>
        <w:rPr>
          <w:rFonts w:cs="Times New Roman" w:hint="eastAsia"/>
        </w:rPr>
        <w:instrText>65 years) and those on Medica</w:instrText>
      </w:r>
      <w:r>
        <w:rPr>
          <w:rFonts w:cs="Times New Roman"/>
        </w:rPr>
        <w:instrText>id. After the joint occurrences of wind events and PO, average visits are 0.2 days longer, and cost 13% more, compared to no wind/no PO days.\nConclusion: There is a signiﬁcant increase in ED visits, length of stay and cost of injuries during wind events, especially when they coupled with PO and especially among older cases and Medicaid holders. Our ﬁndings may be used for planning disaster preparedness and recovery efforts.","call-number":"2","container-title":"Science of The Total Environment","DOI":"10.1016/j.scitotenv.2021.149199","ISSN":"00489697","journalAbbreviation":"Science of The Total Environment","language":"en","note":"TLDR: There is a significant increase in ED visits, length of stay and cost of injuries during wind events, especially when t</w:instrText>
      </w:r>
      <w:r>
        <w:rPr>
          <w:rFonts w:cs="Times New Roman" w:hint="eastAsia"/>
        </w:rPr>
        <w:instrText xml:space="preserve">hey coupled with PO and especially among older cases and Medicaid holders.\ntitleTranslation: </w:instrText>
      </w:r>
      <w:r>
        <w:rPr>
          <w:rFonts w:cs="Times New Roman" w:hint="eastAsia"/>
        </w:rPr>
        <w:instrText>暴风雪和停电对纽约州伤害急诊就诊的单独和协同影响</w:instrText>
      </w:r>
      <w:r>
        <w:rPr>
          <w:rFonts w:cs="Times New Roman" w:hint="eastAsia"/>
        </w:rPr>
        <w:instrText xml:space="preserve">\nabstractTranslation: </w:instrText>
      </w:r>
      <w:r>
        <w:rPr>
          <w:rFonts w:cs="Times New Roman" w:hint="eastAsia"/>
        </w:rPr>
        <w:instrText>背景：在评估暴风事件与停电（</w:instrText>
      </w:r>
      <w:r>
        <w:rPr>
          <w:rFonts w:cs="Times New Roman" w:hint="eastAsia"/>
        </w:rPr>
        <w:instrText>PO</w:instrText>
      </w:r>
      <w:r>
        <w:rPr>
          <w:rFonts w:cs="Times New Roman" w:hint="eastAsia"/>
        </w:rPr>
        <w:instrText>）结合造成的影响方面鲜有研究。在本研究中，我们评估了风灾和停电对纽约州（</w:instrText>
      </w:r>
      <w:r>
        <w:rPr>
          <w:rFonts w:cs="Times New Roman" w:hint="eastAsia"/>
        </w:rPr>
        <w:instrText>NYS</w:instrText>
      </w:r>
      <w:r>
        <w:rPr>
          <w:rFonts w:cs="Times New Roman" w:hint="eastAsia"/>
        </w:rPr>
        <w:instrText>）总体伤害和亚型伤害的单独和协同影响，并按人口统计进行了分类。</w:instrText>
      </w:r>
      <w:r>
        <w:rPr>
          <w:rFonts w:cs="Times New Roman" w:hint="eastAsia"/>
        </w:rPr>
        <w:instrText>\n</w:instrText>
      </w:r>
      <w:r>
        <w:rPr>
          <w:rFonts w:cs="Times New Roman" w:hint="eastAsia"/>
        </w:rPr>
        <w:instrText>研究方法：从纽约州卫生部获得了</w:instrText>
      </w:r>
      <w:r>
        <w:rPr>
          <w:rFonts w:cs="Times New Roman" w:hint="eastAsia"/>
        </w:rPr>
        <w:instrText xml:space="preserve"> 2005 </w:instrText>
      </w:r>
      <w:r>
        <w:rPr>
          <w:rFonts w:cs="Times New Roman" w:hint="eastAsia"/>
        </w:rPr>
        <w:instrText>年</w:instrText>
      </w:r>
      <w:r>
        <w:rPr>
          <w:rFonts w:cs="Times New Roman" w:hint="eastAsia"/>
        </w:rPr>
        <w:instrText xml:space="preserve"> 11 </w:instrText>
      </w:r>
      <w:r>
        <w:rPr>
          <w:rFonts w:cs="Times New Roman" w:hint="eastAsia"/>
        </w:rPr>
        <w:instrText>月至</w:instrText>
      </w:r>
      <w:r>
        <w:rPr>
          <w:rFonts w:cs="Times New Roman" w:hint="eastAsia"/>
        </w:rPr>
        <w:instrText xml:space="preserve"> 2013 </w:instrText>
      </w:r>
      <w:r>
        <w:rPr>
          <w:rFonts w:cs="Times New Roman" w:hint="eastAsia"/>
        </w:rPr>
        <w:instrText>年</w:instrText>
      </w:r>
      <w:r>
        <w:rPr>
          <w:rFonts w:cs="Times New Roman" w:hint="eastAsia"/>
        </w:rPr>
        <w:instrText xml:space="preserve"> 4 </w:instrText>
      </w:r>
      <w:r>
        <w:rPr>
          <w:rFonts w:cs="Times New Roman" w:hint="eastAsia"/>
        </w:rPr>
        <w:instrText>月期间的急诊科（</w:instrText>
      </w:r>
      <w:r>
        <w:rPr>
          <w:rFonts w:cs="Times New Roman" w:hint="eastAsia"/>
        </w:rPr>
        <w:instrText>ED</w:instrText>
      </w:r>
      <w:r>
        <w:rPr>
          <w:rFonts w:cs="Times New Roman" w:hint="eastAsia"/>
        </w:rPr>
        <w:instrText>）就诊数据，以确定受伤病例、住院时间和护理成本。风力事件根据诺阿（</w:instrText>
      </w:r>
      <w:r>
        <w:rPr>
          <w:rFonts w:cs="Times New Roman" w:hint="eastAsia"/>
        </w:rPr>
        <w:instrText>NOAA</w:instrText>
      </w:r>
      <w:r>
        <w:rPr>
          <w:rFonts w:cs="Times New Roman" w:hint="eastAsia"/>
        </w:rPr>
        <w:instrText>）定义的大风、强风或雷暴风进行判定。当</w:instrText>
      </w:r>
      <w:r>
        <w:rPr>
          <w:rFonts w:cs="Times New Roman" w:hint="eastAsia"/>
        </w:rPr>
        <w:instrText xml:space="preserve"> PO </w:instrText>
      </w:r>
      <w:r>
        <w:rPr>
          <w:rFonts w:cs="Times New Roman" w:hint="eastAsia"/>
        </w:rPr>
        <w:instrText>覆盖率超过其分布的第</w:instrText>
      </w:r>
      <w:r>
        <w:rPr>
          <w:rFonts w:cs="Times New Roman" w:hint="eastAsia"/>
        </w:rPr>
        <w:instrText xml:space="preserve"> 50 </w:instrText>
      </w:r>
      <w:r>
        <w:rPr>
          <w:rFonts w:cs="Times New Roman" w:hint="eastAsia"/>
        </w:rPr>
        <w:instrText>百分位数时，即判定为发生了</w:instrText>
      </w:r>
      <w:r>
        <w:rPr>
          <w:rFonts w:cs="Times New Roman" w:hint="eastAsia"/>
        </w:rPr>
        <w:instrText xml:space="preserve"> PO</w:instrText>
      </w:r>
      <w:r>
        <w:rPr>
          <w:rFonts w:cs="Times New Roman" w:hint="eastAsia"/>
        </w:rPr>
        <w:instrText>。通过比较非事件日，我们使用分布式滞后非线性模型来评估风事件、</w:instrText>
      </w:r>
      <w:r>
        <w:rPr>
          <w:rFonts w:cs="Times New Roman" w:hint="eastAsia"/>
        </w:rPr>
        <w:instrText xml:space="preserve">PO </w:instrText>
      </w:r>
      <w:r>
        <w:rPr>
          <w:rFonts w:cs="Times New Roman" w:hint="eastAsia"/>
        </w:rPr>
        <w:instrText>以及它们在</w:instrText>
      </w:r>
      <w:r>
        <w:rPr>
          <w:rFonts w:cs="Times New Roman" w:hint="eastAsia"/>
        </w:rPr>
        <w:instrText xml:space="preserve"> 0-3 </w:instrText>
      </w:r>
      <w:r>
        <w:rPr>
          <w:rFonts w:cs="Times New Roman" w:hint="eastAsia"/>
        </w:rPr>
        <w:instrText>天滞后期内对寒冷季节伤害的综合影响，同时控制随时间变化的混杂因素。同时还评估了事件日与非事件日之间危重症护理指标的差异。</w:instrText>
      </w:r>
      <w:r>
        <w:rPr>
          <w:rFonts w:cs="Times New Roman" w:hint="eastAsia"/>
        </w:rPr>
        <w:instrText>\n</w:instrText>
      </w:r>
      <w:r>
        <w:rPr>
          <w:rFonts w:cs="Times New Roman" w:hint="eastAsia"/>
        </w:rPr>
        <w:instrText>结果显示在风灾期间，急诊室就诊总人数（</w:instrText>
      </w:r>
      <w:r>
        <w:rPr>
          <w:rFonts w:cs="Times New Roman" w:hint="eastAsia"/>
        </w:rPr>
        <w:instrText xml:space="preserve">16,628,812 </w:instrText>
      </w:r>
      <w:r>
        <w:rPr>
          <w:rFonts w:cs="Times New Roman" w:hint="eastAsia"/>
        </w:rPr>
        <w:instrText>人次）显著增加（最高风险比</w:instrText>
      </w:r>
      <w:r>
        <w:rPr>
          <w:rFonts w:cs="Times New Roman" w:hint="eastAsia"/>
        </w:rPr>
        <w:instrText xml:space="preserve"> (RR)</w:instrText>
      </w:r>
      <w:r>
        <w:rPr>
          <w:rFonts w:cs="Times New Roman" w:hint="eastAsia"/>
        </w:rPr>
        <w:instrText>：</w:instrText>
      </w:r>
      <w:r>
        <w:rPr>
          <w:rFonts w:cs="Times New Roman" w:hint="eastAsia"/>
        </w:rPr>
        <w:instrText>1.05; 95% CI</w:instrText>
      </w:r>
      <w:r>
        <w:rPr>
          <w:rFonts w:cs="Times New Roman" w:hint="eastAsia"/>
        </w:rPr>
        <w:instrText>）：</w:instrText>
      </w:r>
      <w:r>
        <w:rPr>
          <w:rFonts w:cs="Times New Roman" w:hint="eastAsia"/>
        </w:rPr>
        <w:instrText>1.05</w:instrText>
      </w:r>
      <w:r>
        <w:rPr>
          <w:rFonts w:cs="Times New Roman" w:hint="eastAsia"/>
        </w:rPr>
        <w:instrText>；</w:instrText>
      </w:r>
      <w:r>
        <w:rPr>
          <w:rFonts w:cs="Times New Roman" w:hint="eastAsia"/>
        </w:rPr>
        <w:instrText>95% CI</w:instrText>
      </w:r>
      <w:r>
        <w:rPr>
          <w:rFonts w:cs="Times New Roman" w:hint="eastAsia"/>
        </w:rPr>
        <w:instrText>：</w:instrText>
      </w:r>
      <w:r>
        <w:rPr>
          <w:rFonts w:cs="Times New Roman" w:hint="eastAsia"/>
        </w:rPr>
        <w:instrText>1.02-1.08</w:instrText>
      </w:r>
      <w:r>
        <w:rPr>
          <w:rFonts w:cs="Times New Roman" w:hint="eastAsia"/>
        </w:rPr>
        <w:instrText>），在风灾与疫情同时发生时最高（最高风险比：</w:instrText>
      </w:r>
      <w:r>
        <w:rPr>
          <w:rFonts w:cs="Times New Roman" w:hint="eastAsia"/>
        </w:rPr>
        <w:instrText>1.14</w:instrText>
      </w:r>
      <w:r>
        <w:rPr>
          <w:rFonts w:cs="Times New Roman" w:hint="eastAsia"/>
        </w:rPr>
        <w:instrText>；</w:instrText>
      </w:r>
      <w:r>
        <w:rPr>
          <w:rFonts w:cs="Times New Roman" w:hint="eastAsia"/>
        </w:rPr>
        <w:instrText>95% CI</w:instrText>
      </w:r>
      <w:r>
        <w:rPr>
          <w:rFonts w:cs="Times New Roman" w:hint="eastAsia"/>
        </w:rPr>
        <w:instrText>：</w:instrText>
      </w:r>
      <w:r>
        <w:rPr>
          <w:rFonts w:cs="Times New Roman" w:hint="eastAsia"/>
        </w:rPr>
        <w:instrText>1.10-1.18</w:instrText>
      </w:r>
      <w:r>
        <w:rPr>
          <w:rFonts w:cs="Times New Roman" w:hint="eastAsia"/>
        </w:rPr>
        <w:instrText>），而在疫情单独发生时则没有（风险比：</w:instrText>
      </w:r>
      <w:r>
        <w:rPr>
          <w:rFonts w:cs="Times New Roman" w:hint="eastAsia"/>
        </w:rPr>
        <w:instrText>1.00</w:instrText>
      </w:r>
      <w:r>
        <w:rPr>
          <w:rFonts w:cs="Times New Roman" w:hint="eastAsia"/>
        </w:rPr>
        <w:instrText>；</w:instrText>
      </w:r>
      <w:r>
        <w:rPr>
          <w:rFonts w:cs="Times New Roman" w:hint="eastAsia"/>
        </w:rPr>
        <w:instrText>95%CI</w:instrText>
      </w:r>
      <w:r>
        <w:rPr>
          <w:rFonts w:cs="Times New Roman" w:hint="eastAsia"/>
        </w:rPr>
        <w:instrText>：</w:instrText>
      </w:r>
      <w:r>
        <w:rPr>
          <w:rFonts w:cs="Times New Roman" w:hint="eastAsia"/>
        </w:rPr>
        <w:instrText>0.96-1.04</w:instrText>
      </w:r>
      <w:r>
        <w:rPr>
          <w:rFonts w:cs="Times New Roman" w:hint="eastAsia"/>
        </w:rPr>
        <w:instrText>）。在事件发生后的第</w:instrText>
      </w:r>
      <w:r>
        <w:rPr>
          <w:rFonts w:cs="Times New Roman" w:hint="eastAsia"/>
        </w:rPr>
        <w:instrText xml:space="preserve"> 2 </w:instrText>
      </w:r>
      <w:r>
        <w:rPr>
          <w:rFonts w:cs="Times New Roman" w:hint="eastAsia"/>
        </w:rPr>
        <w:instrText>天，所有亚组也都观察到了这种增加。老年人（≥</w:instrText>
      </w:r>
      <w:r>
        <w:rPr>
          <w:rFonts w:cs="Times New Roman" w:hint="eastAsia"/>
        </w:rPr>
        <w:instrText xml:space="preserve">65 </w:instrText>
      </w:r>
      <w:r>
        <w:rPr>
          <w:rFonts w:cs="Times New Roman" w:hint="eastAsia"/>
        </w:rPr>
        <w:instrText>岁）和享受医疗补助者的风险更大。与无风</w:instrText>
      </w:r>
      <w:r>
        <w:rPr>
          <w:rFonts w:cs="Times New Roman" w:hint="eastAsia"/>
        </w:rPr>
        <w:instrText>/</w:instrText>
      </w:r>
      <w:r>
        <w:rPr>
          <w:rFonts w:cs="Times New Roman" w:hint="eastAsia"/>
        </w:rPr>
        <w:instrText>无</w:instrText>
      </w:r>
      <w:r>
        <w:rPr>
          <w:rFonts w:cs="Times New Roman" w:hint="eastAsia"/>
        </w:rPr>
        <w:instrText xml:space="preserve"> PO </w:instrText>
      </w:r>
      <w:r>
        <w:rPr>
          <w:rFonts w:cs="Times New Roman" w:hint="eastAsia"/>
        </w:rPr>
        <w:instrText>日相比，联合发生风事件和</w:instrText>
      </w:r>
      <w:r>
        <w:rPr>
          <w:rFonts w:cs="Times New Roman" w:hint="eastAsia"/>
        </w:rPr>
        <w:instrText xml:space="preserve"> PO </w:instrText>
      </w:r>
      <w:r>
        <w:rPr>
          <w:rFonts w:cs="Times New Roman" w:hint="eastAsia"/>
        </w:rPr>
        <w:instrText>后，平均就诊时间延长</w:instrText>
      </w:r>
      <w:r>
        <w:rPr>
          <w:rFonts w:cs="Times New Roman" w:hint="eastAsia"/>
        </w:rPr>
        <w:instrText xml:space="preserve"> 0.2 </w:instrText>
      </w:r>
      <w:r>
        <w:rPr>
          <w:rFonts w:cs="Times New Roman" w:hint="eastAsia"/>
        </w:rPr>
        <w:instrText>天，费用增加</w:instrText>
      </w:r>
      <w:r>
        <w:rPr>
          <w:rFonts w:cs="Times New Roman" w:hint="eastAsia"/>
        </w:rPr>
        <w:instrText xml:space="preserve"> 13%</w:instrText>
      </w:r>
      <w:r>
        <w:rPr>
          <w:rFonts w:cs="Times New Roman" w:hint="eastAsia"/>
        </w:rPr>
        <w:instrText>。</w:instrText>
      </w:r>
      <w:r>
        <w:rPr>
          <w:rFonts w:cs="Times New Roman" w:hint="eastAsia"/>
        </w:rPr>
        <w:instrText>\n</w:instrText>
      </w:r>
      <w:r>
        <w:rPr>
          <w:rFonts w:cs="Times New Roman" w:hint="eastAsia"/>
        </w:rPr>
        <w:instrText>结论在风灾期间，特别是在风灾和溺水事件同时发生时，尤其是在年龄较大的病例和医疗补助持有者中，急诊室就诊人次、住院时间和受伤费用都会显著增加。我们的发现可用于规划备灾和恢复工作。</w:instrText>
      </w:r>
      <w:r>
        <w:rPr>
          <w:rFonts w:cs="Times New Roman" w:hint="eastAsia"/>
        </w:rPr>
        <w:instrText>","page":"149199","source":"8.2","title":"The individual and synergistic impacts of windstorms and power outages on injury ED visits in New York State","volume":"797","author":[{"family"</w:instrText>
      </w:r>
      <w:r>
        <w:rPr>
          <w:rFonts w:cs="Times New Roman"/>
        </w:rPr>
        <w:instrText xml:space="preserve">:"Sheridan","given":"Scott C."},{"family":"Zhang","given":"Wangjian"},{"family":"Deng","given":"Xinlei"},{"family":"Lin","given":"Shao"}],"issued":{"date-parts":[["2021",11]]}}},{"id":4629,"uris":["http://zotero.org/users/12445093/items/9Q29C539"],"itemData":{"id":4629,"type":"article-journal","call-number":"1","container-title":"Chest","DOI":"10.1016/j.chest.2020.05.555","ISSN":"00123692","issue":"6","journalAbbreviation":"Chest","language":"en","note":"TLDR: Power outages were associated with a significantly elevated rate of COPD hospitalization as well as greater costs and number of comorbidities, which was elevated in all clinical severity groups.\ntitleTranslation: Power Outage An Ignored Risk Factor for COPD Exacerbations","page":"2346-2357","source":"9.5","title":"Power Outage An Ignored Risk Factor for COPD Exacerbations","volume":"158","author":[{"family":"Zhang","given":"Wangjian"},{"family":"Sheridan","given":"Scott C."},{"family":"Birkhead","given":"Guthrie S."},{"family":"Croft","given":"Daniel P."},{"family":"Brotzge","given":"Jerald A."},{"family":"Justino","given":"John G."},{"family":"Stuart","given":"Neil A."},{"family":"Du","given":"Zhicheng"},{"family":"Romeiko","given":"Xiaobo X."},{"family":"Ye","given":"Bo"},{"family":"Dong","given":"Guanghui"},{"family":"Hao","given":"Yuantao"},{"family":"Lin","given":"Shao"}],"issued":{"date-parts":[["2020",12]]}}}],"schema":"https://github.com/citation-style-language/schema/raw/master/csl-citation.json"} </w:instrText>
      </w:r>
      <w:r>
        <w:rPr>
          <w:rFonts w:cs="Times New Roman"/>
        </w:rPr>
        <w:fldChar w:fldCharType="separate"/>
      </w:r>
      <w:r>
        <w:rPr>
          <w:rFonts w:cs="Times New Roman"/>
          <w:noProof/>
        </w:rPr>
        <w:t>(Deng et al., 2022; Lin et al., 2021; Sheridan et al., 2021; Zhang et al., 2020)</w:t>
      </w:r>
      <w:r>
        <w:rPr>
          <w:rFonts w:cs="Times New Roman"/>
        </w:rPr>
        <w:fldChar w:fldCharType="end"/>
      </w:r>
      <w:r>
        <w:rPr>
          <w:rFonts w:cs="Times New Roman"/>
        </w:rPr>
        <w:t xml:space="preserve">. </w:t>
      </w:r>
    </w:p>
    <w:p w14:paraId="4AB40209" w14:textId="77777777" w:rsidR="007B42DE" w:rsidRPr="007453E6" w:rsidRDefault="007B42DE" w:rsidP="007B42DE">
      <w:pPr>
        <w:rPr>
          <w:rFonts w:cs="Times New Roman"/>
        </w:rPr>
      </w:pPr>
    </w:p>
    <w:p w14:paraId="76BEF81F" w14:textId="77777777" w:rsidR="007B42DE" w:rsidRPr="007453E6" w:rsidRDefault="007B42DE" w:rsidP="007B42DE">
      <w:pPr>
        <w:rPr>
          <w:rFonts w:cs="Times New Roman"/>
          <w:i/>
          <w:iCs/>
        </w:rPr>
      </w:pPr>
      <w:r w:rsidRPr="007453E6">
        <w:rPr>
          <w:rFonts w:cs="Times New Roman"/>
          <w:i/>
          <w:iCs/>
        </w:rPr>
        <w:t>Creating Binary Indicators</w:t>
      </w:r>
    </w:p>
    <w:p w14:paraId="740EAAD2" w14:textId="63408E8E" w:rsidR="007B42DE" w:rsidRDefault="007B42DE" w:rsidP="007B42DE">
      <w:pPr>
        <w:rPr>
          <w:rFonts w:cs="Times New Roman"/>
        </w:rPr>
      </w:pPr>
      <w:r w:rsidRPr="007453E6">
        <w:rPr>
          <w:rFonts w:cs="Times New Roman"/>
        </w:rPr>
        <w:t xml:space="preserve">For each threshold level, I create binary indicators that flag whether each 15-minute observation exceeds that threshold: </w:t>
      </w:r>
    </w:p>
    <w:p w14:paraId="6B07EC09" w14:textId="596F5943" w:rsidR="00C348EC" w:rsidRPr="007453E6" w:rsidRDefault="00000000" w:rsidP="007B42DE">
      <w:pPr>
        <w:rPr>
          <w:rFonts w:cs="Times New Roman"/>
        </w:rPr>
      </w:pPr>
      <m:oMathPara>
        <m:oMath>
          <m:sSub>
            <m:sSubPr>
              <m:ctrlPr>
                <w:rPr>
                  <w:rFonts w:ascii="Cambria Math" w:hAnsi="Cambria Math" w:cs="Times New Roman"/>
                </w:rPr>
              </m:ctrlPr>
            </m:sSubPr>
            <m:e>
              <m:r>
                <m:rPr>
                  <m:nor/>
                </m:rPr>
                <w:rPr>
                  <w:rFonts w:cs="Times New Roman"/>
                </w:rPr>
                <m:t xml:space="preserve"> Flag </m:t>
              </m:r>
            </m:e>
            <m:sub>
              <m:r>
                <w:rPr>
                  <w:rFonts w:ascii="Cambria Math" w:hAnsi="Cambria Math" w:cs="Times New Roman"/>
                </w:rPr>
                <m:t>i,</m:t>
              </m:r>
              <m:r>
                <m:rPr>
                  <m:nor/>
                </m:rPr>
                <w:rPr>
                  <w:rFonts w:cs="Times New Roman"/>
                </w:rPr>
                <m:t xml:space="preserve"> threshold </m:t>
              </m:r>
            </m:sub>
          </m:sSub>
          <m: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r>
                    <w:rPr>
                      <w:rFonts w:ascii="Cambria Math" w:hAnsi="Cambria Math" w:cs="Times New Roman"/>
                    </w:rPr>
                    <m:t>&amp;1    &amp;&amp;</m:t>
                  </m:r>
                  <m:r>
                    <m:rPr>
                      <m:nor/>
                    </m:rPr>
                    <w:rPr>
                      <w:rFonts w:cs="Times New Roman"/>
                    </w:rPr>
                    <m:t xml:space="preserve"> if outage rate </m:t>
                  </m:r>
                  <m:r>
                    <w:rPr>
                      <w:rFonts w:ascii="Cambria Math" w:hAnsi="Cambria Math" w:cs="Times New Roman"/>
                    </w:rPr>
                    <m:t>i&gt;</m:t>
                  </m:r>
                  <m:r>
                    <m:rPr>
                      <m:nor/>
                    </m:rPr>
                    <w:rPr>
                      <w:rFonts w:cs="Times New Roman"/>
                    </w:rPr>
                    <m:t xml:space="preserve"> threshold </m:t>
                  </m:r>
                </m:e>
                <m:e>
                  <m:r>
                    <w:rPr>
                      <w:rFonts w:ascii="Cambria Math" w:hAnsi="Cambria Math" w:cs="Times New Roman"/>
                    </w:rPr>
                    <m:t>&amp;0    &amp;&amp;</m:t>
                  </m:r>
                  <m:r>
                    <m:rPr>
                      <m:nor/>
                    </m:rPr>
                    <w:rPr>
                      <w:rFonts w:cs="Times New Roman"/>
                    </w:rPr>
                    <m:t xml:space="preserve"> otherwise </m:t>
                  </m:r>
                </m:e>
              </m:eqArr>
            </m:e>
          </m:d>
        </m:oMath>
      </m:oMathPara>
    </w:p>
    <w:p w14:paraId="71BC3BB0" w14:textId="77777777" w:rsidR="007B42DE" w:rsidRPr="007453E6" w:rsidRDefault="007B42DE" w:rsidP="007B42DE">
      <w:pPr>
        <w:rPr>
          <w:rFonts w:cs="Times New Roman"/>
          <w:i/>
          <w:iCs/>
        </w:rPr>
      </w:pPr>
      <w:r w:rsidRPr="007453E6">
        <w:rPr>
          <w:rFonts w:cs="Times New Roman"/>
          <w:i/>
          <w:iCs/>
        </w:rPr>
        <w:t>Identifying Continuous Outage Episodes</w:t>
      </w:r>
    </w:p>
    <w:p w14:paraId="5D4AC373" w14:textId="77777777" w:rsidR="007B42DE" w:rsidRPr="007453E6" w:rsidRDefault="007B42DE" w:rsidP="007B42DE">
      <w:pPr>
        <w:rPr>
          <w:rFonts w:cs="Times New Roman"/>
        </w:rPr>
      </w:pPr>
      <w:r w:rsidRPr="007453E6">
        <w:rPr>
          <w:rFonts w:cs="Times New Roman"/>
        </w:rPr>
        <w:t xml:space="preserve">Raw data consist of 15-minute snapshots. A single outage event might appear as multiple consecutive flagged observations, or there might be brief gaps in reporting during a continuous outage. Simply counting flagged observations would overestimate the number of distinct outage events. </w:t>
      </w:r>
    </w:p>
    <w:p w14:paraId="1838FE01" w14:textId="77777777" w:rsidR="007B42DE" w:rsidRPr="007453E6" w:rsidRDefault="007B42DE" w:rsidP="007B42DE">
      <w:pPr>
        <w:rPr>
          <w:rFonts w:cs="Times New Roman"/>
        </w:rPr>
      </w:pPr>
      <w:r>
        <w:rPr>
          <w:rFonts w:cs="Times New Roman"/>
        </w:rPr>
        <w:t>We</w:t>
      </w:r>
      <w:r w:rsidRPr="007453E6">
        <w:rPr>
          <w:rFonts w:cs="Times New Roman"/>
        </w:rPr>
        <w:t xml:space="preserve"> identify continuous outage episodes by examining the temporal relationship between flagged observations within each ZIP code-provider combination. Two key rules used in episode formation:</w:t>
      </w:r>
    </w:p>
    <w:p w14:paraId="5D751D11" w14:textId="77777777" w:rsidR="007B42DE" w:rsidRPr="007453E6" w:rsidRDefault="007B42DE" w:rsidP="007B42DE">
      <w:pPr>
        <w:pStyle w:val="ListParagraph"/>
        <w:numPr>
          <w:ilvl w:val="0"/>
          <w:numId w:val="6"/>
        </w:numPr>
        <w:ind w:left="0" w:firstLine="0"/>
        <w:contextualSpacing/>
        <w:rPr>
          <w:rFonts w:cs="Times New Roman"/>
        </w:rPr>
      </w:pPr>
      <w:r w:rsidRPr="007453E6">
        <w:rPr>
          <w:rFonts w:cs="Times New Roman"/>
        </w:rPr>
        <w:t xml:space="preserve">Continuity Rule: Consecutive flagged observations separated by 25 minutes or less are considered part of the same episode. This accounts for minor data collection gaps while preserving episode integrity. </w:t>
      </w:r>
    </w:p>
    <w:p w14:paraId="70E8F18F" w14:textId="77777777" w:rsidR="007B42DE" w:rsidRPr="007453E6" w:rsidRDefault="007B42DE" w:rsidP="007B42DE">
      <w:pPr>
        <w:pStyle w:val="ListParagraph"/>
        <w:numPr>
          <w:ilvl w:val="0"/>
          <w:numId w:val="6"/>
        </w:numPr>
        <w:ind w:left="0" w:firstLine="0"/>
        <w:contextualSpacing/>
        <w:rPr>
          <w:rFonts w:cs="Times New Roman"/>
        </w:rPr>
      </w:pPr>
      <w:r w:rsidRPr="007453E6">
        <w:rPr>
          <w:rFonts w:cs="Times New Roman"/>
        </w:rPr>
        <w:t xml:space="preserve">Duration Calculation: Episode duration is measured as the time span from the first to last observation in the episode, measured in 15-minute intervals: </w:t>
      </w:r>
    </w:p>
    <w:p w14:paraId="3387F9BB" w14:textId="77777777" w:rsidR="007B42DE" w:rsidRPr="007453E6" w:rsidRDefault="007B42DE" w:rsidP="007B42DE">
      <w:pPr>
        <w:rPr>
          <w:rFonts w:cs="Times New Roman"/>
        </w:rPr>
      </w:pPr>
      <m:oMathPara>
        <m:oMath>
          <m:r>
            <m:rPr>
              <m:nor/>
            </m:rPr>
            <w:rPr>
              <w:rFonts w:cs="Times New Roman"/>
            </w:rPr>
            <m:t xml:space="preserve">Episode Duration </m:t>
          </m:r>
          <m:r>
            <w:rPr>
              <w:rFonts w:ascii="Cambria Math" w:hAnsi="Cambria Math" w:cs="Times New Roman"/>
            </w:rPr>
            <m:t>=</m:t>
          </m:r>
          <m:f>
            <m:fPr>
              <m:ctrlPr>
                <w:rPr>
                  <w:rFonts w:ascii="Cambria Math" w:hAnsi="Cambria Math" w:cs="Times New Roman"/>
                </w:rPr>
              </m:ctrlPr>
            </m:fPr>
            <m:num>
              <m:r>
                <m:rPr>
                  <m:nor/>
                </m:rPr>
                <w:rPr>
                  <w:rFonts w:cs="Times New Roman"/>
                </w:rPr>
                <m:t xml:space="preserve"> End Time </m:t>
              </m:r>
              <m:r>
                <w:rPr>
                  <w:rFonts w:ascii="Cambria Math" w:hAnsi="Cambria Math" w:cs="Times New Roman"/>
                </w:rPr>
                <m:t>-</m:t>
              </m:r>
              <m:r>
                <m:rPr>
                  <m:nor/>
                </m:rPr>
                <w:rPr>
                  <w:rFonts w:cs="Times New Roman"/>
                </w:rPr>
                <m:t xml:space="preserve"> Start Time </m:t>
              </m:r>
            </m:num>
            <m:den>
              <m:r>
                <w:rPr>
                  <w:rFonts w:ascii="Cambria Math" w:hAnsi="Cambria Math" w:cs="Times New Roman"/>
                </w:rPr>
                <m:t>15</m:t>
              </m:r>
              <m:r>
                <m:rPr>
                  <m:nor/>
                </m:rPr>
                <w:rPr>
                  <w:rFonts w:cs="Times New Roman"/>
                </w:rPr>
                <m:t xml:space="preserve"> minutes </m:t>
              </m:r>
            </m:den>
          </m:f>
          <m:r>
            <w:rPr>
              <w:rFonts w:ascii="Cambria Math" w:hAnsi="Cambria Math" w:cs="Times New Roman"/>
            </w:rPr>
            <m:t>+1</m:t>
          </m:r>
        </m:oMath>
      </m:oMathPara>
    </w:p>
    <w:p w14:paraId="25E3AD93" w14:textId="7CB87728" w:rsidR="007B42DE" w:rsidRPr="007453E6" w:rsidRDefault="007B42DE" w:rsidP="007B42DE">
      <w:pPr>
        <w:rPr>
          <w:rFonts w:cs="Times New Roman"/>
          <w:i/>
          <w:iCs/>
        </w:rPr>
      </w:pPr>
      <w:r w:rsidRPr="007453E6">
        <w:rPr>
          <w:rFonts w:cs="Times New Roman"/>
          <w:i/>
          <w:iCs/>
        </w:rPr>
        <w:t>Episode Classification</w:t>
      </w:r>
    </w:p>
    <w:p w14:paraId="2A86A783" w14:textId="77777777" w:rsidR="007B42DE" w:rsidRPr="007453E6" w:rsidRDefault="007B42DE" w:rsidP="007B42DE">
      <w:pPr>
        <w:rPr>
          <w:rFonts w:cs="Times New Roman"/>
        </w:rPr>
      </w:pPr>
      <w:r>
        <w:rPr>
          <w:rFonts w:cs="Times New Roman"/>
        </w:rPr>
        <w:t>We</w:t>
      </w:r>
      <w:r w:rsidRPr="007453E6">
        <w:rPr>
          <w:rFonts w:cs="Times New Roman"/>
        </w:rPr>
        <w:t xml:space="preserve"> classify episodes into duration categories that reflect different levels of customer impact. </w:t>
      </w:r>
    </w:p>
    <w:p w14:paraId="0AD52589" w14:textId="77777777" w:rsidR="007B42DE" w:rsidRPr="007453E6" w:rsidRDefault="007B42DE" w:rsidP="007B42DE">
      <w:pPr>
        <w:rPr>
          <w:rFonts w:cs="Times New Roman"/>
        </w:rPr>
      </w:pPr>
      <w:r w:rsidRPr="007453E6">
        <w:rPr>
          <w:rFonts w:cs="Times New Roman"/>
        </w:rPr>
        <w:lastRenderedPageBreak/>
        <w:t>The analysis generates duration thresholds for 1,2,3,4,5,6,7, and 8 hours, creating variables for each threshold level:</w:t>
      </w:r>
    </w:p>
    <w:p w14:paraId="2E0D9D30" w14:textId="77777777" w:rsidR="007B42DE" w:rsidRPr="007453E6" w:rsidRDefault="007B42DE" w:rsidP="007B42DE">
      <w:pPr>
        <w:pStyle w:val="ListParagraph"/>
        <w:numPr>
          <w:ilvl w:val="0"/>
          <w:numId w:val="6"/>
        </w:numPr>
        <w:ind w:left="0" w:firstLine="0"/>
        <w:contextualSpacing/>
        <w:rPr>
          <w:rFonts w:cs="Times New Roman"/>
        </w:rPr>
      </w:pPr>
      <w:r w:rsidRPr="007453E6">
        <w:rPr>
          <w:rFonts w:cs="Times New Roman"/>
        </w:rPr>
        <w:t>1-hour threshold: 4 or more intervals (≥1 hour)</w:t>
      </w:r>
    </w:p>
    <w:p w14:paraId="5B53F88D"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 xml:space="preserve">2-hour threshold: 8 or more intervals (≥2 hours) </w:t>
      </w:r>
    </w:p>
    <w:p w14:paraId="3F732951"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 xml:space="preserve">3-hour threshold: 12 or more intervals (≥3 hours) </w:t>
      </w:r>
    </w:p>
    <w:p w14:paraId="4004D813"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 xml:space="preserve">4-hour threshold: 16 or more intervals (≥4 hours) </w:t>
      </w:r>
    </w:p>
    <w:p w14:paraId="14E22DF7"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 xml:space="preserve">5-hour threshold: 20 or more intervals (≥5 hours) </w:t>
      </w:r>
    </w:p>
    <w:p w14:paraId="440A2722"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 xml:space="preserve">6-hour threshold: 24 or more intervals (≥6 hours) </w:t>
      </w:r>
    </w:p>
    <w:p w14:paraId="548C2B5A"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 xml:space="preserve">7-hour threshold: 28 or more intervals (≥7 hours) </w:t>
      </w:r>
    </w:p>
    <w:p w14:paraId="2067FA08" w14:textId="77777777" w:rsidR="007B42DE" w:rsidRPr="007453E6" w:rsidRDefault="007B42DE" w:rsidP="007B42DE">
      <w:pPr>
        <w:pStyle w:val="ListParagraph"/>
        <w:numPr>
          <w:ilvl w:val="0"/>
          <w:numId w:val="6"/>
        </w:numPr>
        <w:ind w:left="0" w:firstLine="0"/>
        <w:contextualSpacing/>
        <w:rPr>
          <w:rFonts w:cs="Times New Roman"/>
        </w:rPr>
      </w:pPr>
      <w:r w:rsidRPr="007453E6">
        <w:rPr>
          <w:rFonts w:eastAsia="Times New Roman" w:cs="Times New Roman"/>
        </w:rPr>
        <w:t>8-hour threshold: 32 or more intervals (≥8 hours)</w:t>
      </w:r>
    </w:p>
    <w:p w14:paraId="4FEFD2AE" w14:textId="77777777" w:rsidR="007B42DE" w:rsidRPr="007453E6" w:rsidRDefault="007B42DE" w:rsidP="007B42DE">
      <w:pPr>
        <w:rPr>
          <w:rFonts w:cs="Times New Roman"/>
        </w:rPr>
      </w:pPr>
      <w:r w:rsidRPr="007453E6">
        <w:rPr>
          <w:rFonts w:cs="Times New Roman"/>
        </w:rPr>
        <w:t>This multi-threshold approach allows for sensitivity analysis across different definition of prolonged outages.</w:t>
      </w:r>
    </w:p>
    <w:p w14:paraId="3E724BE1" w14:textId="77777777" w:rsidR="007B42DE" w:rsidRPr="007453E6" w:rsidRDefault="007B42DE" w:rsidP="007B42DE">
      <w:pPr>
        <w:rPr>
          <w:rFonts w:cs="Times New Roman"/>
        </w:rPr>
      </w:pPr>
      <w:r w:rsidRPr="007453E6">
        <w:rPr>
          <w:rFonts w:cs="Times New Roman"/>
        </w:rPr>
        <w:t xml:space="preserve">Each original observation is then tagged with information about the episode it belongs to, including episode duration and severity classification. This tagging process helps us aggregate episode-level statistics at the quarterly level. </w:t>
      </w:r>
    </w:p>
    <w:p w14:paraId="41D5DB71" w14:textId="77777777" w:rsidR="007B42DE" w:rsidRPr="007453E6" w:rsidRDefault="007B42DE" w:rsidP="007B42DE">
      <w:pPr>
        <w:rPr>
          <w:rFonts w:cs="Times New Roman"/>
        </w:rPr>
      </w:pPr>
    </w:p>
    <w:p w14:paraId="44505CAF" w14:textId="77777777" w:rsidR="007B42DE" w:rsidRPr="007B42DE" w:rsidRDefault="007B42DE" w:rsidP="007B42DE">
      <w:pPr>
        <w:rPr>
          <w:rFonts w:cs="Times New Roman"/>
          <w:i/>
          <w:iCs/>
          <w:szCs w:val="24"/>
        </w:rPr>
      </w:pPr>
      <w:r w:rsidRPr="007B42DE">
        <w:rPr>
          <w:rFonts w:cs="Times New Roman"/>
          <w:i/>
          <w:iCs/>
          <w:szCs w:val="24"/>
        </w:rPr>
        <w:t>Constructing Quarterly Outage Performance Metrics</w:t>
      </w:r>
    </w:p>
    <w:p w14:paraId="5A008F39" w14:textId="77777777" w:rsidR="007B42DE" w:rsidRDefault="007B42DE" w:rsidP="007B42DE">
      <w:pPr>
        <w:pStyle w:val="whitespace-normal"/>
        <w:spacing w:before="0" w:beforeAutospacing="0" w:after="0" w:afterAutospacing="0"/>
        <w:jc w:val="both"/>
      </w:pPr>
      <w:r w:rsidRPr="007B42DE">
        <w:t xml:space="preserve">To construct quarterly outage performance metrics, I focus on episodes that </w:t>
      </w:r>
      <w:r w:rsidRPr="007B42DE">
        <w:rPr>
          <w:rStyle w:val="Strong"/>
          <w:rFonts w:eastAsiaTheme="majorEastAsia"/>
          <w:b w:val="0"/>
          <w:bCs/>
        </w:rPr>
        <w:t>begin</w:t>
      </w:r>
      <w:r w:rsidRPr="007B42DE">
        <w:rPr>
          <w:b/>
          <w:bCs/>
        </w:rPr>
        <w:t xml:space="preserve"> </w:t>
      </w:r>
      <w:r w:rsidRPr="007B42DE">
        <w:t>within each quarter, creating the variable “</w:t>
      </w:r>
      <w:r w:rsidRPr="007B42DE">
        <w:rPr>
          <w:rStyle w:val="HTMLCode"/>
          <w:rFonts w:ascii="Times New Roman" w:eastAsiaTheme="majorEastAsia" w:hAnsi="Times New Roman" w:cs="Times New Roman"/>
          <w:sz w:val="24"/>
          <w:szCs w:val="24"/>
        </w:rPr>
        <w:t>new_episodes_p75</w:t>
      </w:r>
      <w:r w:rsidRPr="007B42DE">
        <w:rPr>
          <w:rStyle w:val="HTMLCode"/>
          <w:rFonts w:ascii="Times New Roman" w:eastAsiaTheme="majorEastAsia" w:hAnsi="Times New Roman" w:cs="Times New Roman"/>
          <w:i/>
          <w:iCs/>
          <w:sz w:val="24"/>
          <w:szCs w:val="24"/>
        </w:rPr>
        <w:t>”</w:t>
      </w:r>
      <w:r w:rsidRPr="007B42DE">
        <w:t xml:space="preserve"> for episodes identified using the 75th percentile threshold. This "new episodes" approach addresses a critical measurement challenge: outage episodes can span across time boundaries, potentially starting in one quarter and ending in the next.</w:t>
      </w:r>
    </w:p>
    <w:p w14:paraId="62CB32E7" w14:textId="77777777" w:rsidR="00F27B26" w:rsidRPr="007B42DE" w:rsidRDefault="00F27B26" w:rsidP="007B42DE">
      <w:pPr>
        <w:pStyle w:val="whitespace-normal"/>
        <w:spacing w:before="0" w:beforeAutospacing="0" w:after="0" w:afterAutospacing="0"/>
        <w:jc w:val="both"/>
      </w:pPr>
    </w:p>
    <w:p w14:paraId="62835BE4" w14:textId="77777777" w:rsidR="007B42DE" w:rsidRDefault="007B42DE" w:rsidP="007B42DE">
      <w:pPr>
        <w:pStyle w:val="whitespace-normal"/>
        <w:spacing w:before="0" w:beforeAutospacing="0" w:after="0" w:afterAutospacing="0"/>
        <w:jc w:val="both"/>
      </w:pPr>
      <w:r w:rsidRPr="007B42DE">
        <w:rPr>
          <w:rStyle w:val="Strong"/>
          <w:rFonts w:eastAsiaTheme="majorEastAsia"/>
          <w:b w:val="0"/>
          <w:bCs/>
        </w:rPr>
        <w:t>Calculation of New Episodes</w:t>
      </w:r>
      <w:r w:rsidRPr="007B42DE">
        <w:t xml:space="preserve">: For each ZIP code and quarter, </w:t>
      </w:r>
      <w:r w:rsidRPr="007B42DE">
        <w:rPr>
          <w:rStyle w:val="HTMLCode"/>
          <w:rFonts w:ascii="Times New Roman" w:eastAsiaTheme="majorEastAsia" w:hAnsi="Times New Roman" w:cs="Times New Roman"/>
          <w:sz w:val="24"/>
          <w:szCs w:val="24"/>
        </w:rPr>
        <w:t>new_episodes_p75</w:t>
      </w:r>
      <w:r w:rsidRPr="007B42DE">
        <w:t xml:space="preserve"> counts the number of distinct outage episodes whose </w:t>
      </w:r>
      <w:r w:rsidRPr="007B42DE">
        <w:rPr>
          <w:rStyle w:val="Strong"/>
          <w:rFonts w:eastAsiaTheme="majorEastAsia"/>
          <w:b w:val="0"/>
          <w:bCs/>
        </w:rPr>
        <w:t>first observation</w:t>
      </w:r>
      <w:r w:rsidRPr="007B42DE">
        <w:t xml:space="preserve"> falls within that quarter's date range. Specifically, for an episode spanning multiple time periods, I identify the earliest timestamp in the episode and assign the entire episode to whichever quarter contains that start date.</w:t>
      </w:r>
    </w:p>
    <w:p w14:paraId="094BB45A" w14:textId="77777777" w:rsidR="00F27B26" w:rsidRPr="007B42DE" w:rsidRDefault="00F27B26" w:rsidP="007B42DE">
      <w:pPr>
        <w:pStyle w:val="whitespace-normal"/>
        <w:spacing w:before="0" w:beforeAutospacing="0" w:after="0" w:afterAutospacing="0"/>
        <w:jc w:val="both"/>
      </w:pPr>
    </w:p>
    <w:p w14:paraId="7991FA2F" w14:textId="6FDCA87D" w:rsidR="007B42DE" w:rsidRDefault="007B42DE" w:rsidP="007B42DE">
      <w:pPr>
        <w:pStyle w:val="whitespace-normal"/>
        <w:spacing w:before="0" w:beforeAutospacing="0" w:after="0" w:afterAutospacing="0"/>
        <w:jc w:val="both"/>
      </w:pPr>
      <w:r w:rsidRPr="007B42DE">
        <w:t>This methodology ensures that</w:t>
      </w:r>
      <w:r>
        <w:t xml:space="preserve"> </w:t>
      </w:r>
      <w:r w:rsidRPr="007B42DE">
        <w:t>episodes are assigned to the quarter corresponding to their start time, so that events spanning multiple quarters are counted only once rather than being double-counted.</w:t>
      </w:r>
      <w:r w:rsidR="00F27B26">
        <w:t xml:space="preserve"> </w:t>
      </w:r>
      <w:r w:rsidRPr="007B42DE">
        <w:t xml:space="preserve">For example, if an outage episode begins on March 30th (Q1) and continues until April 2nd (Q2), this episode contributes 1 to the </w:t>
      </w:r>
      <w:r w:rsidRPr="007B42DE">
        <w:rPr>
          <w:rStyle w:val="HTMLCode"/>
          <w:rFonts w:ascii="Times New Roman" w:eastAsiaTheme="majorEastAsia" w:hAnsi="Times New Roman" w:cs="Times New Roman"/>
          <w:sz w:val="24"/>
          <w:szCs w:val="24"/>
        </w:rPr>
        <w:t>new_episodes_p75</w:t>
      </w:r>
      <w:r w:rsidRPr="007B42DE">
        <w:t xml:space="preserve"> count for Q1 and 0 to the Q2 count, even though both quarters experienced the outage. </w:t>
      </w:r>
    </w:p>
    <w:p w14:paraId="11F9D9C6" w14:textId="77777777" w:rsidR="00F27B26" w:rsidRPr="007B42DE" w:rsidRDefault="00F27B26" w:rsidP="007B42DE">
      <w:pPr>
        <w:pStyle w:val="whitespace-normal"/>
        <w:spacing w:before="0" w:beforeAutospacing="0" w:after="0" w:afterAutospacing="0"/>
        <w:jc w:val="both"/>
      </w:pPr>
    </w:p>
    <w:p w14:paraId="2A47BD82" w14:textId="4BD62572" w:rsidR="007B42DE" w:rsidRDefault="007B42DE" w:rsidP="007B42DE">
      <w:pPr>
        <w:pStyle w:val="whitespace-normal"/>
        <w:spacing w:before="0" w:beforeAutospacing="0" w:after="0" w:afterAutospacing="0"/>
        <w:jc w:val="both"/>
      </w:pPr>
      <w:r w:rsidRPr="007B42DE">
        <w:t xml:space="preserve">This approach provides a more accurate measure of outage </w:t>
      </w:r>
      <w:r w:rsidRPr="007B42DE">
        <w:rPr>
          <w:rStyle w:val="Strong"/>
          <w:rFonts w:eastAsiaTheme="majorEastAsia"/>
          <w:b w:val="0"/>
          <w:bCs/>
        </w:rPr>
        <w:t>initiation</w:t>
      </w:r>
      <w:r w:rsidRPr="007B42DE">
        <w:rPr>
          <w:b/>
          <w:bCs/>
        </w:rPr>
        <w:t xml:space="preserve"> </w:t>
      </w:r>
      <w:r w:rsidRPr="007B42DE">
        <w:t xml:space="preserve">patterns, which is particularly relevant for analysing the effectiveness of preventive maintenance or system improvements. The 75th percentile threshold (p75) means that </w:t>
      </w:r>
      <w:r w:rsidRPr="007B42DE">
        <w:rPr>
          <w:rStyle w:val="HTMLCode"/>
          <w:rFonts w:ascii="Times New Roman" w:eastAsiaTheme="majorEastAsia" w:hAnsi="Times New Roman" w:cs="Times New Roman"/>
          <w:sz w:val="24"/>
          <w:szCs w:val="24"/>
        </w:rPr>
        <w:t>new_episodes_p75</w:t>
      </w:r>
      <w:r w:rsidRPr="007B42DE">
        <w:t xml:space="preserve"> specifically counts episodes where the outage rate exceeded the threshold that captures the most significant 25% of all observed outage events in the dataset. This focuses the analysis on significant outages while filtering out minor fluctuations that may not meaningfully impact customer experience.</w:t>
      </w:r>
    </w:p>
    <w:p w14:paraId="5878E23C" w14:textId="77777777" w:rsidR="007B42DE" w:rsidRPr="007453E6" w:rsidRDefault="007B42DE" w:rsidP="007B42DE">
      <w:pPr>
        <w:pStyle w:val="whitespace-normal"/>
        <w:spacing w:before="0" w:beforeAutospacing="0" w:after="0" w:afterAutospacing="0"/>
        <w:jc w:val="both"/>
      </w:pPr>
    </w:p>
    <w:p w14:paraId="1D3DE3B1" w14:textId="77777777" w:rsidR="007B42DE" w:rsidRPr="007453E6" w:rsidRDefault="007B42DE" w:rsidP="007B42DE">
      <w:pPr>
        <w:pStyle w:val="whitespace-normal"/>
        <w:spacing w:before="0" w:beforeAutospacing="0" w:after="0" w:afterAutospacing="0"/>
        <w:jc w:val="both"/>
        <w:rPr>
          <w:i/>
          <w:iCs/>
        </w:rPr>
      </w:pPr>
      <w:r w:rsidRPr="007453E6">
        <w:rPr>
          <w:i/>
          <w:iCs/>
        </w:rPr>
        <w:lastRenderedPageBreak/>
        <w:t>Primary Exposure Variable</w:t>
      </w:r>
    </w:p>
    <w:p w14:paraId="6A54D15E" w14:textId="77777777" w:rsidR="007B42DE" w:rsidRPr="007453E6" w:rsidRDefault="007B42DE" w:rsidP="007B42DE">
      <w:pPr>
        <w:rPr>
          <w:rFonts w:cs="Times New Roman"/>
          <w:iCs/>
        </w:rPr>
      </w:pPr>
      <w:r w:rsidRPr="007453E6">
        <w:rPr>
          <w:rFonts w:cs="Times New Roman"/>
          <w:iCs/>
        </w:rPr>
        <w:t>Our primary exposure variable is the count of new severe outage episodes per ZIP-quarter (new_1hr_episodes_p75), which represents distinct outage events lasting one hour or longer that exceed the 75</w:t>
      </w:r>
      <w:r w:rsidRPr="007453E6">
        <w:rPr>
          <w:rFonts w:cs="Times New Roman"/>
          <w:iCs/>
          <w:vertAlign w:val="superscript"/>
        </w:rPr>
        <w:t>th</w:t>
      </w:r>
      <w:r w:rsidRPr="007453E6">
        <w:rPr>
          <w:rFonts w:cs="Times New Roman"/>
          <w:iCs/>
        </w:rPr>
        <w:t xml:space="preserve"> percentile severity threshold within each ZIP-quarter period. Given the count nature of this variable and the presence of substantial zero-inflation (many ZIP-quarters experience no severe outages), I apply a log transformation</w:t>
      </w:r>
      <w:r>
        <w:rPr>
          <w:rFonts w:cs="Times New Roman"/>
          <w:iCs/>
        </w:rPr>
        <w:t xml:space="preserve"> (the constant 1 is added to accommodate zero values)</w:t>
      </w:r>
      <w:r w:rsidRPr="007453E6">
        <w:rPr>
          <w:rFonts w:cs="Times New Roman"/>
          <w:iCs/>
        </w:rPr>
        <w:t xml:space="preserve">: </w:t>
      </w:r>
    </w:p>
    <w:p w14:paraId="51459CEB" w14:textId="77777777" w:rsidR="00FF26D4" w:rsidRPr="00007B74" w:rsidRDefault="00000000" w:rsidP="00FF26D4">
      <w:pPr>
        <w:rPr>
          <w:rFonts w:eastAsia="SimSun" w:cs="Times New Roman"/>
          <w:szCs w:val="24"/>
        </w:rPr>
      </w:pPr>
      <m:oMathPara>
        <m:oMath>
          <m:func>
            <m:funcPr>
              <m:ctrlPr>
                <w:rPr>
                  <w:rFonts w:ascii="Cambria Math" w:hAnsi="Cambria Math" w:cs="Times New Roman"/>
                  <w:i/>
                  <w:szCs w:val="24"/>
                </w:rPr>
              </m:ctrlPr>
            </m:funcPr>
            <m:fName>
              <m:r>
                <m:rPr>
                  <m:sty m:val="p"/>
                </m:rPr>
                <w:rPr>
                  <w:rFonts w:ascii="Cambria Math" w:hAnsi="Cambria Math" w:cs="Times New Roman"/>
                  <w:szCs w:val="24"/>
                </w:rPr>
                <m:t>ln</m:t>
              </m:r>
              <m:ctrlPr>
                <w:rPr>
                  <w:rFonts w:ascii="Cambria Math" w:hAnsi="Cambria Math" w:cs="Times New Roman"/>
                  <w:szCs w:val="24"/>
                </w:rPr>
              </m:ctrlPr>
            </m:fName>
            <m:e>
              <m:sSub>
                <m:sSubPr>
                  <m:ctrlPr>
                    <w:rPr>
                      <w:rFonts w:ascii="Cambria Math" w:hAnsi="Cambria Math" w:cs="Times New Roman"/>
                      <w:szCs w:val="24"/>
                    </w:rPr>
                  </m:ctrlPr>
                </m:sSubPr>
                <m:e>
                  <m:r>
                    <m:rPr>
                      <m:nor/>
                    </m:rPr>
                    <w:rPr>
                      <w:rFonts w:cs="Times New Roman"/>
                      <w:szCs w:val="24"/>
                    </w:rPr>
                    <m:t xml:space="preserve"> outage </m:t>
                  </m:r>
                </m:e>
                <m:sub>
                  <m:r>
                    <w:rPr>
                      <w:rFonts w:ascii="Cambria Math" w:hAnsi="Cambria Math" w:cs="Times New Roman"/>
                      <w:szCs w:val="24"/>
                    </w:rPr>
                    <m:t>it</m:t>
                  </m:r>
                </m:sub>
              </m:sSub>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szCs w:val="24"/>
                    </w:rPr>
                  </m:ctrlPr>
                </m:dPr>
                <m:e>
                  <m:r>
                    <m:rPr>
                      <m:nor/>
                    </m:rPr>
                    <w:rPr>
                      <w:rFonts w:cs="Times New Roman"/>
                      <w:szCs w:val="24"/>
                    </w:rPr>
                    <m:t xml:space="preserve"> new_1hr_episodes_p </m:t>
                  </m:r>
                  <m:sSub>
                    <m:sSubPr>
                      <m:ctrlPr>
                        <w:rPr>
                          <w:rFonts w:ascii="Cambria Math" w:hAnsi="Cambria Math" w:cs="Times New Roman"/>
                          <w:szCs w:val="24"/>
                        </w:rPr>
                      </m:ctrlPr>
                    </m:sSubPr>
                    <m:e>
                      <m:r>
                        <w:rPr>
                          <w:rFonts w:ascii="Cambria Math" w:hAnsi="Cambria Math" w:cs="Times New Roman"/>
                          <w:szCs w:val="24"/>
                        </w:rPr>
                        <m:t>75</m:t>
                      </m:r>
                    </m:e>
                    <m:sub>
                      <m:r>
                        <w:rPr>
                          <w:rFonts w:ascii="Cambria Math" w:hAnsi="Cambria Math" w:cs="Times New Roman"/>
                          <w:szCs w:val="24"/>
                        </w:rPr>
                        <m:t>it</m:t>
                      </m:r>
                    </m:sub>
                  </m:sSub>
                  <m:r>
                    <w:rPr>
                      <w:rFonts w:ascii="Cambria Math" w:hAnsi="Cambria Math" w:cs="Times New Roman"/>
                      <w:szCs w:val="24"/>
                    </w:rPr>
                    <m:t>+1</m:t>
                  </m:r>
                </m:e>
              </m:d>
            </m:e>
          </m:func>
        </m:oMath>
      </m:oMathPara>
    </w:p>
    <w:p w14:paraId="01F53290" w14:textId="77777777" w:rsidR="007B42DE" w:rsidRPr="007453E6" w:rsidRDefault="007B42DE" w:rsidP="007B42DE">
      <w:pPr>
        <w:rPr>
          <w:rFonts w:cs="Times New Roman"/>
          <w:iCs/>
        </w:rPr>
      </w:pPr>
      <w:r w:rsidRPr="007453E6">
        <w:rPr>
          <w:rFonts w:cs="Times New Roman"/>
          <w:iCs/>
        </w:rPr>
        <w:t xml:space="preserve">This transformation serves several purposes: (1) it handles the numerous zero observations by mapping them to zero on the log scale, (2) it normalizes the highly right-skewed distribution typical of count data, and (3) it allows for more intuitive interpretation of coefficients as approximate percentage changes in mental health outcomes associated with changes in outage frequency. </w:t>
      </w:r>
    </w:p>
    <w:p w14:paraId="7E9FB943" w14:textId="0295841A" w:rsidR="00DD0521" w:rsidRPr="00DD0521" w:rsidRDefault="007B42DE" w:rsidP="00DD0521">
      <w:pPr>
        <w:rPr>
          <w:rFonts w:cs="Times New Roman"/>
          <w:iCs/>
        </w:rPr>
      </w:pPr>
      <w:r w:rsidRPr="00C11DBE">
        <w:rPr>
          <w:rFonts w:ascii="Cambria Math" w:hAnsi="Cambria Math"/>
          <w:i/>
        </w:rPr>
        <w:br/>
      </w:r>
    </w:p>
    <w:p w14:paraId="6A46A7AD" w14:textId="77777777" w:rsidR="007B42DE" w:rsidRDefault="007B42DE" w:rsidP="007B42DE">
      <w:pPr>
        <w:rPr>
          <w:rFonts w:ascii="Cambria Math" w:hAnsi="Cambria Math"/>
          <w:i/>
        </w:rPr>
      </w:pPr>
    </w:p>
    <w:p w14:paraId="339B888A" w14:textId="77777777" w:rsidR="007B42DE" w:rsidRDefault="007B42DE" w:rsidP="007B42DE">
      <w:pPr>
        <w:rPr>
          <w:rFonts w:ascii="Cambria Math" w:hAnsi="Cambria Math"/>
          <w:i/>
        </w:rPr>
      </w:pPr>
    </w:p>
    <w:p w14:paraId="70D1F72A" w14:textId="77777777" w:rsidR="007B42DE" w:rsidRDefault="007B42DE" w:rsidP="007B42DE">
      <w:pPr>
        <w:rPr>
          <w:rFonts w:ascii="Cambria Math" w:hAnsi="Cambria Math"/>
          <w:i/>
        </w:rPr>
      </w:pPr>
    </w:p>
    <w:p w14:paraId="4203E8B7" w14:textId="77777777" w:rsidR="007B42DE" w:rsidRDefault="007B42DE" w:rsidP="007B42DE">
      <w:pPr>
        <w:rPr>
          <w:rFonts w:ascii="Cambria Math" w:hAnsi="Cambria Math"/>
          <w:i/>
        </w:rPr>
      </w:pPr>
    </w:p>
    <w:p w14:paraId="2B0381E2" w14:textId="77777777" w:rsidR="007B42DE" w:rsidRDefault="007B42DE" w:rsidP="007B42DE">
      <w:pPr>
        <w:rPr>
          <w:rFonts w:ascii="Cambria Math" w:hAnsi="Cambria Math"/>
          <w:i/>
        </w:rPr>
      </w:pPr>
    </w:p>
    <w:p w14:paraId="409A86EE" w14:textId="77777777" w:rsidR="007B42DE" w:rsidRDefault="007B42DE" w:rsidP="007B42DE">
      <w:pPr>
        <w:rPr>
          <w:rFonts w:ascii="Cambria Math" w:hAnsi="Cambria Math"/>
          <w:i/>
        </w:rPr>
      </w:pPr>
    </w:p>
    <w:p w14:paraId="03372B69" w14:textId="77777777" w:rsidR="007B42DE" w:rsidRDefault="007B42DE" w:rsidP="007B42DE">
      <w:pPr>
        <w:rPr>
          <w:rFonts w:ascii="Cambria Math" w:hAnsi="Cambria Math"/>
          <w:i/>
        </w:rPr>
      </w:pPr>
    </w:p>
    <w:p w14:paraId="7689118A" w14:textId="77777777" w:rsidR="007B42DE" w:rsidRDefault="007B42DE" w:rsidP="007B42DE">
      <w:pPr>
        <w:rPr>
          <w:rFonts w:ascii="Cambria Math" w:hAnsi="Cambria Math"/>
          <w:i/>
        </w:rPr>
      </w:pPr>
    </w:p>
    <w:p w14:paraId="79D495F0" w14:textId="77777777" w:rsidR="00840340" w:rsidRDefault="00840340" w:rsidP="00840340">
      <w:pPr>
        <w:rPr>
          <w:rFonts w:cs="Times New Roman"/>
          <w:b/>
          <w:bCs/>
        </w:rPr>
      </w:pPr>
    </w:p>
    <w:p w14:paraId="0C7BC5DE" w14:textId="77777777" w:rsidR="00840340" w:rsidRDefault="00840340" w:rsidP="00840340">
      <w:pPr>
        <w:rPr>
          <w:rFonts w:cs="Times New Roman"/>
          <w:b/>
          <w:bCs/>
        </w:rPr>
      </w:pPr>
    </w:p>
    <w:p w14:paraId="4207D029" w14:textId="77777777" w:rsidR="00840340" w:rsidRDefault="00840340" w:rsidP="00840340">
      <w:pPr>
        <w:rPr>
          <w:rFonts w:cs="Times New Roman"/>
          <w:b/>
          <w:bCs/>
        </w:rPr>
      </w:pPr>
    </w:p>
    <w:p w14:paraId="1946E2E8" w14:textId="77777777" w:rsidR="00840340" w:rsidRDefault="00840340" w:rsidP="00840340">
      <w:pPr>
        <w:rPr>
          <w:rFonts w:cs="Times New Roman"/>
          <w:b/>
          <w:bCs/>
        </w:rPr>
      </w:pPr>
    </w:p>
    <w:p w14:paraId="7EA3B0E6" w14:textId="77777777" w:rsidR="00840340" w:rsidRDefault="00840340" w:rsidP="00840340">
      <w:pPr>
        <w:rPr>
          <w:rFonts w:cs="Times New Roman"/>
          <w:b/>
          <w:bCs/>
        </w:rPr>
      </w:pPr>
    </w:p>
    <w:p w14:paraId="13C30787" w14:textId="77777777" w:rsidR="00840340" w:rsidRDefault="00840340" w:rsidP="00840340">
      <w:pPr>
        <w:rPr>
          <w:rFonts w:cs="Times New Roman"/>
          <w:b/>
          <w:bCs/>
        </w:rPr>
      </w:pPr>
    </w:p>
    <w:p w14:paraId="2AE3950F" w14:textId="77777777" w:rsidR="00840340" w:rsidRDefault="00840340" w:rsidP="00840340">
      <w:pPr>
        <w:rPr>
          <w:rFonts w:cs="Times New Roman"/>
          <w:b/>
          <w:bCs/>
        </w:rPr>
      </w:pPr>
    </w:p>
    <w:p w14:paraId="725A099D" w14:textId="77777777" w:rsidR="00840340" w:rsidRDefault="00840340" w:rsidP="00840340">
      <w:pPr>
        <w:rPr>
          <w:rFonts w:cs="Times New Roman"/>
          <w:b/>
          <w:bCs/>
        </w:rPr>
      </w:pPr>
    </w:p>
    <w:p w14:paraId="7BC0A395" w14:textId="77777777" w:rsidR="00840340" w:rsidRDefault="00840340" w:rsidP="00840340">
      <w:pPr>
        <w:rPr>
          <w:rFonts w:cs="Times New Roman"/>
          <w:b/>
          <w:bCs/>
        </w:rPr>
      </w:pPr>
    </w:p>
    <w:p w14:paraId="0A9DB6E3" w14:textId="77777777" w:rsidR="00840340" w:rsidRDefault="00840340" w:rsidP="00840340">
      <w:pPr>
        <w:rPr>
          <w:rFonts w:cs="Times New Roman"/>
          <w:b/>
          <w:bCs/>
        </w:rPr>
      </w:pPr>
    </w:p>
    <w:p w14:paraId="707E58CB" w14:textId="77777777" w:rsidR="00840340" w:rsidRDefault="00840340" w:rsidP="00840340">
      <w:pPr>
        <w:rPr>
          <w:rFonts w:cs="Times New Roman"/>
          <w:b/>
          <w:bCs/>
        </w:rPr>
      </w:pPr>
    </w:p>
    <w:p w14:paraId="7577FDB3" w14:textId="77777777" w:rsidR="00840340" w:rsidRDefault="00840340" w:rsidP="00840340">
      <w:pPr>
        <w:rPr>
          <w:rFonts w:cs="Times New Roman"/>
          <w:b/>
          <w:bCs/>
        </w:rPr>
      </w:pPr>
    </w:p>
    <w:p w14:paraId="7281FFD3" w14:textId="77777777" w:rsidR="00840340" w:rsidRDefault="00840340" w:rsidP="00840340">
      <w:pPr>
        <w:rPr>
          <w:rFonts w:cs="Times New Roman"/>
          <w:b/>
          <w:bCs/>
        </w:rPr>
      </w:pPr>
    </w:p>
    <w:p w14:paraId="0FA11DFD" w14:textId="77777777" w:rsidR="00840340" w:rsidRDefault="00840340" w:rsidP="00840340">
      <w:pPr>
        <w:rPr>
          <w:rFonts w:cs="Times New Roman"/>
          <w:b/>
          <w:bCs/>
        </w:rPr>
      </w:pPr>
    </w:p>
    <w:p w14:paraId="0BA012DD" w14:textId="77777777" w:rsidR="00840340" w:rsidRDefault="00840340" w:rsidP="00840340">
      <w:pPr>
        <w:rPr>
          <w:rFonts w:cs="Times New Roman"/>
          <w:b/>
          <w:bCs/>
        </w:rPr>
      </w:pPr>
    </w:p>
    <w:p w14:paraId="2C4CD33B" w14:textId="77777777" w:rsidR="00840340" w:rsidRDefault="00840340" w:rsidP="00840340">
      <w:pPr>
        <w:rPr>
          <w:rFonts w:cs="Times New Roman"/>
          <w:b/>
          <w:bCs/>
        </w:rPr>
      </w:pPr>
    </w:p>
    <w:p w14:paraId="0B018D63" w14:textId="77777777" w:rsidR="00840340" w:rsidRDefault="00840340" w:rsidP="00840340">
      <w:pPr>
        <w:rPr>
          <w:rFonts w:cs="Times New Roman"/>
          <w:b/>
          <w:bCs/>
        </w:rPr>
      </w:pPr>
    </w:p>
    <w:p w14:paraId="04FF429F" w14:textId="77777777" w:rsidR="00840340" w:rsidRDefault="00840340" w:rsidP="00840340">
      <w:pPr>
        <w:rPr>
          <w:rFonts w:cs="Times New Roman"/>
          <w:b/>
          <w:bCs/>
        </w:rPr>
      </w:pPr>
    </w:p>
    <w:p w14:paraId="5E465493" w14:textId="77777777" w:rsidR="00840340" w:rsidRDefault="00840340" w:rsidP="00840340">
      <w:pPr>
        <w:rPr>
          <w:rFonts w:cs="Times New Roman"/>
          <w:b/>
          <w:bCs/>
        </w:rPr>
      </w:pPr>
    </w:p>
    <w:p w14:paraId="293A481B" w14:textId="77777777" w:rsidR="00840340" w:rsidRDefault="00840340" w:rsidP="00840340">
      <w:pPr>
        <w:rPr>
          <w:rFonts w:cs="Times New Roman"/>
          <w:b/>
          <w:bCs/>
        </w:rPr>
      </w:pPr>
    </w:p>
    <w:p w14:paraId="04E28EC5" w14:textId="77777777" w:rsidR="0053098F" w:rsidRPr="00AA1AC4" w:rsidRDefault="0053098F" w:rsidP="0053098F">
      <w:pPr>
        <w:spacing w:line="360" w:lineRule="auto"/>
        <w:rPr>
          <w:rFonts w:cs="Times New Roman"/>
          <w:b/>
          <w:bCs/>
        </w:rPr>
      </w:pPr>
      <w:r w:rsidRPr="00AA1AC4">
        <w:rPr>
          <w:rFonts w:cs="Times New Roman"/>
          <w:b/>
          <w:bCs/>
        </w:rPr>
        <w:lastRenderedPageBreak/>
        <w:t xml:space="preserve">Appendix C: Weather Data Collection and Calculation </w:t>
      </w:r>
    </w:p>
    <w:p w14:paraId="028BDAA9" w14:textId="77777777" w:rsidR="0053098F" w:rsidRPr="00C84FC0" w:rsidRDefault="0053098F" w:rsidP="00C84FC0">
      <w:pPr>
        <w:rPr>
          <w:rFonts w:cs="Times New Roman"/>
          <w:i/>
          <w:iCs/>
        </w:rPr>
      </w:pPr>
      <w:r w:rsidRPr="00C84FC0">
        <w:rPr>
          <w:rFonts w:cs="Times New Roman"/>
          <w:i/>
          <w:iCs/>
        </w:rPr>
        <w:t>Data Collection Process</w:t>
      </w:r>
    </w:p>
    <w:p w14:paraId="4A50369F" w14:textId="77777777" w:rsidR="0053098F" w:rsidRDefault="0053098F" w:rsidP="00C84FC0">
      <w:pPr>
        <w:rPr>
          <w:rFonts w:cs="Times New Roman"/>
        </w:rPr>
      </w:pPr>
      <w:r w:rsidRPr="00AA1AC4">
        <w:rPr>
          <w:rFonts w:cs="Times New Roman"/>
        </w:rPr>
        <w:t xml:space="preserve">The weather data for this analysis was obtained from the National Oceanic and Atmospheric Administration (NOAA) through the Climate Data Online (CDO) web API. The data extraction process utilized a python-based program to retrieve historical weather observations from the Global Historical Climatology Network – Daily (GHCN-Daily) dataset for all available weather stations in Maryland. To manage API rate limitations imposed by NOAA’s service, the program used unique API tokens to retrieve the data. </w:t>
      </w:r>
    </w:p>
    <w:p w14:paraId="1FFCE35E" w14:textId="77777777" w:rsidR="00F27B26" w:rsidRPr="00AA1AC4" w:rsidRDefault="00F27B26" w:rsidP="00C84FC0">
      <w:pPr>
        <w:rPr>
          <w:rFonts w:cs="Times New Roman"/>
        </w:rPr>
      </w:pPr>
    </w:p>
    <w:p w14:paraId="024C5892" w14:textId="77777777" w:rsidR="0053098F" w:rsidRDefault="0053098F" w:rsidP="00C84FC0">
      <w:pPr>
        <w:rPr>
          <w:rFonts w:cs="Times New Roman"/>
        </w:rPr>
      </w:pPr>
      <w:r w:rsidRPr="00AA1AC4">
        <w:rPr>
          <w:rFonts w:cs="Times New Roman"/>
        </w:rPr>
        <w:t xml:space="preserve">The resulting dataset was structured in a wide format optimized for spatial analysis in ArcGIS Pro, where each row represents a unique combination of station and date, with weather </w:t>
      </w:r>
      <w:r w:rsidRPr="00A61BF6">
        <w:rPr>
          <w:rFonts w:cs="Times New Roman"/>
        </w:rPr>
        <w:t xml:space="preserve">variables organized as separate columns. Each weather station’s data records contain the station’s geographic coordinates (latitude and longitude) and daily weather observations. </w:t>
      </w:r>
    </w:p>
    <w:p w14:paraId="45EE853F" w14:textId="77777777" w:rsidR="0053098F" w:rsidRPr="00A61BF6" w:rsidRDefault="0053098F" w:rsidP="00C84FC0">
      <w:pPr>
        <w:rPr>
          <w:rFonts w:cs="Times New Roman"/>
        </w:rPr>
      </w:pPr>
    </w:p>
    <w:p w14:paraId="6A7AA22B" w14:textId="77777777" w:rsidR="0053098F" w:rsidRPr="00C84FC0" w:rsidRDefault="0053098F" w:rsidP="00C84FC0">
      <w:pPr>
        <w:pStyle w:val="Heading2"/>
      </w:pPr>
      <w:r w:rsidRPr="00C84FC0">
        <w:t>Spatial Data Processing and Geographic Attribution</w:t>
      </w:r>
    </w:p>
    <w:p w14:paraId="7DAC4C1F" w14:textId="77777777" w:rsidR="0053098F" w:rsidRDefault="0053098F" w:rsidP="00C84FC0">
      <w:pPr>
        <w:rPr>
          <w:rFonts w:cs="Times New Roman"/>
        </w:rPr>
      </w:pPr>
      <w:r w:rsidRPr="00A61BF6">
        <w:rPr>
          <w:rFonts w:cs="Times New Roman"/>
        </w:rPr>
        <w:t>Following data collection, weather stations were assigned to ZIP code areas for geographic aggregation. The station coordinates (latitude and longitude) from the NOAA data were converted to point features in ArcGIS Pro using the "XY to Point" tool. These points were then spatially joined with ZIP Code Tabulation Area (ZCTA) boundaries from the U.S. Census Bureau's TIGER/Line Shapefiles, obtained from the official Census repository. This spatial join process determined which ZIP code area contained each weather station based on its geographic location. The resulting dataset linked each weather station's daily observations to its corresponding ZIP code, enabling aggregation of weather data by postal regions for subsequent analysis with power outage data at the same geographic scale.</w:t>
      </w:r>
    </w:p>
    <w:p w14:paraId="55F12ECE" w14:textId="77777777" w:rsidR="0053098F" w:rsidRPr="00A61BF6" w:rsidRDefault="0053098F" w:rsidP="00C84FC0">
      <w:pPr>
        <w:rPr>
          <w:rFonts w:cs="Times New Roman"/>
        </w:rPr>
      </w:pPr>
    </w:p>
    <w:p w14:paraId="209D841B" w14:textId="77777777" w:rsidR="0053098F" w:rsidRPr="00A61BF6" w:rsidRDefault="0053098F" w:rsidP="00C84FC0">
      <w:pPr>
        <w:rPr>
          <w:rFonts w:cs="Times New Roman"/>
        </w:rPr>
      </w:pPr>
      <w:r w:rsidRPr="00A61BF6">
        <w:rPr>
          <w:rFonts w:cs="Times New Roman"/>
        </w:rPr>
        <w:t xml:space="preserve">Following the documentation of the Global Historical Climatology Network – Daily dataset maintained by NOAA, these variables are defined as follows: </w:t>
      </w:r>
    </w:p>
    <w:p w14:paraId="55E1CF88" w14:textId="77777777" w:rsidR="0053098F" w:rsidRDefault="0053098F" w:rsidP="00C84FC0">
      <w:pPr>
        <w:rPr>
          <w:rFonts w:cs="Times New Roman"/>
        </w:rPr>
      </w:pPr>
      <w:r w:rsidRPr="00A61BF6">
        <w:rPr>
          <w:rFonts w:cs="Times New Roman"/>
        </w:rPr>
        <w:t>The precipitation variable (PRCP) represents the daily total precipitation amount, encompassing all forms of liquid and liquid-equivalent frozen precipitation. This measurement captures rainfall, drizzle, and the water equivalent of snow, sleet, and hail, reported in tenths of millimeters in the raw data.</w:t>
      </w:r>
    </w:p>
    <w:p w14:paraId="16B37C23" w14:textId="77777777" w:rsidR="00F27B26" w:rsidRPr="00A61BF6" w:rsidRDefault="00F27B26" w:rsidP="00C84FC0">
      <w:pPr>
        <w:rPr>
          <w:rFonts w:cs="Times New Roman"/>
        </w:rPr>
      </w:pPr>
    </w:p>
    <w:p w14:paraId="52E3786F" w14:textId="77777777" w:rsidR="0053098F" w:rsidRDefault="0053098F" w:rsidP="00C84FC0">
      <w:pPr>
        <w:rPr>
          <w:rFonts w:cs="Times New Roman"/>
        </w:rPr>
      </w:pPr>
      <w:r w:rsidRPr="00A61BF6">
        <w:rPr>
          <w:rFonts w:cs="Times New Roman"/>
        </w:rPr>
        <w:t>The snowfall variable (SNOW) measures the daily snowfall amount, representing the vertical depth of new snow accumulated during the 24-hour observation period, similarly reported in millimeters with conversion options available.</w:t>
      </w:r>
    </w:p>
    <w:p w14:paraId="71660916" w14:textId="77777777" w:rsidR="00F27B26" w:rsidRPr="00A61BF6" w:rsidRDefault="00F27B26" w:rsidP="00C84FC0">
      <w:pPr>
        <w:rPr>
          <w:rFonts w:cs="Times New Roman"/>
        </w:rPr>
      </w:pPr>
    </w:p>
    <w:p w14:paraId="7B9026F8" w14:textId="77777777" w:rsidR="0053098F" w:rsidRPr="00A61BF6" w:rsidRDefault="0053098F" w:rsidP="00C84FC0">
      <w:pPr>
        <w:rPr>
          <w:rFonts w:cs="Times New Roman"/>
        </w:rPr>
      </w:pPr>
      <w:r w:rsidRPr="00A61BF6">
        <w:rPr>
          <w:rFonts w:cs="Times New Roman"/>
        </w:rPr>
        <w:t xml:space="preserve">Temperature extremes are captured through the maximum temperature variable (TMAX), which records the highest air temperature observed during each 24-hour period. This variable is essential for identifying heat stress conditions and temperature-related infrastructure impacts, </w:t>
      </w:r>
      <w:r w:rsidRPr="003B1F47">
        <w:rPr>
          <w:rFonts w:cs="Times New Roman"/>
        </w:rPr>
        <w:t>with values reported in tenths of degrees Celsius in the original format.</w:t>
      </w:r>
    </w:p>
    <w:p w14:paraId="6433E078" w14:textId="77777777" w:rsidR="0053098F" w:rsidRDefault="0053098F" w:rsidP="00C84FC0">
      <w:pPr>
        <w:rPr>
          <w:rFonts w:cs="Times New Roman"/>
        </w:rPr>
      </w:pPr>
      <w:r w:rsidRPr="003B1F47">
        <w:rPr>
          <w:rFonts w:cs="Times New Roman"/>
        </w:rPr>
        <w:lastRenderedPageBreak/>
        <w:t xml:space="preserve">Wind conditions are represented through the fastest 2-minute wind speed variable (WSF2), which records the highest average wind speed measured over any consecutive 2-minute interval during the observation period. </w:t>
      </w:r>
      <w:proofErr w:type="gramStart"/>
      <w:r w:rsidRPr="003B1F47">
        <w:rPr>
          <w:rFonts w:cs="Times New Roman"/>
        </w:rPr>
        <w:t>This variable captures</w:t>
      </w:r>
      <w:proofErr w:type="gramEnd"/>
      <w:r w:rsidRPr="003B1F47">
        <w:rPr>
          <w:rFonts w:cs="Times New Roman"/>
        </w:rPr>
        <w:t xml:space="preserve"> sustained high winds rather than brief gusts, making it particularly relevant for assessing wind-related infrastructure stress and power outage risk. </w:t>
      </w:r>
      <w:r>
        <w:rPr>
          <w:rFonts w:cs="Times New Roman"/>
        </w:rPr>
        <w:t>T</w:t>
      </w:r>
      <w:r w:rsidRPr="003B1F47">
        <w:rPr>
          <w:rFonts w:cs="Times New Roman"/>
        </w:rPr>
        <w:t xml:space="preserve">hese measurements are reported in tenths of meters per second. </w:t>
      </w:r>
    </w:p>
    <w:p w14:paraId="15F47855" w14:textId="77777777" w:rsidR="00F27B26" w:rsidRPr="00A61BF6" w:rsidRDefault="00F27B26" w:rsidP="00C84FC0">
      <w:pPr>
        <w:rPr>
          <w:rFonts w:cs="Times New Roman"/>
        </w:rPr>
      </w:pPr>
    </w:p>
    <w:p w14:paraId="2231F330" w14:textId="0382B29A" w:rsidR="0053098F" w:rsidRDefault="0053098F" w:rsidP="00F27B26">
      <w:pPr>
        <w:rPr>
          <w:rFonts w:cs="Times New Roman"/>
        </w:rPr>
      </w:pPr>
      <w:r w:rsidRPr="00C84FC0">
        <w:rPr>
          <w:rFonts w:cs="Times New Roman"/>
        </w:rPr>
        <w:t>The daily weather observations were aggregated to quarterly frequency to align with the resolution of HCUP SID discharge quarterly data. The daily weather data from each weather station was converted to quarterly (3-month) averages to match the time period used in power outage reports. For each ZIP code area and quarter, I calculated the average maximum temperature by taking the mean of all daily high temperatures during that quarter. Similarly, I calculated average precipitation and wind speed for each quarter. I also calculated total precipitation and total snowfall by adding up all the daily amounts within each quarter.</w:t>
      </w:r>
    </w:p>
    <w:p w14:paraId="39EEE23C" w14:textId="77777777" w:rsidR="00F27B26" w:rsidRPr="00C84FC0" w:rsidRDefault="00F27B26" w:rsidP="00F27B26">
      <w:pPr>
        <w:rPr>
          <w:rFonts w:cs="Times New Roman"/>
        </w:rPr>
      </w:pPr>
    </w:p>
    <w:p w14:paraId="714B3E7E" w14:textId="77777777" w:rsidR="0053098F" w:rsidRPr="00A61BF6" w:rsidRDefault="0053098F" w:rsidP="00C84FC0">
      <w:pPr>
        <w:pStyle w:val="whitespace-normal"/>
        <w:spacing w:before="0" w:beforeAutospacing="0" w:after="0" w:afterAutospacing="0"/>
        <w:jc w:val="both"/>
      </w:pPr>
      <w:r w:rsidRPr="00A61BF6">
        <w:t xml:space="preserve">To identify what counts as "extreme" weather, I </w:t>
      </w:r>
      <w:proofErr w:type="spellStart"/>
      <w:r w:rsidRPr="00A61BF6">
        <w:t>analyzed</w:t>
      </w:r>
      <w:proofErr w:type="spellEnd"/>
      <w:r w:rsidRPr="00A61BF6">
        <w:t xml:space="preserve"> all weather data from 2018-2023 and found the threshold values that separate normal from unusual conditions. </w:t>
      </w:r>
      <w:r>
        <w:t>I</w:t>
      </w:r>
      <w:r w:rsidRPr="00A61BF6">
        <w:t xml:space="preserve"> used three levels of severity:</w:t>
      </w:r>
    </w:p>
    <w:p w14:paraId="6EA9619B" w14:textId="77777777" w:rsidR="0053098F" w:rsidRPr="00A61BF6" w:rsidRDefault="0053098F" w:rsidP="00C84FC0">
      <w:pPr>
        <w:pStyle w:val="whitespace-normal"/>
        <w:numPr>
          <w:ilvl w:val="0"/>
          <w:numId w:val="8"/>
        </w:numPr>
        <w:spacing w:before="0" w:beforeAutospacing="0" w:after="0" w:afterAutospacing="0"/>
        <w:ind w:left="0" w:firstLine="0"/>
        <w:jc w:val="both"/>
      </w:pPr>
      <w:r w:rsidRPr="00A61BF6">
        <w:rPr>
          <w:rStyle w:val="Strong"/>
          <w:rFonts w:eastAsiaTheme="majorEastAsia"/>
        </w:rPr>
        <w:t>95th percentile</w:t>
      </w:r>
      <w:r w:rsidRPr="00A61BF6">
        <w:t xml:space="preserve">: The most extreme 5% of weather (temperatures above </w:t>
      </w:r>
      <w:r>
        <w:t>[p95 value is 90.77]</w:t>
      </w:r>
      <w:r w:rsidRPr="003B1F47">
        <w:t xml:space="preserve"> </w:t>
      </w:r>
      <w:r>
        <w:t>°F for heat extremes</w:t>
      </w:r>
      <w:r w:rsidRPr="00A61BF6">
        <w:t>)</w:t>
      </w:r>
    </w:p>
    <w:p w14:paraId="73125E7B" w14:textId="77777777" w:rsidR="0053098F" w:rsidRPr="00A61BF6" w:rsidRDefault="0053098F" w:rsidP="00C84FC0">
      <w:pPr>
        <w:pStyle w:val="whitespace-normal"/>
        <w:numPr>
          <w:ilvl w:val="0"/>
          <w:numId w:val="8"/>
        </w:numPr>
        <w:spacing w:before="0" w:beforeAutospacing="0" w:after="0" w:afterAutospacing="0"/>
        <w:ind w:left="0" w:firstLine="0"/>
        <w:jc w:val="both"/>
      </w:pPr>
      <w:r w:rsidRPr="00A61BF6">
        <w:rPr>
          <w:rStyle w:val="Strong"/>
          <w:rFonts w:eastAsiaTheme="majorEastAsia"/>
        </w:rPr>
        <w:t>90th percentile</w:t>
      </w:r>
      <w:r w:rsidRPr="00A61BF6">
        <w:t xml:space="preserve">: The most extreme 10% of weather (temperatures above </w:t>
      </w:r>
      <w:r>
        <w:t>[p90 value is 88.24]</w:t>
      </w:r>
      <w:r w:rsidRPr="00A61BF6">
        <w:t>°F)</w:t>
      </w:r>
    </w:p>
    <w:p w14:paraId="22BF9989" w14:textId="77777777" w:rsidR="0053098F" w:rsidRDefault="0053098F" w:rsidP="00C84FC0">
      <w:pPr>
        <w:pStyle w:val="whitespace-normal"/>
        <w:numPr>
          <w:ilvl w:val="0"/>
          <w:numId w:val="8"/>
        </w:numPr>
        <w:spacing w:before="0" w:beforeAutospacing="0" w:after="0" w:afterAutospacing="0"/>
        <w:ind w:left="0" w:firstLine="0"/>
        <w:jc w:val="both"/>
      </w:pPr>
      <w:r w:rsidRPr="00A61BF6">
        <w:rPr>
          <w:rStyle w:val="Strong"/>
          <w:rFonts w:eastAsiaTheme="majorEastAsia"/>
        </w:rPr>
        <w:t>75th percentile</w:t>
      </w:r>
      <w:r w:rsidRPr="00A61BF6">
        <w:t xml:space="preserve">: The most extreme 25% of weather (temperatures above </w:t>
      </w:r>
      <w:r>
        <w:t>[75 value is 81.87]</w:t>
      </w:r>
      <w:r w:rsidRPr="00A61BF6">
        <w:t>°F)</w:t>
      </w:r>
    </w:p>
    <w:p w14:paraId="2B71D232" w14:textId="77777777" w:rsidR="0053098F" w:rsidRPr="00A61BF6" w:rsidRDefault="0053098F" w:rsidP="00C84FC0">
      <w:pPr>
        <w:pStyle w:val="whitespace-normal"/>
        <w:spacing w:before="0" w:beforeAutospacing="0" w:after="0" w:afterAutospacing="0"/>
        <w:jc w:val="both"/>
      </w:pPr>
      <w:r>
        <w:rPr>
          <w:rStyle w:val="Strong"/>
          <w:rFonts w:eastAsiaTheme="majorEastAsia"/>
        </w:rPr>
        <w:t>Note</w:t>
      </w:r>
      <w:r w:rsidRPr="003B1F47">
        <w:t>:</w:t>
      </w:r>
      <w:r>
        <w:t xml:space="preserve"> Fore precipitation, snowfall, and wind speed, the percentile thresholds were calculated only among days with non-zero values (i.e., days with actual precipitation, snowfall, or </w:t>
      </w:r>
      <w:proofErr w:type="spellStart"/>
      <w:r>
        <w:t>mesurable</w:t>
      </w:r>
      <w:proofErr w:type="spellEnd"/>
      <w:r>
        <w:t xml:space="preserve"> wind), following standard meteorological practice to avoid skewing thresholds with zero-value observations. </w:t>
      </w:r>
    </w:p>
    <w:p w14:paraId="48998F32" w14:textId="77777777" w:rsidR="0053098F" w:rsidRDefault="0053098F" w:rsidP="00C84FC0">
      <w:pPr>
        <w:pStyle w:val="whitespace-normal"/>
        <w:spacing w:before="0" w:beforeAutospacing="0" w:after="0" w:afterAutospacing="0"/>
        <w:jc w:val="both"/>
      </w:pPr>
      <w:r w:rsidRPr="00A61BF6">
        <w:t xml:space="preserve">These thresholds mean that historically, only 5% of days had maximum temperatures exceeding </w:t>
      </w:r>
      <w:r>
        <w:t>90.77</w:t>
      </w:r>
      <w:r w:rsidRPr="00A61BF6">
        <w:t xml:space="preserve">°F, 10% exceeded </w:t>
      </w:r>
      <w:r>
        <w:t>88.24</w:t>
      </w:r>
      <w:r w:rsidRPr="00A61BF6">
        <w:t xml:space="preserve">°F, and 25% exceeded </w:t>
      </w:r>
      <w:r>
        <w:t>81.87</w:t>
      </w:r>
      <w:r w:rsidRPr="00A61BF6">
        <w:t xml:space="preserve">°F. For cold extremes, </w:t>
      </w:r>
      <w:r>
        <w:t xml:space="preserve">I </w:t>
      </w:r>
      <w:r w:rsidRPr="00A61BF6">
        <w:t>used the opposite approach - the 5th percentile (</w:t>
      </w:r>
      <w:r>
        <w:t>p5 value is 38.75</w:t>
      </w:r>
      <w:r w:rsidRPr="00A61BF6">
        <w:t>°F) represents the coldest 5% of days, the 10th percentile (</w:t>
      </w:r>
      <w:r>
        <w:t>p10 value is 43.45</w:t>
      </w:r>
      <w:r w:rsidRPr="00A61BF6">
        <w:t>°F) the coldest 10%, and the 25th percentile (</w:t>
      </w:r>
      <w:r>
        <w:t>p25 value is 52.22</w:t>
      </w:r>
      <w:r w:rsidRPr="00A61BF6">
        <w:t>°F) the coldest 25%.</w:t>
      </w:r>
    </w:p>
    <w:p w14:paraId="79F51729" w14:textId="77777777" w:rsidR="00C84FC0" w:rsidRDefault="00C84FC0" w:rsidP="00C84FC0">
      <w:pPr>
        <w:pStyle w:val="whitespace-normal"/>
        <w:spacing w:before="0" w:beforeAutospacing="0" w:after="0" w:afterAutospacing="0"/>
        <w:jc w:val="both"/>
      </w:pPr>
    </w:p>
    <w:p w14:paraId="4617527F" w14:textId="77777777" w:rsidR="0053098F" w:rsidRPr="00FE1DED" w:rsidRDefault="0053098F" w:rsidP="00C84FC0">
      <w:pPr>
        <w:pStyle w:val="whitespace-normal"/>
        <w:spacing w:before="0" w:beforeAutospacing="0" w:after="0" w:afterAutospacing="0"/>
        <w:jc w:val="both"/>
        <w:rPr>
          <w:b/>
          <w:bCs/>
        </w:rPr>
      </w:pPr>
      <w:r w:rsidRPr="00FE1DED">
        <w:rPr>
          <w:b/>
          <w:bCs/>
        </w:rPr>
        <w:t>Table C1: Extreme Weather Thresholds</w:t>
      </w:r>
    </w:p>
    <w:tbl>
      <w:tblPr>
        <w:tblStyle w:val="TableGrid"/>
        <w:tblW w:w="0" w:type="auto"/>
        <w:tblLook w:val="04A0" w:firstRow="1" w:lastRow="0" w:firstColumn="1" w:lastColumn="0" w:noHBand="0" w:noVBand="1"/>
      </w:tblPr>
      <w:tblGrid>
        <w:gridCol w:w="2700"/>
        <w:gridCol w:w="1841"/>
        <w:gridCol w:w="1693"/>
        <w:gridCol w:w="2062"/>
      </w:tblGrid>
      <w:tr w:rsidR="0053098F" w14:paraId="5FA14393" w14:textId="77777777" w:rsidTr="00EE54D8">
        <w:tc>
          <w:tcPr>
            <w:tcW w:w="2972" w:type="dxa"/>
          </w:tcPr>
          <w:p w14:paraId="07C4AA1B" w14:textId="77777777" w:rsidR="0053098F" w:rsidRDefault="0053098F" w:rsidP="00C84FC0">
            <w:pPr>
              <w:pStyle w:val="whitespace-normal"/>
              <w:spacing w:before="0" w:beforeAutospacing="0" w:after="0" w:afterAutospacing="0"/>
              <w:jc w:val="both"/>
            </w:pPr>
            <w:r>
              <w:t>Variable</w:t>
            </w:r>
          </w:p>
        </w:tc>
        <w:tc>
          <w:tcPr>
            <w:tcW w:w="1985" w:type="dxa"/>
          </w:tcPr>
          <w:p w14:paraId="1EBE8ABA" w14:textId="77777777" w:rsidR="0053098F" w:rsidRDefault="0053098F" w:rsidP="00C84FC0">
            <w:pPr>
              <w:pStyle w:val="whitespace-normal"/>
              <w:spacing w:before="0" w:beforeAutospacing="0" w:after="0" w:afterAutospacing="0"/>
              <w:jc w:val="both"/>
            </w:pPr>
            <w:r>
              <w:t>75</w:t>
            </w:r>
            <w:r w:rsidRPr="00FE1DED">
              <w:rPr>
                <w:vertAlign w:val="superscript"/>
              </w:rPr>
              <w:t>th</w:t>
            </w:r>
            <w:r>
              <w:t xml:space="preserve"> Percentile</w:t>
            </w:r>
          </w:p>
        </w:tc>
        <w:tc>
          <w:tcPr>
            <w:tcW w:w="1805" w:type="dxa"/>
          </w:tcPr>
          <w:p w14:paraId="0EDCCEE6" w14:textId="77777777" w:rsidR="0053098F" w:rsidRDefault="0053098F" w:rsidP="00C84FC0">
            <w:pPr>
              <w:pStyle w:val="whitespace-normal"/>
              <w:spacing w:before="0" w:beforeAutospacing="0" w:after="0" w:afterAutospacing="0"/>
              <w:jc w:val="both"/>
            </w:pPr>
            <w:r>
              <w:t>90</w:t>
            </w:r>
            <w:r w:rsidRPr="00FE1DED">
              <w:rPr>
                <w:vertAlign w:val="superscript"/>
              </w:rPr>
              <w:t>th</w:t>
            </w:r>
            <w:r>
              <w:t xml:space="preserve"> Percentile</w:t>
            </w:r>
          </w:p>
        </w:tc>
        <w:tc>
          <w:tcPr>
            <w:tcW w:w="2254" w:type="dxa"/>
          </w:tcPr>
          <w:p w14:paraId="47FA126A" w14:textId="77777777" w:rsidR="0053098F" w:rsidRDefault="0053098F" w:rsidP="00C84FC0">
            <w:pPr>
              <w:pStyle w:val="whitespace-normal"/>
              <w:spacing w:before="0" w:beforeAutospacing="0" w:after="0" w:afterAutospacing="0"/>
              <w:jc w:val="both"/>
            </w:pPr>
            <w:r>
              <w:t>95</w:t>
            </w:r>
            <w:r w:rsidRPr="00FE1DED">
              <w:rPr>
                <w:vertAlign w:val="superscript"/>
              </w:rPr>
              <w:t>th</w:t>
            </w:r>
            <w:r>
              <w:t xml:space="preserve"> Percentile</w:t>
            </w:r>
          </w:p>
        </w:tc>
      </w:tr>
      <w:tr w:rsidR="0053098F" w14:paraId="4809C5DC" w14:textId="77777777" w:rsidTr="00EE54D8">
        <w:tc>
          <w:tcPr>
            <w:tcW w:w="2972" w:type="dxa"/>
          </w:tcPr>
          <w:p w14:paraId="48AA3ACA" w14:textId="77777777" w:rsidR="0053098F" w:rsidRDefault="0053098F" w:rsidP="00C84FC0">
            <w:pPr>
              <w:pStyle w:val="whitespace-normal"/>
              <w:spacing w:before="0" w:beforeAutospacing="0" w:after="0" w:afterAutospacing="0"/>
              <w:jc w:val="both"/>
            </w:pPr>
            <w:r>
              <w:t>Maximum Temperature (°F) - Heat</w:t>
            </w:r>
          </w:p>
        </w:tc>
        <w:tc>
          <w:tcPr>
            <w:tcW w:w="1985" w:type="dxa"/>
          </w:tcPr>
          <w:p w14:paraId="459E2FCC" w14:textId="77777777" w:rsidR="0053098F" w:rsidRDefault="0053098F" w:rsidP="00C84FC0">
            <w:pPr>
              <w:pStyle w:val="whitespace-normal"/>
              <w:spacing w:before="0" w:beforeAutospacing="0" w:after="0" w:afterAutospacing="0"/>
              <w:jc w:val="both"/>
            </w:pPr>
            <w:r>
              <w:t>81.87</w:t>
            </w:r>
          </w:p>
        </w:tc>
        <w:tc>
          <w:tcPr>
            <w:tcW w:w="1805" w:type="dxa"/>
          </w:tcPr>
          <w:p w14:paraId="609C8BD6" w14:textId="77777777" w:rsidR="0053098F" w:rsidRDefault="0053098F" w:rsidP="00C84FC0">
            <w:pPr>
              <w:pStyle w:val="whitespace-normal"/>
              <w:spacing w:before="0" w:beforeAutospacing="0" w:after="0" w:afterAutospacing="0"/>
              <w:jc w:val="both"/>
            </w:pPr>
            <w:r>
              <w:t>88.24</w:t>
            </w:r>
          </w:p>
        </w:tc>
        <w:tc>
          <w:tcPr>
            <w:tcW w:w="2254" w:type="dxa"/>
          </w:tcPr>
          <w:p w14:paraId="70AD6BB4" w14:textId="77777777" w:rsidR="0053098F" w:rsidRDefault="0053098F" w:rsidP="00C84FC0">
            <w:pPr>
              <w:pStyle w:val="whitespace-normal"/>
              <w:spacing w:before="0" w:beforeAutospacing="0" w:after="0" w:afterAutospacing="0"/>
              <w:jc w:val="both"/>
            </w:pPr>
            <w:r>
              <w:t>90.77</w:t>
            </w:r>
          </w:p>
        </w:tc>
      </w:tr>
      <w:tr w:rsidR="0053098F" w14:paraId="6B9C9A7B" w14:textId="77777777" w:rsidTr="00EE54D8">
        <w:tc>
          <w:tcPr>
            <w:tcW w:w="2972" w:type="dxa"/>
          </w:tcPr>
          <w:p w14:paraId="39F8714C" w14:textId="77777777" w:rsidR="0053098F" w:rsidRDefault="0053098F" w:rsidP="00C84FC0">
            <w:pPr>
              <w:pStyle w:val="whitespace-normal"/>
              <w:spacing w:before="0" w:beforeAutospacing="0" w:after="0" w:afterAutospacing="0"/>
              <w:jc w:val="both"/>
            </w:pPr>
            <w:r>
              <w:t>Maximum Temperature (°F) - Cold</w:t>
            </w:r>
          </w:p>
        </w:tc>
        <w:tc>
          <w:tcPr>
            <w:tcW w:w="1985" w:type="dxa"/>
          </w:tcPr>
          <w:p w14:paraId="0B1F4B6D" w14:textId="77777777" w:rsidR="0053098F" w:rsidRDefault="0053098F" w:rsidP="00C84FC0">
            <w:pPr>
              <w:pStyle w:val="whitespace-normal"/>
              <w:spacing w:before="0" w:beforeAutospacing="0" w:after="0" w:afterAutospacing="0"/>
              <w:jc w:val="both"/>
            </w:pPr>
            <w:r>
              <w:t>52.22 (25</w:t>
            </w:r>
            <w:r w:rsidRPr="00FE1DED">
              <w:rPr>
                <w:vertAlign w:val="superscript"/>
              </w:rPr>
              <w:t>th</w:t>
            </w:r>
            <w:r>
              <w:t>)</w:t>
            </w:r>
          </w:p>
        </w:tc>
        <w:tc>
          <w:tcPr>
            <w:tcW w:w="1805" w:type="dxa"/>
          </w:tcPr>
          <w:p w14:paraId="4A9D4DC5" w14:textId="77777777" w:rsidR="0053098F" w:rsidRDefault="0053098F" w:rsidP="00C84FC0">
            <w:pPr>
              <w:pStyle w:val="whitespace-normal"/>
              <w:spacing w:before="0" w:beforeAutospacing="0" w:after="0" w:afterAutospacing="0"/>
              <w:jc w:val="both"/>
            </w:pPr>
            <w:r>
              <w:t>43.45 (10</w:t>
            </w:r>
            <w:r w:rsidRPr="00FE1DED">
              <w:rPr>
                <w:vertAlign w:val="superscript"/>
              </w:rPr>
              <w:t>th</w:t>
            </w:r>
            <w:r>
              <w:t>)</w:t>
            </w:r>
          </w:p>
        </w:tc>
        <w:tc>
          <w:tcPr>
            <w:tcW w:w="2254" w:type="dxa"/>
          </w:tcPr>
          <w:p w14:paraId="0FBD48C0" w14:textId="77777777" w:rsidR="0053098F" w:rsidRDefault="0053098F" w:rsidP="00C84FC0">
            <w:pPr>
              <w:pStyle w:val="whitespace-normal"/>
              <w:spacing w:before="0" w:beforeAutospacing="0" w:after="0" w:afterAutospacing="0"/>
              <w:jc w:val="both"/>
            </w:pPr>
            <w:r>
              <w:t>38.75 (5</w:t>
            </w:r>
            <w:r w:rsidRPr="00FE1DED">
              <w:rPr>
                <w:vertAlign w:val="superscript"/>
              </w:rPr>
              <w:t>th</w:t>
            </w:r>
            <w:r>
              <w:t>)</w:t>
            </w:r>
          </w:p>
        </w:tc>
      </w:tr>
      <w:tr w:rsidR="0053098F" w14:paraId="4D82B403" w14:textId="77777777" w:rsidTr="00EE54D8">
        <w:tc>
          <w:tcPr>
            <w:tcW w:w="2972" w:type="dxa"/>
          </w:tcPr>
          <w:p w14:paraId="71DF4B61" w14:textId="77777777" w:rsidR="0053098F" w:rsidRDefault="0053098F" w:rsidP="00C84FC0">
            <w:pPr>
              <w:pStyle w:val="whitespace-normal"/>
              <w:spacing w:before="0" w:beforeAutospacing="0" w:after="0" w:afterAutospacing="0"/>
              <w:jc w:val="both"/>
            </w:pPr>
            <w:r>
              <w:t>Precipitation (inches)</w:t>
            </w:r>
          </w:p>
        </w:tc>
        <w:tc>
          <w:tcPr>
            <w:tcW w:w="1985" w:type="dxa"/>
          </w:tcPr>
          <w:p w14:paraId="1E5BBB41" w14:textId="77777777" w:rsidR="0053098F" w:rsidRDefault="0053098F" w:rsidP="00C84FC0">
            <w:pPr>
              <w:pStyle w:val="whitespace-normal"/>
              <w:spacing w:before="0" w:beforeAutospacing="0" w:after="0" w:afterAutospacing="0"/>
              <w:jc w:val="both"/>
            </w:pPr>
            <w:r>
              <w:t>0.27</w:t>
            </w:r>
          </w:p>
        </w:tc>
        <w:tc>
          <w:tcPr>
            <w:tcW w:w="1805" w:type="dxa"/>
          </w:tcPr>
          <w:p w14:paraId="402B7F8F" w14:textId="77777777" w:rsidR="0053098F" w:rsidRDefault="0053098F" w:rsidP="00C84FC0">
            <w:pPr>
              <w:pStyle w:val="whitespace-normal"/>
              <w:spacing w:before="0" w:beforeAutospacing="0" w:after="0" w:afterAutospacing="0"/>
              <w:jc w:val="both"/>
            </w:pPr>
            <w:r>
              <w:t>0.68</w:t>
            </w:r>
          </w:p>
        </w:tc>
        <w:tc>
          <w:tcPr>
            <w:tcW w:w="2254" w:type="dxa"/>
          </w:tcPr>
          <w:p w14:paraId="5FC96DB5" w14:textId="77777777" w:rsidR="0053098F" w:rsidRDefault="0053098F" w:rsidP="00C84FC0">
            <w:pPr>
              <w:pStyle w:val="whitespace-normal"/>
              <w:spacing w:before="0" w:beforeAutospacing="0" w:after="0" w:afterAutospacing="0"/>
              <w:jc w:val="both"/>
            </w:pPr>
            <w:r>
              <w:t>1.03</w:t>
            </w:r>
          </w:p>
        </w:tc>
      </w:tr>
      <w:tr w:rsidR="0053098F" w14:paraId="605DDBFF" w14:textId="77777777" w:rsidTr="00EE54D8">
        <w:tc>
          <w:tcPr>
            <w:tcW w:w="2972" w:type="dxa"/>
          </w:tcPr>
          <w:p w14:paraId="2A40A937" w14:textId="77777777" w:rsidR="0053098F" w:rsidRDefault="0053098F" w:rsidP="00C84FC0">
            <w:pPr>
              <w:pStyle w:val="whitespace-normal"/>
              <w:spacing w:before="0" w:beforeAutospacing="0" w:after="0" w:afterAutospacing="0"/>
              <w:jc w:val="both"/>
            </w:pPr>
            <w:r>
              <w:t>Wind Speed (m/s)</w:t>
            </w:r>
          </w:p>
        </w:tc>
        <w:tc>
          <w:tcPr>
            <w:tcW w:w="1985" w:type="dxa"/>
          </w:tcPr>
          <w:p w14:paraId="0DA85975" w14:textId="77777777" w:rsidR="0053098F" w:rsidRDefault="0053098F" w:rsidP="00C84FC0">
            <w:pPr>
              <w:pStyle w:val="whitespace-normal"/>
              <w:spacing w:before="0" w:beforeAutospacing="0" w:after="0" w:afterAutospacing="0"/>
              <w:jc w:val="both"/>
            </w:pPr>
            <w:r>
              <w:t>20.36</w:t>
            </w:r>
          </w:p>
        </w:tc>
        <w:tc>
          <w:tcPr>
            <w:tcW w:w="1805" w:type="dxa"/>
          </w:tcPr>
          <w:p w14:paraId="0E7C9302" w14:textId="77777777" w:rsidR="0053098F" w:rsidRDefault="0053098F" w:rsidP="00C84FC0">
            <w:pPr>
              <w:pStyle w:val="whitespace-normal"/>
              <w:spacing w:before="0" w:beforeAutospacing="0" w:after="0" w:afterAutospacing="0"/>
              <w:jc w:val="both"/>
            </w:pPr>
            <w:r>
              <w:t>24.87</w:t>
            </w:r>
          </w:p>
        </w:tc>
        <w:tc>
          <w:tcPr>
            <w:tcW w:w="2254" w:type="dxa"/>
          </w:tcPr>
          <w:p w14:paraId="5C205B5D" w14:textId="77777777" w:rsidR="0053098F" w:rsidRDefault="0053098F" w:rsidP="00C84FC0">
            <w:pPr>
              <w:pStyle w:val="whitespace-normal"/>
              <w:spacing w:before="0" w:beforeAutospacing="0" w:after="0" w:afterAutospacing="0"/>
              <w:jc w:val="both"/>
            </w:pPr>
            <w:r>
              <w:t>28.03</w:t>
            </w:r>
          </w:p>
        </w:tc>
      </w:tr>
      <w:tr w:rsidR="0053098F" w14:paraId="160CC3EC" w14:textId="77777777" w:rsidTr="00EE54D8">
        <w:tc>
          <w:tcPr>
            <w:tcW w:w="2972" w:type="dxa"/>
          </w:tcPr>
          <w:p w14:paraId="0BCD9DFB" w14:textId="77777777" w:rsidR="0053098F" w:rsidRDefault="0053098F" w:rsidP="00C84FC0">
            <w:pPr>
              <w:pStyle w:val="whitespace-normal"/>
              <w:spacing w:before="0" w:beforeAutospacing="0" w:after="0" w:afterAutospacing="0"/>
              <w:jc w:val="both"/>
            </w:pPr>
            <w:r>
              <w:t>Snowfall (mm)</w:t>
            </w:r>
          </w:p>
        </w:tc>
        <w:tc>
          <w:tcPr>
            <w:tcW w:w="1985" w:type="dxa"/>
          </w:tcPr>
          <w:p w14:paraId="6A325F94" w14:textId="77777777" w:rsidR="0053098F" w:rsidRDefault="0053098F" w:rsidP="00C84FC0">
            <w:pPr>
              <w:pStyle w:val="whitespace-normal"/>
              <w:spacing w:before="0" w:beforeAutospacing="0" w:after="0" w:afterAutospacing="0"/>
              <w:jc w:val="both"/>
            </w:pPr>
            <w:r>
              <w:t>0.80</w:t>
            </w:r>
          </w:p>
        </w:tc>
        <w:tc>
          <w:tcPr>
            <w:tcW w:w="1805" w:type="dxa"/>
          </w:tcPr>
          <w:p w14:paraId="29898FDA" w14:textId="77777777" w:rsidR="0053098F" w:rsidRDefault="0053098F" w:rsidP="00C84FC0">
            <w:pPr>
              <w:pStyle w:val="whitespace-normal"/>
              <w:spacing w:before="0" w:beforeAutospacing="0" w:after="0" w:afterAutospacing="0"/>
              <w:jc w:val="both"/>
            </w:pPr>
            <w:r>
              <w:t>2.22</w:t>
            </w:r>
          </w:p>
        </w:tc>
        <w:tc>
          <w:tcPr>
            <w:tcW w:w="2254" w:type="dxa"/>
          </w:tcPr>
          <w:p w14:paraId="1D6064EE" w14:textId="77777777" w:rsidR="0053098F" w:rsidRDefault="0053098F" w:rsidP="00C84FC0">
            <w:pPr>
              <w:pStyle w:val="whitespace-normal"/>
              <w:spacing w:before="0" w:beforeAutospacing="0" w:after="0" w:afterAutospacing="0"/>
              <w:jc w:val="both"/>
            </w:pPr>
            <w:r>
              <w:t>3.67</w:t>
            </w:r>
          </w:p>
        </w:tc>
      </w:tr>
    </w:tbl>
    <w:p w14:paraId="02C4F6D3" w14:textId="77777777" w:rsidR="0053098F" w:rsidRPr="00A61BF6" w:rsidRDefault="0053098F" w:rsidP="00C84FC0">
      <w:pPr>
        <w:pStyle w:val="whitespace-normal"/>
        <w:spacing w:before="0" w:beforeAutospacing="0" w:after="0" w:afterAutospacing="0"/>
        <w:jc w:val="both"/>
      </w:pPr>
    </w:p>
    <w:p w14:paraId="593DB812" w14:textId="77777777" w:rsidR="0053098F" w:rsidRDefault="0053098F" w:rsidP="00C84FC0">
      <w:pPr>
        <w:pStyle w:val="whitespace-normal"/>
        <w:spacing w:before="0" w:beforeAutospacing="0" w:after="0" w:afterAutospacing="0"/>
        <w:jc w:val="both"/>
      </w:pPr>
      <w:r w:rsidRPr="00A61BF6">
        <w:t xml:space="preserve">For example, if the maximum temperature on a given day is 92°F, that day would be classified as an "extreme heat day" at the 95th percentile level (since 92°F exceeds the </w:t>
      </w:r>
      <w:r>
        <w:t>90.77</w:t>
      </w:r>
      <w:r w:rsidRPr="00A61BF6">
        <w:t>°F threshold). We then counted the total number of such extreme weather days occurring within each quarter for each ZIP code area, creating variables that measure the frequency of extreme weather events at different severity levels.</w:t>
      </w:r>
    </w:p>
    <w:p w14:paraId="50CFCE79" w14:textId="77777777" w:rsidR="00C84FC0" w:rsidRPr="00C84FC0" w:rsidRDefault="00C84FC0" w:rsidP="00C84FC0">
      <w:pPr>
        <w:pStyle w:val="whitespace-normal"/>
        <w:spacing w:before="0" w:beforeAutospacing="0" w:after="0" w:afterAutospacing="0"/>
        <w:jc w:val="both"/>
        <w:rPr>
          <w:bCs/>
          <w:i/>
          <w:iCs/>
        </w:rPr>
      </w:pPr>
    </w:p>
    <w:p w14:paraId="2FCB65F5" w14:textId="77777777" w:rsidR="0053098F" w:rsidRPr="00C84FC0" w:rsidRDefault="0053098F" w:rsidP="00C84FC0">
      <w:pPr>
        <w:pStyle w:val="font-claude-response-body"/>
        <w:spacing w:before="0" w:beforeAutospacing="0" w:after="0" w:afterAutospacing="0"/>
        <w:jc w:val="both"/>
        <w:rPr>
          <w:bCs/>
          <w:i/>
          <w:iCs/>
        </w:rPr>
      </w:pPr>
      <w:r w:rsidRPr="00C84FC0">
        <w:rPr>
          <w:rStyle w:val="Strong"/>
          <w:rFonts w:eastAsiaTheme="majorEastAsia"/>
          <w:b w:val="0"/>
          <w:bCs/>
          <w:i/>
          <w:iCs/>
        </w:rPr>
        <w:t>Counting Extreme Weather Days</w:t>
      </w:r>
    </w:p>
    <w:p w14:paraId="29132333" w14:textId="77777777" w:rsidR="0053098F" w:rsidRDefault="0053098F" w:rsidP="00C84FC0">
      <w:pPr>
        <w:pStyle w:val="font-claude-response-body"/>
        <w:spacing w:before="0" w:beforeAutospacing="0" w:after="0" w:afterAutospacing="0"/>
        <w:jc w:val="both"/>
      </w:pPr>
      <w:r>
        <w:t>For each day in our dataset, we checked whether the weather exceeded our threshold values. If the daily maximum temperature was above the 90th percentile threshold, we marked that as an extreme heat day. We then counted how many extreme weather days occurred in each quarter for each ZIP code. This gave us variables at three severity levels:</w:t>
      </w:r>
    </w:p>
    <w:p w14:paraId="5E3A2209" w14:textId="77777777" w:rsidR="0053098F" w:rsidRDefault="0053098F" w:rsidP="00C84FC0">
      <w:pPr>
        <w:pStyle w:val="font-claude-response-body"/>
        <w:spacing w:before="0" w:beforeAutospacing="0" w:after="0" w:afterAutospacing="0"/>
        <w:jc w:val="both"/>
      </w:pPr>
      <w:r>
        <w:rPr>
          <w:rStyle w:val="Strong"/>
          <w:rFonts w:eastAsiaTheme="majorEastAsia"/>
        </w:rPr>
        <w:t>95th Percentile (Most Extreme 5%):</w:t>
      </w:r>
    </w:p>
    <w:p w14:paraId="77388A2F" w14:textId="77777777" w:rsidR="0053098F" w:rsidRDefault="0053098F" w:rsidP="00C84FC0">
      <w:pPr>
        <w:pStyle w:val="whitespace-normal"/>
        <w:numPr>
          <w:ilvl w:val="0"/>
          <w:numId w:val="9"/>
        </w:numPr>
        <w:spacing w:before="0" w:beforeAutospacing="0" w:after="0" w:afterAutospacing="0"/>
        <w:ind w:left="0" w:firstLine="0"/>
        <w:jc w:val="both"/>
      </w:pPr>
      <w:r>
        <w:t>extreme_heat_days_p95: Number of days with temperatures above the 95th percentile (&gt;90.77°F)</w:t>
      </w:r>
    </w:p>
    <w:p w14:paraId="4F1A21E3" w14:textId="77777777" w:rsidR="0053098F" w:rsidRDefault="0053098F" w:rsidP="00C84FC0">
      <w:pPr>
        <w:pStyle w:val="whitespace-normal"/>
        <w:numPr>
          <w:ilvl w:val="0"/>
          <w:numId w:val="9"/>
        </w:numPr>
        <w:spacing w:before="0" w:beforeAutospacing="0" w:after="0" w:afterAutospacing="0"/>
        <w:ind w:left="0" w:firstLine="0"/>
        <w:jc w:val="both"/>
      </w:pPr>
      <w:r>
        <w:t>extreme_cold_days_p95: Number of days with temperatures below the 5th percentile (&lt;38.75°F)</w:t>
      </w:r>
    </w:p>
    <w:p w14:paraId="3892E233" w14:textId="77777777" w:rsidR="0053098F" w:rsidRDefault="0053098F" w:rsidP="00C84FC0">
      <w:pPr>
        <w:pStyle w:val="whitespace-normal"/>
        <w:numPr>
          <w:ilvl w:val="0"/>
          <w:numId w:val="9"/>
        </w:numPr>
        <w:spacing w:before="0" w:beforeAutospacing="0" w:after="0" w:afterAutospacing="0"/>
        <w:ind w:left="0" w:firstLine="0"/>
        <w:jc w:val="both"/>
      </w:pPr>
      <w:r>
        <w:t>extreme_precip_days_p95: Number of days with precipitation above the 95th percentile</w:t>
      </w:r>
    </w:p>
    <w:p w14:paraId="75FC851B" w14:textId="77777777" w:rsidR="0053098F" w:rsidRDefault="0053098F" w:rsidP="00C84FC0">
      <w:pPr>
        <w:pStyle w:val="whitespace-normal"/>
        <w:numPr>
          <w:ilvl w:val="0"/>
          <w:numId w:val="9"/>
        </w:numPr>
        <w:spacing w:before="0" w:beforeAutospacing="0" w:after="0" w:afterAutospacing="0"/>
        <w:ind w:left="0" w:firstLine="0"/>
        <w:jc w:val="both"/>
      </w:pPr>
      <w:r>
        <w:t>extreme_wind_days_p95: Number of days with wind speed above the 95th percentile</w:t>
      </w:r>
    </w:p>
    <w:p w14:paraId="738B610E" w14:textId="77777777" w:rsidR="0053098F" w:rsidRDefault="0053098F" w:rsidP="00C84FC0">
      <w:pPr>
        <w:pStyle w:val="whitespace-normal"/>
        <w:numPr>
          <w:ilvl w:val="0"/>
          <w:numId w:val="9"/>
        </w:numPr>
        <w:spacing w:before="0" w:beforeAutospacing="0" w:after="0" w:afterAutospacing="0"/>
        <w:ind w:left="0" w:firstLine="0"/>
        <w:jc w:val="both"/>
      </w:pPr>
      <w:r>
        <w:t>extreme_snow_days_p95: Number of days with snowfall above the 95th percentile</w:t>
      </w:r>
    </w:p>
    <w:p w14:paraId="7D649EEE" w14:textId="77777777" w:rsidR="00F27B26" w:rsidRDefault="00F27B26" w:rsidP="00C84FC0">
      <w:pPr>
        <w:pStyle w:val="whitespace-normal"/>
        <w:numPr>
          <w:ilvl w:val="0"/>
          <w:numId w:val="9"/>
        </w:numPr>
        <w:spacing w:before="0" w:beforeAutospacing="0" w:after="0" w:afterAutospacing="0"/>
        <w:ind w:left="0" w:firstLine="0"/>
        <w:jc w:val="both"/>
      </w:pPr>
    </w:p>
    <w:p w14:paraId="451746DA" w14:textId="77777777" w:rsidR="0053098F" w:rsidRDefault="0053098F" w:rsidP="00C84FC0">
      <w:pPr>
        <w:pStyle w:val="font-claude-response-body"/>
        <w:spacing w:before="0" w:beforeAutospacing="0" w:after="0" w:afterAutospacing="0"/>
        <w:jc w:val="both"/>
      </w:pPr>
      <w:r>
        <w:rPr>
          <w:rStyle w:val="Strong"/>
          <w:rFonts w:eastAsiaTheme="majorEastAsia"/>
        </w:rPr>
        <w:t>90th Percentile (Most Extreme 10%):</w:t>
      </w:r>
    </w:p>
    <w:p w14:paraId="29060146" w14:textId="77777777" w:rsidR="0053098F" w:rsidRDefault="0053098F" w:rsidP="00C84FC0">
      <w:pPr>
        <w:pStyle w:val="whitespace-normal"/>
        <w:numPr>
          <w:ilvl w:val="0"/>
          <w:numId w:val="10"/>
        </w:numPr>
        <w:spacing w:before="0" w:beforeAutospacing="0" w:after="0" w:afterAutospacing="0"/>
        <w:ind w:left="0" w:firstLine="0"/>
        <w:jc w:val="both"/>
      </w:pPr>
      <w:r>
        <w:t>extreme_heat_days_p90: Number of days with temperatures above the 90th percentile (&gt;88.24°F)</w:t>
      </w:r>
    </w:p>
    <w:p w14:paraId="666B995E" w14:textId="77777777" w:rsidR="0053098F" w:rsidRDefault="0053098F" w:rsidP="00C84FC0">
      <w:pPr>
        <w:pStyle w:val="whitespace-normal"/>
        <w:numPr>
          <w:ilvl w:val="0"/>
          <w:numId w:val="10"/>
        </w:numPr>
        <w:spacing w:before="0" w:beforeAutospacing="0" w:after="0" w:afterAutospacing="0"/>
        <w:ind w:left="0" w:firstLine="0"/>
        <w:jc w:val="both"/>
      </w:pPr>
      <w:r>
        <w:t>extreme_cold_days_p90: Number of days with temperatures below the 10th percentile (&lt;43.45°F)</w:t>
      </w:r>
    </w:p>
    <w:p w14:paraId="48E79B2A" w14:textId="77777777" w:rsidR="0053098F" w:rsidRDefault="0053098F" w:rsidP="00C84FC0">
      <w:pPr>
        <w:pStyle w:val="whitespace-normal"/>
        <w:numPr>
          <w:ilvl w:val="0"/>
          <w:numId w:val="10"/>
        </w:numPr>
        <w:spacing w:before="0" w:beforeAutospacing="0" w:after="0" w:afterAutospacing="0"/>
        <w:ind w:left="0" w:firstLine="0"/>
        <w:jc w:val="both"/>
      </w:pPr>
      <w:r>
        <w:t>extreme_precip_days_p90: Number of days with precipitation above the 90th percentile</w:t>
      </w:r>
    </w:p>
    <w:p w14:paraId="7838894C" w14:textId="77777777" w:rsidR="0053098F" w:rsidRDefault="0053098F" w:rsidP="00C84FC0">
      <w:pPr>
        <w:pStyle w:val="whitespace-normal"/>
        <w:numPr>
          <w:ilvl w:val="0"/>
          <w:numId w:val="10"/>
        </w:numPr>
        <w:spacing w:before="0" w:beforeAutospacing="0" w:after="0" w:afterAutospacing="0"/>
        <w:ind w:left="0" w:firstLine="0"/>
        <w:jc w:val="both"/>
      </w:pPr>
      <w:r>
        <w:t>extreme_wind_days_p90: Number of days with wind speed above the 90th percentile</w:t>
      </w:r>
    </w:p>
    <w:p w14:paraId="2BF83028" w14:textId="77777777" w:rsidR="0053098F" w:rsidRDefault="0053098F" w:rsidP="00C84FC0">
      <w:pPr>
        <w:pStyle w:val="whitespace-normal"/>
        <w:numPr>
          <w:ilvl w:val="0"/>
          <w:numId w:val="10"/>
        </w:numPr>
        <w:spacing w:before="0" w:beforeAutospacing="0" w:after="0" w:afterAutospacing="0"/>
        <w:ind w:left="0" w:firstLine="0"/>
        <w:jc w:val="both"/>
      </w:pPr>
      <w:r>
        <w:t>extreme_snow_days_p90: Number of days with snowfall above the 90th percentile</w:t>
      </w:r>
    </w:p>
    <w:p w14:paraId="3717E52C" w14:textId="77777777" w:rsidR="00F27B26" w:rsidRDefault="00F27B26" w:rsidP="00C84FC0">
      <w:pPr>
        <w:pStyle w:val="whitespace-normal"/>
        <w:numPr>
          <w:ilvl w:val="0"/>
          <w:numId w:val="10"/>
        </w:numPr>
        <w:spacing w:before="0" w:beforeAutospacing="0" w:after="0" w:afterAutospacing="0"/>
        <w:ind w:left="0" w:firstLine="0"/>
        <w:jc w:val="both"/>
      </w:pPr>
    </w:p>
    <w:p w14:paraId="6B5C38A2" w14:textId="77777777" w:rsidR="0053098F" w:rsidRDefault="0053098F" w:rsidP="00C84FC0">
      <w:pPr>
        <w:pStyle w:val="font-claude-response-body"/>
        <w:spacing w:before="0" w:beforeAutospacing="0" w:after="0" w:afterAutospacing="0"/>
        <w:jc w:val="both"/>
      </w:pPr>
      <w:r>
        <w:rPr>
          <w:rStyle w:val="Strong"/>
          <w:rFonts w:eastAsiaTheme="majorEastAsia"/>
        </w:rPr>
        <w:t>75th Percentile (Most Extreme 25%):</w:t>
      </w:r>
    </w:p>
    <w:p w14:paraId="4BF59157" w14:textId="77777777" w:rsidR="0053098F" w:rsidRDefault="0053098F" w:rsidP="00C84FC0">
      <w:pPr>
        <w:pStyle w:val="whitespace-normal"/>
        <w:numPr>
          <w:ilvl w:val="0"/>
          <w:numId w:val="11"/>
        </w:numPr>
        <w:spacing w:before="0" w:beforeAutospacing="0" w:after="0" w:afterAutospacing="0"/>
        <w:ind w:left="0" w:firstLine="0"/>
        <w:jc w:val="both"/>
      </w:pPr>
      <w:r>
        <w:t>unusual_heat_days_p75: Number of days with temperatures above the 75th percentile (&gt;81.87°F)</w:t>
      </w:r>
    </w:p>
    <w:p w14:paraId="26D5A56D" w14:textId="77777777" w:rsidR="0053098F" w:rsidRDefault="0053098F" w:rsidP="00C84FC0">
      <w:pPr>
        <w:pStyle w:val="whitespace-normal"/>
        <w:numPr>
          <w:ilvl w:val="0"/>
          <w:numId w:val="11"/>
        </w:numPr>
        <w:spacing w:before="0" w:beforeAutospacing="0" w:after="0" w:afterAutospacing="0"/>
        <w:ind w:left="0" w:firstLine="0"/>
        <w:jc w:val="both"/>
      </w:pPr>
      <w:r>
        <w:t>unusual_cold_days_p75: Number of days with temperatures below the 25th percentile (&lt;52.22°F)</w:t>
      </w:r>
    </w:p>
    <w:p w14:paraId="6D3812DF" w14:textId="77777777" w:rsidR="0053098F" w:rsidRDefault="0053098F" w:rsidP="00C84FC0">
      <w:pPr>
        <w:pStyle w:val="whitespace-normal"/>
        <w:numPr>
          <w:ilvl w:val="0"/>
          <w:numId w:val="11"/>
        </w:numPr>
        <w:spacing w:before="0" w:beforeAutospacing="0" w:after="0" w:afterAutospacing="0"/>
        <w:ind w:left="0" w:firstLine="0"/>
        <w:jc w:val="both"/>
      </w:pPr>
      <w:r>
        <w:t>unusual_precip_days_p75: Number of days with precipitation above the 75th percentile</w:t>
      </w:r>
    </w:p>
    <w:p w14:paraId="1B38F1C5" w14:textId="77777777" w:rsidR="0053098F" w:rsidRDefault="0053098F" w:rsidP="00C84FC0">
      <w:pPr>
        <w:pStyle w:val="whitespace-normal"/>
        <w:numPr>
          <w:ilvl w:val="0"/>
          <w:numId w:val="11"/>
        </w:numPr>
        <w:spacing w:before="0" w:beforeAutospacing="0" w:after="0" w:afterAutospacing="0"/>
        <w:ind w:left="0" w:firstLine="0"/>
        <w:jc w:val="both"/>
      </w:pPr>
      <w:r>
        <w:lastRenderedPageBreak/>
        <w:t>unusual_wind_days_p75: Number of days with wind speed above the 75th percentile</w:t>
      </w:r>
    </w:p>
    <w:p w14:paraId="729FD6AC" w14:textId="77777777" w:rsidR="0053098F" w:rsidRDefault="0053098F" w:rsidP="00C84FC0">
      <w:pPr>
        <w:pStyle w:val="whitespace-normal"/>
        <w:numPr>
          <w:ilvl w:val="0"/>
          <w:numId w:val="11"/>
        </w:numPr>
        <w:spacing w:before="0" w:beforeAutospacing="0" w:after="0" w:afterAutospacing="0"/>
        <w:ind w:left="0" w:firstLine="0"/>
        <w:jc w:val="both"/>
      </w:pPr>
      <w:r>
        <w:t>unusual_snow_days_p75: Number of days with snowfall above the 75th percentile</w:t>
      </w:r>
    </w:p>
    <w:p w14:paraId="2432C68E" w14:textId="77777777" w:rsidR="00C84FC0" w:rsidRDefault="00C84FC0" w:rsidP="00C84FC0">
      <w:pPr>
        <w:pStyle w:val="whitespace-normal"/>
        <w:spacing w:before="0" w:beforeAutospacing="0" w:after="0" w:afterAutospacing="0"/>
        <w:jc w:val="both"/>
      </w:pPr>
    </w:p>
    <w:p w14:paraId="78FB88F4" w14:textId="77777777" w:rsidR="0053098F" w:rsidRPr="00C84FC0" w:rsidRDefault="0053098F" w:rsidP="00C84FC0">
      <w:pPr>
        <w:pStyle w:val="font-claude-response-body"/>
        <w:spacing w:before="0" w:beforeAutospacing="0" w:after="0" w:afterAutospacing="0"/>
        <w:jc w:val="both"/>
        <w:rPr>
          <w:b/>
          <w:bCs/>
          <w:i/>
          <w:iCs/>
        </w:rPr>
      </w:pPr>
      <w:r w:rsidRPr="00C84FC0">
        <w:rPr>
          <w:rStyle w:val="Strong"/>
          <w:rFonts w:eastAsiaTheme="majorEastAsia"/>
          <w:b w:val="0"/>
          <w:bCs/>
          <w:i/>
          <w:iCs/>
        </w:rPr>
        <w:t>Aggregate Extreme Weather Variables</w:t>
      </w:r>
    </w:p>
    <w:p w14:paraId="64C1FE3C" w14:textId="77777777" w:rsidR="0053098F" w:rsidRDefault="0053098F" w:rsidP="00C84FC0">
      <w:pPr>
        <w:pStyle w:val="font-claude-response-body"/>
        <w:spacing w:before="0" w:beforeAutospacing="0" w:after="0" w:afterAutospacing="0"/>
        <w:jc w:val="both"/>
      </w:pPr>
      <w:r>
        <w:t>To create a comprehensive measure of overall extreme weather exposure, we calculated total extreme weather days by summing across all weather types within each percentile threshold. For each ZIP code-quarter observation:</w:t>
      </w:r>
    </w:p>
    <w:p w14:paraId="01433EE9" w14:textId="77777777" w:rsidR="0053098F" w:rsidRDefault="0053098F" w:rsidP="00C84FC0">
      <w:pPr>
        <w:pStyle w:val="whitespace-normal"/>
        <w:numPr>
          <w:ilvl w:val="0"/>
          <w:numId w:val="12"/>
        </w:numPr>
        <w:spacing w:before="0" w:beforeAutospacing="0" w:after="0" w:afterAutospacing="0"/>
        <w:ind w:left="0" w:firstLine="0"/>
      </w:pPr>
      <w:r>
        <w:t>extreme_weather_total_days_p95 = extreme_heat_days_p95 + extreme_cold_days_p95 + extreme_precip_days_p95 + extreme_wind_days_p95 + extreme_snow_days_p95</w:t>
      </w:r>
    </w:p>
    <w:p w14:paraId="0BD10E78" w14:textId="77777777" w:rsidR="0053098F" w:rsidRDefault="0053098F" w:rsidP="00C84FC0">
      <w:pPr>
        <w:pStyle w:val="whitespace-normal"/>
        <w:numPr>
          <w:ilvl w:val="0"/>
          <w:numId w:val="12"/>
        </w:numPr>
        <w:spacing w:before="0" w:beforeAutospacing="0" w:after="0" w:afterAutospacing="0"/>
        <w:ind w:left="0" w:firstLine="0"/>
      </w:pPr>
      <w:r>
        <w:t>extreme_weather_total_days_p90 = extreme_heat_days_p90 + extreme_cold_days_p90 + extreme_precip_days_p90 + extreme_wind_days_p90 + extreme_snow_days_p90</w:t>
      </w:r>
    </w:p>
    <w:p w14:paraId="6E24D04F" w14:textId="77777777" w:rsidR="0053098F" w:rsidRDefault="0053098F" w:rsidP="00C84FC0">
      <w:pPr>
        <w:pStyle w:val="whitespace-normal"/>
        <w:numPr>
          <w:ilvl w:val="0"/>
          <w:numId w:val="12"/>
        </w:numPr>
        <w:spacing w:before="0" w:beforeAutospacing="0" w:after="0" w:afterAutospacing="0"/>
        <w:ind w:left="0" w:firstLine="0"/>
      </w:pPr>
      <w:r>
        <w:t>unusual_weather_total_days_p75 = unusual_heat_days_p75 + unusual_cold_days_p75 + unusual_precip_days_p75 + unusual_wind_days_p75 + unusual_snow_days_p75</w:t>
      </w:r>
    </w:p>
    <w:p w14:paraId="0B9ACB20" w14:textId="77777777" w:rsidR="00F27B26" w:rsidRDefault="00F27B26" w:rsidP="00C84FC0">
      <w:pPr>
        <w:pStyle w:val="whitespace-normal"/>
        <w:numPr>
          <w:ilvl w:val="0"/>
          <w:numId w:val="12"/>
        </w:numPr>
        <w:spacing w:before="0" w:beforeAutospacing="0" w:after="0" w:afterAutospacing="0"/>
        <w:ind w:left="0" w:firstLine="0"/>
      </w:pPr>
    </w:p>
    <w:p w14:paraId="15584D51" w14:textId="77777777" w:rsidR="0053098F" w:rsidRDefault="0053098F" w:rsidP="00C84FC0">
      <w:pPr>
        <w:pStyle w:val="font-claude-response-body"/>
        <w:spacing w:before="0" w:beforeAutospacing="0" w:after="0" w:afterAutospacing="0"/>
        <w:jc w:val="both"/>
      </w:pPr>
      <w:r>
        <w:t>These composite variables capture the cumulative burden of multiple extreme weather events, recognizing that quarters with several types of extreme conditions may pose greater risks than those with only one type.</w:t>
      </w:r>
    </w:p>
    <w:p w14:paraId="37E2AE10" w14:textId="77777777" w:rsidR="00F27B26" w:rsidRPr="00963D17" w:rsidRDefault="00F27B26" w:rsidP="00C84FC0">
      <w:pPr>
        <w:pStyle w:val="font-claude-response-body"/>
        <w:spacing w:before="0" w:beforeAutospacing="0" w:after="0" w:afterAutospacing="0"/>
        <w:jc w:val="both"/>
      </w:pPr>
    </w:p>
    <w:p w14:paraId="779AD9CA" w14:textId="77777777" w:rsidR="0053098F" w:rsidRDefault="0053098F" w:rsidP="00C84FC0">
      <w:pPr>
        <w:pStyle w:val="whitespace-normal"/>
        <w:spacing w:before="0" w:beforeAutospacing="0" w:after="0" w:afterAutospacing="0"/>
        <w:jc w:val="both"/>
      </w:pPr>
      <w:r>
        <w:t xml:space="preserve">Data Source: NOAA. (2025). </w:t>
      </w:r>
      <w:r>
        <w:rPr>
          <w:rStyle w:val="Emphasis"/>
          <w:rFonts w:eastAsiaTheme="majorEastAsia"/>
        </w:rPr>
        <w:t>Global Historical Climatology Network – Daily Documentation</w:t>
      </w:r>
      <w:r>
        <w:t xml:space="preserve">. National </w:t>
      </w:r>
      <w:proofErr w:type="spellStart"/>
      <w:r>
        <w:t>Centers</w:t>
      </w:r>
      <w:proofErr w:type="spellEnd"/>
      <w:r>
        <w:t xml:space="preserve"> for Environmental Information. Retrieved from </w:t>
      </w:r>
      <w:hyperlink r:id="rId7" w:history="1">
        <w:r>
          <w:rPr>
            <w:rStyle w:val="Hyperlink"/>
            <w:rFonts w:eastAsiaTheme="majorEastAsia"/>
          </w:rPr>
          <w:t>http://www1.ncdc.noaa.gov/pub/data/ghcn/daily/</w:t>
        </w:r>
      </w:hyperlink>
    </w:p>
    <w:p w14:paraId="541B4287" w14:textId="77777777" w:rsidR="0053098F" w:rsidRDefault="0053098F" w:rsidP="00C84FC0">
      <w:pPr>
        <w:rPr>
          <w:rFonts w:cs="Times New Roman"/>
          <w:b/>
          <w:bCs/>
          <w:lang w:val="en-HK"/>
        </w:rPr>
      </w:pPr>
    </w:p>
    <w:p w14:paraId="0D708A9D" w14:textId="77777777" w:rsidR="0053098F" w:rsidRDefault="0053098F" w:rsidP="00C84FC0">
      <w:pPr>
        <w:rPr>
          <w:rFonts w:cs="Times New Roman"/>
          <w:b/>
          <w:bCs/>
          <w:lang w:val="en-HK"/>
        </w:rPr>
      </w:pPr>
    </w:p>
    <w:p w14:paraId="67972F57" w14:textId="77777777" w:rsidR="0053098F" w:rsidRDefault="0053098F" w:rsidP="00840340">
      <w:pPr>
        <w:rPr>
          <w:rFonts w:cs="Times New Roman"/>
          <w:b/>
          <w:bCs/>
          <w:lang w:val="en-HK"/>
        </w:rPr>
      </w:pPr>
    </w:p>
    <w:p w14:paraId="305B8B17" w14:textId="77777777" w:rsidR="0053098F" w:rsidRDefault="0053098F" w:rsidP="00840340">
      <w:pPr>
        <w:rPr>
          <w:rFonts w:cs="Times New Roman"/>
          <w:b/>
          <w:bCs/>
          <w:lang w:val="en-HK"/>
        </w:rPr>
      </w:pPr>
    </w:p>
    <w:p w14:paraId="3043127D" w14:textId="77777777" w:rsidR="0053098F" w:rsidRDefault="0053098F" w:rsidP="00840340">
      <w:pPr>
        <w:rPr>
          <w:rFonts w:cs="Times New Roman"/>
          <w:b/>
          <w:bCs/>
          <w:lang w:val="en-HK"/>
        </w:rPr>
      </w:pPr>
    </w:p>
    <w:p w14:paraId="67456C7E" w14:textId="77777777" w:rsidR="0053098F" w:rsidRDefault="0053098F" w:rsidP="00840340">
      <w:pPr>
        <w:rPr>
          <w:rFonts w:cs="Times New Roman"/>
          <w:b/>
          <w:bCs/>
          <w:lang w:val="en-HK"/>
        </w:rPr>
      </w:pPr>
    </w:p>
    <w:p w14:paraId="46C766AE" w14:textId="77777777" w:rsidR="0053098F" w:rsidRDefault="0053098F" w:rsidP="00840340">
      <w:pPr>
        <w:rPr>
          <w:rFonts w:cs="Times New Roman"/>
          <w:b/>
          <w:bCs/>
          <w:lang w:val="en-HK"/>
        </w:rPr>
      </w:pPr>
    </w:p>
    <w:p w14:paraId="26BC10DD" w14:textId="77777777" w:rsidR="0053098F" w:rsidRDefault="0053098F" w:rsidP="00840340">
      <w:pPr>
        <w:rPr>
          <w:rFonts w:cs="Times New Roman"/>
          <w:b/>
          <w:bCs/>
          <w:lang w:val="en-HK"/>
        </w:rPr>
      </w:pPr>
    </w:p>
    <w:p w14:paraId="219AFDEC" w14:textId="77777777" w:rsidR="0053098F" w:rsidRDefault="0053098F" w:rsidP="00840340">
      <w:pPr>
        <w:rPr>
          <w:rFonts w:cs="Times New Roman"/>
          <w:b/>
          <w:bCs/>
          <w:lang w:val="en-HK"/>
        </w:rPr>
      </w:pPr>
    </w:p>
    <w:p w14:paraId="6B94016D" w14:textId="77777777" w:rsidR="0053098F" w:rsidRDefault="0053098F" w:rsidP="00840340">
      <w:pPr>
        <w:rPr>
          <w:rFonts w:cs="Times New Roman"/>
          <w:b/>
          <w:bCs/>
          <w:lang w:val="en-HK"/>
        </w:rPr>
      </w:pPr>
    </w:p>
    <w:p w14:paraId="78E2196B" w14:textId="77777777" w:rsidR="0053098F" w:rsidRDefault="0053098F" w:rsidP="00840340">
      <w:pPr>
        <w:rPr>
          <w:rFonts w:cs="Times New Roman"/>
          <w:b/>
          <w:bCs/>
          <w:lang w:val="en-HK"/>
        </w:rPr>
      </w:pPr>
    </w:p>
    <w:p w14:paraId="7197B054" w14:textId="77777777" w:rsidR="0053098F" w:rsidRDefault="0053098F" w:rsidP="00840340">
      <w:pPr>
        <w:rPr>
          <w:rFonts w:cs="Times New Roman"/>
          <w:b/>
          <w:bCs/>
          <w:lang w:val="en-HK"/>
        </w:rPr>
      </w:pPr>
    </w:p>
    <w:p w14:paraId="324C0F58" w14:textId="77777777" w:rsidR="0053098F" w:rsidRDefault="0053098F" w:rsidP="00840340">
      <w:pPr>
        <w:rPr>
          <w:rFonts w:cs="Times New Roman"/>
          <w:b/>
          <w:bCs/>
          <w:lang w:val="en-HK"/>
        </w:rPr>
      </w:pPr>
    </w:p>
    <w:p w14:paraId="76CC0A4E" w14:textId="77777777" w:rsidR="0053098F" w:rsidRDefault="0053098F" w:rsidP="00840340">
      <w:pPr>
        <w:rPr>
          <w:rFonts w:cs="Times New Roman"/>
          <w:b/>
          <w:bCs/>
          <w:lang w:val="en-HK"/>
        </w:rPr>
      </w:pPr>
    </w:p>
    <w:p w14:paraId="57A778A6" w14:textId="77777777" w:rsidR="0053098F" w:rsidRDefault="0053098F" w:rsidP="00840340">
      <w:pPr>
        <w:rPr>
          <w:rFonts w:cs="Times New Roman"/>
          <w:b/>
          <w:bCs/>
          <w:lang w:val="en-HK"/>
        </w:rPr>
      </w:pPr>
    </w:p>
    <w:p w14:paraId="2E18CC2A" w14:textId="77777777" w:rsidR="0053098F" w:rsidRDefault="0053098F" w:rsidP="00840340">
      <w:pPr>
        <w:rPr>
          <w:rFonts w:cs="Times New Roman"/>
          <w:b/>
          <w:bCs/>
          <w:lang w:val="en-HK"/>
        </w:rPr>
      </w:pPr>
    </w:p>
    <w:p w14:paraId="31F875B8" w14:textId="77777777" w:rsidR="0053098F" w:rsidRDefault="0053098F" w:rsidP="00840340">
      <w:pPr>
        <w:rPr>
          <w:rFonts w:cs="Times New Roman"/>
          <w:b/>
          <w:bCs/>
          <w:lang w:val="en-HK"/>
        </w:rPr>
      </w:pPr>
    </w:p>
    <w:p w14:paraId="1FCB13AF" w14:textId="77777777" w:rsidR="0053098F" w:rsidRDefault="0053098F" w:rsidP="00840340">
      <w:pPr>
        <w:rPr>
          <w:rFonts w:cs="Times New Roman"/>
          <w:b/>
          <w:bCs/>
          <w:lang w:val="en-HK"/>
        </w:rPr>
      </w:pPr>
    </w:p>
    <w:p w14:paraId="3ECDE253" w14:textId="77777777" w:rsidR="000C669E" w:rsidRPr="000C669E" w:rsidRDefault="000C669E" w:rsidP="000C669E">
      <w:pPr>
        <w:rPr>
          <w:rFonts w:cs="Times New Roman"/>
          <w:b/>
          <w:bCs/>
        </w:rPr>
      </w:pPr>
      <w:r w:rsidRPr="000C669E">
        <w:rPr>
          <w:rFonts w:cs="Times New Roman"/>
          <w:b/>
          <w:bCs/>
        </w:rPr>
        <w:lastRenderedPageBreak/>
        <w:t xml:space="preserve">Appendix D: Geographic Disaggregation of Healthcare Resources from county to ZIP code level </w:t>
      </w:r>
    </w:p>
    <w:p w14:paraId="7B70688F" w14:textId="77777777" w:rsidR="000C669E" w:rsidRDefault="000C669E" w:rsidP="000C669E">
      <w:pPr>
        <w:pStyle w:val="NormalWeb"/>
        <w:rPr>
          <w:rFonts w:ascii="Times New Roman" w:hAnsi="Times New Roman" w:cs="Times New Roman"/>
        </w:rPr>
      </w:pPr>
      <w:r w:rsidRPr="000C669E">
        <w:rPr>
          <w:rFonts w:ascii="Times New Roman" w:hAnsi="Times New Roman" w:cs="Times New Roman"/>
        </w:rPr>
        <w:t>This study employs a geographic disaggregation methodology to transform county-level healthcare resource data into ZIP code-level estimates, enabling more granular spatial analysis of healthcare accessibility. The transformation process utilizes data from the Area Health Resources Files (AHRF), which provides comprehensive healthcare workforce and facility information aggregated at the county level, and combines it with the HUD-USPS ZIP Code Crosswalk files to achieve finer geographic resolution at the ZIPCODE level.</w:t>
      </w:r>
    </w:p>
    <w:p w14:paraId="6DD43B81" w14:textId="77777777" w:rsidR="00D428A2" w:rsidRPr="000C669E" w:rsidRDefault="00D428A2" w:rsidP="000C669E">
      <w:pPr>
        <w:pStyle w:val="NormalWeb"/>
        <w:rPr>
          <w:rFonts w:ascii="Times New Roman" w:hAnsi="Times New Roman" w:cs="Times New Roman"/>
        </w:rPr>
      </w:pPr>
    </w:p>
    <w:p w14:paraId="2268310F" w14:textId="5DCF4A74" w:rsidR="000C669E" w:rsidRDefault="000C669E" w:rsidP="000C669E">
      <w:pPr>
        <w:pStyle w:val="NormalWeb"/>
        <w:rPr>
          <w:rFonts w:ascii="Times New Roman" w:hAnsi="Times New Roman" w:cs="Times New Roman"/>
        </w:rPr>
      </w:pPr>
      <w:r w:rsidRPr="000C669E">
        <w:rPr>
          <w:rFonts w:ascii="Times New Roman" w:hAnsi="Times New Roman" w:cs="Times New Roman"/>
        </w:rPr>
        <w:t>The AHRF dataset (</w:t>
      </w:r>
      <w:hyperlink r:id="rId8" w:history="1">
        <w:r w:rsidRPr="000C669E">
          <w:rPr>
            <w:rStyle w:val="Hyperlink"/>
            <w:rFonts w:ascii="Times New Roman" w:hAnsi="Times New Roman" w:cs="Times New Roman"/>
          </w:rPr>
          <w:t>https://data.hrsa.gov/topics/health-workforce/nchwa/ahrf</w:t>
        </w:r>
      </w:hyperlink>
      <w:r w:rsidRPr="000C669E">
        <w:rPr>
          <w:rFonts w:ascii="Times New Roman" w:hAnsi="Times New Roman" w:cs="Times New Roman"/>
        </w:rPr>
        <w:t xml:space="preserve">), maintained by the Health Resources and Services Administration, integrates information from over 50 data sources encompassing healthcare professions, health facilities, population characteristics, economics, hospital utilization, and expenditures at county, state, and national levels. To account for regional variations in healthcare infrastructure that may influence both baseline mental health hospitalization patterns and the response to power outages, we incorporated healthcare resource measures from the Area </w:t>
      </w:r>
      <w:r w:rsidRPr="000C669E">
        <w:rPr>
          <w:rStyle w:val="Strong"/>
          <w:rFonts w:ascii="Times New Roman" w:eastAsiaTheme="majorEastAsia" w:hAnsi="Times New Roman" w:cs="Times New Roman"/>
          <w:b w:val="0"/>
          <w:bCs/>
        </w:rPr>
        <w:t>Health</w:t>
      </w:r>
      <w:r w:rsidRPr="000C669E">
        <w:rPr>
          <w:rFonts w:ascii="Times New Roman" w:hAnsi="Times New Roman" w:cs="Times New Roman"/>
          <w:b/>
          <w:bCs/>
        </w:rPr>
        <w:t xml:space="preserve"> </w:t>
      </w:r>
      <w:r w:rsidRPr="000C669E">
        <w:rPr>
          <w:rFonts w:ascii="Times New Roman" w:hAnsi="Times New Roman" w:cs="Times New Roman"/>
        </w:rPr>
        <w:t>Resource</w:t>
      </w:r>
      <w:r w:rsidRPr="000C669E">
        <w:rPr>
          <w:rStyle w:val="Strong"/>
          <w:rFonts w:ascii="Times New Roman" w:eastAsiaTheme="majorEastAsia" w:hAnsi="Times New Roman" w:cs="Times New Roman"/>
        </w:rPr>
        <w:t>s</w:t>
      </w:r>
      <w:r w:rsidRPr="000C669E">
        <w:rPr>
          <w:rFonts w:ascii="Times New Roman" w:hAnsi="Times New Roman" w:cs="Times New Roman"/>
        </w:rPr>
        <w:t xml:space="preserve"> File (A</w:t>
      </w:r>
      <w:r w:rsidRPr="000C669E">
        <w:rPr>
          <w:rStyle w:val="Strong"/>
          <w:rFonts w:ascii="Times New Roman" w:eastAsiaTheme="majorEastAsia" w:hAnsi="Times New Roman" w:cs="Times New Roman"/>
          <w:b w:val="0"/>
          <w:bCs/>
        </w:rPr>
        <w:t>H</w:t>
      </w:r>
      <w:r w:rsidRPr="000C669E">
        <w:rPr>
          <w:rFonts w:ascii="Times New Roman" w:hAnsi="Times New Roman" w:cs="Times New Roman"/>
        </w:rPr>
        <w:t>RF). The A</w:t>
      </w:r>
      <w:r w:rsidRPr="000C669E">
        <w:rPr>
          <w:rStyle w:val="Strong"/>
          <w:rFonts w:ascii="Times New Roman" w:eastAsiaTheme="majorEastAsia" w:hAnsi="Times New Roman" w:cs="Times New Roman"/>
          <w:b w:val="0"/>
          <w:bCs/>
        </w:rPr>
        <w:t>H</w:t>
      </w:r>
      <w:r w:rsidRPr="000C669E">
        <w:rPr>
          <w:rFonts w:ascii="Times New Roman" w:hAnsi="Times New Roman" w:cs="Times New Roman"/>
        </w:rPr>
        <w:t>RF, maintained by the Health Resources and Services Administration (HRSA), provides comprehensive county-level data on health system capacity by compiling information from multiple federal sources including the Census Bureau and Centers for Disease Control and Prevention.</w:t>
      </w:r>
    </w:p>
    <w:p w14:paraId="41E56D35" w14:textId="77777777" w:rsidR="00D428A2" w:rsidRPr="000C669E" w:rsidRDefault="00D428A2" w:rsidP="000C669E">
      <w:pPr>
        <w:pStyle w:val="NormalWeb"/>
        <w:rPr>
          <w:rFonts w:ascii="Times New Roman" w:hAnsi="Times New Roman" w:cs="Times New Roman"/>
        </w:rPr>
      </w:pPr>
    </w:p>
    <w:p w14:paraId="122ED0B6" w14:textId="77777777" w:rsidR="000C669E" w:rsidRDefault="000C669E" w:rsidP="000C669E">
      <w:pPr>
        <w:pStyle w:val="NormalWeb"/>
        <w:rPr>
          <w:rFonts w:ascii="Times New Roman" w:hAnsi="Times New Roman" w:cs="Times New Roman"/>
        </w:rPr>
      </w:pPr>
      <w:r w:rsidRPr="000C669E">
        <w:rPr>
          <w:rFonts w:ascii="Times New Roman" w:hAnsi="Times New Roman" w:cs="Times New Roman"/>
        </w:rPr>
        <w:t>Given that our analysis for Maryland power outage and inpatient data are at the ZIP code level, we implement a proportional allocation methodology using the HUD-USPS ZIP Code Crosswalk files developed by the U.S. Department of Housing and Urban Development’s Office of Policy Development and Research (</w:t>
      </w:r>
      <w:hyperlink r:id="rId9" w:history="1">
        <w:r w:rsidRPr="000C669E">
          <w:rPr>
            <w:rStyle w:val="Hyperlink"/>
            <w:rFonts w:ascii="Times New Roman" w:hAnsi="Times New Roman" w:cs="Times New Roman"/>
          </w:rPr>
          <w:t>https://www.huduser.gov/portal/datasets/usps_crosswalk.html</w:t>
        </w:r>
      </w:hyperlink>
      <w:r w:rsidRPr="000C669E">
        <w:rPr>
          <w:rFonts w:ascii="Times New Roman" w:hAnsi="Times New Roman" w:cs="Times New Roman"/>
        </w:rPr>
        <w:t>). These crosswalk files provide a unique linkage between USPS ZIP codes and Census geographies, derived from quarterly USPS Vacancy Data that captures the spatial distribution of both business and residential addresses. Importantly, these files include a residential ratio (RES_RATIO) that indicates the proportion of residential addresses in each ZIP code relative to its parent county, enabling a more nuanced allocation approach than simple area-based or population-based methods.</w:t>
      </w:r>
    </w:p>
    <w:p w14:paraId="6B8346BD" w14:textId="77777777" w:rsidR="00D428A2" w:rsidRPr="000C669E" w:rsidRDefault="00D428A2" w:rsidP="000C669E">
      <w:pPr>
        <w:pStyle w:val="NormalWeb"/>
        <w:rPr>
          <w:rFonts w:ascii="Times New Roman" w:hAnsi="Times New Roman" w:cs="Times New Roman"/>
        </w:rPr>
      </w:pPr>
    </w:p>
    <w:p w14:paraId="29099BCD" w14:textId="77777777" w:rsidR="000C669E" w:rsidRDefault="000C669E" w:rsidP="000C669E">
      <w:pPr>
        <w:pStyle w:val="NormalWeb"/>
        <w:rPr>
          <w:rFonts w:ascii="Times New Roman" w:hAnsi="Times New Roman" w:cs="Times New Roman"/>
        </w:rPr>
      </w:pPr>
      <w:r w:rsidRPr="000C669E">
        <w:rPr>
          <w:rFonts w:ascii="Times New Roman" w:hAnsi="Times New Roman" w:cs="Times New Roman"/>
        </w:rPr>
        <w:t>The transformation process begins by expanding the annual county-level healthcare resource data into quarterly observations to align with the temporal structure of the HUD-USPS crosswalk files, which are updated quarterly to reflect changes in ZIP code configurations. The county-level data is then merged with the crosswalk files using county, year, and quarter variables, creating multiple records for each original county observation corresponding to all ZIP codes that overlap with that county.</w:t>
      </w:r>
    </w:p>
    <w:p w14:paraId="01D0F7E0" w14:textId="77777777" w:rsidR="00D428A2" w:rsidRPr="000C669E" w:rsidRDefault="00D428A2" w:rsidP="000C669E">
      <w:pPr>
        <w:pStyle w:val="NormalWeb"/>
        <w:rPr>
          <w:rFonts w:ascii="Times New Roman" w:hAnsi="Times New Roman" w:cs="Times New Roman"/>
        </w:rPr>
      </w:pPr>
    </w:p>
    <w:p w14:paraId="70AADE76" w14:textId="77777777" w:rsidR="000C669E" w:rsidRDefault="000C669E" w:rsidP="000C669E">
      <w:pPr>
        <w:pStyle w:val="NormalWeb"/>
        <w:rPr>
          <w:rFonts w:ascii="Times New Roman" w:hAnsi="Times New Roman" w:cs="Times New Roman"/>
        </w:rPr>
      </w:pPr>
      <w:r w:rsidRPr="000C669E">
        <w:rPr>
          <w:rFonts w:ascii="Times New Roman" w:hAnsi="Times New Roman" w:cs="Times New Roman"/>
        </w:rPr>
        <w:t xml:space="preserve">The core of the disaggregation methodology involves proportionally allocating county-level healthcare resources to ZIP codes based on the residential address ratio. For each </w:t>
      </w:r>
      <w:r w:rsidRPr="000C669E">
        <w:rPr>
          <w:rFonts w:ascii="Times New Roman" w:hAnsi="Times New Roman" w:cs="Times New Roman"/>
        </w:rPr>
        <w:lastRenderedPageBreak/>
        <w:t xml:space="preserve">healthcare resource variable, the county-level value is multiplied by the RES_RATIO to estimate the portion of resources attributable to each ZIP code. </w:t>
      </w:r>
    </w:p>
    <w:p w14:paraId="154FA1DE" w14:textId="77777777" w:rsidR="00D428A2" w:rsidRPr="000C669E" w:rsidRDefault="00D428A2" w:rsidP="000C669E">
      <w:pPr>
        <w:pStyle w:val="NormalWeb"/>
        <w:rPr>
          <w:rFonts w:ascii="Times New Roman" w:hAnsi="Times New Roman" w:cs="Times New Roman"/>
        </w:rPr>
      </w:pPr>
    </w:p>
    <w:p w14:paraId="662550A6" w14:textId="4FBF50E7" w:rsidR="000C669E" w:rsidRPr="000C669E" w:rsidRDefault="000C669E" w:rsidP="000C669E">
      <w:pPr>
        <w:pStyle w:val="font-claude-response-body"/>
        <w:spacing w:before="0" w:beforeAutospacing="0" w:after="0" w:afterAutospacing="0"/>
        <w:jc w:val="both"/>
        <w:rPr>
          <w:lang w:val="en-US"/>
        </w:rPr>
      </w:pPr>
      <w:r w:rsidRPr="000C669E">
        <w:rPr>
          <w:rStyle w:val="Strong"/>
          <w:rFonts w:eastAsiaTheme="majorEastAsia"/>
          <w:b w:val="0"/>
          <w:bCs/>
        </w:rPr>
        <w:t>We</w:t>
      </w:r>
      <w:r w:rsidRPr="000C669E">
        <w:rPr>
          <w:b/>
          <w:bCs/>
        </w:rPr>
        <w:t xml:space="preserve"> </w:t>
      </w:r>
      <w:r w:rsidRPr="000C669E">
        <w:t>extracted three key indicators of healthcare supply: the number of psychiatrists, total hospital bed capacity combining both short-term general hospital beds and long-term hospital beds, and the number of general practice physicians providing patient care.</w:t>
      </w:r>
    </w:p>
    <w:p w14:paraId="4093CCD7" w14:textId="77777777" w:rsidR="000C669E" w:rsidRPr="000C669E" w:rsidRDefault="000C669E" w:rsidP="000C669E">
      <w:pPr>
        <w:pStyle w:val="font-claude-response-body"/>
        <w:spacing w:before="0" w:beforeAutospacing="0" w:after="0" w:afterAutospacing="0"/>
        <w:jc w:val="both"/>
        <w:rPr>
          <w:b/>
          <w:bCs/>
        </w:rPr>
      </w:pPr>
      <w:r w:rsidRPr="000C669E">
        <w:t xml:space="preserve">Since the AHRF provides data at the county level while the Maryland SID analysis requires ZIP code-level granularity to match the power outage and hospitalization data, we implemented a geographic disaggregation using the HUD-USPS ZIP Code Crosswalk files. </w:t>
      </w:r>
      <w:r w:rsidRPr="000C669E">
        <w:rPr>
          <w:rStyle w:val="Strong"/>
          <w:rFonts w:eastAsiaTheme="majorEastAsia"/>
          <w:b w:val="0"/>
          <w:bCs/>
        </w:rPr>
        <w:t>The core of this methodology involves proportionally allocating county-level healthcare resources to ZIP codes based on the residential address ratio (RES_RATIO). For each healthcare resource variable, the county-level value is multiplied by the RES_RATIO to estimate the portion of resources attributable to each ZIP code:</w:t>
      </w:r>
    </w:p>
    <w:p w14:paraId="0085386B" w14:textId="77777777" w:rsidR="000C669E" w:rsidRPr="00D428A2" w:rsidRDefault="000C669E" w:rsidP="000C669E">
      <w:pPr>
        <w:pStyle w:val="font-claude-response-body"/>
        <w:spacing w:before="0" w:beforeAutospacing="0" w:after="0" w:afterAutospacing="0"/>
        <w:jc w:val="both"/>
        <w:rPr>
          <w:rStyle w:val="Strong"/>
          <w:b w:val="0"/>
          <w:bCs/>
        </w:rPr>
      </w:pPr>
      <m:oMathPara>
        <m:oMath>
          <m:r>
            <m:rPr>
              <m:nor/>
            </m:rPr>
            <w:rPr>
              <w:rStyle w:val="Strong"/>
              <w:rFonts w:eastAsiaTheme="majorEastAsia"/>
              <w:b w:val="0"/>
              <w:bCs/>
            </w:rPr>
            <m:t xml:space="preserve">ZIP-level Resource </m:t>
          </m:r>
          <m:r>
            <w:rPr>
              <w:rStyle w:val="Strong"/>
              <w:rFonts w:ascii="Cambria Math" w:eastAsiaTheme="majorEastAsia" w:hAnsi="Cambria Math"/>
            </w:rPr>
            <m:t>=</m:t>
          </m:r>
          <m:r>
            <m:rPr>
              <m:nor/>
            </m:rPr>
            <w:rPr>
              <w:rStyle w:val="Strong"/>
              <w:rFonts w:eastAsiaTheme="majorEastAsia"/>
              <w:b w:val="0"/>
              <w:bCs/>
            </w:rPr>
            <m:t xml:space="preserve"> County-level Resource × RES RATIO </m:t>
          </m:r>
        </m:oMath>
      </m:oMathPara>
    </w:p>
    <w:p w14:paraId="205D30C2" w14:textId="77777777" w:rsidR="00D428A2" w:rsidRPr="000C669E" w:rsidRDefault="00D428A2" w:rsidP="000C669E">
      <w:pPr>
        <w:pStyle w:val="font-claude-response-body"/>
        <w:spacing w:before="0" w:beforeAutospacing="0" w:after="0" w:afterAutospacing="0"/>
        <w:jc w:val="both"/>
        <w:rPr>
          <w:rStyle w:val="Strong"/>
          <w:b w:val="0"/>
          <w:bCs/>
        </w:rPr>
      </w:pPr>
    </w:p>
    <w:p w14:paraId="329D78FD" w14:textId="1B6B5AC0" w:rsidR="000C669E" w:rsidRPr="000C669E" w:rsidRDefault="000C669E" w:rsidP="000C669E">
      <w:pPr>
        <w:pStyle w:val="font-claude-response-body"/>
        <w:spacing w:before="0" w:beforeAutospacing="0" w:after="0" w:afterAutospacing="0"/>
        <w:jc w:val="both"/>
      </w:pPr>
      <w:r w:rsidRPr="000C669E">
        <w:rPr>
          <w:rStyle w:val="Strong"/>
          <w:rFonts w:eastAsiaTheme="majorEastAsia"/>
          <w:b w:val="0"/>
          <w:bCs/>
        </w:rPr>
        <w:t>Because some ZIP codes span multiple counties, a single ZIP code may receive partial allocations from two or more counties. We therefore aggregate these partial allocations by summing across all contributing counties, ensuring that each ZIP code's total healthcare resources reflect contributions from all overlapping counties while preserving the total resource distribution</w:t>
      </w:r>
      <w:r w:rsidRPr="000C669E">
        <w:rPr>
          <w:rStyle w:val="Strong"/>
          <w:rFonts w:eastAsiaTheme="majorEastAsia"/>
        </w:rPr>
        <w:t>.</w:t>
      </w:r>
      <w:r w:rsidRPr="000C669E">
        <w:t xml:space="preserve"> The resulting ZIP code-level estimates were then converted to population-adjusted rates per 100,000 residents using corresponding population estimates to facilitate comparisons across geographic areas of varying sizes.</w:t>
      </w:r>
    </w:p>
    <w:p w14:paraId="5E375D9F" w14:textId="77777777" w:rsidR="000C669E" w:rsidRDefault="000C669E" w:rsidP="000C669E">
      <w:pPr>
        <w:pStyle w:val="font-claude-response-body"/>
        <w:spacing w:before="0" w:beforeAutospacing="0" w:after="0" w:afterAutospacing="0"/>
        <w:jc w:val="both"/>
        <w:rPr>
          <w:rStyle w:val="Strong"/>
          <w:rFonts w:eastAsiaTheme="majorEastAsia"/>
          <w:b w:val="0"/>
          <w:bCs/>
        </w:rPr>
      </w:pPr>
      <w:r w:rsidRPr="000C669E">
        <w:rPr>
          <w:rStyle w:val="Strong"/>
          <w:rFonts w:eastAsiaTheme="majorEastAsia"/>
          <w:b w:val="0"/>
          <w:bCs/>
        </w:rPr>
        <w:t>Healthcare infrastructure may influence both baseline mental health hospitalization patterns and the community's capacity to respond to power outages. Areas with limited mental health resources may experience disproportionate surges in emergency department visits and hospitalizations when routine outpatient services become unavailable during outages.</w:t>
      </w:r>
    </w:p>
    <w:p w14:paraId="3884FAD8" w14:textId="77777777" w:rsidR="00D428A2" w:rsidRPr="000C669E" w:rsidRDefault="00D428A2" w:rsidP="000C669E">
      <w:pPr>
        <w:pStyle w:val="font-claude-response-body"/>
        <w:spacing w:before="0" w:beforeAutospacing="0" w:after="0" w:afterAutospacing="0"/>
        <w:jc w:val="both"/>
        <w:rPr>
          <w:b/>
          <w:bCs/>
        </w:rPr>
      </w:pPr>
    </w:p>
    <w:p w14:paraId="0D0F8EB2" w14:textId="77777777" w:rsidR="000C669E" w:rsidRDefault="000C669E" w:rsidP="000C669E">
      <w:pPr>
        <w:pStyle w:val="font-claude-response-body"/>
        <w:spacing w:before="0" w:beforeAutospacing="0" w:after="0" w:afterAutospacing="0"/>
        <w:jc w:val="both"/>
      </w:pPr>
      <w:r w:rsidRPr="000C669E">
        <w:rPr>
          <w:rStyle w:val="Strong"/>
          <w:rFonts w:eastAsiaTheme="majorEastAsia"/>
          <w:b w:val="0"/>
          <w:bCs/>
        </w:rPr>
        <w:t>We consider three indicators of healthcare supply.</w:t>
      </w:r>
      <w:r w:rsidRPr="000C669E">
        <w:t xml:space="preserve"> Psychiatrist density captures the availability of specialized mental health services, which may influence both routine admission patterns and </w:t>
      </w:r>
      <w:r w:rsidRPr="000C669E">
        <w:rPr>
          <w:rStyle w:val="Strong"/>
          <w:rFonts w:eastAsiaTheme="majorEastAsia"/>
          <w:b w:val="0"/>
          <w:bCs/>
        </w:rPr>
        <w:t>hospitals'</w:t>
      </w:r>
      <w:r w:rsidRPr="000C669E">
        <w:rPr>
          <w:b/>
          <w:bCs/>
        </w:rPr>
        <w:t xml:space="preserve"> </w:t>
      </w:r>
      <w:r w:rsidRPr="000C669E">
        <w:t xml:space="preserve">capacity to manage mental health crises during power outages. Hospital bed availability reflects </w:t>
      </w:r>
      <w:r w:rsidRPr="000C669E">
        <w:rPr>
          <w:rStyle w:val="Strong"/>
          <w:rFonts w:eastAsiaTheme="majorEastAsia"/>
          <w:b w:val="0"/>
          <w:bCs/>
        </w:rPr>
        <w:t>overall</w:t>
      </w:r>
      <w:r w:rsidRPr="000C669E">
        <w:rPr>
          <w:b/>
          <w:bCs/>
        </w:rPr>
        <w:t xml:space="preserve"> </w:t>
      </w:r>
      <w:r w:rsidRPr="000C669E">
        <w:t>inpatient capacity, where higher bed density may lower admission thresholds and enable greater utilization during emergencies. General practitioner availability represents primary care accessibility, as these providers often serve as the first point of contact for mental health concerns and may provide crucial continuity of care when specialized services are disrupted.</w:t>
      </w:r>
    </w:p>
    <w:p w14:paraId="46F08A0E" w14:textId="77777777" w:rsidR="00D428A2" w:rsidRPr="000C669E" w:rsidRDefault="00D428A2" w:rsidP="000C669E">
      <w:pPr>
        <w:pStyle w:val="font-claude-response-body"/>
        <w:spacing w:before="0" w:beforeAutospacing="0" w:after="0" w:afterAutospacing="0"/>
        <w:jc w:val="both"/>
      </w:pPr>
    </w:p>
    <w:p w14:paraId="28E1EA14" w14:textId="77777777" w:rsidR="000C669E" w:rsidRPr="000C669E" w:rsidRDefault="000C669E" w:rsidP="000C669E">
      <w:pPr>
        <w:pStyle w:val="font-claude-response-body"/>
        <w:spacing w:before="0" w:beforeAutospacing="0" w:after="0" w:afterAutospacing="0"/>
        <w:jc w:val="both"/>
      </w:pPr>
      <w:r w:rsidRPr="000C669E">
        <w:rPr>
          <w:rStyle w:val="Strong"/>
          <w:rFonts w:eastAsiaTheme="majorEastAsia"/>
          <w:b w:val="0"/>
          <w:bCs/>
        </w:rPr>
        <w:t>However,</w:t>
      </w:r>
      <w:r w:rsidRPr="000C669E">
        <w:t xml:space="preserve"> due to high multicollinearity among these three healthcare resource indicators—reflecting the tendency for areas with more psychiatrists to also have greater hospital capacity and primary care availability—we included only one resource variable in each model specification to avoid variance inflation issues while still controlling for healthcare infrastructure effects.</w:t>
      </w:r>
    </w:p>
    <w:p w14:paraId="5559ED5E" w14:textId="77777777" w:rsidR="0053098F" w:rsidRPr="00D47251" w:rsidRDefault="0053098F" w:rsidP="00840340">
      <w:pPr>
        <w:rPr>
          <w:rFonts w:cs="Times New Roman"/>
          <w:b/>
          <w:bCs/>
        </w:rPr>
      </w:pPr>
    </w:p>
    <w:p w14:paraId="7A2CEA13" w14:textId="77777777" w:rsidR="00C503A1" w:rsidRPr="00C4005D" w:rsidRDefault="00C503A1" w:rsidP="00C503A1">
      <w:pPr>
        <w:spacing w:line="360" w:lineRule="auto"/>
        <w:rPr>
          <w:rFonts w:cs="Times New Roman"/>
          <w:b/>
          <w:bCs/>
        </w:rPr>
      </w:pPr>
      <w:r w:rsidRPr="00C4005D">
        <w:rPr>
          <w:rFonts w:cs="Times New Roman"/>
          <w:b/>
          <w:bCs/>
        </w:rPr>
        <w:lastRenderedPageBreak/>
        <w:t xml:space="preserve">Appendix E: </w:t>
      </w:r>
      <w:proofErr w:type="spellStart"/>
      <w:r w:rsidRPr="00C4005D">
        <w:rPr>
          <w:rFonts w:cs="Times New Roman"/>
          <w:b/>
          <w:bCs/>
        </w:rPr>
        <w:t>Elixhauster</w:t>
      </w:r>
      <w:proofErr w:type="spellEnd"/>
      <w:r w:rsidRPr="00C4005D">
        <w:rPr>
          <w:rFonts w:cs="Times New Roman"/>
          <w:b/>
          <w:bCs/>
        </w:rPr>
        <w:t xml:space="preserve"> Comorbidity Index: </w:t>
      </w:r>
    </w:p>
    <w:p w14:paraId="281CDF87" w14:textId="77777777" w:rsidR="00C503A1" w:rsidRDefault="00C503A1" w:rsidP="00C503A1">
      <w:pPr>
        <w:pStyle w:val="NormalWeb"/>
        <w:rPr>
          <w:rFonts w:ascii="Times New Roman" w:hAnsi="Times New Roman" w:cs="Times New Roman"/>
        </w:rPr>
      </w:pPr>
      <w:r w:rsidRPr="00C503A1">
        <w:rPr>
          <w:rFonts w:ascii="Times New Roman" w:hAnsi="Times New Roman" w:cs="Times New Roman"/>
        </w:rPr>
        <w:t xml:space="preserve">To isolate the relationship between power outages and mental health-related emergency department (ED) visits and mental health hospitalization rate, we incorporated the </w:t>
      </w:r>
      <w:proofErr w:type="spellStart"/>
      <w:r w:rsidRPr="00C503A1">
        <w:rPr>
          <w:rFonts w:ascii="Times New Roman" w:hAnsi="Times New Roman" w:cs="Times New Roman"/>
        </w:rPr>
        <w:t>Elixhauser</w:t>
      </w:r>
      <w:proofErr w:type="spellEnd"/>
      <w:r w:rsidRPr="00C503A1">
        <w:rPr>
          <w:rFonts w:ascii="Times New Roman" w:hAnsi="Times New Roman" w:cs="Times New Roman"/>
        </w:rPr>
        <w:t xml:space="preserve"> Comorbidity Index (ECI). The ECI data was obtained from the Healthcare Cost and Utilization Project (HCUP-US), specifically utilizing the </w:t>
      </w:r>
      <w:proofErr w:type="spellStart"/>
      <w:r w:rsidRPr="00C503A1">
        <w:rPr>
          <w:rFonts w:ascii="Times New Roman" w:hAnsi="Times New Roman" w:cs="Times New Roman"/>
        </w:rPr>
        <w:t>Elixhauser</w:t>
      </w:r>
      <w:proofErr w:type="spellEnd"/>
      <w:r w:rsidRPr="00C503A1">
        <w:rPr>
          <w:rFonts w:ascii="Times New Roman" w:hAnsi="Times New Roman" w:cs="Times New Roman"/>
        </w:rPr>
        <w:t xml:space="preserve"> Comorbidity Software Refined for ICD-10-CM. The ECI covers 38 comorbidities (in the refined ICD-10-CM version), including non-mental health conditions (e.g., CM_CHF for congestive heart failure, CM_DIABETES_C for complicated diabetes) that may influence ED visits and hospitalization rate during power outages. This allows us to control for confounding physical health conditions that could mediate outage effects (e.g., diabetes patients needing insulin refrigeration or cardiac patients relying on medical devices), which is critical for isolating mental health effects.</w:t>
      </w:r>
    </w:p>
    <w:p w14:paraId="0162B667" w14:textId="77777777" w:rsidR="00D47251" w:rsidRPr="00C503A1" w:rsidRDefault="00D47251" w:rsidP="00C503A1">
      <w:pPr>
        <w:pStyle w:val="NormalWeb"/>
        <w:rPr>
          <w:rFonts w:ascii="Times New Roman" w:hAnsi="Times New Roman" w:cs="Times New Roman"/>
        </w:rPr>
      </w:pPr>
    </w:p>
    <w:p w14:paraId="76B804D9" w14:textId="772DACBF" w:rsidR="00C503A1" w:rsidRDefault="00C503A1" w:rsidP="00C503A1">
      <w:pPr>
        <w:pStyle w:val="NormalWeb"/>
        <w:rPr>
          <w:rFonts w:ascii="Times New Roman" w:hAnsi="Times New Roman" w:cs="Times New Roman"/>
        </w:rPr>
      </w:pPr>
      <w:r w:rsidRPr="00C503A1">
        <w:rPr>
          <w:rFonts w:ascii="Times New Roman" w:hAnsi="Times New Roman" w:cs="Times New Roman"/>
        </w:rPr>
        <w:t xml:space="preserve">To adjust for patient-level health status, we include the </w:t>
      </w:r>
      <w:proofErr w:type="spellStart"/>
      <w:r w:rsidRPr="00402322">
        <w:rPr>
          <w:rFonts w:ascii="Times New Roman" w:hAnsi="Times New Roman" w:cs="Times New Roman"/>
        </w:rPr>
        <w:t>CMR_Index_Readmission</w:t>
      </w:r>
      <w:proofErr w:type="spellEnd"/>
      <w:r w:rsidR="00596932">
        <w:rPr>
          <w:rFonts w:ascii="Times New Roman" w:hAnsi="Times New Roman" w:cs="Times New Roman"/>
        </w:rPr>
        <w:t xml:space="preserve"> (</w:t>
      </w:r>
      <w:r w:rsidR="00596932" w:rsidRPr="00596932">
        <w:rPr>
          <w:rFonts w:ascii="Times New Roman" w:hAnsi="Times New Roman" w:cs="Times New Roman"/>
        </w:rPr>
        <w:t>Clinical Risk Model</w:t>
      </w:r>
      <w:r w:rsidR="00596932">
        <w:rPr>
          <w:rFonts w:ascii="Times New Roman" w:hAnsi="Times New Roman" w:cs="Times New Roman"/>
        </w:rPr>
        <w:t xml:space="preserve"> Index Readmission</w:t>
      </w:r>
      <w:r w:rsidR="00596932" w:rsidRPr="00596932">
        <w:rPr>
          <w:rFonts w:ascii="Times New Roman" w:hAnsi="Times New Roman" w:cs="Times New Roman"/>
        </w:rPr>
        <w:t>)</w:t>
      </w:r>
      <w:r w:rsidRPr="00596932">
        <w:rPr>
          <w:rFonts w:ascii="Times New Roman" w:hAnsi="Times New Roman" w:cs="Times New Roman"/>
        </w:rPr>
        <w:t>,</w:t>
      </w:r>
      <w:r w:rsidRPr="00C503A1">
        <w:rPr>
          <w:rFonts w:ascii="Times New Roman" w:hAnsi="Times New Roman" w:cs="Times New Roman"/>
        </w:rPr>
        <w:t xml:space="preserve"> a weighted </w:t>
      </w:r>
      <w:proofErr w:type="spellStart"/>
      <w:r w:rsidRPr="00C503A1">
        <w:rPr>
          <w:rFonts w:ascii="Times New Roman" w:hAnsi="Times New Roman" w:cs="Times New Roman"/>
        </w:rPr>
        <w:t>Elixhauser</w:t>
      </w:r>
      <w:proofErr w:type="spellEnd"/>
      <w:r w:rsidRPr="00C503A1">
        <w:rPr>
          <w:rFonts w:ascii="Times New Roman" w:hAnsi="Times New Roman" w:cs="Times New Roman"/>
        </w:rPr>
        <w:t xml:space="preserve"> comorbidity index developed by HCUP based on ICD-10 diagnosis codes. This index aggregates over the 38 comorbid conditions (e.g., heart failure, diabetes, chronic lung disease), each assigned a coefficient derived from logistic models predicting 30-day readmission risk. The resulting continuous variable reflects the overall burden of comorbidities, with higher values indicating worse baseline health and greater hospitalization risk. Including this index allows us to control for heterogeneity in underlying health conditions across patients. The </w:t>
      </w:r>
      <w:proofErr w:type="spellStart"/>
      <w:r w:rsidRPr="00C503A1">
        <w:rPr>
          <w:rStyle w:val="Strong"/>
          <w:rFonts w:ascii="Times New Roman" w:eastAsiaTheme="majorEastAsia" w:hAnsi="Times New Roman" w:cs="Times New Roman"/>
          <w:b w:val="0"/>
          <w:bCs/>
        </w:rPr>
        <w:t>CMR_Index_Readmission</w:t>
      </w:r>
      <w:proofErr w:type="spellEnd"/>
      <w:r w:rsidRPr="00C503A1">
        <w:rPr>
          <w:rFonts w:ascii="Times New Roman" w:hAnsi="Times New Roman" w:cs="Times New Roman"/>
        </w:rPr>
        <w:t xml:space="preserve"> controls for overall health vulnerability, ensuring that observed effects are not simply driven by areas with sicker populations having both more outages and more ED visits. </w:t>
      </w:r>
    </w:p>
    <w:p w14:paraId="7D7E122A" w14:textId="77777777" w:rsidR="00D47251" w:rsidRPr="00C503A1" w:rsidRDefault="00D47251" w:rsidP="00C503A1">
      <w:pPr>
        <w:pStyle w:val="NormalWeb"/>
        <w:rPr>
          <w:rFonts w:ascii="Times New Roman" w:hAnsi="Times New Roman" w:cs="Times New Roman"/>
        </w:rPr>
      </w:pPr>
    </w:p>
    <w:p w14:paraId="0C9EEBA0" w14:textId="70AE808B" w:rsidR="00C503A1" w:rsidRDefault="00C503A1" w:rsidP="00C503A1">
      <w:pPr>
        <w:rPr>
          <w:rFonts w:cs="Times New Roman"/>
        </w:rPr>
      </w:pPr>
      <w:r w:rsidRPr="00C503A1">
        <w:rPr>
          <w:rFonts w:cs="Times New Roman"/>
        </w:rPr>
        <w:t xml:space="preserve">In addition, to assess the prevalence of mental health-related comorbidities within each geographic and temporal unit, we utilized the </w:t>
      </w:r>
      <w:proofErr w:type="spellStart"/>
      <w:r w:rsidRPr="00C503A1">
        <w:rPr>
          <w:rFonts w:cs="Times New Roman"/>
        </w:rPr>
        <w:t>Elixhauser</w:t>
      </w:r>
      <w:proofErr w:type="spellEnd"/>
      <w:r w:rsidRPr="00C503A1">
        <w:rPr>
          <w:rFonts w:cs="Times New Roman"/>
        </w:rPr>
        <w:t xml:space="preserve"> Comorbidity Software provided by the HCUP. The Maryland State Inpatient Database (SID) Core files were processed through the official SAS program to generate binary indicators for each admission (per discharge), identifying the presence of specific comorbid conditions based on ICD diagnosis codes. Among the generated indices, we focused on three mental health-related comorbidities: psychoses (CM_PSYCHOSES), alcohol-related disorders (CM_ALCOHOL), and drug abuse disorders (CM_DRUG_ABUSE). </w:t>
      </w:r>
    </w:p>
    <w:p w14:paraId="2474BBDB" w14:textId="77777777" w:rsidR="00D47251" w:rsidRPr="00C503A1" w:rsidRDefault="00D47251" w:rsidP="00C503A1">
      <w:pPr>
        <w:rPr>
          <w:rFonts w:cs="Times New Roman"/>
        </w:rPr>
      </w:pPr>
    </w:p>
    <w:p w14:paraId="47C21717" w14:textId="7D3481F6" w:rsidR="00C503A1" w:rsidRPr="00C503A1" w:rsidRDefault="00C503A1" w:rsidP="00C503A1">
      <w:pPr>
        <w:rPr>
          <w:rFonts w:cs="Times New Roman"/>
        </w:rPr>
      </w:pPr>
      <w:r w:rsidRPr="00C503A1">
        <w:rPr>
          <w:rFonts w:cs="Times New Roman"/>
        </w:rPr>
        <w:t xml:space="preserve">Following the generation of patient-level comorbidity indicators, we aggregated the data to the ZIP code-year-quarter level. For each comorbidity variable, we calculated the mean value across all admissions within each geographic-temporal unit, which yields the proportion of admissions presenting with each specific comorbidity. These proportions were subsequently multiplied by 100 to express them as percentages. The variables </w:t>
      </w:r>
      <w:proofErr w:type="spellStart"/>
      <w:r w:rsidRPr="00C503A1">
        <w:rPr>
          <w:rFonts w:cs="Times New Roman"/>
        </w:rPr>
        <w:t>pct_psychoses</w:t>
      </w:r>
      <w:proofErr w:type="spellEnd"/>
      <w:r w:rsidRPr="00C503A1">
        <w:rPr>
          <w:rFonts w:cs="Times New Roman"/>
        </w:rPr>
        <w:t xml:space="preserve">, </w:t>
      </w:r>
      <w:proofErr w:type="spellStart"/>
      <w:r w:rsidRPr="00C503A1">
        <w:rPr>
          <w:rFonts w:cs="Times New Roman"/>
        </w:rPr>
        <w:t>pct_alcohol</w:t>
      </w:r>
      <w:proofErr w:type="spellEnd"/>
      <w:r w:rsidRPr="00C503A1">
        <w:rPr>
          <w:rFonts w:cs="Times New Roman"/>
        </w:rPr>
        <w:t xml:space="preserve">, and </w:t>
      </w:r>
      <w:proofErr w:type="spellStart"/>
      <w:r w:rsidRPr="00C503A1">
        <w:rPr>
          <w:rFonts w:cs="Times New Roman"/>
        </w:rPr>
        <w:t>pct_drug_abuse</w:t>
      </w:r>
      <w:proofErr w:type="spellEnd"/>
      <w:r w:rsidRPr="00C503A1">
        <w:rPr>
          <w:rFonts w:cs="Times New Roman"/>
        </w:rPr>
        <w:t xml:space="preserve"> represent the percentage of total admissions within each ZIP code-</w:t>
      </w:r>
      <w:proofErr w:type="spellStart"/>
      <w:r w:rsidRPr="00C503A1">
        <w:rPr>
          <w:rFonts w:cs="Times New Roman"/>
        </w:rPr>
        <w:t>year_quarter</w:t>
      </w:r>
      <w:proofErr w:type="spellEnd"/>
      <w:r w:rsidRPr="00C503A1">
        <w:rPr>
          <w:rFonts w:cs="Times New Roman"/>
        </w:rPr>
        <w:t xml:space="preserve"> combination that presented with psychoses, alcohol-related disorders, and drug abuse disorders, respectively. </w:t>
      </w:r>
    </w:p>
    <w:p w14:paraId="4FCBB903" w14:textId="77777777" w:rsidR="0053098F" w:rsidRPr="00C503A1" w:rsidRDefault="0053098F" w:rsidP="00840340">
      <w:pPr>
        <w:rPr>
          <w:rFonts w:cs="Times New Roman"/>
          <w:b/>
          <w:bCs/>
        </w:rPr>
      </w:pPr>
    </w:p>
    <w:p w14:paraId="11A6D8D2" w14:textId="77777777" w:rsidR="000C669E" w:rsidRDefault="000C669E" w:rsidP="00840340">
      <w:pPr>
        <w:rPr>
          <w:rFonts w:cs="Times New Roman"/>
          <w:b/>
          <w:bCs/>
          <w:lang w:val="en-HK"/>
        </w:rPr>
      </w:pPr>
    </w:p>
    <w:p w14:paraId="4D712C01" w14:textId="77777777" w:rsidR="00624283" w:rsidRPr="00624283" w:rsidRDefault="00624283" w:rsidP="00624283">
      <w:pPr>
        <w:rPr>
          <w:rFonts w:cs="Times New Roman"/>
          <w:b/>
          <w:bCs/>
        </w:rPr>
      </w:pPr>
      <w:r w:rsidRPr="00624283">
        <w:rPr>
          <w:rFonts w:cs="Times New Roman"/>
          <w:b/>
          <w:bCs/>
        </w:rPr>
        <w:lastRenderedPageBreak/>
        <w:t>Append F: Construction of Instrumental Variables: Power Grid Infrastructure Density</w:t>
      </w:r>
    </w:p>
    <w:p w14:paraId="09B1FF34" w14:textId="77777777" w:rsidR="00624283" w:rsidRPr="00624283" w:rsidRDefault="00624283" w:rsidP="00624283">
      <w:pPr>
        <w:rPr>
          <w:rFonts w:cs="Times New Roman"/>
        </w:rPr>
      </w:pPr>
      <w:r w:rsidRPr="00624283">
        <w:rPr>
          <w:rFonts w:cs="Times New Roman"/>
        </w:rPr>
        <w:t xml:space="preserve">To address potential endogeneity in local power outage exposure, this study employs infrastructure-based instrumental variables capturing exogenous variation in the physical structure of the electric power network. Specifically, we construct four ZIP-code-level measures: transformer density, distribution line density, substation density, and high-voltage transmission line density. </w:t>
      </w:r>
    </w:p>
    <w:p w14:paraId="0C982365" w14:textId="77777777" w:rsidR="00624283" w:rsidRPr="00624283" w:rsidRDefault="00624283" w:rsidP="00624283">
      <w:pPr>
        <w:rPr>
          <w:rFonts w:cs="Times New Roman"/>
        </w:rPr>
      </w:pPr>
      <w:r w:rsidRPr="00624283">
        <w:rPr>
          <w:rFonts w:cs="Times New Roman"/>
        </w:rPr>
        <w:t xml:space="preserve">All infrastructure variables are derived using Geographic Information System (GIS) spatial overlays between power grid infrastructure shapefiles and ZIP Code Tabulation Area (ZCTA) boundaries. </w:t>
      </w:r>
    </w:p>
    <w:p w14:paraId="0C4456C3" w14:textId="77777777" w:rsidR="00624283" w:rsidRPr="00624283" w:rsidRDefault="00624283" w:rsidP="00624283">
      <w:pPr>
        <w:rPr>
          <w:rFonts w:cs="Times New Roman"/>
        </w:rPr>
      </w:pPr>
    </w:p>
    <w:p w14:paraId="43928154" w14:textId="77777777" w:rsidR="00624283" w:rsidRPr="00624283" w:rsidRDefault="00624283" w:rsidP="00624283">
      <w:pPr>
        <w:rPr>
          <w:rFonts w:cs="Times New Roman"/>
          <w:i/>
          <w:iCs/>
        </w:rPr>
      </w:pPr>
      <w:r w:rsidRPr="00624283">
        <w:rPr>
          <w:rFonts w:cs="Times New Roman"/>
          <w:i/>
          <w:iCs/>
        </w:rPr>
        <w:t>F.1 Spatial Aggregation Procedure</w:t>
      </w:r>
    </w:p>
    <w:p w14:paraId="667850B9" w14:textId="77777777" w:rsidR="00624283" w:rsidRPr="00624283" w:rsidRDefault="00624283" w:rsidP="00624283">
      <w:pPr>
        <w:rPr>
          <w:rFonts w:cs="Times New Roman"/>
        </w:rPr>
      </w:pPr>
      <w:r w:rsidRPr="00624283">
        <w:rPr>
          <w:rFonts w:cs="Times New Roman"/>
        </w:rPr>
        <w:t xml:space="preserve">For each ZIP code </w:t>
      </w:r>
      <w:proofErr w:type="spellStart"/>
      <w:r w:rsidRPr="00624283">
        <w:rPr>
          <w:rFonts w:cs="Times New Roman"/>
          <w:i/>
          <w:iCs/>
        </w:rPr>
        <w:t>i</w:t>
      </w:r>
      <w:proofErr w:type="spellEnd"/>
      <w:r w:rsidRPr="00624283">
        <w:rPr>
          <w:rFonts w:cs="Times New Roman"/>
        </w:rPr>
        <w:t xml:space="preserve">, we compute infrastructure density measures using the following steps: </w:t>
      </w:r>
    </w:p>
    <w:p w14:paraId="30BDC7E9" w14:textId="77777777" w:rsidR="00624283" w:rsidRPr="00624283" w:rsidRDefault="00624283" w:rsidP="00624283">
      <w:pPr>
        <w:pStyle w:val="ListParagraph"/>
        <w:numPr>
          <w:ilvl w:val="1"/>
          <w:numId w:val="10"/>
        </w:numPr>
        <w:ind w:left="0"/>
        <w:contextualSpacing/>
        <w:rPr>
          <w:rFonts w:cs="Times New Roman"/>
        </w:rPr>
      </w:pPr>
      <w:r w:rsidRPr="00624283">
        <w:rPr>
          <w:rFonts w:cs="Times New Roman"/>
        </w:rPr>
        <w:t xml:space="preserve">Spatial clipping – National electric grid infrastructure shapefiles are spatially intersected with ZIP code boundaries. Each infrastructure element (point or line) is assigned to a ZIP code based on geographic location. </w:t>
      </w:r>
    </w:p>
    <w:p w14:paraId="7BAB1566" w14:textId="77777777" w:rsidR="00624283" w:rsidRPr="00624283" w:rsidRDefault="00624283" w:rsidP="00624283">
      <w:pPr>
        <w:pStyle w:val="ListParagraph"/>
        <w:numPr>
          <w:ilvl w:val="1"/>
          <w:numId w:val="10"/>
        </w:numPr>
        <w:ind w:left="0"/>
        <w:contextualSpacing/>
        <w:rPr>
          <w:rFonts w:cs="Times New Roman"/>
        </w:rPr>
      </w:pPr>
      <w:r w:rsidRPr="00624283">
        <w:rPr>
          <w:rFonts w:cs="Times New Roman"/>
        </w:rPr>
        <w:t>Infrastructure quantification within ZIP codes</w:t>
      </w:r>
    </w:p>
    <w:p w14:paraId="6D60EF80" w14:textId="77777777" w:rsidR="00624283" w:rsidRPr="00624283" w:rsidRDefault="00624283" w:rsidP="00624283">
      <w:pPr>
        <w:pStyle w:val="ListParagraph"/>
        <w:numPr>
          <w:ilvl w:val="0"/>
          <w:numId w:val="13"/>
        </w:numPr>
        <w:ind w:left="0"/>
        <w:contextualSpacing/>
        <w:rPr>
          <w:rFonts w:cs="Times New Roman"/>
        </w:rPr>
      </w:pPr>
      <w:r w:rsidRPr="00624283">
        <w:rPr>
          <w:rFonts w:cs="Times New Roman"/>
        </w:rPr>
        <w:t xml:space="preserve">Line-based infrastructure (transmission lines and distribution lines): the total lengths of lines (in kilometers) within each ZIP code is calculated. </w:t>
      </w:r>
    </w:p>
    <w:p w14:paraId="3AD0EEAC" w14:textId="77777777" w:rsidR="00624283" w:rsidRPr="00624283" w:rsidRDefault="00624283" w:rsidP="00624283">
      <w:pPr>
        <w:pStyle w:val="ListParagraph"/>
        <w:numPr>
          <w:ilvl w:val="0"/>
          <w:numId w:val="13"/>
        </w:numPr>
        <w:ind w:left="0"/>
        <w:contextualSpacing/>
        <w:rPr>
          <w:rFonts w:cs="Times New Roman"/>
        </w:rPr>
      </w:pPr>
      <w:r w:rsidRPr="00624283">
        <w:rPr>
          <w:rFonts w:cs="Times New Roman"/>
        </w:rPr>
        <w:t xml:space="preserve">Point-based infrastructure (substations and transformer): the number of facilities located within each ZIP code is counted. </w:t>
      </w:r>
    </w:p>
    <w:p w14:paraId="7C6108FC" w14:textId="77777777" w:rsidR="00624283" w:rsidRPr="00624283" w:rsidRDefault="00624283" w:rsidP="00624283">
      <w:pPr>
        <w:pStyle w:val="ListParagraph"/>
        <w:numPr>
          <w:ilvl w:val="1"/>
          <w:numId w:val="10"/>
        </w:numPr>
        <w:ind w:left="0"/>
        <w:contextualSpacing/>
        <w:rPr>
          <w:rFonts w:cs="Times New Roman"/>
        </w:rPr>
      </w:pPr>
      <w:r w:rsidRPr="00624283">
        <w:rPr>
          <w:rFonts w:cs="Times New Roman"/>
        </w:rPr>
        <w:t>Normalization by land area</w:t>
      </w:r>
    </w:p>
    <w:p w14:paraId="31A296D8" w14:textId="77777777" w:rsidR="00624283" w:rsidRPr="00624283" w:rsidRDefault="00624283" w:rsidP="00624283">
      <w:pPr>
        <w:pStyle w:val="ListParagraph"/>
        <w:ind w:left="0"/>
        <w:rPr>
          <w:rFonts w:cs="Times New Roman"/>
        </w:rPr>
      </w:pPr>
      <w:r w:rsidRPr="00624283">
        <w:rPr>
          <w:rFonts w:cs="Times New Roman"/>
        </w:rPr>
        <w:t xml:space="preserve">To ensure comparability across ZIP codes of different sizes, each infrastructure measure is converted into a density measure by dividing by the ZIP code’s land area (in square kilometers). </w:t>
      </w:r>
    </w:p>
    <w:p w14:paraId="4581BA81" w14:textId="77777777" w:rsidR="00624283" w:rsidRPr="00624283" w:rsidRDefault="00624283" w:rsidP="00624283">
      <w:pPr>
        <w:pStyle w:val="ListParagraph"/>
        <w:ind w:left="0"/>
        <w:rPr>
          <w:rFonts w:cs="Times New Roman"/>
        </w:rPr>
      </w:pPr>
    </w:p>
    <w:p w14:paraId="1CDCBF22" w14:textId="77777777" w:rsidR="00624283" w:rsidRPr="00624283" w:rsidRDefault="00624283" w:rsidP="00624283">
      <w:pPr>
        <w:rPr>
          <w:rFonts w:cs="Times New Roman"/>
          <w:i/>
          <w:iCs/>
        </w:rPr>
      </w:pPr>
      <w:r w:rsidRPr="00624283">
        <w:rPr>
          <w:rFonts w:cs="Times New Roman"/>
          <w:i/>
          <w:iCs/>
        </w:rPr>
        <w:t>F.2 Instrumental Variable Definitions</w:t>
      </w:r>
    </w:p>
    <w:p w14:paraId="5B9D2DC7" w14:textId="77777777" w:rsidR="00624283" w:rsidRPr="00624283" w:rsidRDefault="00624283" w:rsidP="00624283">
      <w:pPr>
        <w:pStyle w:val="ListParagraph"/>
        <w:ind w:left="0"/>
        <w:rPr>
          <w:rFonts w:cs="Times New Roman"/>
        </w:rPr>
      </w:pPr>
      <w:r w:rsidRPr="00624283">
        <w:rPr>
          <w:rFonts w:cs="Times New Roman"/>
        </w:rPr>
        <w:t xml:space="preserve">(1) Substation Density </w:t>
      </w:r>
    </w:p>
    <w:p w14:paraId="37F20E80" w14:textId="77777777" w:rsidR="00624283" w:rsidRPr="00624283" w:rsidRDefault="00000000" w:rsidP="00624283">
      <w:pPr>
        <w:pStyle w:val="ListParagraph"/>
        <w:ind w:left="0"/>
        <w:rPr>
          <w:rFonts w:cs="Times New Roman"/>
          <w:i/>
        </w:rPr>
      </w:pPr>
      <m:oMathPara>
        <m:oMath>
          <m:sSub>
            <m:sSubPr>
              <m:ctrlPr>
                <w:rPr>
                  <w:rFonts w:ascii="Cambria Math" w:hAnsi="Cambria Math" w:cs="Times New Roman"/>
                </w:rPr>
              </m:ctrlPr>
            </m:sSubPr>
            <m:e>
              <m:r>
                <m:rPr>
                  <m:nor/>
                </m:rPr>
                <w:rPr>
                  <w:rFonts w:cs="Times New Roman"/>
                </w:rPr>
                <m:t xml:space="preserve"> Substation Density </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r>
                <m:rPr>
                  <m:nor/>
                </m:rPr>
                <w:rPr>
                  <w:rFonts w:cs="Times New Roman"/>
                </w:rPr>
                <m:t xml:space="preserve"> Number of substations in ZIP </m:t>
              </m:r>
              <m:r>
                <w:rPr>
                  <w:rFonts w:ascii="Cambria Math" w:hAnsi="Cambria Math" w:cs="Times New Roman"/>
                </w:rPr>
                <m:t>i</m:t>
              </m:r>
            </m:num>
            <m:den>
              <m:r>
                <m:rPr>
                  <m:nor/>
                </m:rPr>
                <w:rPr>
                  <w:rFonts w:cs="Times New Roman"/>
                </w:rPr>
                <m:t xml:space="preserve"> Land area of ZIP </m:t>
              </m:r>
              <m:r>
                <w:rPr>
                  <w:rFonts w:ascii="Cambria Math" w:hAnsi="Cambria Math" w:cs="Times New Roman"/>
                </w:rPr>
                <m:t>i</m:t>
              </m:r>
              <m:d>
                <m:dPr>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km</m:t>
                      </m:r>
                    </m:e>
                    <m:sup>
                      <m:r>
                        <w:rPr>
                          <w:rFonts w:ascii="Cambria Math" w:hAnsi="Cambria Math" w:cs="Times New Roman"/>
                        </w:rPr>
                        <m:t>2</m:t>
                      </m:r>
                    </m:sup>
                  </m:sSup>
                </m:e>
              </m:d>
            </m:den>
          </m:f>
        </m:oMath>
      </m:oMathPara>
    </w:p>
    <w:p w14:paraId="5C230ADB"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 xml:space="preserve">Substations are facilities that switch, transform, or regulate electric power, typically operating at voltages </w:t>
      </w:r>
      <w:r w:rsidRPr="00624283">
        <w:rPr>
          <w:rStyle w:val="Strong"/>
          <w:rFonts w:ascii="Times New Roman" w:eastAsiaTheme="majorEastAsia" w:hAnsi="Times New Roman" w:cs="Times New Roman"/>
          <w:b w:val="0"/>
          <w:bCs/>
        </w:rPr>
        <w:t>≥ 69 kV</w:t>
      </w:r>
      <w:r w:rsidRPr="00624283">
        <w:rPr>
          <w:rFonts w:ascii="Times New Roman" w:hAnsi="Times New Roman" w:cs="Times New Roman"/>
        </w:rPr>
        <w:t>, and serve as key nodes in the high-voltage transmission network.</w:t>
      </w:r>
    </w:p>
    <w:p w14:paraId="476462E7"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 xml:space="preserve">(2) High-Voltage Transmission Line Density </w:t>
      </w:r>
    </w:p>
    <w:p w14:paraId="71330E9B" w14:textId="77777777" w:rsidR="00624283" w:rsidRPr="00624283" w:rsidRDefault="00000000" w:rsidP="00624283">
      <w:pPr>
        <w:pStyle w:val="NormalWeb"/>
        <w:rPr>
          <w:rFonts w:ascii="Times New Roman" w:hAnsi="Times New Roman" w:cs="Times New Roman"/>
        </w:rPr>
      </w:pPr>
      <m:oMathPara>
        <m:oMath>
          <m:sSub>
            <m:sSubPr>
              <m:ctrlPr>
                <w:rPr>
                  <w:rFonts w:ascii="Cambria Math" w:hAnsi="Cambria Math" w:cs="Times New Roman"/>
                </w:rPr>
              </m:ctrlPr>
            </m:sSubPr>
            <m:e>
              <m:r>
                <m:rPr>
                  <m:nor/>
                </m:rPr>
                <w:rPr>
                  <w:rFonts w:ascii="Times New Roman" w:hAnsi="Times New Roman" w:cs="Times New Roman"/>
                </w:rPr>
                <m:t xml:space="preserve"> Transmission Line Density </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 xml:space="preserve"> Total length of transmission lines in ZIP </m:t>
              </m:r>
              <m:r>
                <w:rPr>
                  <w:rFonts w:ascii="Cambria Math" w:hAnsi="Cambria Math" w:cs="Times New Roman"/>
                </w:rPr>
                <m:t>i(</m:t>
              </m:r>
              <m:r>
                <m:rPr>
                  <m:sty m:val="p"/>
                </m:rPr>
                <w:rPr>
                  <w:rFonts w:ascii="Cambria Math" w:hAnsi="Cambria Math" w:cs="Times New Roman"/>
                </w:rPr>
                <m:t>km</m:t>
              </m:r>
              <m:r>
                <w:rPr>
                  <w:rFonts w:ascii="Cambria Math" w:hAnsi="Cambria Math" w:cs="Times New Roman"/>
                </w:rPr>
                <m:t>)</m:t>
              </m:r>
            </m:num>
            <m:den>
              <m:r>
                <m:rPr>
                  <m:nor/>
                </m:rPr>
                <w:rPr>
                  <w:rFonts w:ascii="Times New Roman" w:hAnsi="Times New Roman" w:cs="Times New Roman"/>
                </w:rPr>
                <m:t xml:space="preserve"> Land area of ZIP </m:t>
              </m:r>
              <m:r>
                <w:rPr>
                  <w:rFonts w:ascii="Cambria Math" w:hAnsi="Cambria Math" w:cs="Times New Roman"/>
                </w:rPr>
                <m:t>i</m:t>
              </m:r>
              <m:d>
                <m:dPr>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km</m:t>
                      </m:r>
                    </m:e>
                    <m:sup>
                      <m:r>
                        <w:rPr>
                          <w:rFonts w:ascii="Cambria Math" w:hAnsi="Cambria Math" w:cs="Times New Roman"/>
                        </w:rPr>
                        <m:t>2</m:t>
                      </m:r>
                    </m:sup>
                  </m:sSup>
                </m:e>
              </m:d>
            </m:den>
          </m:f>
        </m:oMath>
      </m:oMathPara>
    </w:p>
    <w:p w14:paraId="4EC45694"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Transmission lines are high-voltage (69–765 kV) lines designed to transport large quantities of electricity over long distances between substations and major load centers.</w:t>
      </w:r>
    </w:p>
    <w:p w14:paraId="5D3A58C9"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 xml:space="preserve">(3) Transformer Density </w:t>
      </w:r>
    </w:p>
    <w:p w14:paraId="226CFBE0" w14:textId="77777777" w:rsidR="00624283" w:rsidRPr="00624283" w:rsidRDefault="00000000" w:rsidP="00624283">
      <w:pPr>
        <w:pStyle w:val="NormalWeb"/>
        <w:rPr>
          <w:rFonts w:ascii="Times New Roman" w:hAnsi="Times New Roman" w:cs="Times New Roman"/>
        </w:rPr>
      </w:pPr>
      <m:oMathPara>
        <m:oMath>
          <m:sSub>
            <m:sSubPr>
              <m:ctrlPr>
                <w:rPr>
                  <w:rFonts w:ascii="Cambria Math" w:hAnsi="Cambria Math" w:cs="Times New Roman"/>
                </w:rPr>
              </m:ctrlPr>
            </m:sSubPr>
            <m:e>
              <m:r>
                <m:rPr>
                  <m:nor/>
                </m:rPr>
                <w:rPr>
                  <w:rFonts w:ascii="Times New Roman" w:hAnsi="Times New Roman" w:cs="Times New Roman"/>
                </w:rPr>
                <m:t xml:space="preserve"> Transformer Density </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 xml:space="preserve"> Number of distribution transformers in ZIP </m:t>
              </m:r>
              <m:r>
                <w:rPr>
                  <w:rFonts w:ascii="Cambria Math" w:hAnsi="Cambria Math" w:cs="Times New Roman"/>
                </w:rPr>
                <m:t>i</m:t>
              </m:r>
            </m:num>
            <m:den>
              <m:r>
                <m:rPr>
                  <m:nor/>
                </m:rPr>
                <w:rPr>
                  <w:rFonts w:ascii="Times New Roman" w:hAnsi="Times New Roman" w:cs="Times New Roman"/>
                </w:rPr>
                <m:t xml:space="preserve"> Land area of ZIP </m:t>
              </m:r>
              <m:r>
                <w:rPr>
                  <w:rFonts w:ascii="Cambria Math" w:hAnsi="Cambria Math" w:cs="Times New Roman"/>
                </w:rPr>
                <m:t>i</m:t>
              </m:r>
              <m:d>
                <m:dPr>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km</m:t>
                      </m:r>
                    </m:e>
                    <m:sup>
                      <m:r>
                        <w:rPr>
                          <w:rFonts w:ascii="Cambria Math" w:hAnsi="Cambria Math" w:cs="Times New Roman"/>
                        </w:rPr>
                        <m:t>2</m:t>
                      </m:r>
                    </m:sup>
                  </m:sSup>
                </m:e>
              </m:d>
            </m:den>
          </m:f>
        </m:oMath>
      </m:oMathPara>
    </w:p>
    <w:p w14:paraId="4A078695" w14:textId="77777777" w:rsidR="00624283" w:rsidRPr="00624283" w:rsidRDefault="00624283" w:rsidP="00624283">
      <w:pPr>
        <w:rPr>
          <w:rFonts w:eastAsia="Times New Roman" w:cs="Times New Roman"/>
        </w:rPr>
      </w:pPr>
      <w:r w:rsidRPr="00624283">
        <w:rPr>
          <w:rFonts w:eastAsia="Times New Roman" w:cs="Times New Roman"/>
        </w:rPr>
        <w:lastRenderedPageBreak/>
        <w:t>Distribution transformers step down voltage from distribution feeders to levels usable by end consumers and represent the local last-mile delivery infrastructure of the electric grid.</w:t>
      </w:r>
    </w:p>
    <w:p w14:paraId="1DC2E38A"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 xml:space="preserve">(4) Distribution Line Density </w:t>
      </w:r>
    </w:p>
    <w:p w14:paraId="589FDDB4" w14:textId="77777777" w:rsidR="00624283" w:rsidRPr="00624283" w:rsidRDefault="00000000" w:rsidP="00624283">
      <w:pPr>
        <w:pStyle w:val="NormalWeb"/>
        <w:rPr>
          <w:rFonts w:ascii="Times New Roman" w:hAnsi="Times New Roman" w:cs="Times New Roman"/>
        </w:rPr>
      </w:pPr>
      <m:oMathPara>
        <m:oMath>
          <m:sSub>
            <m:sSubPr>
              <m:ctrlPr>
                <w:rPr>
                  <w:rFonts w:ascii="Cambria Math" w:hAnsi="Cambria Math" w:cs="Times New Roman"/>
                </w:rPr>
              </m:ctrlPr>
            </m:sSubPr>
            <m:e>
              <m:r>
                <m:rPr>
                  <m:nor/>
                </m:rPr>
                <w:rPr>
                  <w:rFonts w:ascii="Times New Roman" w:hAnsi="Times New Roman" w:cs="Times New Roman"/>
                </w:rPr>
                <m:t xml:space="preserve"> Distribution Line Density </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 xml:space="preserve"> Total length of distribution lines in ZIP </m:t>
              </m:r>
              <m:r>
                <w:rPr>
                  <w:rFonts w:ascii="Cambria Math" w:hAnsi="Cambria Math" w:cs="Times New Roman"/>
                </w:rPr>
                <m:t>i(</m:t>
              </m:r>
              <m:r>
                <m:rPr>
                  <m:sty m:val="p"/>
                </m:rPr>
                <w:rPr>
                  <w:rFonts w:ascii="Cambria Math" w:hAnsi="Cambria Math" w:cs="Times New Roman"/>
                </w:rPr>
                <m:t>km</m:t>
              </m:r>
              <m:r>
                <w:rPr>
                  <w:rFonts w:ascii="Cambria Math" w:hAnsi="Cambria Math" w:cs="Times New Roman"/>
                </w:rPr>
                <m:t>)</m:t>
              </m:r>
            </m:num>
            <m:den>
              <m:r>
                <m:rPr>
                  <m:nor/>
                </m:rPr>
                <w:rPr>
                  <w:rFonts w:ascii="Times New Roman" w:hAnsi="Times New Roman" w:cs="Times New Roman"/>
                </w:rPr>
                <m:t xml:space="preserve"> Land area of ZIP </m:t>
              </m:r>
              <m:r>
                <w:rPr>
                  <w:rFonts w:ascii="Cambria Math" w:hAnsi="Cambria Math" w:cs="Times New Roman"/>
                </w:rPr>
                <m:t>i</m:t>
              </m:r>
              <m:d>
                <m:dPr>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km</m:t>
                      </m:r>
                    </m:e>
                    <m:sup>
                      <m:r>
                        <w:rPr>
                          <w:rFonts w:ascii="Cambria Math" w:hAnsi="Cambria Math" w:cs="Times New Roman"/>
                        </w:rPr>
                        <m:t>2</m:t>
                      </m:r>
                    </m:sup>
                  </m:sSup>
                </m:e>
              </m:d>
            </m:den>
          </m:f>
        </m:oMath>
      </m:oMathPara>
    </w:p>
    <w:p w14:paraId="0809218E"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 xml:space="preserve">Distribution lines are </w:t>
      </w:r>
      <w:r w:rsidRPr="00624283">
        <w:rPr>
          <w:rStyle w:val="Strong"/>
          <w:rFonts w:ascii="Times New Roman" w:eastAsiaTheme="majorEastAsia" w:hAnsi="Times New Roman" w:cs="Times New Roman"/>
          <w:b w:val="0"/>
          <w:bCs/>
        </w:rPr>
        <w:t>medium- and low-voltage lines (typically &lt; 35 kV)</w:t>
      </w:r>
      <w:r w:rsidRPr="00624283">
        <w:rPr>
          <w:rFonts w:ascii="Times New Roman" w:hAnsi="Times New Roman" w:cs="Times New Roman"/>
          <w:b/>
          <w:bCs/>
        </w:rPr>
        <w:t xml:space="preserve"> </w:t>
      </w:r>
      <w:r w:rsidRPr="00624283">
        <w:rPr>
          <w:rFonts w:ascii="Times New Roman" w:hAnsi="Times New Roman" w:cs="Times New Roman"/>
        </w:rPr>
        <w:t>that deliver electricity from substations to transformers and ultimately to households and businesses through local distribution networks.</w:t>
      </w:r>
    </w:p>
    <w:p w14:paraId="49A75B00" w14:textId="77777777" w:rsidR="00624283" w:rsidRPr="00624283" w:rsidRDefault="00624283" w:rsidP="00624283">
      <w:pPr>
        <w:pStyle w:val="NormalWeb"/>
        <w:rPr>
          <w:rFonts w:ascii="Times New Roman" w:hAnsi="Times New Roman" w:cs="Times New Roman"/>
        </w:rPr>
      </w:pPr>
    </w:p>
    <w:p w14:paraId="6158EBEC" w14:textId="77777777" w:rsidR="00624283" w:rsidRPr="00624283" w:rsidRDefault="00624283" w:rsidP="00624283">
      <w:pPr>
        <w:pStyle w:val="Heading3"/>
        <w:spacing w:beforeAutospacing="0" w:afterAutospacing="0"/>
        <w:jc w:val="both"/>
        <w:rPr>
          <w:rFonts w:ascii="Times New Roman" w:hAnsi="Times New Roman" w:hint="default"/>
          <w:i/>
          <w:iCs/>
          <w:color w:val="000000" w:themeColor="text1"/>
          <w:sz w:val="24"/>
          <w:szCs w:val="24"/>
        </w:rPr>
      </w:pPr>
      <w:r w:rsidRPr="00624283">
        <w:rPr>
          <w:rStyle w:val="Strong"/>
          <w:rFonts w:ascii="Times New Roman" w:hAnsi="Times New Roman" w:hint="default"/>
          <w:i/>
          <w:iCs/>
          <w:color w:val="000000" w:themeColor="text1"/>
          <w:sz w:val="24"/>
          <w:szCs w:val="24"/>
        </w:rPr>
        <w:t>F.3 Interpretation of Infrastructure-Based Instruments</w:t>
      </w:r>
    </w:p>
    <w:p w14:paraId="2B5FA470"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 xml:space="preserve">These instruments capture </w:t>
      </w:r>
      <w:r w:rsidRPr="00624283">
        <w:rPr>
          <w:rStyle w:val="Strong"/>
          <w:rFonts w:ascii="Times New Roman" w:eastAsiaTheme="majorEastAsia" w:hAnsi="Times New Roman" w:cs="Times New Roman"/>
          <w:b w:val="0"/>
          <w:bCs/>
        </w:rPr>
        <w:t>pre-existing, slow-moving physical grid topology</w:t>
      </w:r>
      <w:r w:rsidRPr="00624283">
        <w:rPr>
          <w:rFonts w:ascii="Times New Roman" w:hAnsi="Times New Roman" w:cs="Times New Roman"/>
          <w:b/>
          <w:bCs/>
        </w:rPr>
        <w:t xml:space="preserve"> </w:t>
      </w:r>
      <w:r w:rsidRPr="00624283">
        <w:rPr>
          <w:rFonts w:ascii="Times New Roman" w:hAnsi="Times New Roman" w:cs="Times New Roman"/>
        </w:rPr>
        <w:t>rather than short-term demand fluctuations or local health conditions. Importantly:</w:t>
      </w:r>
    </w:p>
    <w:p w14:paraId="0F341F27" w14:textId="77777777" w:rsidR="00624283" w:rsidRPr="00624283" w:rsidRDefault="00624283" w:rsidP="00624283">
      <w:pPr>
        <w:pStyle w:val="NormalWeb"/>
        <w:numPr>
          <w:ilvl w:val="0"/>
          <w:numId w:val="14"/>
        </w:numPr>
        <w:ind w:left="0"/>
        <w:rPr>
          <w:rFonts w:ascii="Times New Roman" w:hAnsi="Times New Roman" w:cs="Times New Roman"/>
        </w:rPr>
      </w:pPr>
      <w:r w:rsidRPr="00624283">
        <w:rPr>
          <w:rStyle w:val="Strong"/>
          <w:rFonts w:ascii="Times New Roman" w:eastAsiaTheme="majorEastAsia" w:hAnsi="Times New Roman" w:cs="Times New Roman"/>
          <w:b w:val="0"/>
          <w:bCs/>
        </w:rPr>
        <w:t>Transmission infrastructure</w:t>
      </w:r>
      <w:r w:rsidRPr="00624283">
        <w:rPr>
          <w:rFonts w:ascii="Times New Roman" w:hAnsi="Times New Roman" w:cs="Times New Roman"/>
        </w:rPr>
        <w:t xml:space="preserve"> reflects </w:t>
      </w:r>
      <w:r w:rsidRPr="00624283">
        <w:rPr>
          <w:rStyle w:val="Strong"/>
          <w:rFonts w:ascii="Times New Roman" w:eastAsiaTheme="majorEastAsia" w:hAnsi="Times New Roman" w:cs="Times New Roman"/>
          <w:b w:val="0"/>
          <w:bCs/>
        </w:rPr>
        <w:t>system-level grid structure</w:t>
      </w:r>
      <w:r w:rsidRPr="00624283">
        <w:rPr>
          <w:rFonts w:ascii="Times New Roman" w:hAnsi="Times New Roman" w:cs="Times New Roman"/>
        </w:rPr>
        <w:t xml:space="preserve">, which influences the likelihood of </w:t>
      </w:r>
      <w:r w:rsidRPr="00624283">
        <w:rPr>
          <w:rStyle w:val="Strong"/>
          <w:rFonts w:ascii="Times New Roman" w:eastAsiaTheme="majorEastAsia" w:hAnsi="Times New Roman" w:cs="Times New Roman"/>
          <w:b w:val="0"/>
          <w:bCs/>
        </w:rPr>
        <w:t>large-scale and long-duration outages</w:t>
      </w:r>
      <w:r w:rsidRPr="00624283">
        <w:rPr>
          <w:rFonts w:ascii="Times New Roman" w:hAnsi="Times New Roman" w:cs="Times New Roman"/>
        </w:rPr>
        <w:t xml:space="preserve"> under extreme stress.</w:t>
      </w:r>
    </w:p>
    <w:p w14:paraId="5D9BD310" w14:textId="77777777" w:rsidR="00624283" w:rsidRPr="00624283" w:rsidRDefault="00624283" w:rsidP="00624283">
      <w:pPr>
        <w:pStyle w:val="NormalWeb"/>
        <w:numPr>
          <w:ilvl w:val="0"/>
          <w:numId w:val="14"/>
        </w:numPr>
        <w:ind w:left="0"/>
        <w:rPr>
          <w:rFonts w:ascii="Times New Roman" w:hAnsi="Times New Roman" w:cs="Times New Roman"/>
        </w:rPr>
      </w:pPr>
      <w:r w:rsidRPr="00624283">
        <w:rPr>
          <w:rStyle w:val="Strong"/>
          <w:rFonts w:ascii="Times New Roman" w:eastAsiaTheme="majorEastAsia" w:hAnsi="Times New Roman" w:cs="Times New Roman"/>
          <w:b w:val="0"/>
          <w:bCs/>
        </w:rPr>
        <w:t>Distribution infrastructure</w:t>
      </w:r>
      <w:r w:rsidRPr="00624283">
        <w:rPr>
          <w:rFonts w:ascii="Times New Roman" w:hAnsi="Times New Roman" w:cs="Times New Roman"/>
        </w:rPr>
        <w:t xml:space="preserve"> reflects </w:t>
      </w:r>
      <w:r w:rsidRPr="00624283">
        <w:rPr>
          <w:rStyle w:val="Strong"/>
          <w:rFonts w:ascii="Times New Roman" w:eastAsiaTheme="majorEastAsia" w:hAnsi="Times New Roman" w:cs="Times New Roman"/>
          <w:b w:val="0"/>
          <w:bCs/>
        </w:rPr>
        <w:t>local network density</w:t>
      </w:r>
      <w:r w:rsidRPr="00624283">
        <w:rPr>
          <w:rFonts w:ascii="Times New Roman" w:hAnsi="Times New Roman" w:cs="Times New Roman"/>
        </w:rPr>
        <w:t xml:space="preserve">, which is more closely associated with </w:t>
      </w:r>
      <w:r w:rsidRPr="00624283">
        <w:rPr>
          <w:rStyle w:val="Strong"/>
          <w:rFonts w:ascii="Times New Roman" w:eastAsiaTheme="majorEastAsia" w:hAnsi="Times New Roman" w:cs="Times New Roman"/>
          <w:b w:val="0"/>
          <w:bCs/>
        </w:rPr>
        <w:t>frequent, shorter-duration service disruptions</w:t>
      </w:r>
      <w:r w:rsidRPr="00624283">
        <w:rPr>
          <w:rFonts w:ascii="Times New Roman" w:hAnsi="Times New Roman" w:cs="Times New Roman"/>
        </w:rPr>
        <w:t xml:space="preserve"> due to localized faults or overloads.</w:t>
      </w:r>
    </w:p>
    <w:p w14:paraId="3DFCF9FC" w14:textId="77777777" w:rsidR="00624283" w:rsidRPr="00624283" w:rsidRDefault="00624283" w:rsidP="00624283">
      <w:pPr>
        <w:pStyle w:val="NormalWeb"/>
        <w:rPr>
          <w:rFonts w:ascii="Times New Roman" w:hAnsi="Times New Roman" w:cs="Times New Roman"/>
        </w:rPr>
      </w:pPr>
      <w:r w:rsidRPr="00624283">
        <w:rPr>
          <w:rFonts w:ascii="Times New Roman" w:hAnsi="Times New Roman" w:cs="Times New Roman"/>
        </w:rPr>
        <w:t>Because the physical layout of grid infrastructure is determined by long-run engineering and regulatory planning rather than contemporaneous mental health trends, these measures provide plausibly exogenous variation in outage exposure.</w:t>
      </w:r>
    </w:p>
    <w:p w14:paraId="5CDB6E1A" w14:textId="77777777" w:rsidR="00624283" w:rsidRPr="00624283" w:rsidRDefault="00624283" w:rsidP="00624283">
      <w:pPr>
        <w:pStyle w:val="NormalWeb"/>
        <w:rPr>
          <w:rFonts w:ascii="Times New Roman" w:hAnsi="Times New Roman" w:cs="Times New Roman"/>
        </w:rPr>
      </w:pPr>
    </w:p>
    <w:p w14:paraId="2D0F04FA" w14:textId="77777777" w:rsidR="00624283" w:rsidRPr="00624283" w:rsidRDefault="00624283" w:rsidP="00624283">
      <w:pPr>
        <w:pStyle w:val="Heading3"/>
        <w:spacing w:beforeAutospacing="0" w:afterAutospacing="0"/>
        <w:jc w:val="both"/>
        <w:rPr>
          <w:rFonts w:ascii="Times New Roman" w:hAnsi="Times New Roman" w:hint="default"/>
          <w:i/>
          <w:iCs/>
          <w:color w:val="000000" w:themeColor="text1"/>
          <w:sz w:val="24"/>
          <w:szCs w:val="24"/>
        </w:rPr>
      </w:pPr>
      <w:r w:rsidRPr="00624283">
        <w:rPr>
          <w:rStyle w:val="Strong"/>
          <w:rFonts w:ascii="Times New Roman" w:hAnsi="Times New Roman" w:hint="default"/>
          <w:i/>
          <w:iCs/>
          <w:color w:val="000000" w:themeColor="text1"/>
          <w:sz w:val="24"/>
          <w:szCs w:val="24"/>
        </w:rPr>
        <w:t>F.4 Data Sources</w:t>
      </w:r>
    </w:p>
    <w:p w14:paraId="343EA8C9" w14:textId="77777777" w:rsidR="00624283" w:rsidRPr="00624283" w:rsidRDefault="00624283" w:rsidP="00624283">
      <w:pPr>
        <w:pStyle w:val="Heading4"/>
        <w:spacing w:before="0"/>
        <w:rPr>
          <w:rFonts w:ascii="Times New Roman" w:hAnsi="Times New Roman" w:cs="Times New Roman"/>
          <w:i w:val="0"/>
          <w:iCs w:val="0"/>
          <w:color w:val="000000" w:themeColor="text1"/>
        </w:rPr>
      </w:pPr>
      <w:r w:rsidRPr="00624283">
        <w:rPr>
          <w:rStyle w:val="Strong"/>
          <w:rFonts w:ascii="Times New Roman" w:hAnsi="Times New Roman" w:cs="Times New Roman"/>
          <w:b w:val="0"/>
          <w:bCs/>
          <w:i w:val="0"/>
          <w:iCs w:val="0"/>
          <w:color w:val="000000" w:themeColor="text1"/>
        </w:rPr>
        <w:t>Substations data</w:t>
      </w:r>
      <w:r w:rsidRPr="00624283">
        <w:rPr>
          <w:rStyle w:val="Strong"/>
          <w:rFonts w:ascii="Times New Roman" w:hAnsi="Times New Roman" w:cs="Times New Roman"/>
          <w:i w:val="0"/>
          <w:iCs w:val="0"/>
          <w:color w:val="000000" w:themeColor="text1"/>
        </w:rPr>
        <w:t xml:space="preserve"> </w:t>
      </w:r>
      <w:r w:rsidRPr="00624283">
        <w:rPr>
          <w:rFonts w:ascii="Times New Roman" w:hAnsi="Times New Roman" w:cs="Times New Roman"/>
          <w:i w:val="0"/>
          <w:iCs w:val="0"/>
          <w:color w:val="000000" w:themeColor="text1"/>
        </w:rPr>
        <w:t>source:</w:t>
      </w:r>
      <w:r w:rsidRPr="00624283">
        <w:rPr>
          <w:rFonts w:ascii="Times New Roman" w:hAnsi="Times New Roman" w:cs="Times New Roman"/>
          <w:i w:val="0"/>
          <w:iCs w:val="0"/>
        </w:rPr>
        <w:br/>
      </w:r>
      <w:hyperlink r:id="rId10" w:tgtFrame="_new" w:history="1">
        <w:r w:rsidRPr="00624283">
          <w:rPr>
            <w:rStyle w:val="Hyperlink"/>
            <w:rFonts w:ascii="Times New Roman" w:hAnsi="Times New Roman" w:cs="Times New Roman"/>
            <w:i w:val="0"/>
            <w:iCs w:val="0"/>
          </w:rPr>
          <w:t>https://www.arcgis.com/home/item.html?id=6511edc77ec3430493cce610ab48f0c1</w:t>
        </w:r>
      </w:hyperlink>
    </w:p>
    <w:p w14:paraId="62DE092C" w14:textId="77777777" w:rsidR="00624283" w:rsidRDefault="00624283" w:rsidP="00624283">
      <w:pPr>
        <w:pStyle w:val="Heading4"/>
        <w:spacing w:before="0"/>
        <w:rPr>
          <w:rFonts w:ascii="Times New Roman" w:hAnsi="Times New Roman" w:cs="Times New Roman"/>
        </w:rPr>
      </w:pPr>
      <w:r w:rsidRPr="00624283">
        <w:rPr>
          <w:rStyle w:val="Strong"/>
          <w:rFonts w:ascii="Times New Roman" w:hAnsi="Times New Roman" w:cs="Times New Roman"/>
          <w:b w:val="0"/>
          <w:bCs/>
          <w:i w:val="0"/>
          <w:iCs w:val="0"/>
          <w:color w:val="000000" w:themeColor="text1"/>
        </w:rPr>
        <w:t>Transmission Lines</w:t>
      </w:r>
      <w:r w:rsidRPr="00624283">
        <w:rPr>
          <w:rStyle w:val="Strong"/>
          <w:rFonts w:ascii="Times New Roman" w:hAnsi="Times New Roman" w:cs="Times New Roman"/>
          <w:i w:val="0"/>
          <w:iCs w:val="0"/>
          <w:color w:val="000000" w:themeColor="text1"/>
        </w:rPr>
        <w:t xml:space="preserve"> </w:t>
      </w:r>
      <w:r w:rsidRPr="00624283">
        <w:rPr>
          <w:rFonts w:ascii="Times New Roman" w:hAnsi="Times New Roman" w:cs="Times New Roman"/>
          <w:i w:val="0"/>
          <w:iCs w:val="0"/>
          <w:color w:val="000000" w:themeColor="text1"/>
        </w:rPr>
        <w:t>Source:</w:t>
      </w:r>
      <w:r w:rsidRPr="00624283">
        <w:rPr>
          <w:rFonts w:ascii="Times New Roman" w:hAnsi="Times New Roman" w:cs="Times New Roman"/>
        </w:rPr>
        <w:br/>
      </w:r>
      <w:hyperlink r:id="rId11" w:tgtFrame="_new" w:history="1">
        <w:r w:rsidRPr="00624283">
          <w:rPr>
            <w:rStyle w:val="Hyperlink"/>
            <w:rFonts w:ascii="Times New Roman" w:hAnsi="Times New Roman" w:cs="Times New Roman"/>
            <w:i w:val="0"/>
            <w:iCs w:val="0"/>
          </w:rPr>
          <w:t>https://www.arcgis.com/apps/mapviewer/index.html?layers=d4090758322c4d32a4cd002ffaa0aa12</w:t>
        </w:r>
      </w:hyperlink>
    </w:p>
    <w:p w14:paraId="0292E9F3" w14:textId="7C54EC29" w:rsidR="00624283" w:rsidRPr="00624283" w:rsidRDefault="00624283" w:rsidP="00624283">
      <w:r>
        <w:t xml:space="preserve">Transformer and distribution lines: </w:t>
      </w:r>
    </w:p>
    <w:p w14:paraId="7B12DB3C" w14:textId="77777777" w:rsidR="00624283" w:rsidRPr="00624283" w:rsidRDefault="00624283" w:rsidP="00624283">
      <w:pPr>
        <w:pStyle w:val="Heading4"/>
        <w:spacing w:before="0"/>
        <w:rPr>
          <w:rFonts w:ascii="Times New Roman" w:hAnsi="Times New Roman" w:cs="Times New Roman"/>
          <w:i w:val="0"/>
          <w:iCs w:val="0"/>
          <w:color w:val="000000" w:themeColor="text1"/>
        </w:rPr>
      </w:pPr>
      <w:r w:rsidRPr="00624283">
        <w:rPr>
          <w:rStyle w:val="Strong"/>
          <w:rFonts w:ascii="Times New Roman" w:hAnsi="Times New Roman" w:cs="Times New Roman"/>
          <w:b w:val="0"/>
          <w:bCs/>
          <w:i w:val="0"/>
          <w:iCs w:val="0"/>
          <w:color w:val="000000" w:themeColor="text1"/>
        </w:rPr>
        <w:t>Distribution Infrastructure and Transformers</w:t>
      </w:r>
      <w:r w:rsidRPr="00624283">
        <w:rPr>
          <w:rStyle w:val="Strong"/>
          <w:rFonts w:ascii="Times New Roman" w:hAnsi="Times New Roman" w:cs="Times New Roman"/>
          <w:i w:val="0"/>
          <w:iCs w:val="0"/>
          <w:color w:val="000000" w:themeColor="text1"/>
        </w:rPr>
        <w:t xml:space="preserve"> </w:t>
      </w:r>
      <w:r w:rsidRPr="00624283">
        <w:rPr>
          <w:rStyle w:val="Strong"/>
          <w:rFonts w:ascii="Times New Roman" w:hAnsi="Times New Roman" w:cs="Times New Roman"/>
          <w:b w:val="0"/>
          <w:bCs/>
          <w:i w:val="0"/>
          <w:iCs w:val="0"/>
          <w:color w:val="000000" w:themeColor="text1"/>
        </w:rPr>
        <w:t>are</w:t>
      </w:r>
      <w:r w:rsidRPr="00624283">
        <w:rPr>
          <w:rStyle w:val="Strong"/>
          <w:rFonts w:ascii="Times New Roman" w:hAnsi="Times New Roman" w:cs="Times New Roman"/>
          <w:i w:val="0"/>
          <w:iCs w:val="0"/>
          <w:color w:val="000000" w:themeColor="text1"/>
        </w:rPr>
        <w:t xml:space="preserve"> </w:t>
      </w:r>
      <w:r w:rsidRPr="00624283">
        <w:rPr>
          <w:rFonts w:ascii="Times New Roman" w:hAnsi="Times New Roman" w:cs="Times New Roman"/>
          <w:i w:val="0"/>
          <w:iCs w:val="0"/>
          <w:color w:val="000000" w:themeColor="text1"/>
        </w:rPr>
        <w:t>compiled from regional utility GIS datasets.</w:t>
      </w:r>
    </w:p>
    <w:p w14:paraId="2786D8AE" w14:textId="77777777" w:rsidR="000C669E" w:rsidRPr="00624283" w:rsidRDefault="000C669E" w:rsidP="00840340">
      <w:pPr>
        <w:rPr>
          <w:rFonts w:cs="Times New Roman"/>
          <w:b/>
          <w:bCs/>
        </w:rPr>
      </w:pPr>
    </w:p>
    <w:p w14:paraId="684C2B62" w14:textId="77777777" w:rsidR="000C669E" w:rsidRPr="00624283" w:rsidRDefault="000C669E" w:rsidP="00840340">
      <w:pPr>
        <w:rPr>
          <w:rFonts w:cs="Times New Roman"/>
          <w:b/>
          <w:bCs/>
          <w:lang w:val="en-HK"/>
        </w:rPr>
      </w:pPr>
    </w:p>
    <w:p w14:paraId="4B90DBE2" w14:textId="77777777" w:rsidR="000C669E" w:rsidRPr="00624283" w:rsidRDefault="000C669E" w:rsidP="00840340">
      <w:pPr>
        <w:rPr>
          <w:rFonts w:cs="Times New Roman"/>
          <w:b/>
          <w:bCs/>
          <w:lang w:val="en-HK"/>
        </w:rPr>
      </w:pPr>
    </w:p>
    <w:p w14:paraId="2B48801A" w14:textId="77777777" w:rsidR="000C669E" w:rsidRPr="00624283" w:rsidRDefault="000C669E" w:rsidP="00840340">
      <w:pPr>
        <w:rPr>
          <w:rFonts w:cs="Times New Roman"/>
          <w:b/>
          <w:bCs/>
          <w:lang w:val="en-HK"/>
        </w:rPr>
      </w:pPr>
    </w:p>
    <w:p w14:paraId="42EE7C34" w14:textId="77777777" w:rsidR="000C669E" w:rsidRPr="00624283" w:rsidRDefault="000C669E" w:rsidP="00840340">
      <w:pPr>
        <w:rPr>
          <w:rFonts w:cs="Times New Roman"/>
          <w:b/>
          <w:bCs/>
          <w:lang w:val="en-HK"/>
        </w:rPr>
      </w:pPr>
    </w:p>
    <w:p w14:paraId="6B82935F" w14:textId="77777777" w:rsidR="000C669E" w:rsidRPr="00624283" w:rsidRDefault="000C669E" w:rsidP="00840340">
      <w:pPr>
        <w:rPr>
          <w:rFonts w:cs="Times New Roman"/>
          <w:b/>
          <w:bCs/>
          <w:lang w:val="en-HK"/>
        </w:rPr>
      </w:pPr>
    </w:p>
    <w:p w14:paraId="59ECF1E6" w14:textId="77777777" w:rsidR="000C669E" w:rsidRPr="00624283" w:rsidRDefault="000C669E" w:rsidP="00840340">
      <w:pPr>
        <w:rPr>
          <w:rFonts w:cs="Times New Roman"/>
          <w:b/>
          <w:bCs/>
          <w:lang w:val="en-HK"/>
        </w:rPr>
      </w:pPr>
    </w:p>
    <w:p w14:paraId="52F9EB35" w14:textId="77777777" w:rsidR="000C669E" w:rsidRPr="00624283" w:rsidRDefault="000C669E" w:rsidP="00840340">
      <w:pPr>
        <w:rPr>
          <w:rFonts w:cs="Times New Roman"/>
          <w:b/>
          <w:bCs/>
          <w:lang w:val="en-HK"/>
        </w:rPr>
      </w:pPr>
    </w:p>
    <w:p w14:paraId="705FF66F" w14:textId="77777777" w:rsidR="000C669E" w:rsidRPr="00624283" w:rsidRDefault="000C669E" w:rsidP="00840340">
      <w:pPr>
        <w:rPr>
          <w:rFonts w:cs="Times New Roman"/>
          <w:b/>
          <w:bCs/>
          <w:lang w:val="en-HK"/>
        </w:rPr>
      </w:pPr>
    </w:p>
    <w:p w14:paraId="63D26E3D" w14:textId="77777777" w:rsidR="000C669E" w:rsidRPr="00624283" w:rsidRDefault="000C669E" w:rsidP="00840340">
      <w:pPr>
        <w:rPr>
          <w:rFonts w:cs="Times New Roman"/>
          <w:b/>
          <w:bCs/>
          <w:lang w:val="en-HK"/>
        </w:rPr>
      </w:pPr>
    </w:p>
    <w:p w14:paraId="460BB595" w14:textId="77777777" w:rsidR="000C669E" w:rsidRPr="00624283" w:rsidRDefault="000C669E" w:rsidP="00840340">
      <w:pPr>
        <w:rPr>
          <w:rFonts w:cs="Times New Roman"/>
          <w:b/>
          <w:bCs/>
          <w:lang w:val="en-HK"/>
        </w:rPr>
      </w:pPr>
    </w:p>
    <w:p w14:paraId="5831F6D3" w14:textId="77777777" w:rsidR="000C669E" w:rsidRPr="00624283" w:rsidRDefault="000C669E" w:rsidP="00840340">
      <w:pPr>
        <w:rPr>
          <w:rFonts w:cs="Times New Roman"/>
          <w:b/>
          <w:bCs/>
          <w:lang w:val="en-HK"/>
        </w:rPr>
      </w:pPr>
    </w:p>
    <w:p w14:paraId="43405E3A" w14:textId="77777777" w:rsidR="00512623" w:rsidRDefault="00512623" w:rsidP="00840340">
      <w:pPr>
        <w:rPr>
          <w:rFonts w:cs="Times New Roman"/>
          <w:b/>
          <w:bCs/>
        </w:rPr>
      </w:pPr>
    </w:p>
    <w:p w14:paraId="49C2417F" w14:textId="608EECD3" w:rsidR="000E3987" w:rsidRDefault="00E13B59" w:rsidP="000E3987">
      <w:pPr>
        <w:jc w:val="left"/>
        <w:rPr>
          <w:rFonts w:cs="Times New Roman"/>
          <w:b/>
          <w:bCs/>
        </w:rPr>
      </w:pPr>
      <w:r>
        <w:rPr>
          <w:rFonts w:cs="Times New Roman"/>
          <w:b/>
          <w:bCs/>
        </w:rPr>
        <w:lastRenderedPageBreak/>
        <w:t>Supplementary Information N1</w:t>
      </w:r>
      <w:r w:rsidR="000E3987">
        <w:rPr>
          <w:rFonts w:cs="Times New Roman"/>
          <w:b/>
          <w:bCs/>
        </w:rPr>
        <w:t>: Literature review on Power outage, extreme weather and Mental Health</w:t>
      </w:r>
    </w:p>
    <w:p w14:paraId="0DA2D0FB" w14:textId="77777777" w:rsidR="000E3987" w:rsidRDefault="000E3987" w:rsidP="000E3987">
      <w:pPr>
        <w:jc w:val="left"/>
        <w:rPr>
          <w:rFonts w:cs="Times New Roman"/>
          <w:b/>
          <w:bCs/>
        </w:rPr>
      </w:pPr>
    </w:p>
    <w:p w14:paraId="64912E92" w14:textId="77777777" w:rsidR="00742E53" w:rsidRPr="003D6217" w:rsidRDefault="00742E53" w:rsidP="00742E53">
      <w:pPr>
        <w:rPr>
          <w:rFonts w:cs="Times New Roman"/>
          <w:color w:val="000000" w:themeColor="text1"/>
        </w:rPr>
      </w:pPr>
      <w:r w:rsidRPr="003D6217">
        <w:rPr>
          <w:rFonts w:cs="Times New Roman"/>
          <w:b/>
          <w:bCs/>
          <w:color w:val="000000" w:themeColor="text1"/>
        </w:rPr>
        <w:t>Literature on extreme weather events, power outages, and mental health</w:t>
      </w:r>
      <w:r w:rsidRPr="003D6217">
        <w:rPr>
          <w:rFonts w:cs="Times New Roman"/>
          <w:color w:val="000000" w:themeColor="text1"/>
        </w:rPr>
        <w:t xml:space="preserve"> </w:t>
      </w:r>
    </w:p>
    <w:p w14:paraId="30B48D6E" w14:textId="77777777" w:rsid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themeColor="text1"/>
          <w:szCs w:val="24"/>
          <w:lang w:val="en-GB"/>
        </w:rPr>
      </w:pPr>
      <w:r w:rsidRPr="002E6E16">
        <w:rPr>
          <w:rFonts w:cs="Times New Roman"/>
          <w:szCs w:val="24"/>
        </w:rPr>
        <w:t xml:space="preserve">Prior research has documented that severe weather events and power outages frequently co-occur </w:t>
      </w:r>
      <w:r>
        <w:rPr>
          <w:rFonts w:cs="Times New Roman"/>
          <w:szCs w:val="24"/>
        </w:rPr>
        <w:t xml:space="preserve">at the same time in </w:t>
      </w:r>
      <w:r w:rsidRPr="002E6E16">
        <w:rPr>
          <w:rFonts w:cs="Times New Roman"/>
          <w:szCs w:val="24"/>
        </w:rPr>
        <w:t>many U.S. regions.</w:t>
      </w:r>
      <w:r>
        <w:rPr>
          <w:rFonts w:cs="Times New Roman"/>
          <w:szCs w:val="24"/>
        </w:rPr>
        <w:t xml:space="preserve"> </w:t>
      </w:r>
      <w:r>
        <w:rPr>
          <w:rFonts w:cs="Times New Roman"/>
          <w:szCs w:val="24"/>
        </w:rPr>
        <w:fldChar w:fldCharType="begin"/>
      </w:r>
      <w:r>
        <w:rPr>
          <w:rFonts w:cs="Times New Roman"/>
          <w:szCs w:val="24"/>
        </w:rPr>
        <w:instrText xml:space="preserve"> ADDIN ZOTERO_ITEM CSL_CITATION {"citationID":"OZ7brdL1","properties":{"unsorted":false,"formattedCitation":"(Do et al., 2023)","plainCitation":"(Do et al., 2023)","noteIndex":0},"citationItems":[{"id":4703,"uris":["http://zotero.org/users/12445093/items/5ACMK22S"],"itemData":{"id":4703,"type":"article-journal","abstract":"Abstract\n            Power outages threaten public health. While outages will likely increase with climate change, an aging electrical grid, and increased energy demand, little is known about their frequency and distribution within states. Here, we characterize 2018–2020 outages, finding an average of 520 million customer-hours total without power annually across 2447 US counties (73.7% of the US population). 17,484 8+ hour outages (a medically-relevant duration with potential health consequences) and 231,174 1+ hour outages took place, with greatest prevalence in Northeastern, Southern, and Appalachian counties. Arkansas, Louisiana, and Michigan counties experience a dual burden of frequent 8+ hour outages and high social vulnerability and prevalence of electricity-dependent durable medical equipment use. 62.1% of 8+ hour outages co-occur with extreme weather/climate events, particularly heavy precipitation, anomalous heat, and tropical cyclones. Results could support future large-scale epidemiology studies, inform equitable disaster preparedness and response, and prioritize geographic areas for resource allocation and interventions.","call-number":"1","container-title":"Nature Commun</w:instrText>
      </w:r>
      <w:r>
        <w:rPr>
          <w:rFonts w:cs="Times New Roman" w:hint="eastAsia"/>
          <w:szCs w:val="24"/>
        </w:rPr>
        <w:instrText xml:space="preserve">ications","DOI":"10.1038/s41467-023-38084-6","ISSN":"2041-1723","issue":"1","journalAbbreviation":"Nat Commun","language":"en","note":"titleTranslation: </w:instrText>
      </w:r>
      <w:r>
        <w:rPr>
          <w:rFonts w:cs="Times New Roman" w:hint="eastAsia"/>
          <w:szCs w:val="24"/>
        </w:rPr>
        <w:instrText>美国停电与气候事件和社会脆弱性的时空分布</w:instrText>
      </w:r>
      <w:r>
        <w:rPr>
          <w:rFonts w:cs="Times New Roman" w:hint="eastAsia"/>
          <w:szCs w:val="24"/>
        </w:rPr>
        <w:instrText xml:space="preserve">\nabstractTranslation: </w:instrText>
      </w:r>
      <w:r>
        <w:rPr>
          <w:rFonts w:cs="Times New Roman" w:hint="eastAsia"/>
          <w:szCs w:val="24"/>
        </w:rPr>
        <w:instrText>摘要</w:instrText>
      </w:r>
      <w:r>
        <w:rPr>
          <w:rFonts w:cs="Times New Roman" w:hint="eastAsia"/>
          <w:szCs w:val="24"/>
        </w:rPr>
        <w:instrText xml:space="preserve">\n            </w:instrText>
      </w:r>
      <w:r>
        <w:rPr>
          <w:rFonts w:cs="Times New Roman" w:hint="eastAsia"/>
          <w:szCs w:val="24"/>
        </w:rPr>
        <w:instrText>停电威胁着公众健康。随着气候变化、电网老化和能源需求的增加，停电事故可能会增加，但人们对停电事故的频率和在各州的分布却知之甚少。在此，我们描述了</w:instrText>
      </w:r>
      <w:r>
        <w:rPr>
          <w:rFonts w:cs="Times New Roman" w:hint="eastAsia"/>
          <w:szCs w:val="24"/>
        </w:rPr>
        <w:instrText xml:space="preserve"> 2018-2020 </w:instrText>
      </w:r>
      <w:r>
        <w:rPr>
          <w:rFonts w:cs="Times New Roman" w:hint="eastAsia"/>
          <w:szCs w:val="24"/>
        </w:rPr>
        <w:instrText>年停电的特点，发现美国</w:instrText>
      </w:r>
      <w:r>
        <w:rPr>
          <w:rFonts w:cs="Times New Roman" w:hint="eastAsia"/>
          <w:szCs w:val="24"/>
        </w:rPr>
        <w:instrText xml:space="preserve"> 2447 </w:instrText>
      </w:r>
      <w:r>
        <w:rPr>
          <w:rFonts w:cs="Times New Roman" w:hint="eastAsia"/>
          <w:szCs w:val="24"/>
        </w:rPr>
        <w:instrText>个县（占美国人口的</w:instrText>
      </w:r>
      <w:r>
        <w:rPr>
          <w:rFonts w:cs="Times New Roman" w:hint="eastAsia"/>
          <w:szCs w:val="24"/>
        </w:rPr>
        <w:instrText xml:space="preserve"> 73.7%</w:instrText>
      </w:r>
      <w:r>
        <w:rPr>
          <w:rFonts w:cs="Times New Roman" w:hint="eastAsia"/>
          <w:szCs w:val="24"/>
        </w:rPr>
        <w:instrText>）每年平均停电</w:instrText>
      </w:r>
      <w:r>
        <w:rPr>
          <w:rFonts w:cs="Times New Roman" w:hint="eastAsia"/>
          <w:szCs w:val="24"/>
        </w:rPr>
        <w:instrText xml:space="preserve"> 5.2 </w:instrText>
      </w:r>
      <w:r>
        <w:rPr>
          <w:rFonts w:cs="Times New Roman" w:hint="eastAsia"/>
          <w:szCs w:val="24"/>
        </w:rPr>
        <w:instrText>亿用户小时。发生了</w:instrText>
      </w:r>
      <w:r>
        <w:rPr>
          <w:rFonts w:cs="Times New Roman" w:hint="eastAsia"/>
          <w:szCs w:val="24"/>
        </w:rPr>
        <w:instrText xml:space="preserve"> 17,484 </w:instrText>
      </w:r>
      <w:r>
        <w:rPr>
          <w:rFonts w:cs="Times New Roman" w:hint="eastAsia"/>
          <w:szCs w:val="24"/>
        </w:rPr>
        <w:instrText>次</w:instrText>
      </w:r>
      <w:r>
        <w:rPr>
          <w:rFonts w:cs="Times New Roman" w:hint="eastAsia"/>
          <w:szCs w:val="24"/>
        </w:rPr>
        <w:instrText xml:space="preserve"> 8 </w:instrText>
      </w:r>
      <w:r>
        <w:rPr>
          <w:rFonts w:cs="Times New Roman" w:hint="eastAsia"/>
          <w:szCs w:val="24"/>
        </w:rPr>
        <w:instrText>小时以上的停电（这是一种与医疗相关的持续时间，可能会对健康造成影响）和</w:instrText>
      </w:r>
      <w:r>
        <w:rPr>
          <w:rFonts w:cs="Times New Roman" w:hint="eastAsia"/>
          <w:szCs w:val="24"/>
        </w:rPr>
        <w:instrText xml:space="preserve"> 231,174 </w:instrText>
      </w:r>
      <w:r>
        <w:rPr>
          <w:rFonts w:cs="Times New Roman" w:hint="eastAsia"/>
          <w:szCs w:val="24"/>
        </w:rPr>
        <w:instrText>次</w:instrText>
      </w:r>
      <w:r>
        <w:rPr>
          <w:rFonts w:cs="Times New Roman" w:hint="eastAsia"/>
          <w:szCs w:val="24"/>
        </w:rPr>
        <w:instrText xml:space="preserve"> 1 </w:instrText>
      </w:r>
      <w:r>
        <w:rPr>
          <w:rFonts w:cs="Times New Roman" w:hint="eastAsia"/>
          <w:szCs w:val="24"/>
        </w:rPr>
        <w:instrText>小时以上的停电，其中东北部、南部和阿巴拉契亚地区的县最为普遍。阿肯色州、路易斯安那州和密歇根州的各县面临着双重负担：频繁的</w:instrText>
      </w:r>
      <w:r>
        <w:rPr>
          <w:rFonts w:cs="Times New Roman" w:hint="eastAsia"/>
          <w:szCs w:val="24"/>
        </w:rPr>
        <w:instrText xml:space="preserve"> 8 </w:instrText>
      </w:r>
      <w:r>
        <w:rPr>
          <w:rFonts w:cs="Times New Roman" w:hint="eastAsia"/>
          <w:szCs w:val="24"/>
        </w:rPr>
        <w:instrText>小时以上停电、高度的社会脆弱性以及依赖电力的耐用医疗设备使用的普遍性。</w:instrText>
      </w:r>
      <w:r>
        <w:rPr>
          <w:rFonts w:cs="Times New Roman" w:hint="eastAsia"/>
          <w:szCs w:val="24"/>
        </w:rPr>
        <w:instrText>62.1%</w:instrText>
      </w:r>
      <w:r>
        <w:rPr>
          <w:rFonts w:cs="Times New Roman" w:hint="eastAsia"/>
          <w:szCs w:val="24"/>
        </w:rPr>
        <w:instrText>的</w:instrText>
      </w:r>
      <w:r>
        <w:rPr>
          <w:rFonts w:cs="Times New Roman" w:hint="eastAsia"/>
          <w:szCs w:val="24"/>
        </w:rPr>
        <w:instrText xml:space="preserve"> 8 </w:instrText>
      </w:r>
      <w:r>
        <w:rPr>
          <w:rFonts w:cs="Times New Roman" w:hint="eastAsia"/>
          <w:szCs w:val="24"/>
        </w:rPr>
        <w:instrText>小时以上停电与极端天气</w:instrText>
      </w:r>
      <w:r>
        <w:rPr>
          <w:rFonts w:cs="Times New Roman" w:hint="eastAsia"/>
          <w:szCs w:val="24"/>
        </w:rPr>
        <w:instrText>/</w:instrText>
      </w:r>
      <w:r>
        <w:rPr>
          <w:rFonts w:cs="Times New Roman" w:hint="eastAsia"/>
          <w:szCs w:val="24"/>
        </w:rPr>
        <w:instrText>气候事件同时发生，尤其是强降水、异常高温和热带气旋。研究结果可为未来的大规模流行病学研究提供支持，为公平备灾和应灾提供信息，并为资源分配和干预措施确定优先地理区域。</w:instrText>
      </w:r>
      <w:r>
        <w:rPr>
          <w:rFonts w:cs="Times New Roman" w:hint="eastAsia"/>
          <w:szCs w:val="24"/>
        </w:rPr>
        <w:instrText>","page":"2470","source":"14.7","title":"Spatiotemporal distribution of power outages with climate events and social vulnerability in the USA","volume":"14</w:instrText>
      </w:r>
      <w:r>
        <w:rPr>
          <w:rFonts w:cs="Times New Roman"/>
          <w:szCs w:val="24"/>
        </w:rPr>
        <w:instrText xml:space="preserve">","author":[{"family":"Do","given":"Vivian"},{"family":"McBrien","given":"Heather"},{"family":"Flores","given":"Nina M."},{"family":"Northrop","given":"Alexander J."},{"family":"Schlegelmilch","given":"Jeffrey"},{"family":"Kiang","given":"Mathew V."},{"family":"Casey","given":"Joan A."}],"issued":{"date-parts":[["2023",4,29]]}}}],"schema":"https://github.com/citation-style-language/schema/raw/master/csl-citation.json"} </w:instrText>
      </w:r>
      <w:r>
        <w:rPr>
          <w:rFonts w:cs="Times New Roman"/>
          <w:szCs w:val="24"/>
        </w:rPr>
        <w:fldChar w:fldCharType="separate"/>
      </w:r>
      <w:r>
        <w:rPr>
          <w:rFonts w:cs="Times New Roman"/>
          <w:noProof/>
          <w:szCs w:val="24"/>
        </w:rPr>
        <w:t>(Do et al., 2023)</w:t>
      </w:r>
      <w:r>
        <w:rPr>
          <w:rFonts w:cs="Times New Roman"/>
          <w:szCs w:val="24"/>
        </w:rPr>
        <w:fldChar w:fldCharType="end"/>
      </w:r>
      <w:r>
        <w:rPr>
          <w:rFonts w:cs="Times New Roman"/>
          <w:szCs w:val="24"/>
        </w:rPr>
        <w:t xml:space="preserve"> </w:t>
      </w:r>
      <w:r w:rsidRPr="002E6E16">
        <w:rPr>
          <w:rFonts w:cs="Times New Roman"/>
          <w:szCs w:val="24"/>
        </w:rPr>
        <w:t xml:space="preserve">found that 62.1% of medically relevant (8+ hour) power outages coincided with extreme weather or climate events, with outages 3.4 times more common on days with an isolated severe weather event and 10 times more common on days with multiple simultaneous events. In a follow-up study, </w:t>
      </w:r>
      <w:r w:rsidRPr="002E6E16">
        <w:rPr>
          <w:rFonts w:cs="Times New Roman"/>
          <w:szCs w:val="24"/>
        </w:rPr>
        <w:fldChar w:fldCharType="begin"/>
      </w:r>
      <w:r w:rsidRPr="002E6E16">
        <w:rPr>
          <w:rFonts w:cs="Times New Roman"/>
          <w:szCs w:val="24"/>
        </w:rPr>
        <w:instrText xml:space="preserve"> ADDIN ZOTERO_ITEM CSL_CITATION {"citationID":"fFllhmXb","properties":{"unsorted":false,"formattedCitation":"(Do et al., 2025)","plainCitation":"(Do et al., 2025)","noteIndex":0},"citationItems":[{"id":4588,"uris":["http://zotero.org/users/12445093/items/F8RGZEB6"],"itemData":{"id":4588,"type":"article-journal","abstract":"In the United States, severe weather-driven power outages are increasing in frequency and duration, likely with health consequences. Previous studies examined individual severe weather events (e.g., heatwaves) and focused on large outages in metropolitan areas. Here, we described nationwide spatiotemporal patterns of individual (e.g., tropical cyclone alone) and simultaneous (e.g., tropical cyclone + anomalous heat) severe weather events co-occurring with 8+ hour outages. We used hourly county-level PowerOutage.us data from 2018–2020 to define 8+ hour outages as whenever the daily proportion of customers without power was ≥0.1% for ≥8 continuous hours. We conducted analyses at the daily and county (county-day) level and identified county-days with severe weather events, including anomalous cold, anomalous heat, anomalous precipitation, snowfall, tropical cyclones, and wildfire. Of 1,657 counties with reliable outage data, 1,205 (72.7%) experienced an 8+ hour outage co-occurring with an individual severe weather event, and 904 (54.6%) with multiple simultaneous severe weather events. Anomalous precipitation events co-occurring with outages were the most common, affecting 1,170 (70.6%) counties. These outages concentrated along the Gulf Coast, the Northeast, Michigan, and Southern California. Co-occurrence with anomalous heat happened the second most frequently, affecting 839 (50.6%) counties, mostly in Southeastern states. Among all county-days with a severe weather event, tropical cyclones–though rarer and primarily affecting the Eastern Seaboard–co-occurred with an 8+ hour outage 24% of the time. On the West Coast, wildfires were increasingly likely to co-occur with weather-related outages from 2018–2020. Among multiple simultaneous weather events, 8+ hour outages co-occurred with anomalous precipitation-anomalous heat on 1,155 county-days in 40 states, anomalous precipitation-tropical cyclone on 705 county-days in 24 states, and anomalous cold-snowfall on 259 county-days in 27 states. Our results can help guide efforts to strengthen the electricity grid, prepare communities for multi-hazard events, and allocate resources for adaptation and recovery.","container-title":"PLOS Climate","DOI":"10.1371/journal.pclm.0000523","ISSN":"2767-3200","issue":"1","journalAbbreviation":"PLOS Clim","language":"en","note":"titleTranslation: 2018-2020 </w:instrText>
      </w:r>
      <w:r w:rsidRPr="002E6E16">
        <w:rPr>
          <w:rFonts w:cs="Times New Roman"/>
          <w:szCs w:val="24"/>
        </w:rPr>
        <w:instrText>年美国单个和多个同时发生的恶劣天气事件与停电的时空模式</w:instrText>
      </w:r>
      <w:r w:rsidRPr="002E6E16">
        <w:rPr>
          <w:rFonts w:cs="Times New Roman"/>
          <w:szCs w:val="24"/>
        </w:rPr>
        <w:instrText xml:space="preserve">\nabstractTranslation: </w:instrText>
      </w:r>
      <w:r w:rsidRPr="002E6E16">
        <w:rPr>
          <w:rFonts w:cs="Times New Roman"/>
          <w:szCs w:val="24"/>
        </w:rPr>
        <w:instrText>在美国，恶劣天气导致的停电事故越来越频繁，持续时间也越来越长，很可能会对健康造成影响。以往的研究考察了单个恶劣天气事件（如热浪），并侧重于大都市地区的大面积停电。在这里，我们描述了全国范围内单个（如单独的热带气旋）和同时（如热带气旋</w:instrText>
      </w:r>
      <w:r w:rsidRPr="002E6E16">
        <w:rPr>
          <w:rFonts w:cs="Times New Roman"/>
          <w:szCs w:val="24"/>
        </w:rPr>
        <w:instrText>+</w:instrText>
      </w:r>
      <w:r w:rsidRPr="002E6E16">
        <w:rPr>
          <w:rFonts w:cs="Times New Roman"/>
          <w:szCs w:val="24"/>
        </w:rPr>
        <w:instrText>异常高温）发生</w:instrText>
      </w:r>
      <w:r w:rsidRPr="002E6E16">
        <w:rPr>
          <w:rFonts w:cs="Times New Roman"/>
          <w:szCs w:val="24"/>
        </w:rPr>
        <w:instrText xml:space="preserve"> 8 </w:instrText>
      </w:r>
      <w:r w:rsidRPr="002E6E16">
        <w:rPr>
          <w:rFonts w:cs="Times New Roman"/>
          <w:szCs w:val="24"/>
        </w:rPr>
        <w:instrText>小时以上停电的恶劣天气事件的时空模式。我们使用了</w:instrText>
      </w:r>
      <w:r w:rsidRPr="002E6E16">
        <w:rPr>
          <w:rFonts w:cs="Times New Roman"/>
          <w:szCs w:val="24"/>
        </w:rPr>
        <w:instrText xml:space="preserve"> 2018-2020 </w:instrText>
      </w:r>
      <w:r w:rsidRPr="002E6E16">
        <w:rPr>
          <w:rFonts w:cs="Times New Roman"/>
          <w:szCs w:val="24"/>
        </w:rPr>
        <w:instrText>年的每小时县级</w:instrText>
      </w:r>
      <w:r w:rsidRPr="002E6E16">
        <w:rPr>
          <w:rFonts w:cs="Times New Roman"/>
          <w:szCs w:val="24"/>
        </w:rPr>
        <w:instrText xml:space="preserve"> PowerOutage.us </w:instrText>
      </w:r>
      <w:r w:rsidRPr="002E6E16">
        <w:rPr>
          <w:rFonts w:cs="Times New Roman"/>
          <w:szCs w:val="24"/>
        </w:rPr>
        <w:instrText>数据，将</w:instrText>
      </w:r>
      <w:r w:rsidRPr="002E6E16">
        <w:rPr>
          <w:rFonts w:cs="Times New Roman"/>
          <w:szCs w:val="24"/>
        </w:rPr>
        <w:instrText xml:space="preserve"> 8 </w:instrText>
      </w:r>
      <w:r w:rsidRPr="002E6E16">
        <w:rPr>
          <w:rFonts w:cs="Times New Roman"/>
          <w:szCs w:val="24"/>
        </w:rPr>
        <w:instrText>小时以上停电定义为：只要每天连续停电时间</w:instrText>
      </w:r>
      <w:r w:rsidRPr="002E6E16">
        <w:rPr>
          <w:rFonts w:cs="Times New Roman"/>
          <w:szCs w:val="24"/>
        </w:rPr>
        <w:instrText xml:space="preserve">≥8 </w:instrText>
      </w:r>
      <w:r w:rsidRPr="002E6E16">
        <w:rPr>
          <w:rFonts w:cs="Times New Roman"/>
          <w:szCs w:val="24"/>
        </w:rPr>
        <w:instrText>小时的用户比例</w:instrText>
      </w:r>
      <w:r w:rsidRPr="002E6E16">
        <w:rPr>
          <w:rFonts w:cs="Times New Roman"/>
          <w:szCs w:val="24"/>
        </w:rPr>
        <w:instrText>≥0.1%</w:instrText>
      </w:r>
      <w:r w:rsidRPr="002E6E16">
        <w:rPr>
          <w:rFonts w:cs="Times New Roman"/>
          <w:szCs w:val="24"/>
        </w:rPr>
        <w:instrText>。我们在日和县（县日）层面进行了分析，并确定了发生恶劣天气事件的县日，包括异常寒冷、异常炎热、异常降水、降雪、热带气旋和野火。在有可靠停电数据的</w:instrText>
      </w:r>
      <w:r w:rsidRPr="002E6E16">
        <w:rPr>
          <w:rFonts w:cs="Times New Roman"/>
          <w:szCs w:val="24"/>
        </w:rPr>
        <w:instrText xml:space="preserve"> 1657 </w:instrText>
      </w:r>
      <w:r w:rsidRPr="002E6E16">
        <w:rPr>
          <w:rFonts w:cs="Times New Roman"/>
          <w:szCs w:val="24"/>
        </w:rPr>
        <w:instrText>个县中，有</w:instrText>
      </w:r>
      <w:r w:rsidRPr="002E6E16">
        <w:rPr>
          <w:rFonts w:cs="Times New Roman"/>
          <w:szCs w:val="24"/>
        </w:rPr>
        <w:instrText xml:space="preserve"> 1205 </w:instrText>
      </w:r>
      <w:r w:rsidRPr="002E6E16">
        <w:rPr>
          <w:rFonts w:cs="Times New Roman"/>
          <w:szCs w:val="24"/>
        </w:rPr>
        <w:instrText>个（</w:instrText>
      </w:r>
      <w:r w:rsidRPr="002E6E16">
        <w:rPr>
          <w:rFonts w:cs="Times New Roman"/>
          <w:szCs w:val="24"/>
        </w:rPr>
        <w:instrText>72.7%</w:instrText>
      </w:r>
      <w:r w:rsidRPr="002E6E16">
        <w:rPr>
          <w:rFonts w:cs="Times New Roman"/>
          <w:szCs w:val="24"/>
        </w:rPr>
        <w:instrText>）经历了与单个恶劣天气事件同时发生的</w:instrText>
      </w:r>
      <w:r w:rsidRPr="002E6E16">
        <w:rPr>
          <w:rFonts w:cs="Times New Roman"/>
          <w:szCs w:val="24"/>
        </w:rPr>
        <w:instrText xml:space="preserve"> 8 </w:instrText>
      </w:r>
      <w:r w:rsidRPr="002E6E16">
        <w:rPr>
          <w:rFonts w:cs="Times New Roman"/>
          <w:szCs w:val="24"/>
        </w:rPr>
        <w:instrText>小时以上停电，有</w:instrText>
      </w:r>
      <w:r w:rsidRPr="002E6E16">
        <w:rPr>
          <w:rFonts w:cs="Times New Roman"/>
          <w:szCs w:val="24"/>
        </w:rPr>
        <w:instrText xml:space="preserve"> 904 </w:instrText>
      </w:r>
      <w:r w:rsidRPr="002E6E16">
        <w:rPr>
          <w:rFonts w:cs="Times New Roman"/>
          <w:szCs w:val="24"/>
        </w:rPr>
        <w:instrText>个（</w:instrText>
      </w:r>
      <w:r w:rsidRPr="002E6E16">
        <w:rPr>
          <w:rFonts w:cs="Times New Roman"/>
          <w:szCs w:val="24"/>
        </w:rPr>
        <w:instrText>54.6%</w:instrText>
      </w:r>
      <w:r w:rsidRPr="002E6E16">
        <w:rPr>
          <w:rFonts w:cs="Times New Roman"/>
          <w:szCs w:val="24"/>
        </w:rPr>
        <w:instrText>）同时经历了多个恶劣天气事件。与停电同时发生的异常降水事件最为常见，影响到</w:instrText>
      </w:r>
      <w:r w:rsidRPr="002E6E16">
        <w:rPr>
          <w:rFonts w:cs="Times New Roman"/>
          <w:szCs w:val="24"/>
        </w:rPr>
        <w:instrText xml:space="preserve"> 1170 </w:instrText>
      </w:r>
      <w:r w:rsidRPr="002E6E16">
        <w:rPr>
          <w:rFonts w:cs="Times New Roman"/>
          <w:szCs w:val="24"/>
        </w:rPr>
        <w:instrText>个（</w:instrText>
      </w:r>
      <w:r w:rsidRPr="002E6E16">
        <w:rPr>
          <w:rFonts w:cs="Times New Roman"/>
          <w:szCs w:val="24"/>
        </w:rPr>
        <w:instrText>70.6%</w:instrText>
      </w:r>
      <w:r w:rsidRPr="002E6E16">
        <w:rPr>
          <w:rFonts w:cs="Times New Roman"/>
          <w:szCs w:val="24"/>
        </w:rPr>
        <w:instrText>）县。这些停电事件主要集中在墨西哥湾沿岸、东北部、密歇根州和南加州。与异常高温同时发生的次数位居第二，影响到</w:instrText>
      </w:r>
      <w:r w:rsidRPr="002E6E16">
        <w:rPr>
          <w:rFonts w:cs="Times New Roman"/>
          <w:szCs w:val="24"/>
        </w:rPr>
        <w:instrText xml:space="preserve"> 839 </w:instrText>
      </w:r>
      <w:r w:rsidRPr="002E6E16">
        <w:rPr>
          <w:rFonts w:cs="Times New Roman"/>
          <w:szCs w:val="24"/>
        </w:rPr>
        <w:instrText>个（</w:instrText>
      </w:r>
      <w:r w:rsidRPr="002E6E16">
        <w:rPr>
          <w:rFonts w:cs="Times New Roman"/>
          <w:szCs w:val="24"/>
        </w:rPr>
        <w:instrText>50.6%</w:instrText>
      </w:r>
      <w:r w:rsidRPr="002E6E16">
        <w:rPr>
          <w:rFonts w:cs="Times New Roman"/>
          <w:szCs w:val="24"/>
        </w:rPr>
        <w:instrText>）县，主要集中在东南部各州。在所有出现恶劣天气事件的县日中，热带气旋虽然较罕见，而且主要影响东部沿海地区，但有</w:instrText>
      </w:r>
      <w:r w:rsidRPr="002E6E16">
        <w:rPr>
          <w:rFonts w:cs="Times New Roman"/>
          <w:szCs w:val="24"/>
        </w:rPr>
        <w:instrText xml:space="preserve"> 24% </w:instrText>
      </w:r>
      <w:r w:rsidRPr="002E6E16">
        <w:rPr>
          <w:rFonts w:cs="Times New Roman"/>
          <w:szCs w:val="24"/>
        </w:rPr>
        <w:instrText>的时间出现了</w:instrText>
      </w:r>
      <w:r w:rsidRPr="002E6E16">
        <w:rPr>
          <w:rFonts w:cs="Times New Roman"/>
          <w:szCs w:val="24"/>
        </w:rPr>
        <w:instrText xml:space="preserve"> 8 </w:instrText>
      </w:r>
      <w:r w:rsidRPr="002E6E16">
        <w:rPr>
          <w:rFonts w:cs="Times New Roman"/>
          <w:szCs w:val="24"/>
        </w:rPr>
        <w:instrText>小时以上的停电。在西海岸，</w:instrText>
      </w:r>
      <w:r w:rsidRPr="002E6E16">
        <w:rPr>
          <w:rFonts w:cs="Times New Roman"/>
          <w:szCs w:val="24"/>
        </w:rPr>
        <w:instrText xml:space="preserve">2018-2020 </w:instrText>
      </w:r>
      <w:r w:rsidRPr="002E6E16">
        <w:rPr>
          <w:rFonts w:cs="Times New Roman"/>
          <w:szCs w:val="24"/>
        </w:rPr>
        <w:instrText>年期间，野火与天气相关停电事件同时发生的可能性越来越大。在多个同时发生的天气事件中，</w:instrText>
      </w:r>
      <w:r w:rsidRPr="002E6E16">
        <w:rPr>
          <w:rFonts w:cs="Times New Roman"/>
          <w:szCs w:val="24"/>
        </w:rPr>
        <w:instrText xml:space="preserve">8 </w:instrText>
      </w:r>
      <w:r w:rsidRPr="002E6E16">
        <w:rPr>
          <w:rFonts w:cs="Times New Roman"/>
          <w:szCs w:val="24"/>
        </w:rPr>
        <w:instrText>小时以上的停电与异常降水</w:instrText>
      </w:r>
      <w:r w:rsidRPr="002E6E16">
        <w:rPr>
          <w:rFonts w:cs="Times New Roman"/>
          <w:szCs w:val="24"/>
        </w:rPr>
        <w:instrText>-</w:instrText>
      </w:r>
      <w:r w:rsidRPr="002E6E16">
        <w:rPr>
          <w:rFonts w:cs="Times New Roman"/>
          <w:szCs w:val="24"/>
        </w:rPr>
        <w:instrText>异常高温同时发生的有</w:instrText>
      </w:r>
      <w:r w:rsidRPr="002E6E16">
        <w:rPr>
          <w:rFonts w:cs="Times New Roman"/>
          <w:szCs w:val="24"/>
        </w:rPr>
        <w:instrText xml:space="preserve"> 40 </w:instrText>
      </w:r>
      <w:r w:rsidRPr="002E6E16">
        <w:rPr>
          <w:rFonts w:cs="Times New Roman"/>
          <w:szCs w:val="24"/>
        </w:rPr>
        <w:instrText>个州的</w:instrText>
      </w:r>
      <w:r w:rsidRPr="002E6E16">
        <w:rPr>
          <w:rFonts w:cs="Times New Roman"/>
          <w:szCs w:val="24"/>
        </w:rPr>
        <w:instrText xml:space="preserve"> 1,155 </w:instrText>
      </w:r>
      <w:r w:rsidRPr="002E6E16">
        <w:rPr>
          <w:rFonts w:cs="Times New Roman"/>
          <w:szCs w:val="24"/>
        </w:rPr>
        <w:instrText>个县</w:instrText>
      </w:r>
      <w:r w:rsidRPr="002E6E16">
        <w:rPr>
          <w:rFonts w:cs="Times New Roman"/>
          <w:szCs w:val="24"/>
        </w:rPr>
        <w:instrText>-</w:instrText>
      </w:r>
      <w:r w:rsidRPr="002E6E16">
        <w:rPr>
          <w:rFonts w:cs="Times New Roman"/>
          <w:szCs w:val="24"/>
        </w:rPr>
        <w:instrText>日，与异常降水</w:instrText>
      </w:r>
      <w:r w:rsidRPr="002E6E16">
        <w:rPr>
          <w:rFonts w:cs="Times New Roman"/>
          <w:szCs w:val="24"/>
        </w:rPr>
        <w:instrText>-</w:instrText>
      </w:r>
      <w:r w:rsidRPr="002E6E16">
        <w:rPr>
          <w:rFonts w:cs="Times New Roman"/>
          <w:szCs w:val="24"/>
        </w:rPr>
        <w:instrText>热带气旋同时发生的有</w:instrText>
      </w:r>
      <w:r w:rsidRPr="002E6E16">
        <w:rPr>
          <w:rFonts w:cs="Times New Roman"/>
          <w:szCs w:val="24"/>
        </w:rPr>
        <w:instrText xml:space="preserve"> 24 </w:instrText>
      </w:r>
      <w:r w:rsidRPr="002E6E16">
        <w:rPr>
          <w:rFonts w:cs="Times New Roman"/>
          <w:szCs w:val="24"/>
        </w:rPr>
        <w:instrText>个州的</w:instrText>
      </w:r>
      <w:r w:rsidRPr="002E6E16">
        <w:rPr>
          <w:rFonts w:cs="Times New Roman"/>
          <w:szCs w:val="24"/>
        </w:rPr>
        <w:instrText xml:space="preserve"> 705 </w:instrText>
      </w:r>
      <w:r w:rsidRPr="002E6E16">
        <w:rPr>
          <w:rFonts w:cs="Times New Roman"/>
          <w:szCs w:val="24"/>
        </w:rPr>
        <w:instrText>个县</w:instrText>
      </w:r>
      <w:r w:rsidRPr="002E6E16">
        <w:rPr>
          <w:rFonts w:cs="Times New Roman"/>
          <w:szCs w:val="24"/>
        </w:rPr>
        <w:instrText>-</w:instrText>
      </w:r>
      <w:r w:rsidRPr="002E6E16">
        <w:rPr>
          <w:rFonts w:cs="Times New Roman"/>
          <w:szCs w:val="24"/>
        </w:rPr>
        <w:instrText>日，与异常寒冷</w:instrText>
      </w:r>
      <w:r w:rsidRPr="002E6E16">
        <w:rPr>
          <w:rFonts w:cs="Times New Roman"/>
          <w:szCs w:val="24"/>
        </w:rPr>
        <w:instrText>-</w:instrText>
      </w:r>
      <w:r w:rsidRPr="002E6E16">
        <w:rPr>
          <w:rFonts w:cs="Times New Roman"/>
          <w:szCs w:val="24"/>
        </w:rPr>
        <w:instrText>降雪同时发生的有</w:instrText>
      </w:r>
      <w:r w:rsidRPr="002E6E16">
        <w:rPr>
          <w:rFonts w:cs="Times New Roman"/>
          <w:szCs w:val="24"/>
        </w:rPr>
        <w:instrText xml:space="preserve"> 27 </w:instrText>
      </w:r>
      <w:r w:rsidRPr="002E6E16">
        <w:rPr>
          <w:rFonts w:cs="Times New Roman"/>
          <w:szCs w:val="24"/>
        </w:rPr>
        <w:instrText>个州的</w:instrText>
      </w:r>
      <w:r w:rsidRPr="002E6E16">
        <w:rPr>
          <w:rFonts w:cs="Times New Roman"/>
          <w:szCs w:val="24"/>
        </w:rPr>
        <w:instrText xml:space="preserve"> 259 </w:instrText>
      </w:r>
      <w:r w:rsidRPr="002E6E16">
        <w:rPr>
          <w:rFonts w:cs="Times New Roman"/>
          <w:szCs w:val="24"/>
        </w:rPr>
        <w:instrText>个县</w:instrText>
      </w:r>
      <w:r w:rsidRPr="002E6E16">
        <w:rPr>
          <w:rFonts w:cs="Times New Roman"/>
          <w:szCs w:val="24"/>
        </w:rPr>
        <w:instrText>-</w:instrText>
      </w:r>
      <w:r w:rsidRPr="002E6E16">
        <w:rPr>
          <w:rFonts w:cs="Times New Roman"/>
          <w:szCs w:val="24"/>
        </w:rPr>
        <w:instrText>日。我们的研究结果有助于指导加强电网建设、帮助社区做好应对多种灾害事件的准备，以及为适应和恢复分配资源。</w:instrText>
      </w:r>
      <w:r w:rsidRPr="002E6E16">
        <w:rPr>
          <w:rFonts w:cs="Times New Roman"/>
          <w:szCs w:val="24"/>
        </w:rPr>
        <w:instrText xml:space="preserve">","page":"e0000523","source":"DOI.org (Crossref)","title":"Spatiotemporal patterns of individual and multiple simultaneous severe weather events co-occurring with power outages in the United States, 2018–2020","volume":"4","author":[{"family":"Do","given":"Vivian"},{"family":"Wilner","given":"Lauren B."},{"family":"Flores","given":"Nina M."},{"family":"McBrien","given":"Heather"},{"family":"Northrop","given":"Alexander J."},{"family":"Casey","given":"Joan A."}],"editor":[{"family":"Benmarhnia","given":"Tarik"}],"issued":{"date-parts":[["2025",1,22]]}}}],"schema":"https://github.com/citation-style-language/schema/raw/master/csl-citation.json"} </w:instrText>
      </w:r>
      <w:r w:rsidRPr="002E6E16">
        <w:rPr>
          <w:rFonts w:cs="Times New Roman"/>
          <w:szCs w:val="24"/>
        </w:rPr>
        <w:fldChar w:fldCharType="separate"/>
      </w:r>
      <w:r w:rsidRPr="002E6E16">
        <w:rPr>
          <w:rFonts w:cs="Times New Roman"/>
          <w:noProof/>
          <w:szCs w:val="24"/>
        </w:rPr>
        <w:t>(Do et al., 2025)</w:t>
      </w:r>
      <w:r w:rsidRPr="002E6E16">
        <w:rPr>
          <w:rFonts w:cs="Times New Roman"/>
          <w:szCs w:val="24"/>
        </w:rPr>
        <w:fldChar w:fldCharType="end"/>
      </w:r>
      <w:r w:rsidRPr="002E6E16">
        <w:rPr>
          <w:rFonts w:cs="Times New Roman"/>
          <w:szCs w:val="24"/>
        </w:rPr>
        <w:t xml:space="preserve"> further characterized these co-occurrence patterns across 1,657 U.S. counties, showing that extreme precipitation was the most </w:t>
      </w:r>
      <w:r w:rsidRPr="002E6E16">
        <w:rPr>
          <w:rFonts w:cs="Times New Roman"/>
          <w:color w:val="000000" w:themeColor="text1"/>
          <w:szCs w:val="24"/>
          <w:lang w:val="en-GB"/>
        </w:rPr>
        <w:t xml:space="preserve">common weather type co-occurring with 8+ hour outages (affecting 70.6% of study counties), followed by extreme heat (50.6%), and that the conditional probability of an outage was highest during tropical cyclones (0.24) and lowest during periods of extreme cold (0.01). This pervasive co-occurrence of outages and severe weather means that individuals experiencing power loss are often simultaneously exposed to extreme temperatures, storms, or other climate stressors. </w:t>
      </w:r>
    </w:p>
    <w:p w14:paraId="19A2739B" w14:textId="77777777" w:rsid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themeColor="text1"/>
          <w:szCs w:val="24"/>
          <w:lang w:val="en-GB"/>
        </w:rPr>
      </w:pPr>
    </w:p>
    <w:p w14:paraId="0839AF18" w14:textId="77777777" w:rsid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4"/>
          <w:lang w:val="en-GB"/>
        </w:rPr>
      </w:pPr>
      <w:r>
        <w:rPr>
          <w:rFonts w:cs="Times New Roman"/>
          <w:szCs w:val="24"/>
          <w:lang w:val="en-GB"/>
        </w:rPr>
        <w:t xml:space="preserve">Climate-related hazards of various forms – such as hurricanes, floods, </w:t>
      </w:r>
      <w:r w:rsidRPr="00257F3C">
        <w:rPr>
          <w:rFonts w:cs="Times New Roman"/>
          <w:color w:val="000000" w:themeColor="text1"/>
          <w:szCs w:val="24"/>
          <w:lang w:val="en-GB"/>
        </w:rPr>
        <w:t xml:space="preserve">wildfires; subacute </w:t>
      </w:r>
      <w:r>
        <w:rPr>
          <w:rFonts w:cs="Times New Roman"/>
          <w:szCs w:val="24"/>
          <w:lang w:val="en-GB"/>
        </w:rPr>
        <w:t xml:space="preserve">stressors such as heatwaves and droughts; and long-lasting environmental changes such as rising temperatures and </w:t>
      </w:r>
      <w:r w:rsidRPr="00257F3C">
        <w:rPr>
          <w:rFonts w:cs="Times New Roman"/>
          <w:color w:val="000000" w:themeColor="text1"/>
          <w:szCs w:val="24"/>
          <w:lang w:val="en-GB"/>
        </w:rPr>
        <w:t>sea levels</w:t>
      </w:r>
      <w:r>
        <w:rPr>
          <w:rFonts w:cs="Times New Roman"/>
          <w:szCs w:val="24"/>
          <w:lang w:val="en-GB"/>
        </w:rPr>
        <w:t xml:space="preserve">- are linked to elevated risks of anxiety, depression, post-traumatic stress disorder, suicide, and other adverse psychological outcomes </w:t>
      </w:r>
      <w:r>
        <w:rPr>
          <w:rFonts w:cs="Times New Roman"/>
          <w:szCs w:val="24"/>
          <w:lang w:val="en-GB"/>
        </w:rPr>
        <w:fldChar w:fldCharType="begin"/>
      </w:r>
      <w:r>
        <w:rPr>
          <w:rFonts w:cs="Times New Roman"/>
          <w:szCs w:val="24"/>
          <w:lang w:val="en-GB"/>
        </w:rPr>
        <w:instrText xml:space="preserve"> ADDIN ZOTERO_ITEM CSL_CITATION {"citationID":"3ZwYOPnG","properties":{"unsorted":false,"formattedCitation":"(Bourque &amp; Cunsolo Willox, 2014; Clayton et al., 2015; Palinkas &amp; Wong, 2020)","plainCitation":"(Bourque &amp; Cunsolo Willox, 2014; Clayton et al., 2015; Palinkas &amp; Wong, 2020)","noteIndex":0},"citationItems":[{"id":4600,"uris":["http://zotero.org/users/12445093/items/SN6RJWJC"],"itemData":{"id":4600,"type":"article-journal","abstract":"Climate change is increasingly recognized as one of the greatest threats to human health of the 21st century, with consequences that mental health professionals are also likely to face. While physical health impacts have been increasingly emphasized in literature and practice, recent scholarly literature indicates that climate change and related weather events and environmental changes can profoundly impact psychological well-being and mental health through both direct and indirect pathways, particularly among those with pre-existing vulnerabilities or those living in ecologically sensitive areas. Although knowledge is still limited about the connections between climate change and mental health, evidence is indicating that impacts may be felt at both the individual and community levels, with mental health outcomes ranging from psychological distress, depression and anxiety, to increased addictions and suicide rates. Drawing on examples from diverse geographical areas, this article highlights some climate-sensitive impacts that may be encountered by mental health professionals. We then suggest potential avenues for public mental health in light of current and projected changes, in order to stimulate thought, debate, and action.","call-number":"3","container-title":"International Review of Psychiatry","DOI":"10.3109/09540261.2014.925851","ISSN":"0954-0261, 1369-1627","issue":"4","journalAbbreviation":"International Review of Psychiatry","language":"en","note":"TLDR: Drawing on examples from diverse geographical areas, this article highlights some climate-sensitive impact</w:instrText>
      </w:r>
      <w:r>
        <w:rPr>
          <w:rFonts w:cs="Times New Roman" w:hint="eastAsia"/>
          <w:szCs w:val="24"/>
          <w:lang w:val="en-GB"/>
        </w:rPr>
        <w:instrText xml:space="preserve">s that may be encountered by mental health professionals and suggests potential avenues for public mental health in light of current and projected changes, in order to stimulate thought, debate, and action.\ntitleTranslation: </w:instrText>
      </w:r>
      <w:r>
        <w:rPr>
          <w:rFonts w:cs="Times New Roman" w:hint="eastAsia"/>
          <w:szCs w:val="24"/>
          <w:lang w:val="en-GB"/>
        </w:rPr>
        <w:instrText>气候变化：公共心理健康的下一个挑战？</w:instrText>
      </w:r>
      <w:r>
        <w:rPr>
          <w:rFonts w:cs="Times New Roman" w:hint="eastAsia"/>
          <w:szCs w:val="24"/>
          <w:lang w:val="en-GB"/>
        </w:rPr>
        <w:instrText>\nabstractTranslation: [</w:instrText>
      </w:r>
      <w:r>
        <w:rPr>
          <w:rFonts w:cs="Times New Roman" w:hint="eastAsia"/>
          <w:szCs w:val="24"/>
          <w:lang w:val="en-GB"/>
        </w:rPr>
        <w:instrText>请求错误</w:instrText>
      </w:r>
      <w:r>
        <w:rPr>
          <w:rFonts w:cs="Times New Roman" w:hint="eastAsia"/>
          <w:szCs w:val="24"/>
          <w:lang w:val="en-GB"/>
        </w:rPr>
        <w:instrText>]\n</w:instrText>
      </w:r>
      <w:r>
        <w:rPr>
          <w:rFonts w:cs="Times New Roman" w:hint="eastAsia"/>
          <w:szCs w:val="24"/>
          <w:lang w:val="en-GB"/>
        </w:rPr>
        <w:instrText>此翻译服务不可用，可能是密钥错误，也可能是请求过快。</w:instrText>
      </w:r>
      <w:r>
        <w:rPr>
          <w:rFonts w:cs="Times New Roman" w:hint="eastAsia"/>
          <w:szCs w:val="24"/>
          <w:lang w:val="en-GB"/>
        </w:rPr>
        <w:instrText>\n</w:instrText>
      </w:r>
      <w:r>
        <w:rPr>
          <w:rFonts w:cs="Times New Roman" w:hint="eastAsia"/>
          <w:szCs w:val="24"/>
          <w:lang w:val="en-GB"/>
        </w:rPr>
        <w:instrText>可以尝试其他翻译服务，或者来此查看相关回答：</w:instrText>
      </w:r>
      <w:r>
        <w:rPr>
          <w:rFonts w:cs="Times New Roman" w:hint="eastAsia"/>
          <w:szCs w:val="24"/>
          <w:lang w:val="en-GB"/>
        </w:rPr>
        <w:instrText>\nhttps://zotero.yuque.com/staff-gkhviy/pdf-trans/age09f\n\n</w:instrText>
      </w:r>
      <w:r>
        <w:rPr>
          <w:rFonts w:cs="Times New Roman" w:hint="eastAsia"/>
          <w:szCs w:val="24"/>
          <w:lang w:val="en-GB"/>
        </w:rPr>
        <w:instrText>请注意，这些错误与</w:instrText>
      </w:r>
      <w:r>
        <w:rPr>
          <w:rFonts w:cs="Times New Roman" w:hint="eastAsia"/>
          <w:szCs w:val="24"/>
          <w:lang w:val="en-GB"/>
        </w:rPr>
        <w:instrText xml:space="preserve"> Zotero </w:instrText>
      </w:r>
      <w:r>
        <w:rPr>
          <w:rFonts w:cs="Times New Roman" w:hint="eastAsia"/>
          <w:szCs w:val="24"/>
          <w:lang w:val="en-GB"/>
        </w:rPr>
        <w:instrText>和本翻译插件无关，由该翻译服务引起：</w:instrText>
      </w:r>
      <w:r>
        <w:rPr>
          <w:rFonts w:cs="Times New Roman" w:hint="eastAsia"/>
          <w:szCs w:val="24"/>
          <w:lang w:val="en-GB"/>
        </w:rPr>
        <w:instrText xml:space="preserve"> DeepLX(API)\n\nError: HTTP POST https://api.deeplx.org/y-cS26zcyRdzQVtXTjNhBWk5TQOXCjem9H</w:instrText>
      </w:r>
      <w:r>
        <w:rPr>
          <w:rFonts w:cs="Times New Roman"/>
          <w:szCs w:val="24"/>
          <w:lang w:val="en-GB"/>
        </w:rPr>
        <w:instrText>Btsjut7EM/translate failed with status code 456","page":"415-422","source":"3.7","title":"Climate change: The next challenge for public mental health?","title-short":"Climate change","volume":"26","author":[{"family":"Bourque","given":"François"},{"family":"Cunsolo Willox","given":"Ashlee"}],"issued":{"date-parts":[["2014",8]]}}},{"id":4602,"uris":["http://zotero.org/users/12445093/items/QS3MLMX4"],"itemData":{"id":4602,"type":"article-journal","call-number":"1","container-title":"Nature Climate Change","</w:instrText>
      </w:r>
      <w:r>
        <w:rPr>
          <w:rFonts w:cs="Times New Roman" w:hint="eastAsia"/>
          <w:szCs w:val="24"/>
          <w:lang w:val="en-GB"/>
        </w:rPr>
        <w:instrText xml:space="preserve">DOI":"10.1038/nclimate2622","ISSN":"1758-678X, 1758-6798","issue":"7","journalAbbreviation":"Nature Clim Change","language":"en","note":"titleTranslation: </w:instrText>
      </w:r>
      <w:r>
        <w:rPr>
          <w:rFonts w:cs="Times New Roman" w:hint="eastAsia"/>
          <w:szCs w:val="24"/>
          <w:lang w:val="en-GB"/>
        </w:rPr>
        <w:instrText>心理学研究与全球气候变化</w:instrText>
      </w:r>
      <w:r>
        <w:rPr>
          <w:rFonts w:cs="Times New Roman" w:hint="eastAsia"/>
          <w:szCs w:val="24"/>
          <w:lang w:val="en-GB"/>
        </w:rPr>
        <w:instrText>","page":"640-646","source":"29.6","title":"Psychological research and global climate ch</w:instrText>
      </w:r>
      <w:r>
        <w:rPr>
          <w:rFonts w:cs="Times New Roman"/>
          <w:szCs w:val="24"/>
          <w:lang w:val="en-GB"/>
        </w:rPr>
        <w:instrText>ange","volume":"5","author":[{"family":"Clayton","given":"Susan"},{"family":"Devine-Wright","given":"Patrick"},{"family":"Stern","given":"Paul C."},{"family":"Whitmarsh","given":"Lorraine"},{"family":"Carrico","given":"Amanda"},{"family":"Steg","given":"Linda"},{"family":"Swim","given":"Janet"},{"family":"Bonnes","given":"Mirilia"}],"issued":{"date-parts":[["2015",7]]}}},{"id":4598,"uris":["http://zotero.org/users/12445093/items/T7HBUK8S"],"itemData":{"id":4598,"type":"article-journal","call-number":"2","container-title":"Current Opinion in Psychology","DOI":"10.1016/j.copsyc.2019.06.023","ISSN":"2352250X","journalAbbreviation":"Current Opinion in Psychology","language":"en","license":"https://www.elsevier.com/tdm/userlicense/1.0/","note":"TLDR: This review examines mental health impacts of three types of climate-related events: acute events such as hurricanes, floods, and wildfires; subacute or long-term changes such as drought and heat stress; and the existential threat of long-lasting changes, includin</w:instrText>
      </w:r>
      <w:r>
        <w:rPr>
          <w:rFonts w:cs="Times New Roman" w:hint="eastAsia"/>
          <w:szCs w:val="24"/>
          <w:lang w:val="en-GB"/>
        </w:rPr>
        <w:instrText xml:space="preserve">g higher temperatures, rising sea levels and a permanently altered and potentially uninhabitable physical environment.\ntitleTranslation: </w:instrText>
      </w:r>
      <w:r>
        <w:rPr>
          <w:rFonts w:cs="Times New Roman" w:hint="eastAsia"/>
          <w:szCs w:val="24"/>
          <w:lang w:val="en-GB"/>
        </w:rPr>
        <w:instrText>全球气候变化与心理健康</w:instrText>
      </w:r>
      <w:r>
        <w:rPr>
          <w:rFonts w:cs="Times New Roman" w:hint="eastAsia"/>
          <w:szCs w:val="24"/>
          <w:lang w:val="en-GB"/>
        </w:rPr>
        <w:instrText>","page":"12-16","source":"6.3","title":"Global climate change and mental health","volume":"32","author":[</w:instrText>
      </w:r>
      <w:r>
        <w:rPr>
          <w:rFonts w:cs="Times New Roman"/>
          <w:szCs w:val="24"/>
          <w:lang w:val="en-GB"/>
        </w:rPr>
        <w:instrText xml:space="preserve">{"family":"Palinkas","given":"Lawrence A"},{"family":"Wong","given":"Marleen"}],"issued":{"date-parts":[["2020",4]]}}}],"schema":"https://github.com/citation-style-language/schema/raw/master/csl-citation.json"} </w:instrText>
      </w:r>
      <w:r>
        <w:rPr>
          <w:rFonts w:cs="Times New Roman"/>
          <w:szCs w:val="24"/>
          <w:lang w:val="en-GB"/>
        </w:rPr>
        <w:fldChar w:fldCharType="separate"/>
      </w:r>
      <w:r>
        <w:rPr>
          <w:rFonts w:cs="Times New Roman"/>
          <w:noProof/>
          <w:szCs w:val="24"/>
          <w:lang w:val="en-GB"/>
        </w:rPr>
        <w:t>(Bourque &amp; Cunsolo Willox, 2014; Clayton et al., 2015; Palinkas &amp; Wong, 2020)</w:t>
      </w:r>
      <w:r>
        <w:rPr>
          <w:rFonts w:cs="Times New Roman"/>
          <w:szCs w:val="24"/>
          <w:lang w:val="en-GB"/>
        </w:rPr>
        <w:fldChar w:fldCharType="end"/>
      </w:r>
      <w:r>
        <w:rPr>
          <w:rFonts w:cs="Times New Roman"/>
          <w:szCs w:val="24"/>
          <w:lang w:val="en-GB"/>
        </w:rPr>
        <w:t xml:space="preserve">. </w:t>
      </w:r>
      <w:r>
        <w:rPr>
          <w:rFonts w:cs="Times New Roman"/>
          <w:szCs w:val="24"/>
        </w:rPr>
        <w:t xml:space="preserve">Extreme weather and power outages are related but distinct stressors that affect health through different pathways. Extreme </w:t>
      </w:r>
      <w:r w:rsidRPr="00257F3C">
        <w:rPr>
          <w:rFonts w:cs="Times New Roman"/>
          <w:color w:val="000000" w:themeColor="text1"/>
          <w:szCs w:val="24"/>
        </w:rPr>
        <w:t>weather—especially high temperatures—can</w:t>
      </w:r>
      <w:r>
        <w:rPr>
          <w:rFonts w:cs="Times New Roman"/>
          <w:szCs w:val="24"/>
        </w:rPr>
        <w:t xml:space="preserve"> directly worsen mental health </w:t>
      </w:r>
      <w:r>
        <w:rPr>
          <w:rFonts w:cs="Times New Roman"/>
          <w:color w:val="000000"/>
          <w:szCs w:val="24"/>
          <w:lang w:val="en-GB"/>
        </w:rPr>
        <w:t xml:space="preserve">through physiological and behavioural channels, including thermoregulatory stress, sleep disruption, irritability, and cognitive impairment </w:t>
      </w:r>
      <w:r>
        <w:rPr>
          <w:rFonts w:cs="Times New Roman"/>
          <w:color w:val="000000"/>
          <w:szCs w:val="24"/>
          <w:lang w:val="en-GB"/>
        </w:rPr>
        <w:fldChar w:fldCharType="begin"/>
      </w:r>
      <w:r>
        <w:rPr>
          <w:rFonts w:cs="Times New Roman"/>
          <w:color w:val="000000"/>
          <w:szCs w:val="24"/>
          <w:lang w:val="en-GB"/>
        </w:rPr>
        <w:instrText xml:space="preserve"> ADDIN ZOTERO_ITEM CSL_CITATION {"citationID":"3RoIgYDt","properties":{"unsorted":false,"formattedCitation":"(Baecker et al., 2025; Basu et al., 2018; Li et al., 2023; Rony &amp; Alamgir, 2023)","plainCitation":"(Baecker et al., 2025; Basu et al., 2018; Li et al., 2023; Rony &amp; Alamgir, 2023)","noteIndex":0},"citationItems":[{"id":5587,"uris":["http://zotero.org/users/12445093/items/4ZZDBXDY"],"itemData":{"id":5587,"type":"article-journal","abstract":"Introduction: We are living on an increasingly hot planet, with negative impacts for the mental health of affected individuals and communities. A better understanding of the physiological, psychological, behavioral, and social mechanisms which underlie these impacts could inform the development of effective interventions. Here, we conducted a mixed-method study combining a systematic review and qualitative investigation to explore these mechanisms.\nMethods: Adhering to the PRISMA guidelines, we searched PubMed for publications related to extreme heat, mental health, and mechanisms. Peer-reviewed studies reporting original data on mechanisms explaining the impact of extreme heat on mental health were included. In addition, we conducted six focus groups on extreme heat and mental health with a total of 33 participants (n = 21 people with lived experience, n = 12 healthcare professionals). Transcripts were analyzed using thematic content analysis.\nResults: Out of 241 articles identiﬁed by the literature search, four studies were eligible for inclusion. These provided limited evidence for activation of the hypothalamic-pituitary-adrenal axis, increased psychological stress, reduced exercise, and sleep disruption. The analysis of the focus groups expanded these ﬁndings by highlighting additional themes related to physical (e.g., fatigue), psychological (e.g., health anxiety), behavioral (e.g., reduced access to usual coping strategies), and social mechanisms (e.g., social isolation).\nConclusion: There is a dearth of reliable data on the mechanisms underpinning the impacts of extreme heat on mental health. Our mixed-method approach identiﬁed a range of promising physiological, psychological, behavioral, and social mechanisms, and highlights the importance of including people with lived experience in the conversation</w:instrText>
      </w:r>
      <w:r>
        <w:rPr>
          <w:rFonts w:cs="Times New Roman" w:hint="eastAsia"/>
          <w:color w:val="000000"/>
          <w:szCs w:val="24"/>
          <w:lang w:val="en-GB"/>
        </w:rPr>
        <w:instrText>.","container-title":"The Journal of Climate Change and Health","DOI":"10.1016/j.joclim.2025.100446","ISSN":"26672782","journalAbbreviation":"The Journal of Climate Change and Health","language":"en","note":"</w:instrText>
      </w:r>
      <w:r>
        <w:rPr>
          <w:rFonts w:cs="Times New Roman" w:hint="eastAsia"/>
          <w:color w:val="000000"/>
          <w:szCs w:val="24"/>
          <w:lang w:val="en-GB"/>
        </w:rPr>
        <w:instrText>此翻译服务不可用，可能是密钥错误，也可能是请求过快。</w:instrText>
      </w:r>
      <w:r>
        <w:rPr>
          <w:rFonts w:cs="Times New Roman" w:hint="eastAsia"/>
          <w:color w:val="000000"/>
          <w:szCs w:val="24"/>
          <w:lang w:val="en-GB"/>
        </w:rPr>
        <w:instrText>\n</w:instrText>
      </w:r>
      <w:r>
        <w:rPr>
          <w:rFonts w:cs="Times New Roman" w:hint="eastAsia"/>
          <w:color w:val="000000"/>
          <w:szCs w:val="24"/>
          <w:lang w:val="en-GB"/>
        </w:rPr>
        <w:instrText>可以尝试其他翻译服务，或者来此查看相关回答：</w:instrText>
      </w:r>
      <w:r>
        <w:rPr>
          <w:rFonts w:cs="Times New Roman" w:hint="eastAsia"/>
          <w:color w:val="000000"/>
          <w:szCs w:val="24"/>
          <w:lang w:val="en-GB"/>
        </w:rPr>
        <w:instrText>\nhttps://zotero.yuque.com/staff-gkhviy/pdf-trans/age09f\n\n</w:instrText>
      </w:r>
      <w:r>
        <w:rPr>
          <w:rFonts w:cs="Times New Roman" w:hint="eastAsia"/>
          <w:color w:val="000000"/>
          <w:szCs w:val="24"/>
          <w:lang w:val="en-GB"/>
        </w:rPr>
        <w:instrText>请注意，这些错误与</w:instrText>
      </w:r>
      <w:r>
        <w:rPr>
          <w:rFonts w:cs="Times New Roman" w:hint="eastAsia"/>
          <w:color w:val="000000"/>
          <w:szCs w:val="24"/>
          <w:lang w:val="en-GB"/>
        </w:rPr>
        <w:instrText xml:space="preserve"> Zotero </w:instrText>
      </w:r>
      <w:r>
        <w:rPr>
          <w:rFonts w:cs="Times New Roman" w:hint="eastAsia"/>
          <w:color w:val="000000"/>
          <w:szCs w:val="24"/>
          <w:lang w:val="en-GB"/>
        </w:rPr>
        <w:instrText>和本翻译插件无关，由该翻译服务引起：</w:instrText>
      </w:r>
      <w:r>
        <w:rPr>
          <w:rFonts w:cs="Times New Roman" w:hint="eastAsia"/>
          <w:color w:val="000000"/>
          <w:szCs w:val="24"/>
          <w:lang w:val="en-GB"/>
        </w:rPr>
        <w:instrText xml:space="preserve"> DeepLX(API)\n\ntitleTranslation: [</w:instrText>
      </w:r>
      <w:r>
        <w:rPr>
          <w:rFonts w:cs="Times New Roman" w:hint="eastAsia"/>
          <w:color w:val="000000"/>
          <w:szCs w:val="24"/>
          <w:lang w:val="en-GB"/>
        </w:rPr>
        <w:instrText>请求错误</w:instrText>
      </w:r>
      <w:r>
        <w:rPr>
          <w:rFonts w:cs="Times New Roman" w:hint="eastAsia"/>
          <w:color w:val="000000"/>
          <w:szCs w:val="24"/>
          <w:lang w:val="en-GB"/>
        </w:rPr>
        <w:instrText>]\nError: HTTP POST https://api.deeplx.org/y-cS26zcyRdzQVtXTjNhBWk5TQOXCjem9HBtsjut7EM/translate failed with status code 401\nabstractTranslation: [</w:instrText>
      </w:r>
      <w:r>
        <w:rPr>
          <w:rFonts w:cs="Times New Roman" w:hint="eastAsia"/>
          <w:color w:val="000000"/>
          <w:szCs w:val="24"/>
          <w:lang w:val="en-GB"/>
        </w:rPr>
        <w:instrText>请求错误</w:instrText>
      </w:r>
      <w:r>
        <w:rPr>
          <w:rFonts w:cs="Times New Roman" w:hint="eastAsia"/>
          <w:color w:val="000000"/>
          <w:szCs w:val="24"/>
          <w:lang w:val="en-GB"/>
        </w:rPr>
        <w:instrText>]\n</w:instrText>
      </w:r>
      <w:r>
        <w:rPr>
          <w:rFonts w:cs="Times New Roman" w:hint="eastAsia"/>
          <w:color w:val="000000"/>
          <w:szCs w:val="24"/>
          <w:lang w:val="en-GB"/>
        </w:rPr>
        <w:instrText>此翻译服务不可用，可能是密钥错误，也可能是请求过快。</w:instrText>
      </w:r>
      <w:r>
        <w:rPr>
          <w:rFonts w:cs="Times New Roman" w:hint="eastAsia"/>
          <w:color w:val="000000"/>
          <w:szCs w:val="24"/>
          <w:lang w:val="en-GB"/>
        </w:rPr>
        <w:instrText>\n</w:instrText>
      </w:r>
      <w:r>
        <w:rPr>
          <w:rFonts w:cs="Times New Roman" w:hint="eastAsia"/>
          <w:color w:val="000000"/>
          <w:szCs w:val="24"/>
          <w:lang w:val="en-GB"/>
        </w:rPr>
        <w:instrText>可以尝试其他翻译服务，或者来此查看相关回答：</w:instrText>
      </w:r>
      <w:r>
        <w:rPr>
          <w:rFonts w:cs="Times New Roman" w:hint="eastAsia"/>
          <w:color w:val="000000"/>
          <w:szCs w:val="24"/>
          <w:lang w:val="en-GB"/>
        </w:rPr>
        <w:instrText>\nhttps://zotero.yuque.com/staff-gkhviy/pdf-trans/age09f\n\n</w:instrText>
      </w:r>
      <w:r>
        <w:rPr>
          <w:rFonts w:cs="Times New Roman" w:hint="eastAsia"/>
          <w:color w:val="000000"/>
          <w:szCs w:val="24"/>
          <w:lang w:val="en-GB"/>
        </w:rPr>
        <w:instrText>请注意，这些错误与</w:instrText>
      </w:r>
      <w:r>
        <w:rPr>
          <w:rFonts w:cs="Times New Roman" w:hint="eastAsia"/>
          <w:color w:val="000000"/>
          <w:szCs w:val="24"/>
          <w:lang w:val="en-GB"/>
        </w:rPr>
        <w:instrText xml:space="preserve"> Zotero </w:instrText>
      </w:r>
      <w:r>
        <w:rPr>
          <w:rFonts w:cs="Times New Roman" w:hint="eastAsia"/>
          <w:color w:val="000000"/>
          <w:szCs w:val="24"/>
          <w:lang w:val="en-GB"/>
        </w:rPr>
        <w:instrText>和本翻译插件无关，由该翻译服务引起：</w:instrText>
      </w:r>
      <w:r>
        <w:rPr>
          <w:rFonts w:cs="Times New Roman" w:hint="eastAsia"/>
          <w:color w:val="000000"/>
          <w:szCs w:val="24"/>
          <w:lang w:val="en-GB"/>
        </w:rPr>
        <w:instrText xml:space="preserve"> DeepLX(API)\n\nError: HTTP POST https://api.deeplx.org/y-cS26zcyRdzQVtXT</w:instrText>
      </w:r>
      <w:r>
        <w:rPr>
          <w:rFonts w:cs="Times New Roman"/>
          <w:color w:val="000000"/>
          <w:szCs w:val="24"/>
          <w:lang w:val="en-GB"/>
        </w:rPr>
        <w:instrText>jNhBWk5TQOXCjem9HBtsjut7EM/translate failed with status code 401","page":"100446","source":"DOI.org (Crossref)","title":"Impacts of extreme heat on mental health: Systematic review and qualitative investigation of the underpinning mechanisms","title-short":"Impacts of extreme heat on mental health","volume":"22","author":[{"family":"Baecker","given":"Lea"},{"family":"Iyengar","given":"Udita"},{"family":"Del Piccolo","given":"Maria Chiara"},{"family":"Mechelli","given":"Andrea"}],"issued":{"date-parts":[["2025",3]]}}},{"id":4641,"uris":["http://zotero.org/users/12445093/items/XN3WF9JX"],"itemData":{"id":4641,"type":"article-journal","call-number":"2","container-title":"American Journal of Epidemiology","DOI":"10.1093/aje/kwx295","ISSN":"0002-9262, 1476-6256","issue":"4","language":"en","license":"https://academic.oup.com/journals/pages/about_us/legal/notices","note":"TLDR: Increasing mean apparent temperature was found to have acute associations with mental health outcomes and intentional injuries, and the</w:instrText>
      </w:r>
      <w:r>
        <w:rPr>
          <w:rFonts w:cs="Times New Roman" w:hint="eastAsia"/>
          <w:color w:val="000000"/>
          <w:szCs w:val="24"/>
          <w:lang w:val="en-GB"/>
        </w:rPr>
        <w:instrText xml:space="preserve">se findings warrant further study in other locations.\ntitleTranslation: </w:instrText>
      </w:r>
      <w:r>
        <w:rPr>
          <w:rFonts w:cs="Times New Roman" w:hint="eastAsia"/>
          <w:color w:val="000000"/>
          <w:szCs w:val="24"/>
          <w:lang w:val="en-GB"/>
        </w:rPr>
        <w:instrText>研究加利福尼亚州表面温度与精神健康相关急诊室就诊人数之间的关系</w:instrText>
      </w:r>
      <w:r>
        <w:rPr>
          <w:rFonts w:cs="Times New Roman" w:hint="eastAsia"/>
          <w:color w:val="000000"/>
          <w:szCs w:val="24"/>
          <w:lang w:val="en-GB"/>
        </w:rPr>
        <w:instrText>","page":"726-735","source":"5","title":"Examining the Association Between Apparent Temperature and Mental Health-Related Emergency Room Visits in Cali</w:instrText>
      </w:r>
      <w:r>
        <w:rPr>
          <w:rFonts w:cs="Times New Roman"/>
          <w:color w:val="000000"/>
          <w:szCs w:val="24"/>
          <w:lang w:val="en-GB"/>
        </w:rPr>
        <w:instrText>fornia","volume":"187","author":[{"family":"Basu","given":"Rupa"},{"family":"Gavin","given":"Lyndsay"},{"family":"Pearson","given":"Dharshani"},{"family":"Ebisu","given":"Keita"},{"family":"Malig","given":"Brian"}],"issued":{"date-parts":[["2018",4,1]]}}},{"id":5240,"uris":["http://zotero.org/users/12445093/items/W3KBATKZ"],"itemData":{"id":5240,"type":"article-journal","container-title":"Science of The Total Environment","DOI":"10.1016/j.scitotenv.2023.164435","ISSN":"00489697","journalAbbreviation":"Sci</w:instrText>
      </w:r>
      <w:r>
        <w:rPr>
          <w:rFonts w:cs="Times New Roman" w:hint="eastAsia"/>
          <w:color w:val="000000"/>
          <w:szCs w:val="24"/>
          <w:lang w:val="en-GB"/>
        </w:rPr>
        <w:instrText>ence of The Total Environment","language":"en","note":"</w:instrText>
      </w:r>
      <w:r>
        <w:rPr>
          <w:rFonts w:cs="Times New Roman" w:hint="eastAsia"/>
          <w:color w:val="000000"/>
          <w:szCs w:val="24"/>
          <w:lang w:val="en-GB"/>
        </w:rPr>
        <w:instrText>此翻译服务不可用，可能是密钥错误，也可能是请求过快。</w:instrText>
      </w:r>
      <w:r>
        <w:rPr>
          <w:rFonts w:cs="Times New Roman" w:hint="eastAsia"/>
          <w:color w:val="000000"/>
          <w:szCs w:val="24"/>
          <w:lang w:val="en-GB"/>
        </w:rPr>
        <w:instrText>\n</w:instrText>
      </w:r>
      <w:r>
        <w:rPr>
          <w:rFonts w:cs="Times New Roman" w:hint="eastAsia"/>
          <w:color w:val="000000"/>
          <w:szCs w:val="24"/>
          <w:lang w:val="en-GB"/>
        </w:rPr>
        <w:instrText>可以尝试其他翻译服务，或者来此查看相关回答：</w:instrText>
      </w:r>
      <w:r>
        <w:rPr>
          <w:rFonts w:cs="Times New Roman" w:hint="eastAsia"/>
          <w:color w:val="000000"/>
          <w:szCs w:val="24"/>
          <w:lang w:val="en-GB"/>
        </w:rPr>
        <w:instrText>\nhttps://zotero.yuque.com/staff-gkhviy/pdf-trans/age09f\n\n</w:instrText>
      </w:r>
      <w:r>
        <w:rPr>
          <w:rFonts w:cs="Times New Roman" w:hint="eastAsia"/>
          <w:color w:val="000000"/>
          <w:szCs w:val="24"/>
          <w:lang w:val="en-GB"/>
        </w:rPr>
        <w:instrText>请注意，这些错误与</w:instrText>
      </w:r>
      <w:r>
        <w:rPr>
          <w:rFonts w:cs="Times New Roman" w:hint="eastAsia"/>
          <w:color w:val="000000"/>
          <w:szCs w:val="24"/>
          <w:lang w:val="en-GB"/>
        </w:rPr>
        <w:instrText xml:space="preserve"> Zotero </w:instrText>
      </w:r>
      <w:r>
        <w:rPr>
          <w:rFonts w:cs="Times New Roman" w:hint="eastAsia"/>
          <w:color w:val="000000"/>
          <w:szCs w:val="24"/>
          <w:lang w:val="en-GB"/>
        </w:rPr>
        <w:instrText>和本翻译插件无关，由该翻译服务引起：</w:instrText>
      </w:r>
      <w:r>
        <w:rPr>
          <w:rFonts w:cs="Times New Roman" w:hint="eastAsia"/>
          <w:color w:val="000000"/>
          <w:szCs w:val="24"/>
          <w:lang w:val="en-GB"/>
        </w:rPr>
        <w:instrText xml:space="preserve"> DeepLX(API)\n\ntitleTranslation: [</w:instrText>
      </w:r>
      <w:r>
        <w:rPr>
          <w:rFonts w:cs="Times New Roman" w:hint="eastAsia"/>
          <w:color w:val="000000"/>
          <w:szCs w:val="24"/>
          <w:lang w:val="en-GB"/>
        </w:rPr>
        <w:instrText>请求错误</w:instrText>
      </w:r>
      <w:r>
        <w:rPr>
          <w:rFonts w:cs="Times New Roman" w:hint="eastAsia"/>
          <w:color w:val="000000"/>
          <w:szCs w:val="24"/>
          <w:lang w:val="en-GB"/>
        </w:rPr>
        <w:instrText>]\nError: HTTP P</w:instrText>
      </w:r>
      <w:r>
        <w:rPr>
          <w:rFonts w:cs="Times New Roman"/>
          <w:color w:val="000000"/>
          <w:szCs w:val="24"/>
          <w:lang w:val="en-GB"/>
        </w:rPr>
        <w:instrText>OST https://api.deeplx.org/y-cS26zcyRdzQVtXTjNhBWk5TQOXCjem9HBtsjut7EM/translate failed with status code 401\nTLDR: A systematic review and meta-analysis of the evidence of associations between climatic exposure and combined mental and behavioral health conditions and specific mental disorders identified an association between increases in a thermal index and elevated risk of MBD.","page":"164435","source":"DOI.org (Crossref)","title":"Climatic and meteorological exposure and mental and behavioral health: A systematic review and meta-analysis","title-short":"Climatic and meteorological exposure and mental and behavioral health","volume":"892","author":[{"family":"Li","given":"Dongying"},{"family":"Zhang","given":"Yue"},{"family":"Li","given":"Xiaoyu"},{"family":"Zhang","given":"Kai"},{"family":"Lu","given":"Yi"},{"family":"Brown","given":"Robert D."}],"issued":{"date-parts":[["2023",9]]}}},{"id":4689,"uris":["http://zotero.org/users/12445093/items/AQD3D3IY"],"itemData":{"id":4689,"type":"article-journal","abstract":"Background and Aims: The influence of temperature on various aspects of daily life is often underestimated, and its effects on mental health are not widely recognized. Understanding and addressing the relationship between temperature and menta</w:instrText>
      </w:r>
      <w:r>
        <w:rPr>
          <w:rFonts w:cs="Times New Roman" w:hint="eastAsia"/>
          <w:color w:val="000000"/>
          <w:szCs w:val="24"/>
          <w:lang w:val="en-GB"/>
        </w:rPr>
        <w:instrText>l well</w:instrText>
      </w:r>
      <w:r>
        <w:rPr>
          <w:rFonts w:cs="Times New Roman" w:hint="eastAsia"/>
          <w:color w:val="000000"/>
          <w:szCs w:val="24"/>
          <w:lang w:val="en-GB"/>
        </w:rPr>
        <w:instrText>‐</w:instrText>
      </w:r>
      <w:r>
        <w:rPr>
          <w:rFonts w:cs="Times New Roman" w:hint="eastAsia"/>
          <w:color w:val="000000"/>
          <w:szCs w:val="24"/>
          <w:lang w:val="en-GB"/>
        </w:rPr>
        <w:instrText>being is crucial in the context of climate change and rising global temperatures. This perspective aimed to investigate the effects of high temperatures on mental health and identify proactive strategies to mitigate these effects.\nMethods: This perspective adopted a twofold approach, including a comprehensive literature review and socioecological framework. The literature review involved extensive searches across Google Scholar, PubMed, and Scopus to identify relevant, peer</w:instrText>
      </w:r>
      <w:r>
        <w:rPr>
          <w:rFonts w:cs="Times New Roman" w:hint="eastAsia"/>
          <w:color w:val="000000"/>
          <w:szCs w:val="24"/>
          <w:lang w:val="en-GB"/>
        </w:rPr>
        <w:instrText>‐</w:instrText>
      </w:r>
      <w:r>
        <w:rPr>
          <w:rFonts w:cs="Times New Roman" w:hint="eastAsia"/>
          <w:color w:val="000000"/>
          <w:szCs w:val="24"/>
          <w:lang w:val="en-GB"/>
        </w:rPr>
        <w:instrText>reviewed articles, and reports from diverse disciplines.\nResults: The perspective emphasized the significance of recognizing heat stress and its consequences on mental well</w:instrText>
      </w:r>
      <w:r>
        <w:rPr>
          <w:rFonts w:cs="Times New Roman" w:hint="eastAsia"/>
          <w:color w:val="000000"/>
          <w:szCs w:val="24"/>
          <w:lang w:val="en-GB"/>
        </w:rPr>
        <w:instrText>‐</w:instrText>
      </w:r>
      <w:r>
        <w:rPr>
          <w:rFonts w:cs="Times New Roman" w:hint="eastAsia"/>
          <w:color w:val="000000"/>
          <w:szCs w:val="24"/>
          <w:lang w:val="en-GB"/>
        </w:rPr>
        <w:instrText>being. Chronic heat stress can lead to increased stress, anxiety, and cognitive impairment. Vulnerable populations include, the very young, older adults, and individuals with pre</w:instrText>
      </w:r>
      <w:r>
        <w:rPr>
          <w:rFonts w:cs="Times New Roman" w:hint="eastAsia"/>
          <w:color w:val="000000"/>
          <w:szCs w:val="24"/>
          <w:lang w:val="en-GB"/>
        </w:rPr>
        <w:instrText>‐</w:instrText>
      </w:r>
      <w:r>
        <w:rPr>
          <w:rFonts w:cs="Times New Roman" w:hint="eastAsia"/>
          <w:color w:val="000000"/>
          <w:szCs w:val="24"/>
          <w:lang w:val="en-GB"/>
        </w:rPr>
        <w:instrText>existing mental health conditions. Socioeconomic factors can further exacerbate vulnerability, highlighting the need for tailored strategies to manage mental health challenges duri</w:instrText>
      </w:r>
      <w:r>
        <w:rPr>
          <w:rFonts w:cs="Times New Roman"/>
          <w:color w:val="000000"/>
          <w:szCs w:val="24"/>
          <w:lang w:val="en-GB"/>
        </w:rPr>
        <w:instrText xml:space="preserve">ng high temperatures. Additionally, the article identified and discussed proactive coping strategies to minimize both the psychological and physical impacts of heat stress. Mindfulness, stress management techniques, and therapy are suggested as effective means for individuals to manage psychological distress.\nConclusion: Implementing preventive measures are essential steps in promoting mental wellness in high temperatures. Proactive strategies by addressing the physiological and psychological effects of </w:instrText>
      </w:r>
      <w:r>
        <w:rPr>
          <w:rFonts w:cs="Times New Roman" w:hint="eastAsia"/>
          <w:color w:val="000000"/>
          <w:szCs w:val="24"/>
          <w:lang w:val="en-GB"/>
        </w:rPr>
        <w:instrText>heat and considering the specific needs of vulnerable populations can help individuals and communities navigate the challenges posed by rising temperatures and promote resilience and preserve their mental well</w:instrText>
      </w:r>
      <w:r>
        <w:rPr>
          <w:rFonts w:cs="Times New Roman" w:hint="eastAsia"/>
          <w:color w:val="000000"/>
          <w:szCs w:val="24"/>
          <w:lang w:val="en-GB"/>
        </w:rPr>
        <w:instrText>‐</w:instrText>
      </w:r>
      <w:r>
        <w:rPr>
          <w:rFonts w:cs="Times New Roman" w:hint="eastAsia"/>
          <w:color w:val="000000"/>
          <w:szCs w:val="24"/>
          <w:lang w:val="en-GB"/>
        </w:rPr>
        <w:instrText>being.","call-number":"4","container-title":"</w:instrText>
      </w:r>
      <w:r>
        <w:rPr>
          <w:rFonts w:cs="Times New Roman"/>
          <w:color w:val="000000"/>
          <w:szCs w:val="24"/>
          <w:lang w:val="en-GB"/>
        </w:rPr>
        <w:instrText>Health Science Reports","DOI":"10.1002/hsr2.1729","ISSN":"2398-8835, 2398-8835","issue":"12","journalAbbreviation":"Health Science Reports","language":"en","note":"TLDR: The effects of high temperatures on mental health and proactive strategies to mitigat</w:instrText>
      </w:r>
      <w:r>
        <w:rPr>
          <w:rFonts w:cs="Times New Roman" w:hint="eastAsia"/>
          <w:color w:val="000000"/>
          <w:szCs w:val="24"/>
          <w:lang w:val="en-GB"/>
        </w:rPr>
        <w:instrText xml:space="preserve">e these effects are investigated to identify proactive strategies to mitigate these effects.\ntitleTranslation: </w:instrText>
      </w:r>
      <w:r>
        <w:rPr>
          <w:rFonts w:cs="Times New Roman" w:hint="eastAsia"/>
          <w:color w:val="000000"/>
          <w:szCs w:val="24"/>
          <w:lang w:val="en-GB"/>
        </w:rPr>
        <w:instrText>高温对心理健康的影响：认识高温与心理健康的关联以及采取积极策略的必要性</w:instrText>
      </w:r>
      <w:r>
        <w:rPr>
          <w:rFonts w:cs="Times New Roman" w:hint="eastAsia"/>
          <w:color w:val="000000"/>
          <w:szCs w:val="24"/>
          <w:lang w:val="en-GB"/>
        </w:rPr>
        <w:instrText>--</w:instrText>
      </w:r>
      <w:r>
        <w:rPr>
          <w:rFonts w:cs="Times New Roman" w:hint="eastAsia"/>
          <w:color w:val="000000"/>
          <w:szCs w:val="24"/>
          <w:lang w:val="en-GB"/>
        </w:rPr>
        <w:instrText>观点</w:instrText>
      </w:r>
      <w:r>
        <w:rPr>
          <w:rFonts w:cs="Times New Roman" w:hint="eastAsia"/>
          <w:color w:val="000000"/>
          <w:szCs w:val="24"/>
          <w:lang w:val="en-GB"/>
        </w:rPr>
        <w:instrText xml:space="preserve">\nabstractTranslation: </w:instrText>
      </w:r>
      <w:r>
        <w:rPr>
          <w:rFonts w:cs="Times New Roman" w:hint="eastAsia"/>
          <w:color w:val="000000"/>
          <w:szCs w:val="24"/>
          <w:lang w:val="en-GB"/>
        </w:rPr>
        <w:instrText>背景和目的：温度对日常生活各个方面的影响往往被低估，其对心理健康的影响也未被广泛认识。在气候变化和全球气温不断升高的背景下，了解和处理气温与心理健康之间的关系至关重要。本视角旨在调查高温对心理健康的影响，并找出减轻这些影响的积极策略。</w:instrText>
      </w:r>
      <w:r>
        <w:rPr>
          <w:rFonts w:cs="Times New Roman" w:hint="eastAsia"/>
          <w:color w:val="000000"/>
          <w:szCs w:val="24"/>
          <w:lang w:val="en-GB"/>
        </w:rPr>
        <w:instrText>\n</w:instrText>
      </w:r>
      <w:r>
        <w:rPr>
          <w:rFonts w:cs="Times New Roman" w:hint="eastAsia"/>
          <w:color w:val="000000"/>
          <w:szCs w:val="24"/>
          <w:lang w:val="en-GB"/>
        </w:rPr>
        <w:instrText>方法：本视角采用双重方法，包括全面的文献综述和社会生态框架。文献综述包括在谷歌学术、</w:instrText>
      </w:r>
      <w:r>
        <w:rPr>
          <w:rFonts w:cs="Times New Roman" w:hint="eastAsia"/>
          <w:color w:val="000000"/>
          <w:szCs w:val="24"/>
          <w:lang w:val="en-GB"/>
        </w:rPr>
        <w:instrText xml:space="preserve">PubMed </w:instrText>
      </w:r>
      <w:r>
        <w:rPr>
          <w:rFonts w:cs="Times New Roman" w:hint="eastAsia"/>
          <w:color w:val="000000"/>
          <w:szCs w:val="24"/>
          <w:lang w:val="en-GB"/>
        </w:rPr>
        <w:instrText>和</w:instrText>
      </w:r>
      <w:r>
        <w:rPr>
          <w:rFonts w:cs="Times New Roman" w:hint="eastAsia"/>
          <w:color w:val="000000"/>
          <w:szCs w:val="24"/>
          <w:lang w:val="en-GB"/>
        </w:rPr>
        <w:instrText xml:space="preserve"> Scopus </w:instrText>
      </w:r>
      <w:r>
        <w:rPr>
          <w:rFonts w:cs="Times New Roman" w:hint="eastAsia"/>
          <w:color w:val="000000"/>
          <w:szCs w:val="24"/>
          <w:lang w:val="en-GB"/>
        </w:rPr>
        <w:instrText>上进行广泛搜索，以确定相关的同行评审文章和来自不同学科的报告。</w:instrText>
      </w:r>
      <w:r>
        <w:rPr>
          <w:rFonts w:cs="Times New Roman" w:hint="eastAsia"/>
          <w:color w:val="000000"/>
          <w:szCs w:val="24"/>
          <w:lang w:val="en-GB"/>
        </w:rPr>
        <w:instrText>\n</w:instrText>
      </w:r>
      <w:r>
        <w:rPr>
          <w:rFonts w:cs="Times New Roman" w:hint="eastAsia"/>
          <w:color w:val="000000"/>
          <w:szCs w:val="24"/>
          <w:lang w:val="en-GB"/>
        </w:rPr>
        <w:instrText>结果该观点强调了认识热应激及其对心理健康影响的重要性。慢性热应激可导致压力、焦虑和认知障碍的增加。易受影响的人群包括年幼者、老年人和已有心理健康问题的人。社会经济因素会进一步加剧易受影响的程度，这凸显了在高温期间采取有针对性的策略来应对心理健康挑战的必要性。此外，文章还确定并讨论了积极的应对策略，以最大限度地减少热应激对心理和身体的影响。文章建议将正念、压力管理技巧和治疗作为个人控制心理压力的有效手段。</w:instrText>
      </w:r>
      <w:r>
        <w:rPr>
          <w:rFonts w:cs="Times New Roman" w:hint="eastAsia"/>
          <w:color w:val="000000"/>
          <w:szCs w:val="24"/>
          <w:lang w:val="en-GB"/>
        </w:rPr>
        <w:instrText>\n</w:instrText>
      </w:r>
      <w:r>
        <w:rPr>
          <w:rFonts w:cs="Times New Roman" w:hint="eastAsia"/>
          <w:color w:val="000000"/>
          <w:szCs w:val="24"/>
          <w:lang w:val="en-GB"/>
        </w:rPr>
        <w:instrText>结论实施预防措施是促进高温下心理健康的必要步骤。通过应对高温对生理和心理造成的影响，并考虑到弱势群体的特殊需求，采取积极主动的策略，可以帮助个人和社区应对气温升高带来的挑战，提高抗御能力，保持心理健康。</w:instrText>
      </w:r>
      <w:r>
        <w:rPr>
          <w:rFonts w:cs="Times New Roman" w:hint="eastAsia"/>
          <w:color w:val="000000"/>
          <w:szCs w:val="24"/>
          <w:lang w:val="en-GB"/>
        </w:rPr>
        <w:instrText>","page":"e1729","source":"2.1","title":"High temperatures on mental health</w:instrText>
      </w:r>
      <w:r>
        <w:rPr>
          <w:rFonts w:cs="Times New Roman"/>
          <w:color w:val="000000"/>
          <w:szCs w:val="24"/>
          <w:lang w:val="en-GB"/>
        </w:rPr>
        <w:instrText xml:space="preserve">: Recognizing the association and the need for proactive strategies—A perspective","title-short":"High temperatures on mental health","volume":"6","author":[{"family":"Rony","given":"Moustaq Karim Khan"},{"family":"Alamgir","given":"Hasnat M."}],"issued":{"date-parts":[["2023",12]]}}}],"schema":"https://github.com/citation-style-language/schema/raw/master/csl-citation.json"} </w:instrText>
      </w:r>
      <w:r>
        <w:rPr>
          <w:rFonts w:cs="Times New Roman"/>
          <w:color w:val="000000"/>
          <w:szCs w:val="24"/>
          <w:lang w:val="en-GB"/>
        </w:rPr>
        <w:fldChar w:fldCharType="separate"/>
      </w:r>
      <w:r>
        <w:rPr>
          <w:rFonts w:cs="Times New Roman"/>
          <w:noProof/>
          <w:color w:val="000000"/>
          <w:szCs w:val="24"/>
          <w:lang w:val="en-GB"/>
        </w:rPr>
        <w:t>(Baecker et al., 2025; Basu et al., 2018; Li et al., 2023; Rony &amp; Alamgir, 2023)</w:t>
      </w:r>
      <w:r>
        <w:rPr>
          <w:rFonts w:cs="Times New Roman"/>
          <w:color w:val="000000"/>
          <w:szCs w:val="24"/>
          <w:lang w:val="en-GB"/>
        </w:rPr>
        <w:fldChar w:fldCharType="end"/>
      </w:r>
      <w:r>
        <w:rPr>
          <w:rFonts w:cs="Times New Roman"/>
          <w:color w:val="000000"/>
          <w:szCs w:val="24"/>
          <w:lang w:val="en-GB"/>
        </w:rPr>
        <w:t>. Individuals with pre-existing mental illness are particularly vulnerable. Psychotropic medications can impair the body's ability to regulate internal temperature under extreme heat, thereby increasing physiological risk among patients</w:t>
      </w:r>
    </w:p>
    <w:p w14:paraId="27FEDE86" w14:textId="77777777" w:rsidR="00742E53" w:rsidRP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4"/>
          <w:lang w:val="en-GB"/>
        </w:rPr>
      </w:pPr>
      <w:r>
        <w:rPr>
          <w:rFonts w:cs="Times New Roman"/>
          <w:color w:val="000000"/>
          <w:szCs w:val="24"/>
          <w:lang w:val="en-GB"/>
        </w:rPr>
        <w:fldChar w:fldCharType="begin"/>
      </w:r>
      <w:r>
        <w:rPr>
          <w:rFonts w:cs="Times New Roman"/>
          <w:color w:val="000000"/>
          <w:szCs w:val="24"/>
          <w:lang w:val="en-GB"/>
        </w:rPr>
        <w:instrText xml:space="preserve"> ADDIN ZOTERO_ITEM CSL_CITATION {"citationID":"cpeQBjI9","properties":{"unsorted":false,"formattedCitation":"(L\\uc0\\u245{}hmus, 2018; Page et al., 2012)","plainCitation":"(Lõhmus, 2018; Page et al., 2012)","noteIndex":0},"citationItems":[{"id":4683,"uris":["http://zotero.org/users/12445093/items/JMBIJVWI"],"itemData":{"id":4683,"type":"article-journal","abstract":"This review provides examples of possible biological mechanisms that could, at least partly, explain the existing epidemiological evidence of heatwave-related exacerbation of mental disease morbidity. The author reviews the complicated central processes involved in the challenge of maintaining a stable body temperature in hot environments, and the maladaptive effects of certain psychiatric medicines on thermoregulation. In addition, the author discusses some alternative mechanisms, such as interrupted functional brain connectivity and the effect of disrupted sleep, which may further increase the vulnerability of mental health patients during heatwaves.","container-title":"International Journal of Environmental Research and Public Health","DOI":"10.3390/ijerph15071515","ISSN":"1660-4601","issue":"7","journalAbbreviation":"IJERPH","language":"en","license":"https://creativecommons.org/licenses/b</w:instrText>
      </w:r>
      <w:r>
        <w:rPr>
          <w:rFonts w:cs="Times New Roman" w:hint="eastAsia"/>
          <w:color w:val="000000"/>
          <w:szCs w:val="24"/>
          <w:lang w:val="en-GB"/>
        </w:rPr>
        <w:instrText xml:space="preserve">y/4.0/","note":"TLDR: This review provides examples of possible biological mechanisms that could, at least partly, explain the existing epidemiological evidence of heatwave-related exacerbation of mental disease morbidity.\ntitleTranslation: </w:instrText>
      </w:r>
      <w:r>
        <w:rPr>
          <w:rFonts w:cs="Times New Roman" w:hint="eastAsia"/>
          <w:color w:val="000000"/>
          <w:szCs w:val="24"/>
          <w:lang w:val="en-GB"/>
        </w:rPr>
        <w:instrText>将心理健康与高温联系起来的可能生物机制</w:instrText>
      </w:r>
      <w:r>
        <w:rPr>
          <w:rFonts w:cs="Times New Roman" w:hint="eastAsia"/>
          <w:color w:val="000000"/>
          <w:szCs w:val="24"/>
          <w:lang w:val="en-GB"/>
        </w:rPr>
        <w:instrText>--</w:instrText>
      </w:r>
      <w:r>
        <w:rPr>
          <w:rFonts w:cs="Times New Roman" w:hint="eastAsia"/>
          <w:color w:val="000000"/>
          <w:szCs w:val="24"/>
          <w:lang w:val="en-GB"/>
        </w:rPr>
        <w:instrText>沉思式回顾</w:instrText>
      </w:r>
      <w:r>
        <w:rPr>
          <w:rFonts w:cs="Times New Roman" w:hint="eastAsia"/>
          <w:color w:val="000000"/>
          <w:szCs w:val="24"/>
          <w:lang w:val="en-GB"/>
        </w:rPr>
        <w:instrText xml:space="preserve">\nabstractTranslation: </w:instrText>
      </w:r>
      <w:r>
        <w:rPr>
          <w:rFonts w:cs="Times New Roman" w:hint="eastAsia"/>
          <w:color w:val="000000"/>
          <w:szCs w:val="24"/>
          <w:lang w:val="en-GB"/>
        </w:rPr>
        <w:instrText>本综述举例说明了可能的生物机制，这些机制至少可以部分解释现有的流行病学证据，即与热浪相关的精神疾病发病率加剧。作者回顾了在炎热环境中保持体温稳定这一挑战所涉及的复杂中枢过程，以及某些精神科药物对体温调节的不良影响。此外，作者还讨论了一些替代机制，如大脑功能连接中断和睡眠中断的影响，这可能会进一步增加热浪期间精神疾病患者的脆弱性。</w:instrText>
      </w:r>
      <w:r>
        <w:rPr>
          <w:rFonts w:cs="Times New Roman" w:hint="eastAsia"/>
          <w:color w:val="000000"/>
          <w:szCs w:val="24"/>
          <w:lang w:val="en-GB"/>
        </w:rPr>
        <w:instrText>","page":"1515","source":"DOI.org (Crossref)","title":</w:instrText>
      </w:r>
      <w:r>
        <w:rPr>
          <w:rFonts w:cs="Times New Roman"/>
          <w:color w:val="000000"/>
          <w:szCs w:val="24"/>
          <w:lang w:val="en-GB"/>
        </w:rPr>
        <w:instrText>"Possible Biological Mechanisms Linking Mental Health and Heat—A Contemplative Review","volume":"15","author":[{"family":"Lõhmus","given":"Mare"}],"issued":{"date-parts":[["2018",7,18]]}}},{"id":4685,"uris":["http://zotero.org/users/12445093/items/SNNHDGLA"],"itemData":{"id":4685,"type":"article-journal","abstract":"Background\n              Climate change is expected to have significant effects on human health,\n                           partly through an increase in extreme events such as heatwaves. People\n                           with mental illness may be at particular risk.\n            \n            \n              Aims\n              To estimate risk conferred by high ambient temperature on patients with\n                           psychosis, dementia and substance misuse.\n            \n            \n              Method\n              We applied time-series regression analysis to data from a nationally\n                           representative primary care cohort study. Relative risk of death per 1°\n                           increase in temperature was calculated above a threshold.\n            \n            \n              Results\n              Patients with mental illness showed an overall increase in risk of death\n                           of 4.9% (95% CI 2.0–7.8) per 1° increase in temperature above the 93rd\n                           percentile of the annual temperature distribution. Younger patients and\n                           those with a primary diagnosis of substance misuse demonstrated greatest\n                           mortality risk.\n            \n            \n              Conclusions\n              The increased risk of death during hot weather in patients with\n                           psychosis, dementia and substance misuse has implications for public\n                           health strategies during heatwaves.","call-number":"1","container-title":"British Journal of Psychiatry","DOI":"10.1192/bjp.bp.111.100404","ISSN":"0007-1250, 1472-1465","issue":"6","journalAbbreviation":"Br J                         Psychiatry","language":"en","license":"https://www.cambridge.org/core/terms","note":"TLDR: The increased risk of death during hot weather in patients with psychosis, dementia and substance misuse has impli</w:instrText>
      </w:r>
      <w:r>
        <w:rPr>
          <w:rFonts w:cs="Times New Roman" w:hint="eastAsia"/>
          <w:color w:val="000000"/>
          <w:szCs w:val="24"/>
          <w:lang w:val="en-GB"/>
        </w:rPr>
        <w:instrText xml:space="preserve">cations for public health strategies during heatwaves.\ntitleTranslation: </w:instrText>
      </w:r>
      <w:r>
        <w:rPr>
          <w:rFonts w:cs="Times New Roman" w:hint="eastAsia"/>
          <w:color w:val="000000"/>
          <w:szCs w:val="24"/>
          <w:lang w:val="en-GB"/>
        </w:rPr>
        <w:instrText>精神病、痴呆症和药物滥用患者中与温度相关的死亡案例</w:instrText>
      </w:r>
      <w:r>
        <w:rPr>
          <w:rFonts w:cs="Times New Roman" w:hint="eastAsia"/>
          <w:color w:val="000000"/>
          <w:szCs w:val="24"/>
          <w:lang w:val="en-GB"/>
        </w:rPr>
        <w:instrText xml:space="preserve">\nabstractTranslation: </w:instrText>
      </w:r>
      <w:r>
        <w:rPr>
          <w:rFonts w:cs="Times New Roman" w:hint="eastAsia"/>
          <w:color w:val="000000"/>
          <w:szCs w:val="24"/>
          <w:lang w:val="en-GB"/>
        </w:rPr>
        <w:instrText>背</w:instrText>
      </w:r>
      <w:r>
        <w:rPr>
          <w:rFonts w:cs="Times New Roman" w:hint="eastAsia"/>
          <w:color w:val="000000"/>
          <w:szCs w:val="24"/>
          <w:lang w:val="en-GB"/>
        </w:rPr>
        <w:instrText xml:space="preserve"> </w:instrText>
      </w:r>
      <w:r>
        <w:rPr>
          <w:rFonts w:cs="Times New Roman" w:hint="eastAsia"/>
          <w:color w:val="000000"/>
          <w:szCs w:val="24"/>
          <w:lang w:val="en-GB"/>
        </w:rPr>
        <w:instrText>景</w:instrText>
      </w:r>
      <w:r>
        <w:rPr>
          <w:rFonts w:cs="Times New Roman" w:hint="eastAsia"/>
          <w:color w:val="000000"/>
          <w:szCs w:val="24"/>
          <w:lang w:val="en-GB"/>
        </w:rPr>
        <w:instrText xml:space="preserve">\n              </w:instrText>
      </w:r>
      <w:r>
        <w:rPr>
          <w:rFonts w:cs="Times New Roman" w:hint="eastAsia"/>
          <w:color w:val="000000"/>
          <w:szCs w:val="24"/>
          <w:lang w:val="en-GB"/>
        </w:rPr>
        <w:instrText>气候变化预计将对人类健康产生重大影响、</w:instrText>
      </w:r>
      <w:r>
        <w:rPr>
          <w:rFonts w:cs="Times New Roman" w:hint="eastAsia"/>
          <w:color w:val="000000"/>
          <w:szCs w:val="24"/>
          <w:lang w:val="en-GB"/>
        </w:rPr>
        <w:instrText xml:space="preserve">\n                           </w:instrText>
      </w:r>
      <w:r>
        <w:rPr>
          <w:rFonts w:cs="Times New Roman" w:hint="eastAsia"/>
          <w:color w:val="000000"/>
          <w:szCs w:val="24"/>
          <w:lang w:val="en-GB"/>
        </w:rPr>
        <w:instrText>部分原因是热浪等极端事件的增加。精神疾病患者</w:instrText>
      </w:r>
      <w:r>
        <w:rPr>
          <w:rFonts w:cs="Times New Roman" w:hint="eastAsia"/>
          <w:color w:val="000000"/>
          <w:szCs w:val="24"/>
          <w:lang w:val="en-GB"/>
        </w:rPr>
        <w:instrText xml:space="preserve">\n                           </w:instrText>
      </w:r>
      <w:r>
        <w:rPr>
          <w:rFonts w:cs="Times New Roman" w:hint="eastAsia"/>
          <w:color w:val="000000"/>
          <w:szCs w:val="24"/>
          <w:lang w:val="en-GB"/>
        </w:rPr>
        <w:instrText>精神疾病患者可能会面临特别的风险。</w:instrText>
      </w:r>
      <w:r>
        <w:rPr>
          <w:rFonts w:cs="Times New Roman" w:hint="eastAsia"/>
          <w:color w:val="000000"/>
          <w:szCs w:val="24"/>
          <w:lang w:val="en-GB"/>
        </w:rPr>
        <w:instrText xml:space="preserve">\n            \n            \n              </w:instrText>
      </w:r>
      <w:r>
        <w:rPr>
          <w:rFonts w:cs="Times New Roman" w:hint="eastAsia"/>
          <w:color w:val="000000"/>
          <w:szCs w:val="24"/>
          <w:lang w:val="en-GB"/>
        </w:rPr>
        <w:instrText>目标</w:instrText>
      </w:r>
      <w:r>
        <w:rPr>
          <w:rFonts w:cs="Times New Roman" w:hint="eastAsia"/>
          <w:color w:val="000000"/>
          <w:szCs w:val="24"/>
          <w:lang w:val="en-GB"/>
        </w:rPr>
        <w:instrText xml:space="preserve">\n              </w:instrText>
      </w:r>
      <w:r>
        <w:rPr>
          <w:rFonts w:cs="Times New Roman" w:hint="eastAsia"/>
          <w:color w:val="000000"/>
          <w:szCs w:val="24"/>
          <w:lang w:val="en-GB"/>
        </w:rPr>
        <w:instrText>估计高环境温度对精神病患者、痴呆症患者和药物滥用患者造成的风险。</w:instrText>
      </w:r>
      <w:r>
        <w:rPr>
          <w:rFonts w:cs="Times New Roman" w:hint="eastAsia"/>
          <w:color w:val="000000"/>
          <w:szCs w:val="24"/>
          <w:lang w:val="en-GB"/>
        </w:rPr>
        <w:instrText xml:space="preserve">\n                           </w:instrText>
      </w:r>
      <w:r>
        <w:rPr>
          <w:rFonts w:cs="Times New Roman" w:hint="eastAsia"/>
          <w:color w:val="000000"/>
          <w:szCs w:val="24"/>
          <w:lang w:val="en-GB"/>
        </w:rPr>
        <w:instrText>精神病、痴呆症和药物滥用患者带来的风险。</w:instrText>
      </w:r>
      <w:r>
        <w:rPr>
          <w:rFonts w:cs="Times New Roman" w:hint="eastAsia"/>
          <w:color w:val="000000"/>
          <w:szCs w:val="24"/>
          <w:lang w:val="en-GB"/>
        </w:rPr>
        <w:instrText xml:space="preserve">\n            \n            \n              </w:instrText>
      </w:r>
      <w:r>
        <w:rPr>
          <w:rFonts w:cs="Times New Roman" w:hint="eastAsia"/>
          <w:color w:val="000000"/>
          <w:szCs w:val="24"/>
          <w:lang w:val="en-GB"/>
        </w:rPr>
        <w:instrText>方法</w:instrText>
      </w:r>
      <w:r>
        <w:rPr>
          <w:rFonts w:cs="Times New Roman" w:hint="eastAsia"/>
          <w:color w:val="000000"/>
          <w:szCs w:val="24"/>
          <w:lang w:val="en-GB"/>
        </w:rPr>
        <w:instrText xml:space="preserve">\n              </w:instrText>
      </w:r>
      <w:r>
        <w:rPr>
          <w:rFonts w:cs="Times New Roman" w:hint="eastAsia"/>
          <w:color w:val="000000"/>
          <w:szCs w:val="24"/>
          <w:lang w:val="en-GB"/>
        </w:rPr>
        <w:instrText>我们对一项具有全国代表性的初级保健队列研究的数据进行了时间序列回归分析。</w:instrText>
      </w:r>
      <w:r>
        <w:rPr>
          <w:rFonts w:cs="Times New Roman" w:hint="eastAsia"/>
          <w:color w:val="000000"/>
          <w:szCs w:val="24"/>
          <w:lang w:val="en-GB"/>
        </w:rPr>
        <w:instrText xml:space="preserve">\n                           </w:instrText>
      </w:r>
      <w:r>
        <w:rPr>
          <w:rFonts w:cs="Times New Roman" w:hint="eastAsia"/>
          <w:color w:val="000000"/>
          <w:szCs w:val="24"/>
          <w:lang w:val="en-GB"/>
        </w:rPr>
        <w:instrText>具有代表性的初级保健队列研究数据进行了时间序列回归分析。温度每升高</w:instrText>
      </w:r>
      <w:r>
        <w:rPr>
          <w:rFonts w:cs="Times New Roman" w:hint="eastAsia"/>
          <w:color w:val="000000"/>
          <w:szCs w:val="24"/>
          <w:lang w:val="en-GB"/>
        </w:rPr>
        <w:instrText xml:space="preserve"> 1</w:instrText>
      </w:r>
      <w:r>
        <w:rPr>
          <w:rFonts w:cs="Times New Roman" w:hint="eastAsia"/>
          <w:color w:val="000000"/>
          <w:szCs w:val="24"/>
          <w:lang w:val="en-GB"/>
        </w:rPr>
        <w:instrText>°</w:instrText>
      </w:r>
      <w:r>
        <w:rPr>
          <w:rFonts w:cs="Times New Roman" w:hint="eastAsia"/>
          <w:color w:val="000000"/>
          <w:szCs w:val="24"/>
          <w:lang w:val="en-GB"/>
        </w:rPr>
        <w:instrText xml:space="preserve">\n                           </w:instrText>
      </w:r>
      <w:r>
        <w:rPr>
          <w:rFonts w:cs="Times New Roman" w:hint="eastAsia"/>
          <w:color w:val="000000"/>
          <w:szCs w:val="24"/>
          <w:lang w:val="en-GB"/>
        </w:rPr>
        <w:instrText>死亡的相对风险。</w:instrText>
      </w:r>
      <w:r>
        <w:rPr>
          <w:rFonts w:cs="Times New Roman" w:hint="eastAsia"/>
          <w:color w:val="000000"/>
          <w:szCs w:val="24"/>
          <w:lang w:val="en-GB"/>
        </w:rPr>
        <w:instrText xml:space="preserve">\n            \n            \n              </w:instrText>
      </w:r>
      <w:r>
        <w:rPr>
          <w:rFonts w:cs="Times New Roman" w:hint="eastAsia"/>
          <w:color w:val="000000"/>
          <w:szCs w:val="24"/>
          <w:lang w:val="en-GB"/>
        </w:rPr>
        <w:instrText>研究结果</w:instrText>
      </w:r>
      <w:r>
        <w:rPr>
          <w:rFonts w:cs="Times New Roman" w:hint="eastAsia"/>
          <w:color w:val="000000"/>
          <w:szCs w:val="24"/>
          <w:lang w:val="en-GB"/>
        </w:rPr>
        <w:instrText xml:space="preserve">\n              </w:instrText>
      </w:r>
      <w:r>
        <w:rPr>
          <w:rFonts w:cs="Times New Roman" w:hint="eastAsia"/>
          <w:color w:val="000000"/>
          <w:szCs w:val="24"/>
          <w:lang w:val="en-GB"/>
        </w:rPr>
        <w:instrText>精神病患者的死亡风险总体上增加了</w:instrText>
      </w:r>
      <w:r>
        <w:rPr>
          <w:rFonts w:cs="Times New Roman" w:hint="eastAsia"/>
          <w:color w:val="000000"/>
          <w:szCs w:val="24"/>
          <w:lang w:val="en-GB"/>
        </w:rPr>
        <w:instrText xml:space="preserve">\n                           </w:instrText>
      </w:r>
      <w:r>
        <w:rPr>
          <w:rFonts w:cs="Times New Roman" w:hint="eastAsia"/>
          <w:color w:val="000000"/>
          <w:szCs w:val="24"/>
          <w:lang w:val="en-GB"/>
        </w:rPr>
        <w:instrText>气温每升高</w:instrText>
      </w:r>
      <w:r>
        <w:rPr>
          <w:rFonts w:cs="Times New Roman" w:hint="eastAsia"/>
          <w:color w:val="000000"/>
          <w:szCs w:val="24"/>
          <w:lang w:val="en-GB"/>
        </w:rPr>
        <w:instrText xml:space="preserve"> 1</w:instrText>
      </w:r>
      <w:r>
        <w:rPr>
          <w:rFonts w:cs="Times New Roman" w:hint="eastAsia"/>
          <w:color w:val="000000"/>
          <w:szCs w:val="24"/>
          <w:lang w:val="en-GB"/>
        </w:rPr>
        <w:instrText>°，精神病患者的死亡风险就会增加</w:instrText>
      </w:r>
      <w:r>
        <w:rPr>
          <w:rFonts w:cs="Times New Roman" w:hint="eastAsia"/>
          <w:color w:val="000000"/>
          <w:szCs w:val="24"/>
          <w:lang w:val="en-GB"/>
        </w:rPr>
        <w:instrText xml:space="preserve"> 4.9% (95% CI 2.0-7.8)\n                           </w:instrText>
      </w:r>
      <w:r>
        <w:rPr>
          <w:rFonts w:cs="Times New Roman" w:hint="eastAsia"/>
          <w:color w:val="000000"/>
          <w:szCs w:val="24"/>
          <w:lang w:val="en-GB"/>
        </w:rPr>
        <w:instrText>患者的死亡风险总体增加</w:instrText>
      </w:r>
      <w:r>
        <w:rPr>
          <w:rFonts w:cs="Times New Roman" w:hint="eastAsia"/>
          <w:color w:val="000000"/>
          <w:szCs w:val="24"/>
          <w:lang w:val="en-GB"/>
        </w:rPr>
        <w:instrText xml:space="preserve"> 4.9% (95% CI 2.0-7.8)</w:instrText>
      </w:r>
      <w:r>
        <w:rPr>
          <w:rFonts w:cs="Times New Roman" w:hint="eastAsia"/>
          <w:color w:val="000000"/>
          <w:szCs w:val="24"/>
          <w:lang w:val="en-GB"/>
        </w:rPr>
        <w:instrText>。年轻患者和</w:instrText>
      </w:r>
      <w:r>
        <w:rPr>
          <w:rFonts w:cs="Times New Roman" w:hint="eastAsia"/>
          <w:color w:val="000000"/>
          <w:szCs w:val="24"/>
          <w:lang w:val="en-GB"/>
        </w:rPr>
        <w:instrText xml:space="preserve">\n                           </w:instrText>
      </w:r>
      <w:r>
        <w:rPr>
          <w:rFonts w:cs="Times New Roman" w:hint="eastAsia"/>
          <w:color w:val="000000"/>
          <w:szCs w:val="24"/>
          <w:lang w:val="en-GB"/>
        </w:rPr>
        <w:instrText>患者的死亡风险最大。</w:instrText>
      </w:r>
      <w:r>
        <w:rPr>
          <w:rFonts w:cs="Times New Roman" w:hint="eastAsia"/>
          <w:color w:val="000000"/>
          <w:szCs w:val="24"/>
          <w:lang w:val="en-GB"/>
        </w:rPr>
        <w:instrText xml:space="preserve">\n                           </w:instrText>
      </w:r>
      <w:r>
        <w:rPr>
          <w:rFonts w:cs="Times New Roman" w:hint="eastAsia"/>
          <w:color w:val="000000"/>
          <w:szCs w:val="24"/>
          <w:lang w:val="en-GB"/>
        </w:rPr>
        <w:instrText>死亡风险最大。</w:instrText>
      </w:r>
      <w:r>
        <w:rPr>
          <w:rFonts w:cs="Times New Roman" w:hint="eastAsia"/>
          <w:color w:val="000000"/>
          <w:szCs w:val="24"/>
          <w:lang w:val="en-GB"/>
        </w:rPr>
        <w:instrText xml:space="preserve">\n            \n            \n              </w:instrText>
      </w:r>
      <w:r>
        <w:rPr>
          <w:rFonts w:cs="Times New Roman" w:hint="eastAsia"/>
          <w:color w:val="000000"/>
          <w:szCs w:val="24"/>
          <w:lang w:val="en-GB"/>
        </w:rPr>
        <w:instrText>结论</w:instrText>
      </w:r>
      <w:r>
        <w:rPr>
          <w:rFonts w:cs="Times New Roman" w:hint="eastAsia"/>
          <w:color w:val="000000"/>
          <w:szCs w:val="24"/>
          <w:lang w:val="en-GB"/>
        </w:rPr>
        <w:instrText xml:space="preserve">\n              </w:instrText>
      </w:r>
      <w:r>
        <w:rPr>
          <w:rFonts w:cs="Times New Roman" w:hint="eastAsia"/>
          <w:color w:val="000000"/>
          <w:szCs w:val="24"/>
          <w:lang w:val="en-GB"/>
        </w:rPr>
        <w:instrText>在炎热天气中，精神病、痴呆症和药物滥用患者的死亡风险增加</w:instrText>
      </w:r>
      <w:r>
        <w:rPr>
          <w:rFonts w:cs="Times New Roman" w:hint="eastAsia"/>
          <w:color w:val="000000"/>
          <w:szCs w:val="24"/>
          <w:lang w:val="en-GB"/>
        </w:rPr>
        <w:instrText xml:space="preserve">\n                           </w:instrText>
      </w:r>
      <w:r>
        <w:rPr>
          <w:rFonts w:cs="Times New Roman" w:hint="eastAsia"/>
          <w:color w:val="000000"/>
          <w:szCs w:val="24"/>
          <w:lang w:val="en-GB"/>
        </w:rPr>
        <w:instrText>精神病、痴呆症和药物滥用患者在炎热天气中的死亡风险增加，这对热浪期间的公共卫生策略具有影响。</w:instrText>
      </w:r>
      <w:r>
        <w:rPr>
          <w:rFonts w:cs="Times New Roman" w:hint="eastAsia"/>
          <w:color w:val="000000"/>
          <w:szCs w:val="24"/>
          <w:lang w:val="en-GB"/>
        </w:rPr>
        <w:instrText xml:space="preserve">\n                           </w:instrText>
      </w:r>
      <w:r>
        <w:rPr>
          <w:rFonts w:cs="Times New Roman" w:hint="eastAsia"/>
          <w:color w:val="000000"/>
          <w:szCs w:val="24"/>
          <w:lang w:val="en-GB"/>
        </w:rPr>
        <w:instrText>热浪期间的公共卫生策略。</w:instrText>
      </w:r>
      <w:r>
        <w:rPr>
          <w:rFonts w:cs="Times New Roman" w:hint="eastAsia"/>
          <w:color w:val="000000"/>
          <w:szCs w:val="24"/>
          <w:lang w:val="en-GB"/>
        </w:rPr>
        <w:instrText>","page":"485-490","source":"8.7","title":"Temperature-related deaths in people with psychosis, dementia and substance misuse","volume":"200","author":[{"family":"Page","gi</w:instrText>
      </w:r>
      <w:r>
        <w:rPr>
          <w:rFonts w:cs="Times New Roman"/>
          <w:color w:val="000000"/>
          <w:szCs w:val="24"/>
          <w:lang w:val="en-GB"/>
        </w:rPr>
        <w:instrText xml:space="preserve">ven":"Lisa A."},{"family":"Hajat","given":"Shakoor"},{"family":"Kovats","given":"R. Sari"},{"family":"Howard","given":"Louise M."}],"issued":{"date-parts":[["2012",6]]}}}],"schema":"https://github.com/citation-style-language/schema/raw/master/csl-citation.json"} </w:instrText>
      </w:r>
      <w:r>
        <w:rPr>
          <w:rFonts w:cs="Times New Roman"/>
          <w:color w:val="000000"/>
          <w:szCs w:val="24"/>
          <w:lang w:val="en-GB"/>
        </w:rPr>
        <w:fldChar w:fldCharType="separate"/>
      </w:r>
      <w:r w:rsidRPr="00257F3C">
        <w:rPr>
          <w:rFonts w:eastAsia="SimSun" w:cs="Times New Roman"/>
          <w:color w:val="000000"/>
          <w:szCs w:val="24"/>
          <w:lang w:val="en-GB"/>
        </w:rPr>
        <w:t>(Lõhmus, 2018; Page et al., 2012)</w:t>
      </w:r>
      <w:r>
        <w:rPr>
          <w:rFonts w:cs="Times New Roman"/>
          <w:color w:val="000000"/>
          <w:szCs w:val="24"/>
          <w:lang w:val="en-GB"/>
        </w:rPr>
        <w:fldChar w:fldCharType="end"/>
      </w:r>
      <w:r>
        <w:rPr>
          <w:rFonts w:cs="Times New Roman"/>
          <w:color w:val="000000"/>
          <w:szCs w:val="24"/>
          <w:lang w:val="en-GB"/>
        </w:rPr>
        <w:t xml:space="preserve">, and individuals with mental illness may be less likely to recognize heat-related risks or take appropriate protective actions </w:t>
      </w:r>
      <w:r>
        <w:rPr>
          <w:rFonts w:cs="Times New Roman"/>
          <w:noProof/>
          <w:color w:val="000000"/>
          <w:szCs w:val="24"/>
          <w:lang w:val="en-GB"/>
        </w:rPr>
        <w:t>(Kaiser et al., 2001)</w:t>
      </w:r>
      <w:r>
        <w:rPr>
          <w:rFonts w:cs="Times New Roman"/>
          <w:color w:val="000000"/>
          <w:szCs w:val="24"/>
          <w:lang w:val="en-GB"/>
        </w:rPr>
        <w:t xml:space="preserve">. A systematic review of 22 studies further confirms that individuals with mental illness consistently experience worse morbidity and mortality outcomes during </w:t>
      </w:r>
      <w:r w:rsidRPr="00742E53">
        <w:rPr>
          <w:rFonts w:cs="Times New Roman"/>
          <w:color w:val="000000"/>
          <w:szCs w:val="24"/>
          <w:lang w:val="en-GB"/>
        </w:rPr>
        <w:t xml:space="preserve">high-temperature days compared to those without mental illness, although evidence is more mixed for multi-day heatwaves </w:t>
      </w:r>
      <w:r w:rsidRPr="00742E53">
        <w:rPr>
          <w:rFonts w:cs="Times New Roman"/>
          <w:color w:val="000000"/>
          <w:szCs w:val="24"/>
          <w:lang w:val="en-GB"/>
        </w:rPr>
        <w:fldChar w:fldCharType="begin"/>
      </w:r>
      <w:r w:rsidRPr="00742E53">
        <w:rPr>
          <w:rFonts w:cs="Times New Roman"/>
          <w:color w:val="000000"/>
          <w:szCs w:val="24"/>
          <w:lang w:val="en-GB"/>
        </w:rPr>
        <w:instrText xml:space="preserve"> ADDIN ZOTERO_ITEM CSL_CITATION {"citationID":"n0XoCVH0","properties":{"unsorted":false,"formattedCitation":"(Meadows et al., 2024)","plainCitation":"(Meadows et al., 2024)","noteIndex":0},"citationItems":[{"id":4687,"uris":["http://zotero.org/users/12445093/items/M7VKVTD9"],"itemData":{"id":4687,"type":"article-journal","abstract":"Objective: A systematic review was undertaken to investigate mental illness as an effect modifier of the relationship between heat exposure and morbidity or mortality.\nMethods: Six databases (Medline, Embase, Global Health, PsychInfo, CINAHL and Scopus) were searched for studies published between the years 2000 to 2022. Twenty-two observational studies that met the inclusion criteria were investigated through narrative synthesis. The RoBANS tool, ROBIS and GRADE were used to assess the certainty of evidence including the risk of bias.\nResults: Individuals with mental illness experience worse morbidity and mortality outcomes compared to their counterparts without mental illness in all studies investigating high temperature over a single day. This did not hold for studies examining heatwaves, which reported mixed findings.\nConclusions and implications: People with diagnosed mental illness should be targeted for policy and service attention during high temperature days. Further research should investigate specific mental illness and adjust for a wider range of confounding factors.","call-number":"3","container-title":"Psychiatry Research","DOI":"10.1016/j.psychres.2023.115678","ISSN":"01651781","journalAbbreviation":"Psychiatry Research","language":"en","note":"TLDR: People with diagnosed mental illness should be targeted for policy and service attention during high temperature days and further research should investigate specific mental illness and adjust for a wider range of confounding factors.\ntitleTranslation: </w:instrText>
      </w:r>
      <w:r w:rsidRPr="00742E53">
        <w:rPr>
          <w:rFonts w:cs="Times New Roman"/>
          <w:color w:val="000000"/>
          <w:szCs w:val="24"/>
          <w:lang w:val="en-GB"/>
        </w:rPr>
        <w:instrText>精神疾病与更易受极端高温事件负面健康影响：系统综述</w:instrText>
      </w:r>
      <w:r w:rsidRPr="00742E53">
        <w:rPr>
          <w:rFonts w:cs="Times New Roman"/>
          <w:color w:val="000000"/>
          <w:szCs w:val="24"/>
          <w:lang w:val="en-GB"/>
        </w:rPr>
        <w:instrText xml:space="preserve">\nabstractTranslation: </w:instrText>
      </w:r>
      <w:r w:rsidRPr="00742E53">
        <w:rPr>
          <w:rFonts w:cs="Times New Roman"/>
          <w:color w:val="000000"/>
          <w:szCs w:val="24"/>
          <w:lang w:val="en-GB"/>
        </w:rPr>
        <w:instrText>目的我们进行了一项系统综述，以研究精神疾病作为热暴露与发病率或死亡率之间关系的一个效应调节因素。</w:instrText>
      </w:r>
      <w:r w:rsidRPr="00742E53">
        <w:rPr>
          <w:rFonts w:cs="Times New Roman"/>
          <w:color w:val="000000"/>
          <w:szCs w:val="24"/>
          <w:lang w:val="en-GB"/>
        </w:rPr>
        <w:instrText>\n</w:instrText>
      </w:r>
      <w:r w:rsidRPr="00742E53">
        <w:rPr>
          <w:rFonts w:cs="Times New Roman"/>
          <w:color w:val="000000"/>
          <w:szCs w:val="24"/>
          <w:lang w:val="en-GB"/>
        </w:rPr>
        <w:instrText>研究方法检索了六个数据库（</w:instrText>
      </w:r>
      <w:r w:rsidRPr="00742E53">
        <w:rPr>
          <w:rFonts w:cs="Times New Roman"/>
          <w:color w:val="000000"/>
          <w:szCs w:val="24"/>
          <w:lang w:val="en-GB"/>
        </w:rPr>
        <w:instrText>Medline</w:instrText>
      </w:r>
      <w:r w:rsidRPr="00742E53">
        <w:rPr>
          <w:rFonts w:cs="Times New Roman"/>
          <w:color w:val="000000"/>
          <w:szCs w:val="24"/>
          <w:lang w:val="en-GB"/>
        </w:rPr>
        <w:instrText>、</w:instrText>
      </w:r>
      <w:r w:rsidRPr="00742E53">
        <w:rPr>
          <w:rFonts w:cs="Times New Roman"/>
          <w:color w:val="000000"/>
          <w:szCs w:val="24"/>
          <w:lang w:val="en-GB"/>
        </w:rPr>
        <w:instrText>Embase</w:instrText>
      </w:r>
      <w:r w:rsidRPr="00742E53">
        <w:rPr>
          <w:rFonts w:cs="Times New Roman"/>
          <w:color w:val="000000"/>
          <w:szCs w:val="24"/>
          <w:lang w:val="en-GB"/>
        </w:rPr>
        <w:instrText>、</w:instrText>
      </w:r>
      <w:r w:rsidRPr="00742E53">
        <w:rPr>
          <w:rFonts w:cs="Times New Roman"/>
          <w:color w:val="000000"/>
          <w:szCs w:val="24"/>
          <w:lang w:val="en-GB"/>
        </w:rPr>
        <w:instrText>Global Health</w:instrText>
      </w:r>
      <w:r w:rsidRPr="00742E53">
        <w:rPr>
          <w:rFonts w:cs="Times New Roman"/>
          <w:color w:val="000000"/>
          <w:szCs w:val="24"/>
          <w:lang w:val="en-GB"/>
        </w:rPr>
        <w:instrText>、</w:instrText>
      </w:r>
      <w:r w:rsidRPr="00742E53">
        <w:rPr>
          <w:rFonts w:cs="Times New Roman"/>
          <w:color w:val="000000"/>
          <w:szCs w:val="24"/>
          <w:lang w:val="en-GB"/>
        </w:rPr>
        <w:instrText>PsychInfo</w:instrText>
      </w:r>
      <w:r w:rsidRPr="00742E53">
        <w:rPr>
          <w:rFonts w:cs="Times New Roman"/>
          <w:color w:val="000000"/>
          <w:szCs w:val="24"/>
          <w:lang w:val="en-GB"/>
        </w:rPr>
        <w:instrText>、</w:instrText>
      </w:r>
      <w:r w:rsidRPr="00742E53">
        <w:rPr>
          <w:rFonts w:cs="Times New Roman"/>
          <w:color w:val="000000"/>
          <w:szCs w:val="24"/>
          <w:lang w:val="en-GB"/>
        </w:rPr>
        <w:instrText xml:space="preserve">CINAHL </w:instrText>
      </w:r>
      <w:r w:rsidRPr="00742E53">
        <w:rPr>
          <w:rFonts w:cs="Times New Roman"/>
          <w:color w:val="000000"/>
          <w:szCs w:val="24"/>
          <w:lang w:val="en-GB"/>
        </w:rPr>
        <w:instrText>和</w:instrText>
      </w:r>
      <w:r w:rsidRPr="00742E53">
        <w:rPr>
          <w:rFonts w:cs="Times New Roman"/>
          <w:color w:val="000000"/>
          <w:szCs w:val="24"/>
          <w:lang w:val="en-GB"/>
        </w:rPr>
        <w:instrText xml:space="preserve"> Scopus</w:instrText>
      </w:r>
      <w:r w:rsidRPr="00742E53">
        <w:rPr>
          <w:rFonts w:cs="Times New Roman"/>
          <w:color w:val="000000"/>
          <w:szCs w:val="24"/>
          <w:lang w:val="en-GB"/>
        </w:rPr>
        <w:instrText>）中</w:instrText>
      </w:r>
      <w:r w:rsidRPr="00742E53">
        <w:rPr>
          <w:rFonts w:cs="Times New Roman"/>
          <w:color w:val="000000"/>
          <w:szCs w:val="24"/>
          <w:lang w:val="en-GB"/>
        </w:rPr>
        <w:instrText xml:space="preserve"> 2000 </w:instrText>
      </w:r>
      <w:r w:rsidRPr="00742E53">
        <w:rPr>
          <w:rFonts w:cs="Times New Roman"/>
          <w:color w:val="000000"/>
          <w:szCs w:val="24"/>
          <w:lang w:val="en-GB"/>
        </w:rPr>
        <w:instrText>年至</w:instrText>
      </w:r>
      <w:r w:rsidRPr="00742E53">
        <w:rPr>
          <w:rFonts w:cs="Times New Roman"/>
          <w:color w:val="000000"/>
          <w:szCs w:val="24"/>
          <w:lang w:val="en-GB"/>
        </w:rPr>
        <w:instrText xml:space="preserve"> 2022 </w:instrText>
      </w:r>
      <w:r w:rsidRPr="00742E53">
        <w:rPr>
          <w:rFonts w:cs="Times New Roman"/>
          <w:color w:val="000000"/>
          <w:szCs w:val="24"/>
          <w:lang w:val="en-GB"/>
        </w:rPr>
        <w:instrText>年间发表的研究。通过叙事综合法对符合纳入标准的</w:instrText>
      </w:r>
      <w:r w:rsidRPr="00742E53">
        <w:rPr>
          <w:rFonts w:cs="Times New Roman"/>
          <w:color w:val="000000"/>
          <w:szCs w:val="24"/>
          <w:lang w:val="en-GB"/>
        </w:rPr>
        <w:instrText xml:space="preserve"> 22 </w:instrText>
      </w:r>
      <w:r w:rsidRPr="00742E53">
        <w:rPr>
          <w:rFonts w:cs="Times New Roman"/>
          <w:color w:val="000000"/>
          <w:szCs w:val="24"/>
          <w:lang w:val="en-GB"/>
        </w:rPr>
        <w:instrText>项观察性研究进行了调查。采用</w:instrText>
      </w:r>
      <w:r w:rsidRPr="00742E53">
        <w:rPr>
          <w:rFonts w:cs="Times New Roman"/>
          <w:color w:val="000000"/>
          <w:szCs w:val="24"/>
          <w:lang w:val="en-GB"/>
        </w:rPr>
        <w:instrText xml:space="preserve"> RoBANS </w:instrText>
      </w:r>
      <w:r w:rsidRPr="00742E53">
        <w:rPr>
          <w:rFonts w:cs="Times New Roman"/>
          <w:color w:val="000000"/>
          <w:szCs w:val="24"/>
          <w:lang w:val="en-GB"/>
        </w:rPr>
        <w:instrText>工具、</w:instrText>
      </w:r>
      <w:r w:rsidRPr="00742E53">
        <w:rPr>
          <w:rFonts w:cs="Times New Roman"/>
          <w:color w:val="000000"/>
          <w:szCs w:val="24"/>
          <w:lang w:val="en-GB"/>
        </w:rPr>
        <w:instrText xml:space="preserve">ROBIS </w:instrText>
      </w:r>
      <w:r w:rsidRPr="00742E53">
        <w:rPr>
          <w:rFonts w:cs="Times New Roman"/>
          <w:color w:val="000000"/>
          <w:szCs w:val="24"/>
          <w:lang w:val="en-GB"/>
        </w:rPr>
        <w:instrText>和</w:instrText>
      </w:r>
      <w:r w:rsidRPr="00742E53">
        <w:rPr>
          <w:rFonts w:cs="Times New Roman"/>
          <w:color w:val="000000"/>
          <w:szCs w:val="24"/>
          <w:lang w:val="en-GB"/>
        </w:rPr>
        <w:instrText xml:space="preserve"> GRADE </w:instrText>
      </w:r>
      <w:r w:rsidRPr="00742E53">
        <w:rPr>
          <w:rFonts w:cs="Times New Roman"/>
          <w:color w:val="000000"/>
          <w:szCs w:val="24"/>
          <w:lang w:val="en-GB"/>
        </w:rPr>
        <w:instrText>评估证据的确定性，包括偏倚风险。</w:instrText>
      </w:r>
      <w:r w:rsidRPr="00742E53">
        <w:rPr>
          <w:rFonts w:cs="Times New Roman"/>
          <w:color w:val="000000"/>
          <w:szCs w:val="24"/>
          <w:lang w:val="en-GB"/>
        </w:rPr>
        <w:instrText>\n</w:instrText>
      </w:r>
      <w:r w:rsidRPr="00742E53">
        <w:rPr>
          <w:rFonts w:cs="Times New Roman"/>
          <w:color w:val="000000"/>
          <w:szCs w:val="24"/>
          <w:lang w:val="en-GB"/>
        </w:rPr>
        <w:instrText>研究结果在所有调查单日高温的研究中，精神病患者的发病率和死亡率均低于非精神病患者。但对热浪进行研究的结果却不尽相同，报告的结果也不尽相同。</w:instrText>
      </w:r>
      <w:r w:rsidRPr="00742E53">
        <w:rPr>
          <w:rFonts w:cs="Times New Roman"/>
          <w:color w:val="000000"/>
          <w:szCs w:val="24"/>
          <w:lang w:val="en-GB"/>
        </w:rPr>
        <w:instrText>\n</w:instrText>
      </w:r>
      <w:r w:rsidRPr="00742E53">
        <w:rPr>
          <w:rFonts w:cs="Times New Roman"/>
          <w:color w:val="000000"/>
          <w:szCs w:val="24"/>
          <w:lang w:val="en-GB"/>
        </w:rPr>
        <w:instrText>结论和影响：在高温天里，政策和服务机构应关注已确诊患有精神疾病的人群。进一步的研究应该对特定的精神疾病进行调查，并对更多的干扰因素进行调整。</w:instrText>
      </w:r>
      <w:r w:rsidRPr="00742E53">
        <w:rPr>
          <w:rFonts w:cs="Times New Roman"/>
          <w:color w:val="000000"/>
          <w:szCs w:val="24"/>
          <w:lang w:val="en-GB"/>
        </w:rPr>
        <w:instrText xml:space="preserve">","page":"115678","source":"4.2","title":"Mental illness and increased vulnerability to negative health effects from extreme heat events: a systematic review","title-short":"Mental illness and increased vulnerability to negative health effects from extreme heat events","volume":"332","author":[{"family":"Meadows","given":"Julia"},{"family":"Mansour","given":"Adelle"},{"family":"Gatto","given":"Maria Rosa"},{"family":"Li","given":"Ang"},{"family":"Howard","given":"Amber"},{"family":"Bentley","given":"Rebecca"}],"issued":{"date-parts":[["2024",2]]}}}],"schema":"https://github.com/citation-style-language/schema/raw/master/csl-citation.json"} </w:instrText>
      </w:r>
      <w:r w:rsidRPr="00742E53">
        <w:rPr>
          <w:rFonts w:cs="Times New Roman"/>
          <w:color w:val="000000"/>
          <w:szCs w:val="24"/>
          <w:lang w:val="en-GB"/>
        </w:rPr>
        <w:fldChar w:fldCharType="separate"/>
      </w:r>
      <w:r w:rsidRPr="00742E53">
        <w:rPr>
          <w:rFonts w:cs="Times New Roman"/>
          <w:noProof/>
          <w:color w:val="000000"/>
          <w:szCs w:val="24"/>
          <w:lang w:val="en-GB"/>
        </w:rPr>
        <w:t>(Meadows et al., 2024)</w:t>
      </w:r>
      <w:r w:rsidRPr="00742E53">
        <w:rPr>
          <w:rFonts w:cs="Times New Roman"/>
          <w:color w:val="000000"/>
          <w:szCs w:val="24"/>
          <w:lang w:val="en-GB"/>
        </w:rPr>
        <w:fldChar w:fldCharType="end"/>
      </w:r>
      <w:r w:rsidRPr="00742E53">
        <w:rPr>
          <w:rFonts w:cs="Times New Roman"/>
          <w:color w:val="000000"/>
          <w:szCs w:val="24"/>
          <w:lang w:val="en-GB"/>
        </w:rPr>
        <w:t xml:space="preserve"> (refer to Supplementary Note S1 for more details).</w:t>
      </w:r>
    </w:p>
    <w:p w14:paraId="77AB73FF" w14:textId="77777777" w:rsidR="00742E53" w:rsidRP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Cs w:val="24"/>
          <w:lang w:val="en-GB"/>
        </w:rPr>
      </w:pPr>
    </w:p>
    <w:p w14:paraId="078DFC1F" w14:textId="77777777" w:rsidR="00742E53" w:rsidRPr="00742E53" w:rsidRDefault="00742E53" w:rsidP="00742E53">
      <w:pPr>
        <w:pStyle w:val="NormalWeb"/>
        <w:rPr>
          <w:rFonts w:ascii="Times New Roman" w:hAnsi="Times New Roman" w:cs="Times New Roman"/>
          <w:color w:val="FF0000"/>
        </w:rPr>
      </w:pPr>
      <w:r w:rsidRPr="00742E53">
        <w:rPr>
          <w:rFonts w:ascii="Times New Roman" w:hAnsi="Times New Roman" w:cs="Times New Roman"/>
        </w:rPr>
        <w:t xml:space="preserve">Power outages may influence mental health through infrastructure-dependent pathways that are distinct from direct weather effects. Evidence suggests that outage-related disruptions to cooling or heating systems (e.g., thermal discomfort </w:t>
      </w:r>
      <w:r w:rsidRPr="00742E53">
        <w:rPr>
          <w:rFonts w:ascii="Times New Roman" w:hAnsi="Times New Roman" w:cs="Times New Roman"/>
          <w:color w:val="000000" w:themeColor="text1"/>
        </w:rPr>
        <w:t xml:space="preserve">due to inability </w:t>
      </w:r>
      <w:r w:rsidRPr="00742E53">
        <w:rPr>
          <w:rFonts w:ascii="Times New Roman" w:hAnsi="Times New Roman" w:cs="Times New Roman"/>
        </w:rPr>
        <w:t xml:space="preserve">to control the indoor environment, sleep disruption related to heat and cold exposure) can further intensify psychological distress, especially during extreme weather </w:t>
      </w:r>
      <w:r w:rsidRPr="00742E53">
        <w:rPr>
          <w:rFonts w:ascii="Times New Roman" w:hAnsi="Times New Roman" w:cs="Times New Roman"/>
          <w:color w:val="000000" w:themeColor="text1"/>
        </w:rPr>
        <w:t xml:space="preserve">conditions, </w:t>
      </w:r>
      <w:r w:rsidRPr="00742E53">
        <w:rPr>
          <w:rFonts w:ascii="Times New Roman" w:hAnsi="Times New Roman" w:cs="Times New Roman"/>
          <w:color w:val="000000" w:themeColor="text1"/>
        </w:rPr>
        <w:lastRenderedPageBreak/>
        <w:t xml:space="preserve">although most </w:t>
      </w:r>
      <w:r w:rsidRPr="00742E53">
        <w:rPr>
          <w:rFonts w:ascii="Times New Roman" w:hAnsi="Times New Roman" w:cs="Times New Roman"/>
        </w:rPr>
        <w:t xml:space="preserve">existing studies identify this mechanism in the context of co-occurring hazards rather than in isolation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{"citationID":"CdUbwzS8","properties":{"unsorted":false,"formattedCitation":"(Casey et al., 2020; Klinger et al., 2014)","plainCitation":"(Casey et al., 2020; Klinger et al., 2014)","noteIndex":0},"citationItems":[{"id":5558,"uris":["http://zotero.org/users/12445093/items/M866US4X"],"itemData":{"id":5558,"type":"article-journal","abstract":"Purpose of Review Power outages, a common and underappreciated consequence of natural disasters, are increasing in number and severity due to climate change and aging electricity grids. This narrative review synthesizes the literature on power outages and health in communities.","container-title":"Current Environmental Health Reports","DOI":"10.1007/s40572-020-00295-0","ISSN":"2196-5412","issue":"4","journalAbbreviation":"Curr Envir Health Rpt","language":"en","note":"</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DeepLX(API)\n\ntitleTranslation: [</w:instrText>
      </w:r>
      <w:r w:rsidRPr="00742E53">
        <w:rPr>
          <w:rFonts w:ascii="Times New Roman" w:hAnsi="Times New Roman" w:cs="Times New Roman"/>
        </w:rPr>
        <w:instrText>请求错误</w:instrText>
      </w:r>
      <w:r w:rsidRPr="00742E53">
        <w:rPr>
          <w:rFonts w:ascii="Times New Roman" w:hAnsi="Times New Roman" w:cs="Times New Roman"/>
        </w:rPr>
        <w:instrText>]\nError: HTTP POST https://api.deeplx.org/y-cS26zcyRdzQVtXTjNhBWk5TQOXCjem9HBtsjut7EM/translate failed with status code 401\nabstractTranslation: [</w:instrText>
      </w:r>
      <w:r w:rsidRPr="00742E53">
        <w:rPr>
          <w:rFonts w:ascii="Times New Roman" w:hAnsi="Times New Roman" w:cs="Times New Roman"/>
        </w:rPr>
        <w:instrText>请求错误</w:instrText>
      </w:r>
      <w:r w:rsidRPr="00742E53">
        <w:rPr>
          <w:rFonts w:ascii="Times New Roman" w:hAnsi="Times New Roman" w:cs="Times New Roman"/>
        </w:rPr>
        <w:instrText>]\n</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DeepLX(API)\n\nError: HTTP POST https://api.deeplx.org/y-cS26zcyRdzQVtXTjNhBWk5TQOXCjem9HBtsjut7EM/translate failed with status code 401","page":"371-383","source":"DOI.org (Crossref)","title":"Power Outages and Community Health: a Narrative Review","title-short":"Power Outages and Community Health","volume":"7","author":[{"family":"Casey","given":"Joan A."},{"family":"Fukurai","given":"Mihoka"},{"family":"Hernández","given":"Diana"},{"family":"Balsari","given":"Satchit"},{"family":"Kiang","given":"Mathew V."}],"issued":{"date-parts":[["2020",12]]}}},{"id":5581,"uris":["http://zotero.org/users/12445093/items/SJVDMSEL"],"itemData":{"id":5581,"type":"article-journal","abstract":"Background Extreme events (e.g. flooding) threaten critical infrastructure including power supplies. Many interlinked systems in the modern world depend on a reliable power supply to function effectively. The health sector is no exception, but the impact of power outages on health is poorly understood. Greater understanding is essential so that adverse health impacts can be prevented and/or mitigated.\nMethods We searched Medline, CINAHL and Scopus for papers about the health impacts of power outages during extreme events published in 2011-2012. A thematic analysis was undertaken on the extracted information. The Public Health England Extreme Events Bulletins between 01/01/2013 – 31/03/2013 were used to identify extreme events that led to power outages during this three-month period.\nResults We identified 20 relevant articles. Power outages were found to impact health at many levels within diverse settings. Recurrent themes included the difficulties of accessing healthcare, maintaining frontline services and the challenges of community healthcare. We identified 52 power outages in 19 countries that were the direct consequence of extreme events during the first three months of 2013.\nConclusions To our knowledge, this is the first review of the health impacts of power outages. We found the current evidence and knowledge base to be poor. With scientific consensus predicting an increase in the frequency and magnitude of extreme events due to climate change, the gaps in knowledge need to be addressed in order to mitigate the impact of power outages on global health.","container-title":"PLoS Currents","DOI":"10.1371/currents.dis.04eb1dc5e73dd1377e05a10e9edde673","ISSN":"2157-3999","journalAbbreviation":"PLoS Curr","language":"en","note":"</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DeepLX(API)\n\ntitleTranslation: [</w:instrText>
      </w:r>
      <w:r w:rsidRPr="00742E53">
        <w:rPr>
          <w:rFonts w:ascii="Times New Roman" w:hAnsi="Times New Roman" w:cs="Times New Roman"/>
        </w:rPr>
        <w:instrText>请求错误</w:instrText>
      </w:r>
      <w:r w:rsidRPr="00742E53">
        <w:rPr>
          <w:rFonts w:ascii="Times New Roman" w:hAnsi="Times New Roman" w:cs="Times New Roman"/>
        </w:rPr>
        <w:instrText>]\nError: HTTP POST https://api.deeplx.org/y-cS26zcyRdzQVtXTjNhBWk5TQOXCjem9HBtsjut7EM/translate failed with status code 401\nabstractTranslation: [</w:instrText>
      </w:r>
      <w:r w:rsidRPr="00742E53">
        <w:rPr>
          <w:rFonts w:ascii="Times New Roman" w:hAnsi="Times New Roman" w:cs="Times New Roman"/>
        </w:rPr>
        <w:instrText>请求错误</w:instrText>
      </w:r>
      <w:r w:rsidRPr="00742E53">
        <w:rPr>
          <w:rFonts w:ascii="Times New Roman" w:hAnsi="Times New Roman" w:cs="Times New Roman"/>
        </w:rPr>
        <w:instrText>]\n</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DeepLX(API)\n\nError: HTTP POST https://api.deeplx.org/y-cS26zcyRdzQVtXTjNhBWk5TQOXCjem9HBtsjut7EM/translate failed with status code 401","source":"DOI.org (Crossref)","title":"Power Outages, Extreme Events and Health: a Systematic Review of the Literature from 2011-2012","title-short":"Power Outages, Extreme Events and Health","URL":"https://currents.plos.org/disasters/index.html%3Fp=10801.html","author":[{"family":"Klinger","given":"Chaamala"},{"family":"Landeg","given":"Owen"},{"family":"Murray","given":"Virginia"}],"accessed":{"date-parts":[["2026",2,18]]},"issued":{"date-parts":[["2014"]]}}}],"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(Casey et al., 2020; Klinger et al., 2014)</w:t>
      </w:r>
      <w:r w:rsidRPr="00742E53">
        <w:rPr>
          <w:rFonts w:ascii="Times New Roman" w:hAnsi="Times New Roman" w:cs="Times New Roman"/>
        </w:rPr>
        <w:fldChar w:fldCharType="end"/>
      </w:r>
      <w:r w:rsidRPr="00742E53">
        <w:rPr>
          <w:rFonts w:ascii="Times New Roman" w:hAnsi="Times New Roman" w:cs="Times New Roman"/>
        </w:rPr>
        <w:t xml:space="preserve">. </w:t>
      </w:r>
      <w:r w:rsidRPr="00742E53">
        <w:rPr>
          <w:rFonts w:ascii="Times New Roman" w:hAnsi="Times New Roman" w:cs="Times New Roman"/>
          <w:color w:val="000000" w:themeColor="text1"/>
        </w:rPr>
        <w:t xml:space="preserve">Beyond physical discomfort, outages may generate psychological distress through disrupted daily routines, uncertainty about restoration timing, and reduced access to social support </w:t>
      </w:r>
      <w:r w:rsidRPr="00742E53">
        <w:rPr>
          <w:rFonts w:ascii="Times New Roman" w:hAnsi="Times New Roman" w:cs="Times New Roman"/>
          <w:color w:val="000000" w:themeColor="text1"/>
        </w:rPr>
        <w:fldChar w:fldCharType="begin"/>
      </w:r>
      <w:r w:rsidRPr="00742E53">
        <w:rPr>
          <w:rFonts w:ascii="Times New Roman" w:hAnsi="Times New Roman" w:cs="Times New Roman"/>
          <w:color w:val="000000" w:themeColor="text1"/>
        </w:rPr>
        <w:instrText xml:space="preserve"> ADDIN ZOTERO_ITEM CSL_CITATION {"citationID":"anA4Krd8","properties":{"unsorted":false,"formattedCitation":"(Casey et al., 2020; Rubin &amp; Rogers, 2019)","plainCitation":"(Casey et al., 2020; Rubin &amp; Rogers, 2019)","noteIndex":0},"citationItems":[{"id":5558,"uris":["http://zotero.org/users/12445093/items/M866US4X"],"itemData":{"id":5558,"type":"article-journal","abstract":"Purpose of Review Power outages, a common and underappreciated consequence of natural disasters, are increasing in number and severity due to climate change and aging electricity grids. This narrative review synthesizes the literature on power outages and health in communities.","container-title":"Current Environmental Health Reports","DOI":"10.1007/s40572-020-00295-0","ISSN":"2196-5412","issue":"4","journalAbbreviation":"Curr Envir Health Rpt","language":"en","note":"</w:instrText>
      </w:r>
      <w:r w:rsidRPr="00742E53">
        <w:rPr>
          <w:rFonts w:ascii="Times New Roman" w:hAnsi="Times New Roman" w:cs="Times New Roman"/>
          <w:color w:val="000000" w:themeColor="text1"/>
        </w:rPr>
        <w:instrText>此翻译服务不可用，可能是密钥错误，也可能是请求过快。</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可以尝试其他翻译服务，或者来此查看相关回答：</w:instrText>
      </w:r>
      <w:r w:rsidRPr="00742E53">
        <w:rPr>
          <w:rFonts w:ascii="Times New Roman" w:hAnsi="Times New Roman" w:cs="Times New Roman"/>
          <w:color w:val="000000" w:themeColor="text1"/>
        </w:rPr>
        <w:instrText>\nhttps://zotero.yuque.com/staff-gkhviy/pdf-trans/age09f\n\n</w:instrText>
      </w:r>
      <w:r w:rsidRPr="00742E53">
        <w:rPr>
          <w:rFonts w:ascii="Times New Roman" w:hAnsi="Times New Roman" w:cs="Times New Roman"/>
          <w:color w:val="000000" w:themeColor="text1"/>
        </w:rPr>
        <w:instrText>请注意，这些错误与</w:instrText>
      </w:r>
      <w:r w:rsidRPr="00742E53">
        <w:rPr>
          <w:rFonts w:ascii="Times New Roman" w:hAnsi="Times New Roman" w:cs="Times New Roman"/>
          <w:color w:val="000000" w:themeColor="text1"/>
        </w:rPr>
        <w:instrText xml:space="preserve"> Zotero </w:instrText>
      </w:r>
      <w:r w:rsidRPr="00742E53">
        <w:rPr>
          <w:rFonts w:ascii="Times New Roman" w:hAnsi="Times New Roman" w:cs="Times New Roman"/>
          <w:color w:val="000000" w:themeColor="text1"/>
        </w:rPr>
        <w:instrText>和本翻译插件无关，由该翻译服务引起：</w:instrText>
      </w:r>
      <w:r w:rsidRPr="00742E53">
        <w:rPr>
          <w:rFonts w:ascii="Times New Roman" w:hAnsi="Times New Roman" w:cs="Times New Roman"/>
          <w:color w:val="000000" w:themeColor="text1"/>
        </w:rPr>
        <w:instrText xml:space="preserve"> DeepLX(API)\n\ntitleTranslation: [</w:instrText>
      </w:r>
      <w:r w:rsidRPr="00742E53">
        <w:rPr>
          <w:rFonts w:ascii="Times New Roman" w:hAnsi="Times New Roman" w:cs="Times New Roman"/>
          <w:color w:val="000000" w:themeColor="text1"/>
        </w:rPr>
        <w:instrText>请求错误</w:instrText>
      </w:r>
      <w:r w:rsidRPr="00742E53">
        <w:rPr>
          <w:rFonts w:ascii="Times New Roman" w:hAnsi="Times New Roman" w:cs="Times New Roman"/>
          <w:color w:val="000000" w:themeColor="text1"/>
        </w:rPr>
        <w:instrText>]\nError: HTTP POST https://api.deeplx.org/y-cS26zcyRdzQVtXTjNhBWk5TQOXCjem9HBtsjut7EM/translate failed with status code 401\nabstractTranslation: [</w:instrText>
      </w:r>
      <w:r w:rsidRPr="00742E53">
        <w:rPr>
          <w:rFonts w:ascii="Times New Roman" w:hAnsi="Times New Roman" w:cs="Times New Roman"/>
          <w:color w:val="000000" w:themeColor="text1"/>
        </w:rPr>
        <w:instrText>请求错误</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此翻译服务不可用，可能是密钥错误，也可能是请求过快。</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可以尝试其他翻译服务，或者来此查看相关回答：</w:instrText>
      </w:r>
      <w:r w:rsidRPr="00742E53">
        <w:rPr>
          <w:rFonts w:ascii="Times New Roman" w:hAnsi="Times New Roman" w:cs="Times New Roman"/>
          <w:color w:val="000000" w:themeColor="text1"/>
        </w:rPr>
        <w:instrText>\nhttps://zotero.yuque.com/staff-gkhviy/pdf-trans/age09f\n\n</w:instrText>
      </w:r>
      <w:r w:rsidRPr="00742E53">
        <w:rPr>
          <w:rFonts w:ascii="Times New Roman" w:hAnsi="Times New Roman" w:cs="Times New Roman"/>
          <w:color w:val="000000" w:themeColor="text1"/>
        </w:rPr>
        <w:instrText>请注意，这些错误与</w:instrText>
      </w:r>
      <w:r w:rsidRPr="00742E53">
        <w:rPr>
          <w:rFonts w:ascii="Times New Roman" w:hAnsi="Times New Roman" w:cs="Times New Roman"/>
          <w:color w:val="000000" w:themeColor="text1"/>
        </w:rPr>
        <w:instrText xml:space="preserve"> Zotero </w:instrText>
      </w:r>
      <w:r w:rsidRPr="00742E53">
        <w:rPr>
          <w:rFonts w:ascii="Times New Roman" w:hAnsi="Times New Roman" w:cs="Times New Roman"/>
          <w:color w:val="000000" w:themeColor="text1"/>
        </w:rPr>
        <w:instrText>和本翻译插件无关，由该翻译服务引起：</w:instrText>
      </w:r>
      <w:r w:rsidRPr="00742E53">
        <w:rPr>
          <w:rFonts w:ascii="Times New Roman" w:hAnsi="Times New Roman" w:cs="Times New Roman"/>
          <w:color w:val="000000" w:themeColor="text1"/>
        </w:rPr>
        <w:instrText xml:space="preserve"> DeepLX(API)\n\nError: HTTP POST https://api.deeplx.org/y-cS26zcyRdzQVtXTjNhBWk5TQOXCjem9HBtsjut7EM/translate failed with status code 401","page":"371-383","source":"DOI.org (Crossref)","title":"Power Outages and Community Health: a Narrative Review","title-short":"Power Outages and Community Health","volume":"7","author":[{"family":"Casey","given":"Joan A."},{"family":"Fukurai","given":"Mihoka"},{"family":"Hernández","given":"Diana"},{"family":"Balsari","given":"Satchit"},{"family":"Kiang","given":"Mathew V."}],"issued":{"date-parts":[["2020",12]]}}},{"id":5525,"uris":["http://zotero.org/users/12445093/items/HP2QNVY7"],"itemData":{"id":5525,"type":"article-journal","call-number":"2","container-title":"International Journal of Disaster Risk Reduction","DOI":"10.1016/j.ijdrr.2019.101226","ISSN":"22124209","journalAbbreviation":"International Journal of Disaster Risk Reduction","language":"en","note":"titleTranslation: [</w:instrText>
      </w:r>
      <w:r w:rsidRPr="00742E53">
        <w:rPr>
          <w:rFonts w:ascii="Times New Roman" w:hAnsi="Times New Roman" w:cs="Times New Roman"/>
          <w:color w:val="000000" w:themeColor="text1"/>
        </w:rPr>
        <w:instrText>请求错误</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此翻译服务不可用，可能是密钥错误，也可能是请求过快。</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可以尝试其他翻译服务，或者来此查看相关回答：</w:instrText>
      </w:r>
      <w:r w:rsidRPr="00742E53">
        <w:rPr>
          <w:rFonts w:ascii="Times New Roman" w:hAnsi="Times New Roman" w:cs="Times New Roman"/>
          <w:color w:val="000000" w:themeColor="text1"/>
        </w:rPr>
        <w:instrText>\nhttps://zotero.yuque.com/staff-gkhviy/pdf-trans/age09f\n\n</w:instrText>
      </w:r>
      <w:r w:rsidRPr="00742E53">
        <w:rPr>
          <w:rFonts w:ascii="Times New Roman" w:hAnsi="Times New Roman" w:cs="Times New Roman"/>
          <w:color w:val="000000" w:themeColor="text1"/>
        </w:rPr>
        <w:instrText>请注意，这些错误与</w:instrText>
      </w:r>
      <w:r w:rsidRPr="00742E53">
        <w:rPr>
          <w:rFonts w:ascii="Times New Roman" w:hAnsi="Times New Roman" w:cs="Times New Roman"/>
          <w:color w:val="000000" w:themeColor="text1"/>
        </w:rPr>
        <w:instrText xml:space="preserve"> Zotero </w:instrText>
      </w:r>
      <w:r w:rsidRPr="00742E53">
        <w:rPr>
          <w:rFonts w:ascii="Times New Roman" w:hAnsi="Times New Roman" w:cs="Times New Roman"/>
          <w:color w:val="000000" w:themeColor="text1"/>
        </w:rPr>
        <w:instrText>和本翻译插件无关，由该翻译服务引起：</w:instrText>
      </w:r>
      <w:r w:rsidRPr="00742E53">
        <w:rPr>
          <w:rFonts w:ascii="Times New Roman" w:hAnsi="Times New Roman" w:cs="Times New Roman"/>
          <w:color w:val="000000" w:themeColor="text1"/>
        </w:rPr>
        <w:instrText xml:space="preserve"> DeepLX(API)\n\nError: HTTP POST https://api.deeplx.org/y-cS26zcyRdzQVtXTjNhBWk5TQOXCjem9HBtsjut7EM/translate failed with status code 401","page":"101226","source":"DOI.org (Crossref)","title":"Behavioural and psychological responses of the public during a major power outage: A literature review","title-short":"Behavioural and psychological responses of the public during a major power outage","volume":"38","author":[{"family":"Rubin","given":"G James"},{"family":"Rogers","given":"M Brooke"}],"issued":{"date-parts":[["2019",8]]}}}],"schema":"https://github.com/citation-style-language/schema/raw/master/csl-citation.json"} </w:instrText>
      </w:r>
      <w:r w:rsidRPr="00742E53">
        <w:rPr>
          <w:rFonts w:ascii="Times New Roman" w:hAnsi="Times New Roman" w:cs="Times New Roman"/>
          <w:color w:val="000000" w:themeColor="text1"/>
        </w:rPr>
        <w:fldChar w:fldCharType="separate"/>
      </w:r>
      <w:r w:rsidRPr="00742E53">
        <w:rPr>
          <w:rFonts w:ascii="Times New Roman" w:hAnsi="Times New Roman" w:cs="Times New Roman"/>
          <w:noProof/>
          <w:color w:val="000000" w:themeColor="text1"/>
        </w:rPr>
        <w:t>(Casey et al., 2020; Rubin &amp; Rogers, 2019)</w:t>
      </w:r>
      <w:r w:rsidRPr="00742E53">
        <w:rPr>
          <w:rFonts w:ascii="Times New Roman" w:hAnsi="Times New Roman" w:cs="Times New Roman"/>
          <w:color w:val="000000" w:themeColor="text1"/>
        </w:rPr>
        <w:fldChar w:fldCharType="end"/>
      </w:r>
      <w:r w:rsidRPr="00742E53">
        <w:rPr>
          <w:rFonts w:ascii="Times New Roman" w:hAnsi="Times New Roman" w:cs="Times New Roman"/>
          <w:color w:val="000000" w:themeColor="text1"/>
        </w:rPr>
        <w:t>.</w:t>
      </w:r>
    </w:p>
    <w:p w14:paraId="6D0DD5C0" w14:textId="77777777" w:rsidR="00742E53" w:rsidRPr="00742E53" w:rsidRDefault="00742E53" w:rsidP="00742E53">
      <w:pPr>
        <w:pStyle w:val="NormalWeb"/>
        <w:rPr>
          <w:rFonts w:ascii="Times New Roman" w:hAnsi="Times New Roman" w:cs="Times New Roman"/>
          <w:shd w:val="clear" w:color="auto" w:fill="FFFFFF"/>
        </w:rPr>
      </w:pPr>
    </w:p>
    <w:p w14:paraId="46CE1232" w14:textId="77777777" w:rsidR="00742E53" w:rsidRPr="00742E53" w:rsidRDefault="00742E53" w:rsidP="00742E53">
      <w:pPr>
        <w:pStyle w:val="NormalWeb"/>
        <w:rPr>
          <w:rFonts w:ascii="Times New Roman" w:hAnsi="Times New Roman" w:cs="Times New Roman"/>
          <w:color w:val="000000" w:themeColor="text1"/>
        </w:rPr>
      </w:pPr>
      <w:r w:rsidRPr="00742E53">
        <w:rPr>
          <w:rFonts w:ascii="Times New Roman" w:hAnsi="Times New Roman" w:cs="Times New Roman"/>
        </w:rPr>
        <w:t xml:space="preserve">For people with pre-existing psychiatric conditions, outages may further destabilize symptoms by disrupting treatment continuity (telehealth access, medication refills, crisis support), especially during cascading events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{"citationID":"tcxYMi5c","properties":{"unsorted":false,"formattedCitation":"(S. Grineski et al., 2023; Sugg et al., 2023)","plainCitation":"(S. Grineski et al., 2023; Sugg et al., 2023)","noteIndex":0},"citationItems":[{"id":4594,"uris":["http://zotero.org/users/12445093/items/SUULT9B4"],"itemData":{"id":4594,"type":"article-journal","abstract":"While cold weather disasters are likely to become more frequent under climate change, most health research is focused on heat waves, flooding or hurricanes. Oriented by a “cascading disaster health inequities” approach, we examine anxiety and depression after a cold-weather disaster using survey data (n = 790) collected in eight Texas metropolitan statistical areas following Winter Storm Uri (2021). 14.9% of respondents experienced anxiety (GAD-2) and 15.1% experienced depression (PHQ-2) six months after the event. In multivariable models, disability status and having more adverse event experiences during the storm increased odds of depression and anxiety. Minority racial/ethnic status was associated with greater odds of depression, but not anxiety. Those who were Black and disabled, Hispanic and disabled, disabled and Uri impacted, Black and Uri impacted or Hispanic and Uri impacted faced increased odds of depression compared to the applicable “doubly privileged” reference category. Those who were Hispanic and disabled or disabled and Uri impacted experienced elevated odds of anxiety compared to the applicable “doubly privileged” reference category. Results demonstrate the utility of a “cascading disasters mental health inequities” approach for illuminating how social factors intersect with disaster experiences to shape disparate risks.","call-number":"2","container-title":"International Journal of Disaster Risk Reduction","DOI":"10.1016/j.ijdrr.2023.103933","ISSN":"22124209","journalAbbreviation":"International Journal of Disaster Risk Reduction","language":"en","note":"TLDR: Results demonstrate the utility of a \"cascading disasters mental health inequities\" approach for illuminating how social factors intersect with disaster experiences to shape disparate risks.\ntitleTranslation: </w:instrText>
      </w:r>
      <w:r w:rsidRPr="00742E53">
        <w:rPr>
          <w:rFonts w:ascii="Times New Roman" w:hAnsi="Times New Roman" w:cs="Times New Roman"/>
        </w:rPr>
        <w:instrText>乌里冬季暴风雪后的焦虑与抑郁：连环灾难与心理健康不平等</w:instrText>
      </w:r>
      <w:r w:rsidRPr="00742E53">
        <w:rPr>
          <w:rFonts w:ascii="Times New Roman" w:hAnsi="Times New Roman" w:cs="Times New Roman"/>
        </w:rPr>
        <w:instrText xml:space="preserve">\nabstractTranslation: </w:instrText>
      </w:r>
      <w:r w:rsidRPr="00742E53">
        <w:rPr>
          <w:rFonts w:ascii="Times New Roman" w:hAnsi="Times New Roman" w:cs="Times New Roman"/>
        </w:rPr>
        <w:instrText>在气候变化的影响下，寒冷天气灾害可能会变得更加频繁，但大多数健康研究都集中在热浪、洪水或飓风上。我们以</w:instrText>
      </w:r>
      <w:r w:rsidRPr="00742E53">
        <w:rPr>
          <w:rFonts w:ascii="Times New Roman" w:hAnsi="Times New Roman" w:cs="Times New Roman"/>
        </w:rPr>
        <w:instrText xml:space="preserve"> \"</w:instrText>
      </w:r>
      <w:r w:rsidRPr="00742E53">
        <w:rPr>
          <w:rFonts w:ascii="Times New Roman" w:hAnsi="Times New Roman" w:cs="Times New Roman"/>
        </w:rPr>
        <w:instrText>连环灾害健康不平等</w:instrText>
      </w:r>
      <w:r w:rsidRPr="00742E53">
        <w:rPr>
          <w:rFonts w:ascii="Times New Roman" w:hAnsi="Times New Roman" w:cs="Times New Roman"/>
        </w:rPr>
        <w:instrText xml:space="preserve"> \"</w:instrText>
      </w:r>
      <w:r w:rsidRPr="00742E53">
        <w:rPr>
          <w:rFonts w:ascii="Times New Roman" w:hAnsi="Times New Roman" w:cs="Times New Roman"/>
        </w:rPr>
        <w:instrText>为导向，利用在冬季风暴尤里（</w:instrText>
      </w:r>
      <w:r w:rsidRPr="00742E53">
        <w:rPr>
          <w:rFonts w:ascii="Times New Roman" w:hAnsi="Times New Roman" w:cs="Times New Roman"/>
        </w:rPr>
        <w:instrText xml:space="preserve">2021 </w:instrText>
      </w:r>
      <w:r w:rsidRPr="00742E53">
        <w:rPr>
          <w:rFonts w:ascii="Times New Roman" w:hAnsi="Times New Roman" w:cs="Times New Roman"/>
        </w:rPr>
        <w:instrText>年）之后在德克萨斯州八个大都市统计区收集到的调查数据（</w:instrText>
      </w:r>
      <w:r w:rsidRPr="00742E53">
        <w:rPr>
          <w:rFonts w:ascii="Times New Roman" w:hAnsi="Times New Roman" w:cs="Times New Roman"/>
        </w:rPr>
        <w:instrText>n = 790</w:instrText>
      </w:r>
      <w:r w:rsidRPr="00742E53">
        <w:rPr>
          <w:rFonts w:ascii="Times New Roman" w:hAnsi="Times New Roman" w:cs="Times New Roman"/>
        </w:rPr>
        <w:instrText>），研究了寒冷天气灾害之后的焦虑和抑郁情况。事件发生六个月后，</w:instrText>
      </w:r>
      <w:r w:rsidRPr="00742E53">
        <w:rPr>
          <w:rFonts w:ascii="Times New Roman" w:hAnsi="Times New Roman" w:cs="Times New Roman"/>
        </w:rPr>
        <w:instrText xml:space="preserve">14.9% </w:instrText>
      </w:r>
      <w:r w:rsidRPr="00742E53">
        <w:rPr>
          <w:rFonts w:ascii="Times New Roman" w:hAnsi="Times New Roman" w:cs="Times New Roman"/>
        </w:rPr>
        <w:instrText>的受访者经历了焦虑（</w:instrText>
      </w:r>
      <w:r w:rsidRPr="00742E53">
        <w:rPr>
          <w:rFonts w:ascii="Times New Roman" w:hAnsi="Times New Roman" w:cs="Times New Roman"/>
        </w:rPr>
        <w:instrText>GAD-2</w:instrText>
      </w:r>
      <w:r w:rsidRPr="00742E53">
        <w:rPr>
          <w:rFonts w:ascii="Times New Roman" w:hAnsi="Times New Roman" w:cs="Times New Roman"/>
        </w:rPr>
        <w:instrText>），</w:instrText>
      </w:r>
      <w:r w:rsidRPr="00742E53">
        <w:rPr>
          <w:rFonts w:ascii="Times New Roman" w:hAnsi="Times New Roman" w:cs="Times New Roman"/>
        </w:rPr>
        <w:instrText xml:space="preserve">15.1% </w:instrText>
      </w:r>
      <w:r w:rsidRPr="00742E53">
        <w:rPr>
          <w:rFonts w:ascii="Times New Roman" w:hAnsi="Times New Roman" w:cs="Times New Roman"/>
        </w:rPr>
        <w:instrText>的受访者经历了抑郁（</w:instrText>
      </w:r>
      <w:r w:rsidRPr="00742E53">
        <w:rPr>
          <w:rFonts w:ascii="Times New Roman" w:hAnsi="Times New Roman" w:cs="Times New Roman"/>
        </w:rPr>
        <w:instrText>PHQ-2</w:instrText>
      </w:r>
      <w:r w:rsidRPr="00742E53">
        <w:rPr>
          <w:rFonts w:ascii="Times New Roman" w:hAnsi="Times New Roman" w:cs="Times New Roman"/>
        </w:rPr>
        <w:instrText>）。在多变量模型中，残疾状况和在风暴期间经历更多不利事件会增加抑郁和焦虑的几率。少数种族</w:instrText>
      </w:r>
      <w:r w:rsidRPr="00742E53">
        <w:rPr>
          <w:rFonts w:ascii="Times New Roman" w:hAnsi="Times New Roman" w:cs="Times New Roman"/>
        </w:rPr>
        <w:instrText>/</w:instrText>
      </w:r>
      <w:r w:rsidRPr="00742E53">
        <w:rPr>
          <w:rFonts w:ascii="Times New Roman" w:hAnsi="Times New Roman" w:cs="Times New Roman"/>
        </w:rPr>
        <w:instrText>族裔身份与抑郁几率增加有关，但与焦虑无关。与适用的</w:instrText>
      </w:r>
      <w:r w:rsidRPr="00742E53">
        <w:rPr>
          <w:rFonts w:ascii="Times New Roman" w:hAnsi="Times New Roman" w:cs="Times New Roman"/>
        </w:rPr>
        <w:instrText xml:space="preserve"> \"</w:instrText>
      </w:r>
      <w:r w:rsidRPr="00742E53">
        <w:rPr>
          <w:rFonts w:ascii="Times New Roman" w:hAnsi="Times New Roman" w:cs="Times New Roman"/>
        </w:rPr>
        <w:instrText>双重特权</w:instrText>
      </w:r>
      <w:r w:rsidRPr="00742E53">
        <w:rPr>
          <w:rFonts w:ascii="Times New Roman" w:hAnsi="Times New Roman" w:cs="Times New Roman"/>
        </w:rPr>
        <w:instrText xml:space="preserve"> \"</w:instrText>
      </w:r>
      <w:r w:rsidRPr="00742E53">
        <w:rPr>
          <w:rFonts w:ascii="Times New Roman" w:hAnsi="Times New Roman" w:cs="Times New Roman"/>
        </w:rPr>
        <w:instrText>参照类别相比，黑人和残疾人、西班牙裔和残疾人、残疾人和受乌里事件影响者、黑人和受乌里事件影响者或西班牙裔和受乌里事件影响者患抑郁症的几率更高。与适用的</w:instrText>
      </w:r>
      <w:r w:rsidRPr="00742E53">
        <w:rPr>
          <w:rFonts w:ascii="Times New Roman" w:hAnsi="Times New Roman" w:cs="Times New Roman"/>
        </w:rPr>
        <w:instrText xml:space="preserve"> \"</w:instrText>
      </w:r>
      <w:r w:rsidRPr="00742E53">
        <w:rPr>
          <w:rFonts w:ascii="Times New Roman" w:hAnsi="Times New Roman" w:cs="Times New Roman"/>
        </w:rPr>
        <w:instrText>双重特权</w:instrText>
      </w:r>
      <w:r w:rsidRPr="00742E53">
        <w:rPr>
          <w:rFonts w:ascii="Times New Roman" w:hAnsi="Times New Roman" w:cs="Times New Roman"/>
        </w:rPr>
        <w:instrText xml:space="preserve"> \"</w:instrText>
      </w:r>
      <w:r w:rsidRPr="00742E53">
        <w:rPr>
          <w:rFonts w:ascii="Times New Roman" w:hAnsi="Times New Roman" w:cs="Times New Roman"/>
        </w:rPr>
        <w:instrText>参照类别相比，西班牙裔和残疾或残疾和受乌里影响的人患焦虑症的几率更高。研究结果表明，</w:instrText>
      </w:r>
      <w:r w:rsidRPr="00742E53">
        <w:rPr>
          <w:rFonts w:ascii="Times New Roman" w:hAnsi="Times New Roman" w:cs="Times New Roman"/>
        </w:rPr>
        <w:instrText>\"</w:instrText>
      </w:r>
      <w:r w:rsidRPr="00742E53">
        <w:rPr>
          <w:rFonts w:ascii="Times New Roman" w:hAnsi="Times New Roman" w:cs="Times New Roman"/>
        </w:rPr>
        <w:instrText>连环灾难心理健康不平等</w:instrText>
      </w:r>
      <w:r w:rsidRPr="00742E53">
        <w:rPr>
          <w:rFonts w:ascii="Times New Roman" w:hAnsi="Times New Roman" w:cs="Times New Roman"/>
        </w:rPr>
        <w:instrText xml:space="preserve"> \"</w:instrText>
      </w:r>
      <w:r w:rsidRPr="00742E53">
        <w:rPr>
          <w:rFonts w:ascii="Times New Roman" w:hAnsi="Times New Roman" w:cs="Times New Roman"/>
        </w:rPr>
        <w:instrText>的方法有助于揭示社会因素如何与灾难经历交织在一起，从而形成不同的风险。</w:instrText>
      </w:r>
      <w:r w:rsidRPr="00742E53">
        <w:rPr>
          <w:rFonts w:ascii="Times New Roman" w:hAnsi="Times New Roman" w:cs="Times New Roman"/>
        </w:rPr>
        <w:instrText>","page":"103933","source":"4.2","title":"Anxiety and depression after winter storm Uri: Cascading disasters and mental health inequities","title-short":"Anxiety and depression after winter storm Uri","volume":"96","author":[{"family":"Grineski","given":"Sara"},{"family":"Scott","given":"Mathilda"},{"family":"Collins","given":"Timothy"},{"family":"Chakraborty","given":"Jay"},{"family":"Ramos","given":"Kevin"}],"issued":{"date-parts":[["2023",10]]}}},{"id":5529,"uris":["http://zotero.org/users/12445093/items/U6D83BRE"],"itemData":{"id":5529,"type":"article-journal","container-title":"Science of The Total Environment","DOI":"10.1016/j.scitotenv.2023.163231","ISSN":"00489697","journalAbbreviation":"Science of The Total Environment","language":"en","note":"titleTranslation: [</w:instrText>
      </w:r>
      <w:r w:rsidRPr="00742E53">
        <w:rPr>
          <w:rFonts w:ascii="Times New Roman" w:hAnsi="Times New Roman" w:cs="Times New Roman"/>
        </w:rPr>
        <w:instrText>请求错误</w:instrText>
      </w:r>
      <w:r w:rsidRPr="00742E53">
        <w:rPr>
          <w:rFonts w:ascii="Times New Roman" w:hAnsi="Times New Roman" w:cs="Times New Roman"/>
        </w:rPr>
        <w:instrText>]\n</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DeepLX(API)\n\nError: HTTP POST https://api.deeplx.org/y-cS26zcyRdzQVtXTjNhBWk5TQOXCjem9HBtsjut7EM/translate failed with status code 401","page":"163231","source":"DOI.org (Crossref)","title":"Cascading disasters and mental health: The February 2021 winter storm and power crisis in Texas, USA","title-short":"Cascading disasters and mental health","volume":"880","author":[{"family":"Sugg","given":"Margaret M."},{"family":"Wertis","given":"Luke"},{"family":"Ryan","given":"Sophia C."},{"family":"Green","given":"Shannon"},{"family":"Singh","given":"Devyani"},{"family":"Runkle","given":"Jennifer D."}],"issued":{"date-parts":[["2023",7]]}}}],"schema":"https://github.com/citation-style-language/schema/raw/master/csl-citation.json"}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(S. Grineski et al., 2023; Sugg et al., 2023)</w:t>
      </w:r>
      <w:r w:rsidRPr="00742E53">
        <w:rPr>
          <w:rFonts w:ascii="Times New Roman" w:hAnsi="Times New Roman" w:cs="Times New Roman"/>
        </w:rPr>
        <w:fldChar w:fldCharType="end"/>
      </w:r>
      <w:r w:rsidRPr="00742E53">
        <w:rPr>
          <w:rFonts w:ascii="Times New Roman" w:hAnsi="Times New Roman" w:cs="Times New Roman"/>
        </w:rPr>
        <w:t xml:space="preserve">. These risks are socially patterned: vulnerable groups include older adults, people with psychiatric conditions, and those dependent on electrically powered medical equipment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{"citationID":"UO5mS7X3","properties":{"unsorted":false,"formattedCitation":"(Casey et al., 2021; Rubin &amp; Rogers, 2019)","plainCitation":"(Casey et al., 2021; Rubin &amp; Rogers, 2019)","noteIndex":0},"citationItems":[{"id":4571,"uris":["http://zotero.org/users/12445093/items/UARXLMDJ"],"itemData":{"id":4571,"type":"article-journal","abstract":"Background:\n              Duration and number of power outages have increased over time, partly fueled by climate change, putting users of electricity-dependent durable medical equipment (hereafter, “durable medical equipment”) at particular risk of adverse health outcomes. Given health disparities in the United States, we assessed trends in durable medical equipment rental prevalence and individual- and area-level sociodemographic inequalities.\n            \n            \n              Methods:\n              Using Kaiser Permanente South California electronic health record data, we identified durable medical equipment renters. We calculated annual prevalence of equipment rental and fit hierarchical generalized linear models with ZIP code random intercepts, stratified by rental of breast pumps or other equipment.\n            \n            \n              Results:\n              243,559 KPSC members rented durable medical equipment between 2008 and 2018. Rental prevalence increased over time across age, sex, racial–ethnic, and Medicaid categories, most by &gt;100%. In adjusted analyses, Medicaid use was associated with increased prevalence and 108 (95% confidence interval [CI] = 99, 117) additional days of equipment rental during the study period. ZIP code-level sociodemographics were associated with increased prevalence of equipment rentals, for example, a 1 SD increase in percent unemployed and &lt;high school diploma (prevalence ratio [PR] = 1.1, 95% CI = 1.1, 1.1 and PR = 1.1, 95% CI = 1.1, 1.2, respectively). Increased Supplemental Nutrition Assistance Program usage was associated with decreased breast pump rentals (PR = 0.83, 95% CI = 0.78, 0.88).\n            \n            \n              Conclusions:\n              We observed some socioeconomic disparities among a growing electricity-dependent population. Our findings are consistent with the hypothesis that reliable electricity access is increasingly required to meet the health needs of medically disadvantaged groups. See video abstract at http://links.lww.com/EDE/B793.","call-number":"2","container-title":"Epidemiology","DOI":"10.1097/EDE.0000000000001333","ISSN":"1044-3983","issue":"3","language":"en","note":"TLDR: The findings are consistent with the hypothesis that reliable electricity access is increasingly required to meet the health needs of medically disadvantaged groups and observe some socioeconomic disparities among a growing electricity-dependent population.\ntitleTranslation: 2008 </w:instrText>
      </w:r>
      <w:r w:rsidRPr="00742E53">
        <w:rPr>
          <w:rFonts w:ascii="Times New Roman" w:hAnsi="Times New Roman" w:cs="Times New Roman"/>
        </w:rPr>
        <w:instrText>年至</w:instrText>
      </w:r>
      <w:r w:rsidRPr="00742E53">
        <w:rPr>
          <w:rFonts w:ascii="Times New Roman" w:hAnsi="Times New Roman" w:cs="Times New Roman"/>
        </w:rPr>
        <w:instrText xml:space="preserve"> 2018 </w:instrText>
      </w:r>
      <w:r w:rsidRPr="00742E53">
        <w:rPr>
          <w:rFonts w:ascii="Times New Roman" w:hAnsi="Times New Roman" w:cs="Times New Roman"/>
        </w:rPr>
        <w:instrText>年依赖电力的耐用医疗设备租赁和社会人口差异趋势</w:instrText>
      </w:r>
      <w:r w:rsidRPr="00742E53">
        <w:rPr>
          <w:rFonts w:ascii="Times New Roman" w:hAnsi="Times New Roman" w:cs="Times New Roman"/>
        </w:rPr>
        <w:instrText xml:space="preserve">\nabstractTranslation: </w:instrText>
      </w:r>
      <w:r w:rsidRPr="00742E53">
        <w:rPr>
          <w:rFonts w:ascii="Times New Roman" w:hAnsi="Times New Roman" w:cs="Times New Roman"/>
        </w:rPr>
        <w:instrText>背景：</w:instrText>
      </w:r>
      <w:r w:rsidRPr="00742E53">
        <w:rPr>
          <w:rFonts w:ascii="Times New Roman" w:hAnsi="Times New Roman" w:cs="Times New Roman"/>
        </w:rPr>
        <w:instrText xml:space="preserve">\n              </w:instrText>
      </w:r>
      <w:r w:rsidRPr="00742E53">
        <w:rPr>
          <w:rFonts w:ascii="Times New Roman" w:hAnsi="Times New Roman" w:cs="Times New Roman"/>
        </w:rPr>
        <w:instrText>随着时间的推移，停电的持续时间和次数都在增加，部分原因是气候变化，这使得依赖电力的耐用医疗设备（以下简称</w:instrText>
      </w:r>
      <w:r w:rsidRPr="00742E53">
        <w:rPr>
          <w:rFonts w:ascii="Times New Roman" w:hAnsi="Times New Roman" w:cs="Times New Roman"/>
        </w:rPr>
        <w:instrText xml:space="preserve"> \"</w:instrText>
      </w:r>
      <w:r w:rsidRPr="00742E53">
        <w:rPr>
          <w:rFonts w:ascii="Times New Roman" w:hAnsi="Times New Roman" w:cs="Times New Roman"/>
        </w:rPr>
        <w:instrText>耐用医疗设备</w:instrText>
      </w:r>
      <w:r w:rsidRPr="00742E53">
        <w:rPr>
          <w:rFonts w:ascii="Times New Roman" w:hAnsi="Times New Roman" w:cs="Times New Roman"/>
        </w:rPr>
        <w:instrText>\"</w:instrText>
      </w:r>
      <w:r w:rsidRPr="00742E53">
        <w:rPr>
          <w:rFonts w:ascii="Times New Roman" w:hAnsi="Times New Roman" w:cs="Times New Roman"/>
        </w:rPr>
        <w:instrText>）的使用者尤其面临不良健康后果的风险。鉴于美国的健康差异，我们评估了耐用医疗设备租赁流行趋势以及个人和地区层面的社会人口不平等。</w:instrText>
      </w:r>
      <w:r w:rsidRPr="00742E53">
        <w:rPr>
          <w:rFonts w:ascii="Times New Roman" w:hAnsi="Times New Roman" w:cs="Times New Roman"/>
        </w:rPr>
        <w:instrText xml:space="preserve">\n            \n            \n              </w:instrText>
      </w:r>
      <w:r w:rsidRPr="00742E53">
        <w:rPr>
          <w:rFonts w:ascii="Times New Roman" w:hAnsi="Times New Roman" w:cs="Times New Roman"/>
        </w:rPr>
        <w:instrText>方法：</w:instrText>
      </w:r>
      <w:r w:rsidRPr="00742E53">
        <w:rPr>
          <w:rFonts w:ascii="Times New Roman" w:hAnsi="Times New Roman" w:cs="Times New Roman"/>
        </w:rPr>
        <w:instrText xml:space="preserve">\n              </w:instrText>
      </w:r>
      <w:r w:rsidRPr="00742E53">
        <w:rPr>
          <w:rFonts w:ascii="Times New Roman" w:hAnsi="Times New Roman" w:cs="Times New Roman"/>
        </w:rPr>
        <w:instrText>我们利用南加州凯撒医疗集团的电子健康记录数据，确定了耐用医疗设备的租用者。我们计算了设备租赁的年流行率，并根据吸奶器或其他设备的租赁情况，利用邮政编码随机截距拟合了分层广义线性模型。</w:instrText>
      </w:r>
      <w:r w:rsidRPr="00742E53">
        <w:rPr>
          <w:rFonts w:ascii="Times New Roman" w:hAnsi="Times New Roman" w:cs="Times New Roman"/>
        </w:rPr>
        <w:instrText xml:space="preserve">\n            \n            \n              </w:instrText>
      </w:r>
      <w:r w:rsidRPr="00742E53">
        <w:rPr>
          <w:rFonts w:ascii="Times New Roman" w:hAnsi="Times New Roman" w:cs="Times New Roman"/>
        </w:rPr>
        <w:instrText>结果：</w:instrText>
      </w:r>
      <w:r w:rsidRPr="00742E53">
        <w:rPr>
          <w:rFonts w:ascii="Times New Roman" w:hAnsi="Times New Roman" w:cs="Times New Roman"/>
        </w:rPr>
        <w:instrText xml:space="preserve">\n              243,559 </w:instrText>
      </w:r>
      <w:r w:rsidRPr="00742E53">
        <w:rPr>
          <w:rFonts w:ascii="Times New Roman" w:hAnsi="Times New Roman" w:cs="Times New Roman"/>
        </w:rPr>
        <w:instrText>名</w:instrText>
      </w:r>
      <w:r w:rsidRPr="00742E53">
        <w:rPr>
          <w:rFonts w:ascii="Times New Roman" w:hAnsi="Times New Roman" w:cs="Times New Roman"/>
        </w:rPr>
        <w:instrText xml:space="preserve"> KPSC </w:instrText>
      </w:r>
      <w:r w:rsidRPr="00742E53">
        <w:rPr>
          <w:rFonts w:ascii="Times New Roman" w:hAnsi="Times New Roman" w:cs="Times New Roman"/>
        </w:rPr>
        <w:instrText>会员在</w:instrText>
      </w:r>
      <w:r w:rsidRPr="00742E53">
        <w:rPr>
          <w:rFonts w:ascii="Times New Roman" w:hAnsi="Times New Roman" w:cs="Times New Roman"/>
        </w:rPr>
        <w:instrText xml:space="preserve"> 2008 </w:instrText>
      </w:r>
      <w:r w:rsidRPr="00742E53">
        <w:rPr>
          <w:rFonts w:ascii="Times New Roman" w:hAnsi="Times New Roman" w:cs="Times New Roman"/>
        </w:rPr>
        <w:instrText>年至</w:instrText>
      </w:r>
      <w:r w:rsidRPr="00742E53">
        <w:rPr>
          <w:rFonts w:ascii="Times New Roman" w:hAnsi="Times New Roman" w:cs="Times New Roman"/>
        </w:rPr>
        <w:instrText xml:space="preserve"> 2018 </w:instrText>
      </w:r>
      <w:r w:rsidRPr="00742E53">
        <w:rPr>
          <w:rFonts w:ascii="Times New Roman" w:hAnsi="Times New Roman" w:cs="Times New Roman"/>
        </w:rPr>
        <w:instrText>年期间租用了耐用医疗设备。随着时间的推移，不同年龄、性别、种族族裔和医疗补助类别的租用率都有所上升，大部分上升了</w:instrText>
      </w:r>
      <w:r w:rsidRPr="00742E53">
        <w:rPr>
          <w:rFonts w:ascii="Times New Roman" w:hAnsi="Times New Roman" w:cs="Times New Roman"/>
        </w:rPr>
        <w:instrText xml:space="preserve"> &gt;100%</w:instrText>
      </w:r>
      <w:r w:rsidRPr="00742E53">
        <w:rPr>
          <w:rFonts w:ascii="Times New Roman" w:hAnsi="Times New Roman" w:cs="Times New Roman"/>
        </w:rPr>
        <w:instrText>。在调整后的分析中，医疗补助的使用与流行率的增加以及研究期间额外的</w:instrText>
      </w:r>
      <w:r w:rsidRPr="00742E53">
        <w:rPr>
          <w:rFonts w:ascii="Times New Roman" w:hAnsi="Times New Roman" w:cs="Times New Roman"/>
        </w:rPr>
        <w:instrText xml:space="preserve"> 108 </w:instrText>
      </w:r>
      <w:r w:rsidRPr="00742E53">
        <w:rPr>
          <w:rFonts w:ascii="Times New Roman" w:hAnsi="Times New Roman" w:cs="Times New Roman"/>
        </w:rPr>
        <w:instrText>天（</w:instrText>
      </w:r>
      <w:r w:rsidRPr="00742E53">
        <w:rPr>
          <w:rFonts w:ascii="Times New Roman" w:hAnsi="Times New Roman" w:cs="Times New Roman"/>
        </w:rPr>
        <w:instrText xml:space="preserve">95% </w:instrText>
      </w:r>
      <w:r w:rsidRPr="00742E53">
        <w:rPr>
          <w:rFonts w:ascii="Times New Roman" w:hAnsi="Times New Roman" w:cs="Times New Roman"/>
        </w:rPr>
        <w:instrText>置信区间</w:instrText>
      </w:r>
      <w:r w:rsidRPr="00742E53">
        <w:rPr>
          <w:rFonts w:ascii="Times New Roman" w:hAnsi="Times New Roman" w:cs="Times New Roman"/>
        </w:rPr>
        <w:instrText xml:space="preserve"> [CI] = 99</w:instrText>
      </w:r>
      <w:r w:rsidRPr="00742E53">
        <w:rPr>
          <w:rFonts w:ascii="Times New Roman" w:hAnsi="Times New Roman" w:cs="Times New Roman"/>
        </w:rPr>
        <w:instrText>，</w:instrText>
      </w:r>
      <w:r w:rsidRPr="00742E53">
        <w:rPr>
          <w:rFonts w:ascii="Times New Roman" w:hAnsi="Times New Roman" w:cs="Times New Roman"/>
        </w:rPr>
        <w:instrText>117</w:instrText>
      </w:r>
      <w:r w:rsidRPr="00742E53">
        <w:rPr>
          <w:rFonts w:ascii="Times New Roman" w:hAnsi="Times New Roman" w:cs="Times New Roman"/>
        </w:rPr>
        <w:instrText>）设备租赁相关。邮政编码级别的社会人口统计学特征与设备租赁率的增加有关，例如，失业率和高中以下文凭的百分比增加</w:instrText>
      </w:r>
      <w:r w:rsidRPr="00742E53">
        <w:rPr>
          <w:rFonts w:ascii="Times New Roman" w:hAnsi="Times New Roman" w:cs="Times New Roman"/>
        </w:rPr>
        <w:instrText xml:space="preserve"> 1 SD</w:instrText>
      </w:r>
      <w:r w:rsidRPr="00742E53">
        <w:rPr>
          <w:rFonts w:ascii="Times New Roman" w:hAnsi="Times New Roman" w:cs="Times New Roman"/>
        </w:rPr>
        <w:instrText>（患病率比</w:instrText>
      </w:r>
      <w:r w:rsidRPr="00742E53">
        <w:rPr>
          <w:rFonts w:ascii="Times New Roman" w:hAnsi="Times New Roman" w:cs="Times New Roman"/>
        </w:rPr>
        <w:instrText xml:space="preserve"> [PR] = 1.1</w:instrText>
      </w:r>
      <w:r w:rsidRPr="00742E53">
        <w:rPr>
          <w:rFonts w:ascii="Times New Roman" w:hAnsi="Times New Roman" w:cs="Times New Roman"/>
        </w:rPr>
        <w:instrText>，</w:instrText>
      </w:r>
      <w:r w:rsidRPr="00742E53">
        <w:rPr>
          <w:rFonts w:ascii="Times New Roman" w:hAnsi="Times New Roman" w:cs="Times New Roman"/>
        </w:rPr>
        <w:instrText>95% CI = 1.1</w:instrText>
      </w:r>
      <w:r w:rsidRPr="00742E53">
        <w:rPr>
          <w:rFonts w:ascii="Times New Roman" w:hAnsi="Times New Roman" w:cs="Times New Roman"/>
        </w:rPr>
        <w:instrText>，</w:instrText>
      </w:r>
      <w:r w:rsidRPr="00742E53">
        <w:rPr>
          <w:rFonts w:ascii="Times New Roman" w:hAnsi="Times New Roman" w:cs="Times New Roman"/>
        </w:rPr>
        <w:instrText xml:space="preserve">1.1 </w:instrText>
      </w:r>
      <w:r w:rsidRPr="00742E53">
        <w:rPr>
          <w:rFonts w:ascii="Times New Roman" w:hAnsi="Times New Roman" w:cs="Times New Roman"/>
        </w:rPr>
        <w:instrText>和</w:instrText>
      </w:r>
      <w:r w:rsidRPr="00742E53">
        <w:rPr>
          <w:rFonts w:ascii="Times New Roman" w:hAnsi="Times New Roman" w:cs="Times New Roman"/>
        </w:rPr>
        <w:instrText xml:space="preserve"> PR = 1.1</w:instrText>
      </w:r>
      <w:r w:rsidRPr="00742E53">
        <w:rPr>
          <w:rFonts w:ascii="Times New Roman" w:hAnsi="Times New Roman" w:cs="Times New Roman"/>
        </w:rPr>
        <w:instrText>，</w:instrText>
      </w:r>
      <w:r w:rsidRPr="00742E53">
        <w:rPr>
          <w:rFonts w:ascii="Times New Roman" w:hAnsi="Times New Roman" w:cs="Times New Roman"/>
        </w:rPr>
        <w:instrText>95% CI = 1.1</w:instrText>
      </w:r>
      <w:r w:rsidRPr="00742E53">
        <w:rPr>
          <w:rFonts w:ascii="Times New Roman" w:hAnsi="Times New Roman" w:cs="Times New Roman"/>
        </w:rPr>
        <w:instrText>，</w:instrText>
      </w:r>
      <w:r w:rsidRPr="00742E53">
        <w:rPr>
          <w:rFonts w:ascii="Times New Roman" w:hAnsi="Times New Roman" w:cs="Times New Roman"/>
        </w:rPr>
        <w:instrText>1.2</w:instrText>
      </w:r>
      <w:r w:rsidRPr="00742E53">
        <w:rPr>
          <w:rFonts w:ascii="Times New Roman" w:hAnsi="Times New Roman" w:cs="Times New Roman"/>
        </w:rPr>
        <w:instrText>）。补充营养援助计划使用率的提高与吸乳器租用率的降低有关（</w:instrText>
      </w:r>
      <w:r w:rsidRPr="00742E53">
        <w:rPr>
          <w:rFonts w:ascii="Times New Roman" w:hAnsi="Times New Roman" w:cs="Times New Roman"/>
        </w:rPr>
        <w:instrText>PR = 0.83</w:instrText>
      </w:r>
      <w:r w:rsidRPr="00742E53">
        <w:rPr>
          <w:rFonts w:ascii="Times New Roman" w:hAnsi="Times New Roman" w:cs="Times New Roman"/>
        </w:rPr>
        <w:instrText>，</w:instrText>
      </w:r>
      <w:r w:rsidRPr="00742E53">
        <w:rPr>
          <w:rFonts w:ascii="Times New Roman" w:hAnsi="Times New Roman" w:cs="Times New Roman"/>
        </w:rPr>
        <w:instrText>95% CI = 0.78</w:instrText>
      </w:r>
      <w:r w:rsidRPr="00742E53">
        <w:rPr>
          <w:rFonts w:ascii="Times New Roman" w:hAnsi="Times New Roman" w:cs="Times New Roman"/>
        </w:rPr>
        <w:instrText>，</w:instrText>
      </w:r>
      <w:r w:rsidRPr="00742E53">
        <w:rPr>
          <w:rFonts w:ascii="Times New Roman" w:hAnsi="Times New Roman" w:cs="Times New Roman"/>
        </w:rPr>
        <w:instrText>0.88</w:instrText>
      </w:r>
      <w:r w:rsidRPr="00742E53">
        <w:rPr>
          <w:rFonts w:ascii="Times New Roman" w:hAnsi="Times New Roman" w:cs="Times New Roman"/>
        </w:rPr>
        <w:instrText>）。</w:instrText>
      </w:r>
      <w:r w:rsidRPr="00742E53">
        <w:rPr>
          <w:rFonts w:ascii="Times New Roman" w:hAnsi="Times New Roman" w:cs="Times New Roman"/>
        </w:rPr>
        <w:instrText xml:space="preserve">\n            \n            \n              </w:instrText>
      </w:r>
      <w:r w:rsidRPr="00742E53">
        <w:rPr>
          <w:rFonts w:ascii="Times New Roman" w:hAnsi="Times New Roman" w:cs="Times New Roman"/>
        </w:rPr>
        <w:instrText>结论：</w:instrText>
      </w:r>
      <w:r w:rsidRPr="00742E53">
        <w:rPr>
          <w:rFonts w:ascii="Times New Roman" w:hAnsi="Times New Roman" w:cs="Times New Roman"/>
        </w:rPr>
        <w:instrText xml:space="preserve">\n              </w:instrText>
      </w:r>
      <w:r w:rsidRPr="00742E53">
        <w:rPr>
          <w:rFonts w:ascii="Times New Roman" w:hAnsi="Times New Roman" w:cs="Times New Roman"/>
        </w:rPr>
        <w:instrText>我们观察到在日益增长的电力依赖人群中存在一些社会经济差异。我们的研究结果与以下假设相符：要满足医疗弱势群体的健康需求，越来越需要可靠的电力供应。请参见</w:instrText>
      </w:r>
      <w:r w:rsidRPr="00742E53">
        <w:rPr>
          <w:rFonts w:ascii="Times New Roman" w:hAnsi="Times New Roman" w:cs="Times New Roman"/>
        </w:rPr>
        <w:instrText xml:space="preserve"> http://links.lww.com/EDE/B793 </w:instrText>
      </w:r>
      <w:r w:rsidRPr="00742E53">
        <w:rPr>
          <w:rFonts w:ascii="Times New Roman" w:hAnsi="Times New Roman" w:cs="Times New Roman"/>
        </w:rPr>
        <w:instrText>上的视频摘要。</w:instrText>
      </w:r>
      <w:r w:rsidRPr="00742E53">
        <w:rPr>
          <w:rFonts w:ascii="Times New Roman" w:hAnsi="Times New Roman" w:cs="Times New Roman"/>
        </w:rPr>
        <w:instrText>","page":"327-335","source":"4.7","title":"Trends from 2008 to 2018 in Electricity-dependent Durable Medical Equipment Rentals and Sociodemographic Disparities","volume":"32","author":[{"family":"Casey","given":"Joan A."},{"family":"Mango","given":"Marriele"},{"family":"Mullendore","given":"Seth"},{"family":"Kiang","given":"Mathew V."},{"family":"Hernández","given":"Diana"},{"family":"Li","given":"Bonnie H."},{"family":"Li","given":"Kris"},{"family":"Im","given":"Theresa M."},{"family":"Tartof","given":"Sara Y."}],"issued":{"date-parts":[["2021",5]]}}},{"id":5525,"uris":["http://zotero.org/users/12445093/items/HP2QNVY7"],"itemData":{"id":5525,"type":"article-journal","call-number":"2","container-title":"International Journal of Disaster Risk Reduction","DOI":"10.1016/j.ijdrr.2019.101226","ISSN":"22124209","journalAbbreviation":"International Journal of Disaster Risk Reduction","language":"en","note":"titleTranslation: [</w:instrText>
      </w:r>
      <w:r w:rsidRPr="00742E53">
        <w:rPr>
          <w:rFonts w:ascii="Times New Roman" w:hAnsi="Times New Roman" w:cs="Times New Roman"/>
        </w:rPr>
        <w:instrText>请求错误</w:instrText>
      </w:r>
      <w:r w:rsidRPr="00742E53">
        <w:rPr>
          <w:rFonts w:ascii="Times New Roman" w:hAnsi="Times New Roman" w:cs="Times New Roman"/>
        </w:rPr>
        <w:instrText>]\n</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DeepLX(API)\n\nError: HTTP POST https://api.deeplx.org/y-cS26zcyRdzQVtXTjNhBWk5TQOXCjem9HBtsjut7EM/translate failed with status code 401","page":"101226","source":"DOI.org (Crossref)","title":"Behavioural and psychological responses of the public during a major power outage: A literature review","title-short":"Behavioural and psychological responses of the public during a major power outage","volume":"38","author":[{"family":"Rubin","given":"G James"},{"family":"Rogers","given":"M Brooke"}],"issued":{"date-parts":[["2019",8]]}}}],"schema":"https://github.com/citation-style-language/schema/raw/master/csl-citation.json"}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(Casey et al., 2021; Rubin &amp; Rogers, 2019)</w:t>
      </w:r>
      <w:r w:rsidRPr="00742E53">
        <w:rPr>
          <w:rFonts w:ascii="Times New Roman" w:hAnsi="Times New Roman" w:cs="Times New Roman"/>
        </w:rPr>
        <w:fldChar w:fldCharType="end"/>
      </w:r>
      <w:r w:rsidRPr="00742E53">
        <w:rPr>
          <w:rFonts w:ascii="Times New Roman" w:hAnsi="Times New Roman" w:cs="Times New Roman"/>
        </w:rPr>
        <w:t xml:space="preserve">, and ZIP-level evidence suggests higher outage frequency in lower-income communities and shorter durations where critical facilities are present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{"citationID":"hmd5KsnI","properties":{"unsorted":false,"formattedCitation":"(Bhattacharyya &amp; Hastak, 2023)","plainCitation":"(Bhattacharyya &amp; Hastak, 2023)","noteIndex":0},"citationItems":[{"id":4579,"uris":["http://zotero.org/users/12445093/items/MB6SUGRD"],"itemData":{"id":4579,"type":"article-journal","abstract":"Abstract\n            This research proposes a data-driven approach to identify possible disparities in a utility’s outage management practices. The approach has been illustrated for an Investor-Owned Utility located in the Midwest region in the U.S. Power outage data for approximately 5 years between March 2017 and January 2022 was collected for 36 ZIP/postal codes located within the utility’s service territory. The collected data was used to calculate the total number of outages, customers affected, and the duration of outages during those 5 years for each ZIP code. Next, each variable was normalized with respect to the population density of the ZIP code. After normalizing, a K-means clustering algorithm was implemented that created five clusters out of those 36 ZIP codes. The difference in the outage parameters was found to be statistically significant. This indicated differential experience with power outages in different ZIP codes. Next, three Generalized Linear Models were developed to test if the presence of critical facilities such as hospitals, 911 centers, and fire stations, as socioeconomic and demographic characteristics of the ZIP codes, can explain their differential experience with the power outage. It was found that the annual duration of outages is lower in the ZIP codes where critical facilities are located. On the other hand, ZIP codes with lower median household income have experienced more power outages, i.e., higher outage counts in those 5 years. Lastly, the ZIP codes with a higher percentage of the White population have experienced more severe outages that have affected more customers.","call-number":"3","container-title":"Scientific Reports","DOI":"10.1038/s41598-023-34186-9","ISSN":"2045-2322","issue":"1","journalAbbreviation":"Sci Rep","language":"en","note":"titleTranslation: </w:instrText>
      </w:r>
      <w:r w:rsidRPr="00742E53">
        <w:rPr>
          <w:rFonts w:ascii="Times New Roman" w:hAnsi="Times New Roman" w:cs="Times New Roman"/>
        </w:rPr>
        <w:instrText>用数据驱动的方法量化停电差异</w:instrText>
      </w:r>
      <w:r w:rsidRPr="00742E53">
        <w:rPr>
          <w:rFonts w:ascii="Times New Roman" w:hAnsi="Times New Roman" w:cs="Times New Roman"/>
        </w:rPr>
        <w:instrText xml:space="preserve">\nabstractTranslation: </w:instrText>
      </w:r>
      <w:r w:rsidRPr="00742E53">
        <w:rPr>
          <w:rFonts w:ascii="Times New Roman" w:hAnsi="Times New Roman" w:cs="Times New Roman"/>
        </w:rPr>
        <w:instrText>摘要</w:instrText>
      </w:r>
      <w:r w:rsidRPr="00742E53">
        <w:rPr>
          <w:rFonts w:ascii="Times New Roman" w:hAnsi="Times New Roman" w:cs="Times New Roman"/>
        </w:rPr>
        <w:instrText xml:space="preserve">\n            </w:instrText>
      </w:r>
      <w:r w:rsidRPr="00742E53">
        <w:rPr>
          <w:rFonts w:ascii="Times New Roman" w:hAnsi="Times New Roman" w:cs="Times New Roman"/>
        </w:rPr>
        <w:instrText>本研究提出了一种数据驱动方法，用于识别公用事业公司停电管理实践中可能存在的差异。该方法以美国中西部地区的一家投资者拥有的公用事业公司为例进行说明。研究人员收集了该公用事业公司服务区域内</w:instrText>
      </w:r>
      <w:r w:rsidRPr="00742E53">
        <w:rPr>
          <w:rFonts w:ascii="Times New Roman" w:hAnsi="Times New Roman" w:cs="Times New Roman"/>
        </w:rPr>
        <w:instrText xml:space="preserve"> 36 </w:instrText>
      </w:r>
      <w:r w:rsidRPr="00742E53">
        <w:rPr>
          <w:rFonts w:ascii="Times New Roman" w:hAnsi="Times New Roman" w:cs="Times New Roman"/>
        </w:rPr>
        <w:instrText>个邮政编码在</w:instrText>
      </w:r>
      <w:r w:rsidRPr="00742E53">
        <w:rPr>
          <w:rFonts w:ascii="Times New Roman" w:hAnsi="Times New Roman" w:cs="Times New Roman"/>
        </w:rPr>
        <w:instrText xml:space="preserve"> 2017 </w:instrText>
      </w:r>
      <w:r w:rsidRPr="00742E53">
        <w:rPr>
          <w:rFonts w:ascii="Times New Roman" w:hAnsi="Times New Roman" w:cs="Times New Roman"/>
        </w:rPr>
        <w:instrText>年</w:instrText>
      </w:r>
      <w:r w:rsidRPr="00742E53">
        <w:rPr>
          <w:rFonts w:ascii="Times New Roman" w:hAnsi="Times New Roman" w:cs="Times New Roman"/>
        </w:rPr>
        <w:instrText xml:space="preserve"> 3 </w:instrText>
      </w:r>
      <w:r w:rsidRPr="00742E53">
        <w:rPr>
          <w:rFonts w:ascii="Times New Roman" w:hAnsi="Times New Roman" w:cs="Times New Roman"/>
        </w:rPr>
        <w:instrText>月至</w:instrText>
      </w:r>
      <w:r w:rsidRPr="00742E53">
        <w:rPr>
          <w:rFonts w:ascii="Times New Roman" w:hAnsi="Times New Roman" w:cs="Times New Roman"/>
        </w:rPr>
        <w:instrText xml:space="preserve"> 2022 </w:instrText>
      </w:r>
      <w:r w:rsidRPr="00742E53">
        <w:rPr>
          <w:rFonts w:ascii="Times New Roman" w:hAnsi="Times New Roman" w:cs="Times New Roman"/>
        </w:rPr>
        <w:instrText>年</w:instrText>
      </w:r>
      <w:r w:rsidRPr="00742E53">
        <w:rPr>
          <w:rFonts w:ascii="Times New Roman" w:hAnsi="Times New Roman" w:cs="Times New Roman"/>
        </w:rPr>
        <w:instrText xml:space="preserve"> 1 </w:instrText>
      </w:r>
      <w:r w:rsidRPr="00742E53">
        <w:rPr>
          <w:rFonts w:ascii="Times New Roman" w:hAnsi="Times New Roman" w:cs="Times New Roman"/>
        </w:rPr>
        <w:instrText>月期间约</w:instrText>
      </w:r>
      <w:r w:rsidRPr="00742E53">
        <w:rPr>
          <w:rFonts w:ascii="Times New Roman" w:hAnsi="Times New Roman" w:cs="Times New Roman"/>
        </w:rPr>
        <w:instrText xml:space="preserve"> 5 </w:instrText>
      </w:r>
      <w:r w:rsidRPr="00742E53">
        <w:rPr>
          <w:rFonts w:ascii="Times New Roman" w:hAnsi="Times New Roman" w:cs="Times New Roman"/>
        </w:rPr>
        <w:instrText>年的停电数据。收集到的数据用于计算每个邮政编码在这</w:instrText>
      </w:r>
      <w:r w:rsidRPr="00742E53">
        <w:rPr>
          <w:rFonts w:ascii="Times New Roman" w:hAnsi="Times New Roman" w:cs="Times New Roman"/>
        </w:rPr>
        <w:instrText xml:space="preserve"> 5 </w:instrText>
      </w:r>
      <w:r w:rsidRPr="00742E53">
        <w:rPr>
          <w:rFonts w:ascii="Times New Roman" w:hAnsi="Times New Roman" w:cs="Times New Roman"/>
        </w:rPr>
        <w:instrText>年中的停电总数、受影响客户和停电持续时间。然后，根据邮政编码的人口密度对每个变量进行归一化处理。归一化后，采用</w:instrText>
      </w:r>
      <w:r w:rsidRPr="00742E53">
        <w:rPr>
          <w:rFonts w:ascii="Times New Roman" w:hAnsi="Times New Roman" w:cs="Times New Roman"/>
        </w:rPr>
        <w:instrText xml:space="preserve"> K </w:instrText>
      </w:r>
      <w:r w:rsidRPr="00742E53">
        <w:rPr>
          <w:rFonts w:ascii="Times New Roman" w:hAnsi="Times New Roman" w:cs="Times New Roman"/>
        </w:rPr>
        <w:instrText>均值聚类算法，在这</w:instrText>
      </w:r>
      <w:r w:rsidRPr="00742E53">
        <w:rPr>
          <w:rFonts w:ascii="Times New Roman" w:hAnsi="Times New Roman" w:cs="Times New Roman"/>
        </w:rPr>
        <w:instrText xml:space="preserve"> 36 </w:instrText>
      </w:r>
      <w:r w:rsidRPr="00742E53">
        <w:rPr>
          <w:rFonts w:ascii="Times New Roman" w:hAnsi="Times New Roman" w:cs="Times New Roman"/>
        </w:rPr>
        <w:instrText>个邮政编码中创建了</w:instrText>
      </w:r>
      <w:r w:rsidRPr="00742E53">
        <w:rPr>
          <w:rFonts w:ascii="Times New Roman" w:hAnsi="Times New Roman" w:cs="Times New Roman"/>
        </w:rPr>
        <w:instrText xml:space="preserve"> 5 </w:instrText>
      </w:r>
      <w:r w:rsidRPr="00742E53">
        <w:rPr>
          <w:rFonts w:ascii="Times New Roman" w:hAnsi="Times New Roman" w:cs="Times New Roman"/>
        </w:rPr>
        <w:instrText>个聚类。结果发现，停电参数的差异具有显著的统计学意义。这表明不同邮政编码的停电经历存在差异。接下来，我们建立了三个广义线性模型，以检验医院、</w:instrText>
      </w:r>
      <w:r w:rsidRPr="00742E53">
        <w:rPr>
          <w:rFonts w:ascii="Times New Roman" w:hAnsi="Times New Roman" w:cs="Times New Roman"/>
        </w:rPr>
        <w:instrText xml:space="preserve">911 </w:instrText>
      </w:r>
      <w:r w:rsidRPr="00742E53">
        <w:rPr>
          <w:rFonts w:ascii="Times New Roman" w:hAnsi="Times New Roman" w:cs="Times New Roman"/>
        </w:rPr>
        <w:instrText>中心和消防站等重要设施的存在，以及邮政编码的社会经济和人口特征是否可以解释其不同的停电经历。研究发现，关键设施所在邮政编码的年停电时间较短。另一方面，家庭收入中位数较低的邮政编码经历的停电次数较多，即在这</w:instrText>
      </w:r>
      <w:r w:rsidRPr="00742E53">
        <w:rPr>
          <w:rFonts w:ascii="Times New Roman" w:hAnsi="Times New Roman" w:cs="Times New Roman"/>
        </w:rPr>
        <w:instrText xml:space="preserve"> 5 </w:instrText>
      </w:r>
      <w:r w:rsidRPr="00742E53">
        <w:rPr>
          <w:rFonts w:ascii="Times New Roman" w:hAnsi="Times New Roman" w:cs="Times New Roman"/>
        </w:rPr>
        <w:instrText>年中停电次数较多。最后，白人人口比例较高的邮政编码经历了更严重的停电，影响了更多用户。</w:instrText>
      </w:r>
      <w:r w:rsidRPr="00742E53">
        <w:rPr>
          <w:rFonts w:ascii="Times New Roman" w:hAnsi="Times New Roman" w:cs="Times New Roman"/>
        </w:rPr>
        <w:instrText xml:space="preserve">","page":"7247","source":"3.8","title":"A data-driven approach to quantify disparities in power outages","volume":"13","author":[{"family":"Bhattacharyya","given":"Arkaprabha"},{"family":"Hastak","given":"Makarand"}],"issued":{"date-parts":[["2023",5,4]]}}}],"schema":"https://github.com/citation-style-language/schema/raw/master/csl-citation.json"}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(Bhattacharyya &amp; Hastak, 2023)</w:t>
      </w:r>
      <w:r w:rsidRPr="00742E53">
        <w:rPr>
          <w:rFonts w:ascii="Times New Roman" w:hAnsi="Times New Roman" w:cs="Times New Roman"/>
        </w:rPr>
        <w:fldChar w:fldCharType="end"/>
      </w:r>
      <w:r w:rsidRPr="00742E53">
        <w:rPr>
          <w:rFonts w:ascii="Times New Roman" w:hAnsi="Times New Roman" w:cs="Times New Roman"/>
        </w:rPr>
        <w:t xml:space="preserve">. This inequality pattern is consistent with broader reviews documenting disproportionate outage burdens among socioeconomically vulnerable, racial/ethnic minority, and rural populations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{"citationID":"nKCpl8vl","properties":{"unsorted":false,"formattedCitation":"(Andresen et al., 2023)","plainCitation":"(Andresen et al., 2023)","noteIndex":0},"citationItems":[{"id":5233,"uris":["http://zotero.org/users/12445093/items/UMF3EWSP"],"itemData":{"id":5233,"type":"article-journal","abstract":"As demand for electricity increases on an already strained electrical supply due to urbanization, population growth, and climate change, the likelihood of power outages will also increase. While researchers understand that the number of electrical grid disturbances is increasing, we do not adequately understand how increased power outages will affect a society that has become increasingly dependent on a reliable electric supply. This systematic review aims to understand how power outages have affected society, primarily through health impacts, and identify populations most vulnerable to power outages based on the conclusions from prior studies. Based on search parameters, 762 articles were initially identified, of which only 50 discussed the social impacts of power outages in North America. According to this literature, racial and ethnic minorities, especially Blacks or African Americans, those of lower socioeconomic status, children, older adults, and those living in rural areas experienced more significant impacts from previous power outages. Additionally, criminal activity increased during prolonged power outages with both pro-social and anti-social behaviors observed. Providing financial assistance or resources to replace spoiled goods can reduce crime. Future research on this topic must consider the financial effects of power outages, how power outage impacts seasonally vary, and the different durations of power outage impacts.","container-title":"Environmental Research Letters","DOI":"10.1088/1748-9326/acc7b9","ISSN":"1748-9326","issue":"5","journalAbbreviation":"Environ. Res. Lett.","language":"en","note":"</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DeepLX(API)\n\ntitleTranslation: [</w:instrText>
      </w:r>
      <w:r w:rsidRPr="00742E53">
        <w:rPr>
          <w:rFonts w:ascii="Times New Roman" w:hAnsi="Times New Roman" w:cs="Times New Roman"/>
        </w:rPr>
        <w:instrText>请求错误</w:instrText>
      </w:r>
      <w:r w:rsidRPr="00742E53">
        <w:rPr>
          <w:rFonts w:ascii="Times New Roman" w:hAnsi="Times New Roman" w:cs="Times New Roman"/>
        </w:rPr>
        <w:instrText>]\nError: HTTP POST https://api.deeplx.org/y-cS26zcyRdzQVtXTjNhBWk5TQOXCjem9HBtsjut7EM/translate failed with status code 401\nabstractTranslation: [</w:instrText>
      </w:r>
      <w:r w:rsidRPr="00742E53">
        <w:rPr>
          <w:rFonts w:ascii="Times New Roman" w:hAnsi="Times New Roman" w:cs="Times New Roman"/>
        </w:rPr>
        <w:instrText>请求错误</w:instrText>
      </w:r>
      <w:r w:rsidRPr="00742E53">
        <w:rPr>
          <w:rFonts w:ascii="Times New Roman" w:hAnsi="Times New Roman" w:cs="Times New Roman"/>
        </w:rPr>
        <w:instrText>]\n</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DeepLX(API)\n\nError: HTTP POST https://api.deeplx.org/y-cS26zcyRdzQVtXTjNhBWk5TQOXCjem9HBtsjut7EM/translate failed with status code 401","page":"053004","source":"DOI.org (Crossref)","title":"Understanding the social impacts of power outages in North America: a systematic review","title-short":"Understanding the social impacts of power outages in North America","volume":"18","author":[{"family":"Andresen","given":"Adam X"},{"family":"Kurtz","given":"Liza C"},{"family":"Hondula","given":"David M"},{"family":"Meerow","given":"Sara"},{"family":"Gall","given":"Melanie"}],"issued":{"date-parts":[["2023",5,1]]}}}],"schema":"https://github.com/citation-style-language/schema/raw/master/csl-citation.json"}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(Andresen et al., 2023)</w:t>
      </w:r>
      <w:r w:rsidRPr="00742E53">
        <w:rPr>
          <w:rFonts w:ascii="Times New Roman" w:hAnsi="Times New Roman" w:cs="Times New Roman"/>
        </w:rPr>
        <w:fldChar w:fldCharType="end"/>
      </w:r>
      <w:r w:rsidRPr="00742E53">
        <w:rPr>
          <w:rFonts w:ascii="Times New Roman" w:hAnsi="Times New Roman" w:cs="Times New Roman"/>
        </w:rPr>
        <w:t xml:space="preserve">. Although prior administrative studies have focused mainly on non-psychiatric outcomes, they show clinically meaningful </w:t>
      </w:r>
      <w:r w:rsidRPr="00742E53">
        <w:rPr>
          <w:rFonts w:ascii="Times New Roman" w:hAnsi="Times New Roman" w:cs="Times New Roman"/>
          <w:color w:val="000000" w:themeColor="text1"/>
        </w:rPr>
        <w:t xml:space="preserve">healthcare utilization responses (elevated emergency department visits) to outages </w:t>
      </w:r>
      <w:r w:rsidRPr="00742E53">
        <w:rPr>
          <w:rFonts w:ascii="Times New Roman" w:hAnsi="Times New Roman" w:cs="Times New Roman"/>
          <w:color w:val="000000" w:themeColor="text1"/>
        </w:rPr>
        <w:fldChar w:fldCharType="begin"/>
      </w:r>
      <w:r w:rsidRPr="00742E53">
        <w:rPr>
          <w:rFonts w:ascii="Times New Roman" w:hAnsi="Times New Roman" w:cs="Times New Roman"/>
          <w:color w:val="000000" w:themeColor="text1"/>
        </w:rPr>
        <w:instrText xml:space="preserve"> ADDIN ZOTERO_ITEM CSL_CITATION {"citationID":"SQTfv6ag","properties":{"unsorted":false,"formattedCitation":"(Dominianni et al., 2018)","plainCitation":"(Dominianni et al., 2018)","noteIndex":0},"citationItems":[{"id":4608,"uris":["http://zotero.org/users/12445093/items/BKDZS8D3"],"itemData":{"id":4608,"type":"article-journal","abstract":"BACKGROUND: Previous studies investigated potential health eﬀects of large-scale power outages, including the massive power failure that aﬀected the northeastern United States and Ontario, Canada, in August 2003, and outages associated with major storms. However, information on localized outages is limited.\nOBJECTIVE: The study sought to examine potential health impacts of citywide and localized outages in New York City (NYC).\nMETHODS: Along with the citywide 2003 outage, localized outages in July 1999 and July 2006 were identiﬁed. We additionally investigated localized, warm- and cold-weather outages that occurred in any of 66 NYC electric-grid networks during 2002–2014 using New York State Public Service Commission data. Mortality and hospitalizations were geocoded and linked to the networks. Associations were estimated using Poisson time-series regression, including examining distributed lags and adjusting for temperature and temporal trends. Network-speciﬁc estimates were pooled by season.\nRESULTS: Respiratory disease hospitalizations were associated with the 2006 localized outage [cumulative relative risk [CRR] over 0–1 lag day, lag01 = 2:26 (95% conﬁdence interval [CI]: 1.08, 4.74)] and the 2003 citywide outage, but not with other localized, warm-weather outages. Renal disease hospitalizations were associated with the 2003 citywide outage, and with localized, warm-weather outages, pooled across networks [RR at lag3 = 1:16 (95% CI: 1.00, 1.34)], but not the 2006 localized outage. All-cause mortality was positively associated with the 1999, 2003, and 2006 outages (signiﬁcant for the 2003 outage only), but not with other localized, warm-weather outages. Localized, cold-weather outages were associated with all-cause mortality [lag01 CRR = 1:06 (95% CI: 1.01, 1.12)] and cardiovascular disease hospitalizations [lag01 CRR = 1:14 (95% CI: 1.03, 1.26)], and fewer respiratory disease hospitalizations [lag03 CRR = 0:77 (95% CI: 0.61, 0.97)].\nCONCLUSIONS: Localized outages may aﬀect health. This information can inform preparedness eﬀorts and underscores the public health importance of ensuring electric grid resiliency to climate change. https://doi.org/10.1289/EHP2154","call-number":"1","container-title":"Environmental Health Perspectives","DOI":"10.1289/EHP2154","ISSN":"0091-6765, 1552-9924","issue":"6","journalAbbreviation":"Environ Health Perspect","language":"en","note":"TLDR: Localized outages in New York City may affect health and can inform preparedness efforts and underscores the public health importance of ensuring electric grid resiliency to climate change.\ntitleTranslation: </w:instrText>
      </w:r>
      <w:r w:rsidRPr="00742E53">
        <w:rPr>
          <w:rFonts w:ascii="Times New Roman" w:hAnsi="Times New Roman" w:cs="Times New Roman"/>
          <w:color w:val="000000" w:themeColor="text1"/>
        </w:rPr>
        <w:instrText>纽约市全市和局部停电对健康的影响</w:instrText>
      </w:r>
      <w:r w:rsidRPr="00742E53">
        <w:rPr>
          <w:rFonts w:ascii="Times New Roman" w:hAnsi="Times New Roman" w:cs="Times New Roman"/>
          <w:color w:val="000000" w:themeColor="text1"/>
        </w:rPr>
        <w:instrText xml:space="preserve">\nabstractTranslation: </w:instrText>
      </w:r>
      <w:r w:rsidRPr="00742E53">
        <w:rPr>
          <w:rFonts w:ascii="Times New Roman" w:hAnsi="Times New Roman" w:cs="Times New Roman"/>
          <w:color w:val="000000" w:themeColor="text1"/>
        </w:rPr>
        <w:instrText>背景：以往的研究调查了大规模停电对健康的潜在影响，包括</w:instrText>
      </w:r>
      <w:r w:rsidRPr="00742E53">
        <w:rPr>
          <w:rFonts w:ascii="Times New Roman" w:hAnsi="Times New Roman" w:cs="Times New Roman"/>
          <w:color w:val="000000" w:themeColor="text1"/>
        </w:rPr>
        <w:instrText xml:space="preserve"> 2003 </w:instrText>
      </w:r>
      <w:r w:rsidRPr="00742E53">
        <w:rPr>
          <w:rFonts w:ascii="Times New Roman" w:hAnsi="Times New Roman" w:cs="Times New Roman"/>
          <w:color w:val="000000" w:themeColor="text1"/>
        </w:rPr>
        <w:instrText>年</w:instrText>
      </w:r>
      <w:r w:rsidRPr="00742E53">
        <w:rPr>
          <w:rFonts w:ascii="Times New Roman" w:hAnsi="Times New Roman" w:cs="Times New Roman"/>
          <w:color w:val="000000" w:themeColor="text1"/>
        </w:rPr>
        <w:instrText xml:space="preserve"> 8 </w:instrText>
      </w:r>
      <w:r w:rsidRPr="00742E53">
        <w:rPr>
          <w:rFonts w:ascii="Times New Roman" w:hAnsi="Times New Roman" w:cs="Times New Roman"/>
          <w:color w:val="000000" w:themeColor="text1"/>
        </w:rPr>
        <w:instrText>月影响美国东北部和加拿大安大略省的大规模停电，以及与大风暴相关的停电。然而，有关局部停电的信息却很有限。</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目标：本研究旨在研究纽约市（</w:instrText>
      </w:r>
      <w:r w:rsidRPr="00742E53">
        <w:rPr>
          <w:rFonts w:ascii="Times New Roman" w:hAnsi="Times New Roman" w:cs="Times New Roman"/>
          <w:color w:val="000000" w:themeColor="text1"/>
        </w:rPr>
        <w:instrText>NYC</w:instrText>
      </w:r>
      <w:r w:rsidRPr="00742E53">
        <w:rPr>
          <w:rFonts w:ascii="Times New Roman" w:hAnsi="Times New Roman" w:cs="Times New Roman"/>
          <w:color w:val="000000" w:themeColor="text1"/>
        </w:rPr>
        <w:instrText>）全市和局部停电对健康的潜在影响。</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方法：除了</w:instrText>
      </w:r>
      <w:r w:rsidRPr="00742E53">
        <w:rPr>
          <w:rFonts w:ascii="Times New Roman" w:hAnsi="Times New Roman" w:cs="Times New Roman"/>
          <w:color w:val="000000" w:themeColor="text1"/>
        </w:rPr>
        <w:instrText xml:space="preserve"> 2003 </w:instrText>
      </w:r>
      <w:r w:rsidRPr="00742E53">
        <w:rPr>
          <w:rFonts w:ascii="Times New Roman" w:hAnsi="Times New Roman" w:cs="Times New Roman"/>
          <w:color w:val="000000" w:themeColor="text1"/>
        </w:rPr>
        <w:instrText>年的全市停电外，我们还确定了</w:instrText>
      </w:r>
      <w:r w:rsidRPr="00742E53">
        <w:rPr>
          <w:rFonts w:ascii="Times New Roman" w:hAnsi="Times New Roman" w:cs="Times New Roman"/>
          <w:color w:val="000000" w:themeColor="text1"/>
        </w:rPr>
        <w:instrText xml:space="preserve"> 1999 </w:instrText>
      </w:r>
      <w:r w:rsidRPr="00742E53">
        <w:rPr>
          <w:rFonts w:ascii="Times New Roman" w:hAnsi="Times New Roman" w:cs="Times New Roman"/>
          <w:color w:val="000000" w:themeColor="text1"/>
        </w:rPr>
        <w:instrText>年</w:instrText>
      </w:r>
      <w:r w:rsidRPr="00742E53">
        <w:rPr>
          <w:rFonts w:ascii="Times New Roman" w:hAnsi="Times New Roman" w:cs="Times New Roman"/>
          <w:color w:val="000000" w:themeColor="text1"/>
        </w:rPr>
        <w:instrText xml:space="preserve"> 7 </w:instrText>
      </w:r>
      <w:r w:rsidRPr="00742E53">
        <w:rPr>
          <w:rFonts w:ascii="Times New Roman" w:hAnsi="Times New Roman" w:cs="Times New Roman"/>
          <w:color w:val="000000" w:themeColor="text1"/>
        </w:rPr>
        <w:instrText>月和</w:instrText>
      </w:r>
      <w:r w:rsidRPr="00742E53">
        <w:rPr>
          <w:rFonts w:ascii="Times New Roman" w:hAnsi="Times New Roman" w:cs="Times New Roman"/>
          <w:color w:val="000000" w:themeColor="text1"/>
        </w:rPr>
        <w:instrText xml:space="preserve"> 2006 </w:instrText>
      </w:r>
      <w:r w:rsidRPr="00742E53">
        <w:rPr>
          <w:rFonts w:ascii="Times New Roman" w:hAnsi="Times New Roman" w:cs="Times New Roman"/>
          <w:color w:val="000000" w:themeColor="text1"/>
        </w:rPr>
        <w:instrText>年</w:instrText>
      </w:r>
      <w:r w:rsidRPr="00742E53">
        <w:rPr>
          <w:rFonts w:ascii="Times New Roman" w:hAnsi="Times New Roman" w:cs="Times New Roman"/>
          <w:color w:val="000000" w:themeColor="text1"/>
        </w:rPr>
        <w:instrText xml:space="preserve"> 7 </w:instrText>
      </w:r>
      <w:r w:rsidRPr="00742E53">
        <w:rPr>
          <w:rFonts w:ascii="Times New Roman" w:hAnsi="Times New Roman" w:cs="Times New Roman"/>
          <w:color w:val="000000" w:themeColor="text1"/>
        </w:rPr>
        <w:instrText>月的局部停电。此外，我们还利用纽约州公共服务委员会的数据调查了</w:instrText>
      </w:r>
      <w:r w:rsidRPr="00742E53">
        <w:rPr>
          <w:rFonts w:ascii="Times New Roman" w:hAnsi="Times New Roman" w:cs="Times New Roman"/>
          <w:color w:val="000000" w:themeColor="text1"/>
        </w:rPr>
        <w:instrText xml:space="preserve"> 2002 </w:instrText>
      </w:r>
      <w:r w:rsidRPr="00742E53">
        <w:rPr>
          <w:rFonts w:ascii="Times New Roman" w:hAnsi="Times New Roman" w:cs="Times New Roman"/>
          <w:color w:val="000000" w:themeColor="text1"/>
        </w:rPr>
        <w:instrText>年至</w:instrText>
      </w:r>
      <w:r w:rsidRPr="00742E53">
        <w:rPr>
          <w:rFonts w:ascii="Times New Roman" w:hAnsi="Times New Roman" w:cs="Times New Roman"/>
          <w:color w:val="000000" w:themeColor="text1"/>
        </w:rPr>
        <w:instrText xml:space="preserve"> 2014 </w:instrText>
      </w:r>
      <w:r w:rsidRPr="00742E53">
        <w:rPr>
          <w:rFonts w:ascii="Times New Roman" w:hAnsi="Times New Roman" w:cs="Times New Roman"/>
          <w:color w:val="000000" w:themeColor="text1"/>
        </w:rPr>
        <w:instrText>年期间纽约市</w:instrText>
      </w:r>
      <w:r w:rsidRPr="00742E53">
        <w:rPr>
          <w:rFonts w:ascii="Times New Roman" w:hAnsi="Times New Roman" w:cs="Times New Roman"/>
          <w:color w:val="000000" w:themeColor="text1"/>
        </w:rPr>
        <w:instrText xml:space="preserve"> 66 </w:instrText>
      </w:r>
      <w:r w:rsidRPr="00742E53">
        <w:rPr>
          <w:rFonts w:ascii="Times New Roman" w:hAnsi="Times New Roman" w:cs="Times New Roman"/>
          <w:color w:val="000000" w:themeColor="text1"/>
        </w:rPr>
        <w:instrText>个电网中任何一个电网发生的局部温暖和寒冷天气停电事故。我们对死亡率和住院率进行了地理编码，并将其与电网联系起来。使用泊松时间序列回归估算相关性，包括检查分布式滞后并根据温度和时间趋势进行调整。按季节对网络特定估计值进行汇总。</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结果：呼吸系统疾病住院人数与</w:instrText>
      </w:r>
      <w:r w:rsidRPr="00742E53">
        <w:rPr>
          <w:rFonts w:ascii="Times New Roman" w:hAnsi="Times New Roman" w:cs="Times New Roman"/>
          <w:color w:val="000000" w:themeColor="text1"/>
        </w:rPr>
        <w:instrText xml:space="preserve"> 2006 </w:instrText>
      </w:r>
      <w:r w:rsidRPr="00742E53">
        <w:rPr>
          <w:rFonts w:ascii="Times New Roman" w:hAnsi="Times New Roman" w:cs="Times New Roman"/>
          <w:color w:val="000000" w:themeColor="text1"/>
        </w:rPr>
        <w:instrText>年局部停电</w:instrText>
      </w:r>
      <w:r w:rsidRPr="00742E53">
        <w:rPr>
          <w:rFonts w:ascii="Times New Roman" w:hAnsi="Times New Roman" w:cs="Times New Roman"/>
          <w:color w:val="000000" w:themeColor="text1"/>
        </w:rPr>
        <w:instrText xml:space="preserve">[0-1 </w:instrText>
      </w:r>
      <w:r w:rsidRPr="00742E53">
        <w:rPr>
          <w:rFonts w:ascii="Times New Roman" w:hAnsi="Times New Roman" w:cs="Times New Roman"/>
          <w:color w:val="000000" w:themeColor="text1"/>
        </w:rPr>
        <w:instrText>滞后日累积相对风险</w:instrText>
      </w:r>
      <w:r w:rsidRPr="00742E53">
        <w:rPr>
          <w:rFonts w:ascii="Times New Roman" w:hAnsi="Times New Roman" w:cs="Times New Roman"/>
          <w:color w:val="000000" w:themeColor="text1"/>
        </w:rPr>
        <w:instrText>[CRR]</w:instrText>
      </w:r>
      <w:r w:rsidRPr="00742E53">
        <w:rPr>
          <w:rFonts w:ascii="Times New Roman" w:hAnsi="Times New Roman" w:cs="Times New Roman"/>
          <w:color w:val="000000" w:themeColor="text1"/>
        </w:rPr>
        <w:instrText>，</w:instrText>
      </w:r>
      <w:r w:rsidRPr="00742E53">
        <w:rPr>
          <w:rFonts w:ascii="Times New Roman" w:hAnsi="Times New Roman" w:cs="Times New Roman"/>
          <w:color w:val="000000" w:themeColor="text1"/>
        </w:rPr>
        <w:instrText>lag01 = 2:26</w:instrText>
      </w:r>
      <w:r w:rsidRPr="00742E53">
        <w:rPr>
          <w:rFonts w:ascii="Times New Roman" w:hAnsi="Times New Roman" w:cs="Times New Roman"/>
          <w:color w:val="000000" w:themeColor="text1"/>
        </w:rPr>
        <w:instrText>（</w:instrText>
      </w:r>
      <w:r w:rsidRPr="00742E53">
        <w:rPr>
          <w:rFonts w:ascii="Times New Roman" w:hAnsi="Times New Roman" w:cs="Times New Roman"/>
          <w:color w:val="000000" w:themeColor="text1"/>
        </w:rPr>
        <w:instrText xml:space="preserve">95% </w:instrText>
      </w:r>
      <w:r w:rsidRPr="00742E53">
        <w:rPr>
          <w:rFonts w:ascii="Times New Roman" w:hAnsi="Times New Roman" w:cs="Times New Roman"/>
          <w:color w:val="000000" w:themeColor="text1"/>
        </w:rPr>
        <w:instrText>置信区间</w:instrText>
      </w:r>
      <w:r w:rsidRPr="00742E53">
        <w:rPr>
          <w:rFonts w:ascii="Times New Roman" w:hAnsi="Times New Roman" w:cs="Times New Roman"/>
          <w:color w:val="000000" w:themeColor="text1"/>
        </w:rPr>
        <w:instrText xml:space="preserve"> [CI]</w:instrText>
      </w:r>
      <w:r w:rsidRPr="00742E53">
        <w:rPr>
          <w:rFonts w:ascii="Times New Roman" w:hAnsi="Times New Roman" w:cs="Times New Roman"/>
          <w:color w:val="000000" w:themeColor="text1"/>
        </w:rPr>
        <w:instrText>：</w:instrText>
      </w:r>
      <w:r w:rsidRPr="00742E53">
        <w:rPr>
          <w:rFonts w:ascii="Times New Roman" w:hAnsi="Times New Roman" w:cs="Times New Roman"/>
          <w:color w:val="000000" w:themeColor="text1"/>
        </w:rPr>
        <w:instrText>1.08, 4.74</w:instrText>
      </w:r>
      <w:r w:rsidRPr="00742E53">
        <w:rPr>
          <w:rFonts w:ascii="Times New Roman" w:hAnsi="Times New Roman" w:cs="Times New Roman"/>
          <w:color w:val="000000" w:themeColor="text1"/>
        </w:rPr>
        <w:instrText>）</w:instrText>
      </w:r>
      <w:r w:rsidRPr="00742E53">
        <w:rPr>
          <w:rFonts w:ascii="Times New Roman" w:hAnsi="Times New Roman" w:cs="Times New Roman"/>
          <w:color w:val="000000" w:themeColor="text1"/>
        </w:rPr>
        <w:instrText>]</w:instrText>
      </w:r>
      <w:r w:rsidRPr="00742E53">
        <w:rPr>
          <w:rFonts w:ascii="Times New Roman" w:hAnsi="Times New Roman" w:cs="Times New Roman"/>
          <w:color w:val="000000" w:themeColor="text1"/>
        </w:rPr>
        <w:instrText>和</w:instrText>
      </w:r>
      <w:r w:rsidRPr="00742E53">
        <w:rPr>
          <w:rFonts w:ascii="Times New Roman" w:hAnsi="Times New Roman" w:cs="Times New Roman"/>
          <w:color w:val="000000" w:themeColor="text1"/>
        </w:rPr>
        <w:instrText xml:space="preserve"> 2003 </w:instrText>
      </w:r>
      <w:r w:rsidRPr="00742E53">
        <w:rPr>
          <w:rFonts w:ascii="Times New Roman" w:hAnsi="Times New Roman" w:cs="Times New Roman"/>
          <w:color w:val="000000" w:themeColor="text1"/>
        </w:rPr>
        <w:instrText>年全市停电有关，但与其他局部温暖天气停电无关。肾脏病住院治疗与</w:instrText>
      </w:r>
      <w:r w:rsidRPr="00742E53">
        <w:rPr>
          <w:rFonts w:ascii="Times New Roman" w:hAnsi="Times New Roman" w:cs="Times New Roman"/>
          <w:color w:val="000000" w:themeColor="text1"/>
        </w:rPr>
        <w:instrText xml:space="preserve"> 2003 </w:instrText>
      </w:r>
      <w:r w:rsidRPr="00742E53">
        <w:rPr>
          <w:rFonts w:ascii="Times New Roman" w:hAnsi="Times New Roman" w:cs="Times New Roman"/>
          <w:color w:val="000000" w:themeColor="text1"/>
        </w:rPr>
        <w:instrText>年全市范围的停电和局部地区的暖风停电有关，在各网络中汇总</w:instrText>
      </w:r>
      <w:r w:rsidRPr="00742E53">
        <w:rPr>
          <w:rFonts w:ascii="Times New Roman" w:hAnsi="Times New Roman" w:cs="Times New Roman"/>
          <w:color w:val="000000" w:themeColor="text1"/>
        </w:rPr>
        <w:instrText>[</w:instrText>
      </w:r>
      <w:r w:rsidRPr="00742E53">
        <w:rPr>
          <w:rFonts w:ascii="Times New Roman" w:hAnsi="Times New Roman" w:cs="Times New Roman"/>
          <w:color w:val="000000" w:themeColor="text1"/>
        </w:rPr>
        <w:instrText>滞后</w:instrText>
      </w:r>
      <w:r w:rsidRPr="00742E53">
        <w:rPr>
          <w:rFonts w:ascii="Times New Roman" w:hAnsi="Times New Roman" w:cs="Times New Roman"/>
          <w:color w:val="000000" w:themeColor="text1"/>
        </w:rPr>
        <w:instrText xml:space="preserve"> 3 </w:instrText>
      </w:r>
      <w:r w:rsidRPr="00742E53">
        <w:rPr>
          <w:rFonts w:ascii="Times New Roman" w:hAnsi="Times New Roman" w:cs="Times New Roman"/>
          <w:color w:val="000000" w:themeColor="text1"/>
        </w:rPr>
        <w:instrText>的</w:instrText>
      </w:r>
      <w:r w:rsidRPr="00742E53">
        <w:rPr>
          <w:rFonts w:ascii="Times New Roman" w:hAnsi="Times New Roman" w:cs="Times New Roman"/>
          <w:color w:val="000000" w:themeColor="text1"/>
        </w:rPr>
        <w:instrText xml:space="preserve"> RR = 1:16 (95% CI: 1.00, 1.34)]</w:instrText>
      </w:r>
      <w:r w:rsidRPr="00742E53">
        <w:rPr>
          <w:rFonts w:ascii="Times New Roman" w:hAnsi="Times New Roman" w:cs="Times New Roman"/>
          <w:color w:val="000000" w:themeColor="text1"/>
        </w:rPr>
        <w:instrText>，但与</w:instrText>
      </w:r>
      <w:r w:rsidRPr="00742E53">
        <w:rPr>
          <w:rFonts w:ascii="Times New Roman" w:hAnsi="Times New Roman" w:cs="Times New Roman"/>
          <w:color w:val="000000" w:themeColor="text1"/>
        </w:rPr>
        <w:instrText xml:space="preserve"> 2006 </w:instrText>
      </w:r>
      <w:r w:rsidRPr="00742E53">
        <w:rPr>
          <w:rFonts w:ascii="Times New Roman" w:hAnsi="Times New Roman" w:cs="Times New Roman"/>
          <w:color w:val="000000" w:themeColor="text1"/>
        </w:rPr>
        <w:instrText>年局部地区的停电无关。全因死亡率与</w:instrText>
      </w:r>
      <w:r w:rsidRPr="00742E53">
        <w:rPr>
          <w:rFonts w:ascii="Times New Roman" w:hAnsi="Times New Roman" w:cs="Times New Roman"/>
          <w:color w:val="000000" w:themeColor="text1"/>
        </w:rPr>
        <w:instrText xml:space="preserve"> 1999 </w:instrText>
      </w:r>
      <w:r w:rsidRPr="00742E53">
        <w:rPr>
          <w:rFonts w:ascii="Times New Roman" w:hAnsi="Times New Roman" w:cs="Times New Roman"/>
          <w:color w:val="000000" w:themeColor="text1"/>
        </w:rPr>
        <w:instrText>年、</w:instrText>
      </w:r>
      <w:r w:rsidRPr="00742E53">
        <w:rPr>
          <w:rFonts w:ascii="Times New Roman" w:hAnsi="Times New Roman" w:cs="Times New Roman"/>
          <w:color w:val="000000" w:themeColor="text1"/>
        </w:rPr>
        <w:instrText xml:space="preserve">2003 </w:instrText>
      </w:r>
      <w:r w:rsidRPr="00742E53">
        <w:rPr>
          <w:rFonts w:ascii="Times New Roman" w:hAnsi="Times New Roman" w:cs="Times New Roman"/>
          <w:color w:val="000000" w:themeColor="text1"/>
        </w:rPr>
        <w:instrText>年和</w:instrText>
      </w:r>
      <w:r w:rsidRPr="00742E53">
        <w:rPr>
          <w:rFonts w:ascii="Times New Roman" w:hAnsi="Times New Roman" w:cs="Times New Roman"/>
          <w:color w:val="000000" w:themeColor="text1"/>
        </w:rPr>
        <w:instrText xml:space="preserve"> 2006 </w:instrText>
      </w:r>
      <w:r w:rsidRPr="00742E53">
        <w:rPr>
          <w:rFonts w:ascii="Times New Roman" w:hAnsi="Times New Roman" w:cs="Times New Roman"/>
          <w:color w:val="000000" w:themeColor="text1"/>
        </w:rPr>
        <w:instrText>年的停电事故呈正相关（仅</w:instrText>
      </w:r>
      <w:r w:rsidRPr="00742E53">
        <w:rPr>
          <w:rFonts w:ascii="Times New Roman" w:hAnsi="Times New Roman" w:cs="Times New Roman"/>
          <w:color w:val="000000" w:themeColor="text1"/>
        </w:rPr>
        <w:instrText xml:space="preserve"> 2003 </w:instrText>
      </w:r>
      <w:r w:rsidRPr="00742E53">
        <w:rPr>
          <w:rFonts w:ascii="Times New Roman" w:hAnsi="Times New Roman" w:cs="Times New Roman"/>
          <w:color w:val="000000" w:themeColor="text1"/>
        </w:rPr>
        <w:instrText>年的停电事故具有显著性），但与其他局部暖风停电事故无关。局部寒冷天气停电与全因死亡率</w:instrText>
      </w:r>
      <w:r w:rsidRPr="00742E53">
        <w:rPr>
          <w:rFonts w:ascii="Times New Roman" w:hAnsi="Times New Roman" w:cs="Times New Roman"/>
          <w:color w:val="000000" w:themeColor="text1"/>
        </w:rPr>
        <w:instrText>[lag01 CRR = 1:06 (95% CI: 1.01, 1.12)]</w:instrText>
      </w:r>
      <w:r w:rsidRPr="00742E53">
        <w:rPr>
          <w:rFonts w:ascii="Times New Roman" w:hAnsi="Times New Roman" w:cs="Times New Roman"/>
          <w:color w:val="000000" w:themeColor="text1"/>
        </w:rPr>
        <w:instrText>和心血管疾病住院率</w:instrText>
      </w:r>
      <w:r w:rsidRPr="00742E53">
        <w:rPr>
          <w:rFonts w:ascii="Times New Roman" w:hAnsi="Times New Roman" w:cs="Times New Roman"/>
          <w:color w:val="000000" w:themeColor="text1"/>
        </w:rPr>
        <w:instrText>[lag01 CRR = 1:14 (95% CI: 1.03, 1.26)]</w:instrText>
      </w:r>
      <w:r w:rsidRPr="00742E53">
        <w:rPr>
          <w:rFonts w:ascii="Times New Roman" w:hAnsi="Times New Roman" w:cs="Times New Roman"/>
          <w:color w:val="000000" w:themeColor="text1"/>
        </w:rPr>
        <w:instrText>相关，而与呼吸系统疾病住院率</w:instrText>
      </w:r>
      <w:r w:rsidRPr="00742E53">
        <w:rPr>
          <w:rFonts w:ascii="Times New Roman" w:hAnsi="Times New Roman" w:cs="Times New Roman"/>
          <w:color w:val="000000" w:themeColor="text1"/>
        </w:rPr>
        <w:instrText>[lag03 CRR = 0:77 (95% CI: 0.61, 0.97)]</w:instrText>
      </w:r>
      <w:r w:rsidRPr="00742E53">
        <w:rPr>
          <w:rFonts w:ascii="Times New Roman" w:hAnsi="Times New Roman" w:cs="Times New Roman"/>
          <w:color w:val="000000" w:themeColor="text1"/>
        </w:rPr>
        <w:instrText>相关。</w:instrText>
      </w:r>
      <w:r w:rsidRPr="00742E53">
        <w:rPr>
          <w:rFonts w:ascii="Times New Roman" w:hAnsi="Times New Roman" w:cs="Times New Roman"/>
          <w:color w:val="000000" w:themeColor="text1"/>
        </w:rPr>
        <w:instrText>\n</w:instrText>
      </w:r>
      <w:r w:rsidRPr="00742E53">
        <w:rPr>
          <w:rFonts w:ascii="Times New Roman" w:hAnsi="Times New Roman" w:cs="Times New Roman"/>
          <w:color w:val="000000" w:themeColor="text1"/>
        </w:rPr>
        <w:instrText>结论：局部停电可能会影响健康。这些信息可为备灾工作提供参考，并强调了确保电网适应气候变化的公共卫生重要性。</w:instrText>
      </w:r>
      <w:r w:rsidRPr="00742E53">
        <w:rPr>
          <w:rFonts w:ascii="Times New Roman" w:hAnsi="Times New Roman" w:cs="Times New Roman"/>
          <w:color w:val="000000" w:themeColor="text1"/>
        </w:rPr>
        <w:instrText xml:space="preserve">https://doi.org/10.1289/EHP2154","page":"067003","source":"10.1","title":"Health Impacts of Citywide and Localized Power Outages in New York City","volume":"126","author":[{"family":"Dominianni","given":"Christine"},{"family":"Lane","given":"Kathryn"},{"family":"Johnson","given":"Sarah"},{"family":"Ito","given":"Kazuhiko"},{"family":"Matte","given":"Thomas"}],"issued":{"date-parts":[["2018",6,15]]}}}],"schema":"https://github.com/citation-style-language/schema/raw/master/csl-citation.json"} </w:instrText>
      </w:r>
      <w:r w:rsidRPr="00742E53">
        <w:rPr>
          <w:rFonts w:ascii="Times New Roman" w:hAnsi="Times New Roman" w:cs="Times New Roman"/>
          <w:color w:val="000000" w:themeColor="text1"/>
        </w:rPr>
        <w:fldChar w:fldCharType="separate"/>
      </w:r>
      <w:r w:rsidRPr="00742E53">
        <w:rPr>
          <w:rFonts w:ascii="Times New Roman" w:hAnsi="Times New Roman" w:cs="Times New Roman"/>
          <w:noProof/>
          <w:color w:val="000000" w:themeColor="text1"/>
        </w:rPr>
        <w:t>(Dominianni et al., 2018)</w:t>
      </w:r>
      <w:r w:rsidRPr="00742E53">
        <w:rPr>
          <w:rFonts w:ascii="Times New Roman" w:hAnsi="Times New Roman" w:cs="Times New Roman"/>
          <w:color w:val="000000" w:themeColor="text1"/>
        </w:rPr>
        <w:fldChar w:fldCharType="end"/>
      </w:r>
      <w:r w:rsidRPr="00742E53">
        <w:rPr>
          <w:rFonts w:ascii="Times New Roman" w:hAnsi="Times New Roman" w:cs="Times New Roman"/>
          <w:color w:val="000000" w:themeColor="text1"/>
        </w:rPr>
        <w:t xml:space="preserve">, supporting the plausibility of outage-related mental health impacts in settings with </w:t>
      </w:r>
      <w:r w:rsidRPr="00742E53">
        <w:rPr>
          <w:rFonts w:ascii="Times New Roman" w:hAnsi="Times New Roman" w:cs="Times New Roman"/>
        </w:rPr>
        <w:t xml:space="preserve">existing treatment gaps and social vulnerability gradients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{"citationID":"QR9INSZg","properties":{"unsorted":false,"formattedCitation":"(Cook et al., 2017; Gibbons et al., 2024)","plainCitation":"(Cook et al., 2017; Gibbons et al., 2024)","noteIndex":0},"citationItems":[{"id":4618,"uris":["http://zotero.org/users/12445093/items/MVH2NVGM"],"itemData":{"id":4618,"type":"article-journal","abstract":"This study assesses individual- and area-level predictors of racial/ethnic disparities in mental health care episodes for adults with psychiatric illness. Multilevel regression models are estimated using data from the Medical Expenditure Panel Surveys linked to area-level data sets. Compared with Whites, Blacks and Latinos live in neighborhoods with higher minority density, lower average education, and greater specialist mental health provider density, all of which predict lesser mental health care initiation. Neighborhood-level variables do not have differential effects on mental health care by race/ethnicity. Racial/ethnic disparities arise because minorities are more likely to live in neighborhoods where treatment initiation is low, rather than because of a differential influence of neighborhood disadvantage on treatment initiation for minorities compared with Whites. Low rates of initiation in neighborhoods with a high density of specialists suggest that interventions to increase mental health care specialists, without a focus on treating racial/ethnic minorities, may not reduce access disparities.","call-number":"3","container-title":"Medical Care Research and Review","DOI":"10.1177/1077558716646898","ISSN":"1077-5587, 1552-6801","issue":"4","journalAbbreviation":"Med Care Res Rev","language":"en","note":"TLDR: Low rates of initiation in neighborhoods with a high density of specialists suggest that interventions to increase mental health care specialists, without a focus on treating racial/ethnic minorities, may not reduce access disparities.\ntitleTranslation: </w:instrText>
      </w:r>
      <w:r w:rsidRPr="00742E53">
        <w:rPr>
          <w:rFonts w:ascii="Times New Roman" w:hAnsi="Times New Roman" w:cs="Times New Roman"/>
        </w:rPr>
        <w:instrText>评估心理健康护理差异的个人、邻里和政策预测因素</w:instrText>
      </w:r>
      <w:r w:rsidRPr="00742E53">
        <w:rPr>
          <w:rFonts w:ascii="Times New Roman" w:hAnsi="Times New Roman" w:cs="Times New Roman"/>
        </w:rPr>
        <w:instrText xml:space="preserve">\nabstractTranslation: </w:instrText>
      </w:r>
      <w:r w:rsidRPr="00742E53">
        <w:rPr>
          <w:rFonts w:ascii="Times New Roman" w:hAnsi="Times New Roman" w:cs="Times New Roman"/>
        </w:rPr>
        <w:instrText>本研究对患有精神疾病的成年人在心理健康护理方面的种族</w:instrText>
      </w:r>
      <w:r w:rsidRPr="00742E53">
        <w:rPr>
          <w:rFonts w:ascii="Times New Roman" w:hAnsi="Times New Roman" w:cs="Times New Roman"/>
        </w:rPr>
        <w:instrText>/</w:instrText>
      </w:r>
      <w:r w:rsidRPr="00742E53">
        <w:rPr>
          <w:rFonts w:ascii="Times New Roman" w:hAnsi="Times New Roman" w:cs="Times New Roman"/>
        </w:rPr>
        <w:instrText>民族差异的个人和地区层面预测因素进行了评估。多层次回归模型是利用与地区级数据集相关联的医疗支出小组调查数据进行估算的。与白人相比，黑人和拉美裔所居住的社区少数民族密度更高、平均受教育程度更低、专科心理健康服务提供者密度更大，所有这些因素都预示着较少的心理健康护理启动率。邻里层面的变量并不会对不同种族</w:instrText>
      </w:r>
      <w:r w:rsidRPr="00742E53">
        <w:rPr>
          <w:rFonts w:ascii="Times New Roman" w:hAnsi="Times New Roman" w:cs="Times New Roman"/>
        </w:rPr>
        <w:instrText>/</w:instrText>
      </w:r>
      <w:r w:rsidRPr="00742E53">
        <w:rPr>
          <w:rFonts w:ascii="Times New Roman" w:hAnsi="Times New Roman" w:cs="Times New Roman"/>
        </w:rPr>
        <w:instrText>族裔的心理健康护理产生不同的影响。种族</w:instrText>
      </w:r>
      <w:r w:rsidRPr="00742E53">
        <w:rPr>
          <w:rFonts w:ascii="Times New Roman" w:hAnsi="Times New Roman" w:cs="Times New Roman"/>
        </w:rPr>
        <w:instrText>/</w:instrText>
      </w:r>
      <w:r w:rsidRPr="00742E53">
        <w:rPr>
          <w:rFonts w:ascii="Times New Roman" w:hAnsi="Times New Roman" w:cs="Times New Roman"/>
        </w:rPr>
        <w:instrText>族裔差异的产生是因为少数族裔更有可能居住在治疗启动率较低的社区，而不是因为与白人相比，社区的不利条件对少数族裔的治疗启动率产生了不同的影响。在专科医生密度较高的社区，开始治疗的比例较低，这表明，如果不把重点放在少数种族</w:instrText>
      </w:r>
      <w:r w:rsidRPr="00742E53">
        <w:rPr>
          <w:rFonts w:ascii="Times New Roman" w:hAnsi="Times New Roman" w:cs="Times New Roman"/>
        </w:rPr>
        <w:instrText>/</w:instrText>
      </w:r>
      <w:r w:rsidRPr="00742E53">
        <w:rPr>
          <w:rFonts w:ascii="Times New Roman" w:hAnsi="Times New Roman" w:cs="Times New Roman"/>
        </w:rPr>
        <w:instrText>族裔的治疗上，增加心理保健专家的干预措施可能不会减少获得治疗的差距。</w:instrText>
      </w:r>
      <w:r w:rsidRPr="00742E53">
        <w:rPr>
          <w:rFonts w:ascii="Times New Roman" w:hAnsi="Times New Roman" w:cs="Times New Roman"/>
        </w:rPr>
        <w:instrText xml:space="preserve">","page":"404-430","source":"2.4","title":"Assessing the Individual, Neighborhood, and Policy Predictors of Disparities in Mental Health Care","volume":"74","author":[{"family":"Cook","given":"Benjamin L."},{"family":"Zuvekas","given":"Samuel H."},{"family":"Chen","given":"Jie"},{"family":"Progovac","given":"Ana"},{"family":"Lincoln","given":"Alisa K."}],"issued":{"date-parts":[["2017",8]]}}},{"id":4616,"uris":["http://zotero.org/users/12445093/items/ZDPGW3VT"],"itemData":{"id":4616,"type":"article-journal","abstract":"OBJECTIVE To study associations of SV with clinical diagnoses of MH disorders, SUDs, and related treatments in the US noninstitutionalized population of adults aged 18 years and older. DESIGN, SETTING, AND PARTICIPANTS A survey of adults in a national sample of US households between October 2020 and October 2022. Participants drawn from a multistage, clustered, and stratified area probability sample of US households were included, excluding adults older than 65 years because of the difficulty of differentiating mental disorders from symptoms of dementia. The sample also included adults living in prisons, state psychiatric hospitals, and homeless shelters who were excluded from the sample of US households used in these analyses. Each sample household was sent a letter explaining the study and offering the option to complete the household roster online, by phone, or by email. Of the 12 906 adults selected for clinical interviewing in the household sample, 4674 completed clinical interviews. MAIN OUTCOMES AND MEASURES Main outcomes were Structured Clinical Interview for DSM-5 past-year diagnoses of MH disorders and SUDs and responses to survey questions regarding treatment received. The Social Vulnerability Metric (SVM) and the Area Deprivation Index (ADI) were used to determine SV at the residential zip code level.\nRESULTS The analysis involved 4674 participants (2904 [62.13%] female and 1770 [37.87%] male; mean [SD] age, 41.51 [13.41] years). Controlling for measured confounders, the SVM was significantly associated with diagnoses of schizophrenia spectrum disorder (SSD; adjusted odds ratio [aOR], 17.22; 95% CI, 3.05-97.29), opioid use disorder (OUD; aOR, 9.47; 95% CI, 2.30-39.02), stimulant use disorder (aOR, 6.60; 95% CI, 2.01-21.67), bipolar I disorder (aOR, 2.39; 95% CI, 1.19-4.80), posttraumatic stress disorder (aOR, 1.63; 95% CI, 1.06-2.50), and any MH disorder (aOR, 1.44; 95% CI, 1.14-1.83), but not major depressive disorder (MDD), generalized anxiety disorder (GAD), or any SUD. Results were similar for the ADI but generally of lower magnitude (SSD aOR, 11.38; 95% CI, 1.61-80.58; OUD aOR, 2.05; 95% CI, 0.30-14.10; stimulant use disorder aOR, 2.18; 95% CI, 0.52-9.18). Among participants with SSDs, SV was associated with reduced MH treatment (aOR, 0.001; 95% CI, 0.00-0.18) and reduced SUD treatment in participants with OUD or stimulant use disorder (aOR, 0.24; 95% CI, 0.02-2.80).\nCONCLUSIONS AND RELEVANCE In contrast to previous studies using nonclinical symptom-based survey data, we found no association between SV and GAD or MDD. By contrast, there were associations of SV with prevalence of SSD, stimulant use disorder, and OUD with corresponding decreases in treatment. These results suggest that the SVM might assist in developing more comprehensive care models that integrate medical and social care for MH disorders and SUDs.","call-number":"1","container-title":"JAMA Psychiatry","DOI":"10.1001/jamapsychiatry.2024.1870","ISSN":"2168-622X","issue":"10","journalAbbreviation":"JAMA Psychiatry","language":"en","note":"TLDR: The results suggest that the SVM might assist in developing more comprehensive care models that integrate medical and social care for MH disorders and SUDs.\ntitleTranslation: </w:instrText>
      </w:r>
      <w:r w:rsidRPr="00742E53">
        <w:rPr>
          <w:rFonts w:ascii="Times New Roman" w:hAnsi="Times New Roman" w:cs="Times New Roman"/>
        </w:rPr>
        <w:instrText>社会脆弱性与精神健康和药物使用障碍的流行和治疗</w:instrText>
      </w:r>
      <w:r w:rsidRPr="00742E53">
        <w:rPr>
          <w:rFonts w:ascii="Times New Roman" w:hAnsi="Times New Roman" w:cs="Times New Roman"/>
        </w:rPr>
        <w:instrText xml:space="preserve">\nabstractTranslation: </w:instrText>
      </w:r>
      <w:r w:rsidRPr="00742E53">
        <w:rPr>
          <w:rFonts w:ascii="Times New Roman" w:hAnsi="Times New Roman" w:cs="Times New Roman"/>
        </w:rPr>
        <w:instrText>目的</w:instrText>
      </w:r>
      <w:r w:rsidRPr="00742E53">
        <w:rPr>
          <w:rFonts w:ascii="Times New Roman" w:hAnsi="Times New Roman" w:cs="Times New Roman"/>
        </w:rPr>
        <w:instrText xml:space="preserve"> </w:instrText>
      </w:r>
      <w:r w:rsidRPr="00742E53">
        <w:rPr>
          <w:rFonts w:ascii="Times New Roman" w:hAnsi="Times New Roman" w:cs="Times New Roman"/>
        </w:rPr>
        <w:instrText>研究美国</w:instrText>
      </w:r>
      <w:r w:rsidRPr="00742E53">
        <w:rPr>
          <w:rFonts w:ascii="Times New Roman" w:hAnsi="Times New Roman" w:cs="Times New Roman"/>
        </w:rPr>
        <w:instrText xml:space="preserve"> 18 </w:instrText>
      </w:r>
      <w:r w:rsidRPr="00742E53">
        <w:rPr>
          <w:rFonts w:ascii="Times New Roman" w:hAnsi="Times New Roman" w:cs="Times New Roman"/>
        </w:rPr>
        <w:instrText>岁及以上非住院成年人群中</w:instrText>
      </w:r>
      <w:r w:rsidRPr="00742E53">
        <w:rPr>
          <w:rFonts w:ascii="Times New Roman" w:hAnsi="Times New Roman" w:cs="Times New Roman"/>
        </w:rPr>
        <w:instrText xml:space="preserve"> SV </w:instrText>
      </w:r>
      <w:r w:rsidRPr="00742E53">
        <w:rPr>
          <w:rFonts w:ascii="Times New Roman" w:hAnsi="Times New Roman" w:cs="Times New Roman"/>
        </w:rPr>
        <w:instrText>与</w:instrText>
      </w:r>
      <w:r w:rsidRPr="00742E53">
        <w:rPr>
          <w:rFonts w:ascii="Times New Roman" w:hAnsi="Times New Roman" w:cs="Times New Roman"/>
        </w:rPr>
        <w:instrText xml:space="preserve"> MH </w:instrText>
      </w:r>
      <w:r w:rsidRPr="00742E53">
        <w:rPr>
          <w:rFonts w:ascii="Times New Roman" w:hAnsi="Times New Roman" w:cs="Times New Roman"/>
        </w:rPr>
        <w:instrText>疾病、</w:instrText>
      </w:r>
      <w:r w:rsidRPr="00742E53">
        <w:rPr>
          <w:rFonts w:ascii="Times New Roman" w:hAnsi="Times New Roman" w:cs="Times New Roman"/>
        </w:rPr>
        <w:instrText xml:space="preserve">SUDs </w:instrText>
      </w:r>
      <w:r w:rsidRPr="00742E53">
        <w:rPr>
          <w:rFonts w:ascii="Times New Roman" w:hAnsi="Times New Roman" w:cs="Times New Roman"/>
        </w:rPr>
        <w:instrText>临床诊断及相关治疗之间的关联。设计、地点和参与者</w:instrText>
      </w:r>
      <w:r w:rsidRPr="00742E53">
        <w:rPr>
          <w:rFonts w:ascii="Times New Roman" w:hAnsi="Times New Roman" w:cs="Times New Roman"/>
        </w:rPr>
        <w:instrText xml:space="preserve"> </w:instrText>
      </w:r>
      <w:r w:rsidRPr="00742E53">
        <w:rPr>
          <w:rFonts w:ascii="Times New Roman" w:hAnsi="Times New Roman" w:cs="Times New Roman"/>
        </w:rPr>
        <w:instrText>在</w:instrText>
      </w:r>
      <w:r w:rsidRPr="00742E53">
        <w:rPr>
          <w:rFonts w:ascii="Times New Roman" w:hAnsi="Times New Roman" w:cs="Times New Roman"/>
        </w:rPr>
        <w:instrText xml:space="preserve"> 2020 </w:instrText>
      </w:r>
      <w:r w:rsidRPr="00742E53">
        <w:rPr>
          <w:rFonts w:ascii="Times New Roman" w:hAnsi="Times New Roman" w:cs="Times New Roman"/>
        </w:rPr>
        <w:instrText>年</w:instrText>
      </w:r>
      <w:r w:rsidRPr="00742E53">
        <w:rPr>
          <w:rFonts w:ascii="Times New Roman" w:hAnsi="Times New Roman" w:cs="Times New Roman"/>
        </w:rPr>
        <w:instrText xml:space="preserve"> 10 </w:instrText>
      </w:r>
      <w:r w:rsidRPr="00742E53">
        <w:rPr>
          <w:rFonts w:ascii="Times New Roman" w:hAnsi="Times New Roman" w:cs="Times New Roman"/>
        </w:rPr>
        <w:instrText>月至</w:instrText>
      </w:r>
      <w:r w:rsidRPr="00742E53">
        <w:rPr>
          <w:rFonts w:ascii="Times New Roman" w:hAnsi="Times New Roman" w:cs="Times New Roman"/>
        </w:rPr>
        <w:instrText xml:space="preserve"> 2022 </w:instrText>
      </w:r>
      <w:r w:rsidRPr="00742E53">
        <w:rPr>
          <w:rFonts w:ascii="Times New Roman" w:hAnsi="Times New Roman" w:cs="Times New Roman"/>
        </w:rPr>
        <w:instrText>年</w:instrText>
      </w:r>
      <w:r w:rsidRPr="00742E53">
        <w:rPr>
          <w:rFonts w:ascii="Times New Roman" w:hAnsi="Times New Roman" w:cs="Times New Roman"/>
        </w:rPr>
        <w:instrText xml:space="preserve"> 10 </w:instrText>
      </w:r>
      <w:r w:rsidRPr="00742E53">
        <w:rPr>
          <w:rFonts w:ascii="Times New Roman" w:hAnsi="Times New Roman" w:cs="Times New Roman"/>
        </w:rPr>
        <w:instrText>月期间对美国全国家庭样本中的成年人进行调查。调查对象来自美国家庭的多级、聚类和分层地区概率样本，但不包括</w:instrText>
      </w:r>
      <w:r w:rsidRPr="00742E53">
        <w:rPr>
          <w:rFonts w:ascii="Times New Roman" w:hAnsi="Times New Roman" w:cs="Times New Roman"/>
        </w:rPr>
        <w:instrText xml:space="preserve"> 65 </w:instrText>
      </w:r>
      <w:r w:rsidRPr="00742E53">
        <w:rPr>
          <w:rFonts w:ascii="Times New Roman" w:hAnsi="Times New Roman" w:cs="Times New Roman"/>
        </w:rPr>
        <w:instrText>岁以上的成年人，因为很难区分精神障碍和痴呆症状。样本中还包括住在监狱、州立精神病院和无家可归者收容所的成年人，这些人不包括在这些分析所用的美国家庭样本中。每个样本家庭都收到了一封信，信中解释了这项研究，并提供了在线、电话或电子邮件填写家庭名册的选择。在家庭样本中被选中进行临床访谈的</w:instrText>
      </w:r>
      <w:r w:rsidRPr="00742E53">
        <w:rPr>
          <w:rFonts w:ascii="Times New Roman" w:hAnsi="Times New Roman" w:cs="Times New Roman"/>
        </w:rPr>
        <w:instrText xml:space="preserve"> 12 906 </w:instrText>
      </w:r>
      <w:r w:rsidRPr="00742E53">
        <w:rPr>
          <w:rFonts w:ascii="Times New Roman" w:hAnsi="Times New Roman" w:cs="Times New Roman"/>
        </w:rPr>
        <w:instrText>名成年人中，有</w:instrText>
      </w:r>
      <w:r w:rsidRPr="00742E53">
        <w:rPr>
          <w:rFonts w:ascii="Times New Roman" w:hAnsi="Times New Roman" w:cs="Times New Roman"/>
        </w:rPr>
        <w:instrText xml:space="preserve"> 4674 </w:instrText>
      </w:r>
      <w:r w:rsidRPr="00742E53">
        <w:rPr>
          <w:rFonts w:ascii="Times New Roman" w:hAnsi="Times New Roman" w:cs="Times New Roman"/>
        </w:rPr>
        <w:instrText>人完成了临床访谈。主要结果和衡量标准</w:instrText>
      </w:r>
      <w:r w:rsidRPr="00742E53">
        <w:rPr>
          <w:rFonts w:ascii="Times New Roman" w:hAnsi="Times New Roman" w:cs="Times New Roman"/>
        </w:rPr>
        <w:instrText xml:space="preserve"> </w:instrText>
      </w:r>
      <w:r w:rsidRPr="00742E53">
        <w:rPr>
          <w:rFonts w:ascii="Times New Roman" w:hAnsi="Times New Roman" w:cs="Times New Roman"/>
        </w:rPr>
        <w:instrText>主要结果是针对</w:instrText>
      </w:r>
      <w:r w:rsidRPr="00742E53">
        <w:rPr>
          <w:rFonts w:ascii="Times New Roman" w:hAnsi="Times New Roman" w:cs="Times New Roman"/>
        </w:rPr>
        <w:instrText xml:space="preserve"> DSM-5 </w:instrText>
      </w:r>
      <w:r w:rsidRPr="00742E53">
        <w:rPr>
          <w:rFonts w:ascii="Times New Roman" w:hAnsi="Times New Roman" w:cs="Times New Roman"/>
        </w:rPr>
        <w:instrText>过去一年精神障碍和药物依赖性障碍诊断的结构化临床访谈，以及对有关所接受治疗的调查问题的回答。社会脆弱性指标（</w:instrText>
      </w:r>
      <w:r w:rsidRPr="00742E53">
        <w:rPr>
          <w:rFonts w:ascii="Times New Roman" w:hAnsi="Times New Roman" w:cs="Times New Roman"/>
        </w:rPr>
        <w:instrText>SVM</w:instrText>
      </w:r>
      <w:r w:rsidRPr="00742E53">
        <w:rPr>
          <w:rFonts w:ascii="Times New Roman" w:hAnsi="Times New Roman" w:cs="Times New Roman"/>
        </w:rPr>
        <w:instrText>）和地区贫困指数（</w:instrText>
      </w:r>
      <w:r w:rsidRPr="00742E53">
        <w:rPr>
          <w:rFonts w:ascii="Times New Roman" w:hAnsi="Times New Roman" w:cs="Times New Roman"/>
        </w:rPr>
        <w:instrText>ADI</w:instrText>
      </w:r>
      <w:r w:rsidRPr="00742E53">
        <w:rPr>
          <w:rFonts w:ascii="Times New Roman" w:hAnsi="Times New Roman" w:cs="Times New Roman"/>
        </w:rPr>
        <w:instrText>）用于确定居住地邮编级别的社会脆弱性。</w:instrText>
      </w:r>
      <w:r w:rsidRPr="00742E53">
        <w:rPr>
          <w:rFonts w:ascii="Times New Roman" w:hAnsi="Times New Roman" w:cs="Times New Roman"/>
        </w:rPr>
        <w:instrText>\n</w:instrText>
      </w:r>
      <w:r w:rsidRPr="00742E53">
        <w:rPr>
          <w:rFonts w:ascii="Times New Roman" w:hAnsi="Times New Roman" w:cs="Times New Roman"/>
        </w:rPr>
        <w:instrText>结果</w:instrText>
      </w:r>
      <w:r w:rsidRPr="00742E53">
        <w:rPr>
          <w:rFonts w:ascii="Times New Roman" w:hAnsi="Times New Roman" w:cs="Times New Roman"/>
        </w:rPr>
        <w:instrText xml:space="preserve"> </w:instrText>
      </w:r>
      <w:r w:rsidRPr="00742E53">
        <w:rPr>
          <w:rFonts w:ascii="Times New Roman" w:hAnsi="Times New Roman" w:cs="Times New Roman"/>
        </w:rPr>
        <w:instrText>分析涉及</w:instrText>
      </w:r>
      <w:r w:rsidRPr="00742E53">
        <w:rPr>
          <w:rFonts w:ascii="Times New Roman" w:hAnsi="Times New Roman" w:cs="Times New Roman"/>
        </w:rPr>
        <w:instrText xml:space="preserve"> 4674 </w:instrText>
      </w:r>
      <w:r w:rsidRPr="00742E53">
        <w:rPr>
          <w:rFonts w:ascii="Times New Roman" w:hAnsi="Times New Roman" w:cs="Times New Roman"/>
        </w:rPr>
        <w:instrText>名参与者（</w:instrText>
      </w:r>
      <w:r w:rsidRPr="00742E53">
        <w:rPr>
          <w:rFonts w:ascii="Times New Roman" w:hAnsi="Times New Roman" w:cs="Times New Roman"/>
        </w:rPr>
        <w:instrText xml:space="preserve">2904 </w:instrText>
      </w:r>
      <w:r w:rsidRPr="00742E53">
        <w:rPr>
          <w:rFonts w:ascii="Times New Roman" w:hAnsi="Times New Roman" w:cs="Times New Roman"/>
        </w:rPr>
        <w:instrText>名</w:instrText>
      </w:r>
      <w:r w:rsidRPr="00742E53">
        <w:rPr>
          <w:rFonts w:ascii="Times New Roman" w:hAnsi="Times New Roman" w:cs="Times New Roman"/>
        </w:rPr>
        <w:instrText xml:space="preserve"> [62.13%] </w:instrText>
      </w:r>
      <w:r w:rsidRPr="00742E53">
        <w:rPr>
          <w:rFonts w:ascii="Times New Roman" w:hAnsi="Times New Roman" w:cs="Times New Roman"/>
        </w:rPr>
        <w:instrText>女性和</w:instrText>
      </w:r>
      <w:r w:rsidRPr="00742E53">
        <w:rPr>
          <w:rFonts w:ascii="Times New Roman" w:hAnsi="Times New Roman" w:cs="Times New Roman"/>
        </w:rPr>
        <w:instrText xml:space="preserve"> 1770 </w:instrText>
      </w:r>
      <w:r w:rsidRPr="00742E53">
        <w:rPr>
          <w:rFonts w:ascii="Times New Roman" w:hAnsi="Times New Roman" w:cs="Times New Roman"/>
        </w:rPr>
        <w:instrText>名</w:instrText>
      </w:r>
      <w:r w:rsidRPr="00742E53">
        <w:rPr>
          <w:rFonts w:ascii="Times New Roman" w:hAnsi="Times New Roman" w:cs="Times New Roman"/>
        </w:rPr>
        <w:instrText xml:space="preserve"> [37.87%] </w:instrText>
      </w:r>
      <w:r w:rsidRPr="00742E53">
        <w:rPr>
          <w:rFonts w:ascii="Times New Roman" w:hAnsi="Times New Roman" w:cs="Times New Roman"/>
        </w:rPr>
        <w:instrText>男性；平均</w:instrText>
      </w:r>
      <w:r w:rsidRPr="00742E53">
        <w:rPr>
          <w:rFonts w:ascii="Times New Roman" w:hAnsi="Times New Roman" w:cs="Times New Roman"/>
        </w:rPr>
        <w:instrText xml:space="preserve"> [SD] </w:instrText>
      </w:r>
      <w:r w:rsidRPr="00742E53">
        <w:rPr>
          <w:rFonts w:ascii="Times New Roman" w:hAnsi="Times New Roman" w:cs="Times New Roman"/>
        </w:rPr>
        <w:instrText>年龄</w:instrText>
      </w:r>
      <w:r w:rsidRPr="00742E53">
        <w:rPr>
          <w:rFonts w:ascii="Times New Roman" w:hAnsi="Times New Roman" w:cs="Times New Roman"/>
        </w:rPr>
        <w:instrText xml:space="preserve"> 41.51 [13.41] </w:instrText>
      </w:r>
      <w:r w:rsidRPr="00742E53">
        <w:rPr>
          <w:rFonts w:ascii="Times New Roman" w:hAnsi="Times New Roman" w:cs="Times New Roman"/>
        </w:rPr>
        <w:instrText>岁）。在控制测量的混杂因素后，</w:instrText>
      </w:r>
      <w:r w:rsidRPr="00742E53">
        <w:rPr>
          <w:rFonts w:ascii="Times New Roman" w:hAnsi="Times New Roman" w:cs="Times New Roman"/>
        </w:rPr>
        <w:instrText xml:space="preserve">SVM </w:instrText>
      </w:r>
      <w:r w:rsidRPr="00742E53">
        <w:rPr>
          <w:rFonts w:ascii="Times New Roman" w:hAnsi="Times New Roman" w:cs="Times New Roman"/>
        </w:rPr>
        <w:instrText>与精神分裂症谱系障碍（</w:instrText>
      </w:r>
      <w:r w:rsidRPr="00742E53">
        <w:rPr>
          <w:rFonts w:ascii="Times New Roman" w:hAnsi="Times New Roman" w:cs="Times New Roman"/>
        </w:rPr>
        <w:instrText>SSD</w:instrText>
      </w:r>
      <w:r w:rsidRPr="00742E53">
        <w:rPr>
          <w:rFonts w:ascii="Times New Roman" w:hAnsi="Times New Roman" w:cs="Times New Roman"/>
        </w:rPr>
        <w:instrText>；调整赔率比</w:instrText>
      </w:r>
      <w:r w:rsidRPr="00742E53">
        <w:rPr>
          <w:rFonts w:ascii="Times New Roman" w:hAnsi="Times New Roman" w:cs="Times New Roman"/>
        </w:rPr>
        <w:instrText xml:space="preserve"> [aOR]</w:instrText>
      </w:r>
      <w:r w:rsidRPr="00742E53">
        <w:rPr>
          <w:rFonts w:ascii="Times New Roman" w:hAnsi="Times New Roman" w:cs="Times New Roman"/>
        </w:rPr>
        <w:instrText>，</w:instrText>
      </w:r>
      <w:r w:rsidRPr="00742E53">
        <w:rPr>
          <w:rFonts w:ascii="Times New Roman" w:hAnsi="Times New Roman" w:cs="Times New Roman"/>
        </w:rPr>
        <w:instrText>17.22</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3.05-97.29</w:instrText>
      </w:r>
      <w:r w:rsidRPr="00742E53">
        <w:rPr>
          <w:rFonts w:ascii="Times New Roman" w:hAnsi="Times New Roman" w:cs="Times New Roman"/>
        </w:rPr>
        <w:instrText>）、阿片类药物使用障碍（</w:instrText>
      </w:r>
      <w:r w:rsidRPr="00742E53">
        <w:rPr>
          <w:rFonts w:ascii="Times New Roman" w:hAnsi="Times New Roman" w:cs="Times New Roman"/>
        </w:rPr>
        <w:instrText>OUD</w:instrText>
      </w:r>
      <w:r w:rsidRPr="00742E53">
        <w:rPr>
          <w:rFonts w:ascii="Times New Roman" w:hAnsi="Times New Roman" w:cs="Times New Roman"/>
        </w:rPr>
        <w:instrText>；</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9.47</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2.30-39.02</w:instrText>
      </w:r>
      <w:r w:rsidRPr="00742E53">
        <w:rPr>
          <w:rFonts w:ascii="Times New Roman" w:hAnsi="Times New Roman" w:cs="Times New Roman"/>
        </w:rPr>
        <w:instrText>）、兴奋剂使用障碍（</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6.60</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2.01-21.67</w:instrText>
      </w:r>
      <w:r w:rsidRPr="00742E53">
        <w:rPr>
          <w:rFonts w:ascii="Times New Roman" w:hAnsi="Times New Roman" w:cs="Times New Roman"/>
        </w:rPr>
        <w:instrText>）、双相</w:instrText>
      </w:r>
      <w:r w:rsidRPr="00742E53">
        <w:rPr>
          <w:rFonts w:ascii="Times New Roman" w:hAnsi="Times New Roman" w:cs="Times New Roman"/>
        </w:rPr>
        <w:instrText xml:space="preserve"> I </w:instrText>
      </w:r>
      <w:r w:rsidRPr="00742E53">
        <w:rPr>
          <w:rFonts w:ascii="Times New Roman" w:hAnsi="Times New Roman" w:cs="Times New Roman"/>
        </w:rPr>
        <w:instrText>型障碍（</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2.39</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1.19-4.80</w:instrText>
      </w:r>
      <w:r w:rsidRPr="00742E53">
        <w:rPr>
          <w:rFonts w:ascii="Times New Roman" w:hAnsi="Times New Roman" w:cs="Times New Roman"/>
        </w:rPr>
        <w:instrText>）、创伤后应激障碍（</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1.63</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1.06-2.50</w:instrText>
      </w:r>
      <w:r w:rsidRPr="00742E53">
        <w:rPr>
          <w:rFonts w:ascii="Times New Roman" w:hAnsi="Times New Roman" w:cs="Times New Roman"/>
        </w:rPr>
        <w:instrText>）和任何</w:instrText>
      </w:r>
      <w:r w:rsidRPr="00742E53">
        <w:rPr>
          <w:rFonts w:ascii="Times New Roman" w:hAnsi="Times New Roman" w:cs="Times New Roman"/>
        </w:rPr>
        <w:instrText xml:space="preserve"> MH </w:instrText>
      </w:r>
      <w:r w:rsidRPr="00742E53">
        <w:rPr>
          <w:rFonts w:ascii="Times New Roman" w:hAnsi="Times New Roman" w:cs="Times New Roman"/>
        </w:rPr>
        <w:instrText>障碍（</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1.44</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1.14-1.83</w:instrText>
      </w:r>
      <w:r w:rsidRPr="00742E53">
        <w:rPr>
          <w:rFonts w:ascii="Times New Roman" w:hAnsi="Times New Roman" w:cs="Times New Roman"/>
        </w:rPr>
        <w:instrText>），但不包括重度抑郁障碍（</w:instrText>
      </w:r>
      <w:r w:rsidRPr="00742E53">
        <w:rPr>
          <w:rFonts w:ascii="Times New Roman" w:hAnsi="Times New Roman" w:cs="Times New Roman"/>
        </w:rPr>
        <w:instrText>MDD</w:instrText>
      </w:r>
      <w:r w:rsidRPr="00742E53">
        <w:rPr>
          <w:rFonts w:ascii="Times New Roman" w:hAnsi="Times New Roman" w:cs="Times New Roman"/>
        </w:rPr>
        <w:instrText>）、广泛性焦虑障碍（</w:instrText>
      </w:r>
      <w:r w:rsidRPr="00742E53">
        <w:rPr>
          <w:rFonts w:ascii="Times New Roman" w:hAnsi="Times New Roman" w:cs="Times New Roman"/>
        </w:rPr>
        <w:instrText>GAD</w:instrText>
      </w:r>
      <w:r w:rsidRPr="00742E53">
        <w:rPr>
          <w:rFonts w:ascii="Times New Roman" w:hAnsi="Times New Roman" w:cs="Times New Roman"/>
        </w:rPr>
        <w:instrText>）或任何</w:instrText>
      </w:r>
      <w:r w:rsidRPr="00742E53">
        <w:rPr>
          <w:rFonts w:ascii="Times New Roman" w:hAnsi="Times New Roman" w:cs="Times New Roman"/>
        </w:rPr>
        <w:instrText xml:space="preserve"> SUD</w:instrText>
      </w:r>
      <w:r w:rsidRPr="00742E53">
        <w:rPr>
          <w:rFonts w:ascii="Times New Roman" w:hAnsi="Times New Roman" w:cs="Times New Roman"/>
        </w:rPr>
        <w:instrText>。</w:instrText>
      </w:r>
      <w:r w:rsidRPr="00742E53">
        <w:rPr>
          <w:rFonts w:ascii="Times New Roman" w:hAnsi="Times New Roman" w:cs="Times New Roman"/>
        </w:rPr>
        <w:instrText xml:space="preserve">ADI </w:instrText>
      </w:r>
      <w:r w:rsidRPr="00742E53">
        <w:rPr>
          <w:rFonts w:ascii="Times New Roman" w:hAnsi="Times New Roman" w:cs="Times New Roman"/>
        </w:rPr>
        <w:instrText>的结果与之相似，但程度普遍较低（</w:instrText>
      </w:r>
      <w:r w:rsidRPr="00742E53">
        <w:rPr>
          <w:rFonts w:ascii="Times New Roman" w:hAnsi="Times New Roman" w:cs="Times New Roman"/>
        </w:rPr>
        <w:instrText>SSD aOR</w:instrText>
      </w:r>
      <w:r w:rsidRPr="00742E53">
        <w:rPr>
          <w:rFonts w:ascii="Times New Roman" w:hAnsi="Times New Roman" w:cs="Times New Roman"/>
        </w:rPr>
        <w:instrText>，</w:instrText>
      </w:r>
      <w:r w:rsidRPr="00742E53">
        <w:rPr>
          <w:rFonts w:ascii="Times New Roman" w:hAnsi="Times New Roman" w:cs="Times New Roman"/>
        </w:rPr>
        <w:instrText>11.38</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1.61-80.58</w:instrText>
      </w:r>
      <w:r w:rsidRPr="00742E53">
        <w:rPr>
          <w:rFonts w:ascii="Times New Roman" w:hAnsi="Times New Roman" w:cs="Times New Roman"/>
        </w:rPr>
        <w:instrText>；</w:instrText>
      </w:r>
      <w:r w:rsidRPr="00742E53">
        <w:rPr>
          <w:rFonts w:ascii="Times New Roman" w:hAnsi="Times New Roman" w:cs="Times New Roman"/>
        </w:rPr>
        <w:instrText>OUD aOR</w:instrText>
      </w:r>
      <w:r w:rsidRPr="00742E53">
        <w:rPr>
          <w:rFonts w:ascii="Times New Roman" w:hAnsi="Times New Roman" w:cs="Times New Roman"/>
        </w:rPr>
        <w:instrText>，</w:instrText>
      </w:r>
      <w:r w:rsidRPr="00742E53">
        <w:rPr>
          <w:rFonts w:ascii="Times New Roman" w:hAnsi="Times New Roman" w:cs="Times New Roman"/>
        </w:rPr>
        <w:instrText>2.05</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0.30-14.10</w:instrText>
      </w:r>
      <w:r w:rsidRPr="00742E53">
        <w:rPr>
          <w:rFonts w:ascii="Times New Roman" w:hAnsi="Times New Roman" w:cs="Times New Roman"/>
        </w:rPr>
        <w:instrText>；兴奋剂使用障碍</w:instrText>
      </w:r>
      <w:r w:rsidRPr="00742E53">
        <w:rPr>
          <w:rFonts w:ascii="Times New Roman" w:hAnsi="Times New Roman" w:cs="Times New Roman"/>
        </w:rPr>
        <w:instrText xml:space="preserve"> aOR</w:instrText>
      </w:r>
      <w:r w:rsidRPr="00742E53">
        <w:rPr>
          <w:rFonts w:ascii="Times New Roman" w:hAnsi="Times New Roman" w:cs="Times New Roman"/>
        </w:rPr>
        <w:instrText>，</w:instrText>
      </w:r>
      <w:r w:rsidRPr="00742E53">
        <w:rPr>
          <w:rFonts w:ascii="Times New Roman" w:hAnsi="Times New Roman" w:cs="Times New Roman"/>
        </w:rPr>
        <w:instrText>2.18</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0.52-9.18</w:instrText>
      </w:r>
      <w:r w:rsidRPr="00742E53">
        <w:rPr>
          <w:rFonts w:ascii="Times New Roman" w:hAnsi="Times New Roman" w:cs="Times New Roman"/>
        </w:rPr>
        <w:instrText>）。在患有</w:instrText>
      </w:r>
      <w:r w:rsidRPr="00742E53">
        <w:rPr>
          <w:rFonts w:ascii="Times New Roman" w:hAnsi="Times New Roman" w:cs="Times New Roman"/>
        </w:rPr>
        <w:instrText xml:space="preserve"> SSD </w:instrText>
      </w:r>
      <w:r w:rsidRPr="00742E53">
        <w:rPr>
          <w:rFonts w:ascii="Times New Roman" w:hAnsi="Times New Roman" w:cs="Times New Roman"/>
        </w:rPr>
        <w:instrText>的参与者中，</w:instrText>
      </w:r>
      <w:r w:rsidRPr="00742E53">
        <w:rPr>
          <w:rFonts w:ascii="Times New Roman" w:hAnsi="Times New Roman" w:cs="Times New Roman"/>
        </w:rPr>
        <w:instrText xml:space="preserve">SV </w:instrText>
      </w:r>
      <w:r w:rsidRPr="00742E53">
        <w:rPr>
          <w:rFonts w:ascii="Times New Roman" w:hAnsi="Times New Roman" w:cs="Times New Roman"/>
        </w:rPr>
        <w:instrText>与精神健康治疗的减少相关（</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0.001</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0.00-0.18</w:instrText>
      </w:r>
      <w:r w:rsidRPr="00742E53">
        <w:rPr>
          <w:rFonts w:ascii="Times New Roman" w:hAnsi="Times New Roman" w:cs="Times New Roman"/>
        </w:rPr>
        <w:instrText>），而在患有</w:instrText>
      </w:r>
      <w:r w:rsidRPr="00742E53">
        <w:rPr>
          <w:rFonts w:ascii="Times New Roman" w:hAnsi="Times New Roman" w:cs="Times New Roman"/>
        </w:rPr>
        <w:instrText xml:space="preserve"> OUD </w:instrText>
      </w:r>
      <w:r w:rsidRPr="00742E53">
        <w:rPr>
          <w:rFonts w:ascii="Times New Roman" w:hAnsi="Times New Roman" w:cs="Times New Roman"/>
        </w:rPr>
        <w:instrText>或兴奋剂使用障碍的参与者中，</w:instrText>
      </w:r>
      <w:r w:rsidRPr="00742E53">
        <w:rPr>
          <w:rFonts w:ascii="Times New Roman" w:hAnsi="Times New Roman" w:cs="Times New Roman"/>
        </w:rPr>
        <w:instrText xml:space="preserve">SUD </w:instrText>
      </w:r>
      <w:r w:rsidRPr="00742E53">
        <w:rPr>
          <w:rFonts w:ascii="Times New Roman" w:hAnsi="Times New Roman" w:cs="Times New Roman"/>
        </w:rPr>
        <w:instrText>治疗的减少相关（</w:instrText>
      </w:r>
      <w:r w:rsidRPr="00742E53">
        <w:rPr>
          <w:rFonts w:ascii="Times New Roman" w:hAnsi="Times New Roman" w:cs="Times New Roman"/>
        </w:rPr>
        <w:instrText>aOR</w:instrText>
      </w:r>
      <w:r w:rsidRPr="00742E53">
        <w:rPr>
          <w:rFonts w:ascii="Times New Roman" w:hAnsi="Times New Roman" w:cs="Times New Roman"/>
        </w:rPr>
        <w:instrText>，</w:instrText>
      </w:r>
      <w:r w:rsidRPr="00742E53">
        <w:rPr>
          <w:rFonts w:ascii="Times New Roman" w:hAnsi="Times New Roman" w:cs="Times New Roman"/>
        </w:rPr>
        <w:instrText>0.24</w:instrText>
      </w:r>
      <w:r w:rsidRPr="00742E53">
        <w:rPr>
          <w:rFonts w:ascii="Times New Roman" w:hAnsi="Times New Roman" w:cs="Times New Roman"/>
        </w:rPr>
        <w:instrText>；</w:instrText>
      </w:r>
      <w:r w:rsidRPr="00742E53">
        <w:rPr>
          <w:rFonts w:ascii="Times New Roman" w:hAnsi="Times New Roman" w:cs="Times New Roman"/>
        </w:rPr>
        <w:instrText>95% CI</w:instrText>
      </w:r>
      <w:r w:rsidRPr="00742E53">
        <w:rPr>
          <w:rFonts w:ascii="Times New Roman" w:hAnsi="Times New Roman" w:cs="Times New Roman"/>
        </w:rPr>
        <w:instrText>，</w:instrText>
      </w:r>
      <w:r w:rsidRPr="00742E53">
        <w:rPr>
          <w:rFonts w:ascii="Times New Roman" w:hAnsi="Times New Roman" w:cs="Times New Roman"/>
        </w:rPr>
        <w:instrText>0.02-2.80</w:instrText>
      </w:r>
      <w:r w:rsidRPr="00742E53">
        <w:rPr>
          <w:rFonts w:ascii="Times New Roman" w:hAnsi="Times New Roman" w:cs="Times New Roman"/>
        </w:rPr>
        <w:instrText>）。</w:instrText>
      </w:r>
      <w:r w:rsidRPr="00742E53">
        <w:rPr>
          <w:rFonts w:ascii="Times New Roman" w:hAnsi="Times New Roman" w:cs="Times New Roman"/>
        </w:rPr>
        <w:instrText>\n</w:instrText>
      </w:r>
      <w:r w:rsidRPr="00742E53">
        <w:rPr>
          <w:rFonts w:ascii="Times New Roman" w:hAnsi="Times New Roman" w:cs="Times New Roman"/>
        </w:rPr>
        <w:instrText>结论与意义</w:instrText>
      </w:r>
      <w:r w:rsidRPr="00742E53">
        <w:rPr>
          <w:rFonts w:ascii="Times New Roman" w:hAnsi="Times New Roman" w:cs="Times New Roman"/>
        </w:rPr>
        <w:instrText xml:space="preserve"> </w:instrText>
      </w:r>
      <w:r w:rsidRPr="00742E53">
        <w:rPr>
          <w:rFonts w:ascii="Times New Roman" w:hAnsi="Times New Roman" w:cs="Times New Roman"/>
        </w:rPr>
        <w:instrText>与以往使用非临床症状调查数据的研究不同，我们没有发现</w:instrText>
      </w:r>
      <w:r w:rsidRPr="00742E53">
        <w:rPr>
          <w:rFonts w:ascii="Times New Roman" w:hAnsi="Times New Roman" w:cs="Times New Roman"/>
        </w:rPr>
        <w:instrText xml:space="preserve"> SV </w:instrText>
      </w:r>
      <w:r w:rsidRPr="00742E53">
        <w:rPr>
          <w:rFonts w:ascii="Times New Roman" w:hAnsi="Times New Roman" w:cs="Times New Roman"/>
        </w:rPr>
        <w:instrText>与</w:instrText>
      </w:r>
      <w:r w:rsidRPr="00742E53">
        <w:rPr>
          <w:rFonts w:ascii="Times New Roman" w:hAnsi="Times New Roman" w:cs="Times New Roman"/>
        </w:rPr>
        <w:instrText xml:space="preserve"> GAD </w:instrText>
      </w:r>
      <w:r w:rsidRPr="00742E53">
        <w:rPr>
          <w:rFonts w:ascii="Times New Roman" w:hAnsi="Times New Roman" w:cs="Times New Roman"/>
        </w:rPr>
        <w:instrText>或</w:instrText>
      </w:r>
      <w:r w:rsidRPr="00742E53">
        <w:rPr>
          <w:rFonts w:ascii="Times New Roman" w:hAnsi="Times New Roman" w:cs="Times New Roman"/>
        </w:rPr>
        <w:instrText xml:space="preserve"> MDD </w:instrText>
      </w:r>
      <w:r w:rsidRPr="00742E53">
        <w:rPr>
          <w:rFonts w:ascii="Times New Roman" w:hAnsi="Times New Roman" w:cs="Times New Roman"/>
        </w:rPr>
        <w:instrText>之间存在关联。与此相反，</w:instrText>
      </w:r>
      <w:r w:rsidRPr="00742E53">
        <w:rPr>
          <w:rFonts w:ascii="Times New Roman" w:hAnsi="Times New Roman" w:cs="Times New Roman"/>
        </w:rPr>
        <w:instrText xml:space="preserve">SV </w:instrText>
      </w:r>
      <w:r w:rsidRPr="00742E53">
        <w:rPr>
          <w:rFonts w:ascii="Times New Roman" w:hAnsi="Times New Roman" w:cs="Times New Roman"/>
        </w:rPr>
        <w:instrText>与</w:instrText>
      </w:r>
      <w:r w:rsidRPr="00742E53">
        <w:rPr>
          <w:rFonts w:ascii="Times New Roman" w:hAnsi="Times New Roman" w:cs="Times New Roman"/>
        </w:rPr>
        <w:instrText xml:space="preserve"> SSD</w:instrText>
      </w:r>
      <w:r w:rsidRPr="00742E53">
        <w:rPr>
          <w:rFonts w:ascii="Times New Roman" w:hAnsi="Times New Roman" w:cs="Times New Roman"/>
        </w:rPr>
        <w:instrText>、兴奋剂使用障碍和</w:instrText>
      </w:r>
      <w:r w:rsidRPr="00742E53">
        <w:rPr>
          <w:rFonts w:ascii="Times New Roman" w:hAnsi="Times New Roman" w:cs="Times New Roman"/>
        </w:rPr>
        <w:instrText xml:space="preserve"> OUD </w:instrText>
      </w:r>
      <w:r w:rsidRPr="00742E53">
        <w:rPr>
          <w:rFonts w:ascii="Times New Roman" w:hAnsi="Times New Roman" w:cs="Times New Roman"/>
        </w:rPr>
        <w:instrText>的患病率存在关联，且治疗率相应下降。这些结果表明，</w:instrText>
      </w:r>
      <w:r w:rsidRPr="00742E53">
        <w:rPr>
          <w:rFonts w:ascii="Times New Roman" w:hAnsi="Times New Roman" w:cs="Times New Roman"/>
        </w:rPr>
        <w:instrText xml:space="preserve">SVM </w:instrText>
      </w:r>
      <w:r w:rsidRPr="00742E53">
        <w:rPr>
          <w:rFonts w:ascii="Times New Roman" w:hAnsi="Times New Roman" w:cs="Times New Roman"/>
        </w:rPr>
        <w:instrText>可能有助于开发更全面的护理模式，将针对</w:instrText>
      </w:r>
      <w:r w:rsidRPr="00742E53">
        <w:rPr>
          <w:rFonts w:ascii="Times New Roman" w:hAnsi="Times New Roman" w:cs="Times New Roman"/>
        </w:rPr>
        <w:instrText xml:space="preserve"> MH </w:instrText>
      </w:r>
      <w:r w:rsidRPr="00742E53">
        <w:rPr>
          <w:rFonts w:ascii="Times New Roman" w:hAnsi="Times New Roman" w:cs="Times New Roman"/>
        </w:rPr>
        <w:instrText>疾病和</w:instrText>
      </w:r>
      <w:r w:rsidRPr="00742E53">
        <w:rPr>
          <w:rFonts w:ascii="Times New Roman" w:hAnsi="Times New Roman" w:cs="Times New Roman"/>
        </w:rPr>
        <w:instrText xml:space="preserve"> SUD </w:instrText>
      </w:r>
      <w:r w:rsidRPr="00742E53">
        <w:rPr>
          <w:rFonts w:ascii="Times New Roman" w:hAnsi="Times New Roman" w:cs="Times New Roman"/>
        </w:rPr>
        <w:instrText>的医疗和社会护理结合起来。</w:instrText>
      </w:r>
      <w:r w:rsidRPr="00742E53">
        <w:rPr>
          <w:rFonts w:ascii="Times New Roman" w:hAnsi="Times New Roman" w:cs="Times New Roman"/>
        </w:rPr>
        <w:instrText xml:space="preserve">","page":"976","source":"22.5","title":"Social Vulnerability and Prevalence and Treatment for Mental Health and Substance Use Disorders","volume":"81","author":[{"family":"Gibbons","given":"Robert D."},{"family":"Olfson","given":"Mark"},{"family":"Saulsberry","given":"Loren"},{"family":"Edlund","given":"Mark J."},{"family":"Zangeneh","given":"Sahar"},{"family":"Bareis","given":"Natalie"},{"family":"Chwastiak","given":"Lydia"},{"family":"Gibbons","given":"Jason B."},{"family":"Kessler","given":"Ronald C."}],"issued":{"date-parts":[["2024",10,1]]}}}],"schema":"https://github.com/citation-style-language/schema/raw/master/csl-citation.json"}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(Cook et al., 2017; Gibbons et al., 2024)</w:t>
      </w:r>
      <w:r w:rsidRPr="00742E53">
        <w:rPr>
          <w:rFonts w:ascii="Times New Roman" w:hAnsi="Times New Roman" w:cs="Times New Roman"/>
        </w:rPr>
        <w:fldChar w:fldCharType="end"/>
      </w:r>
      <w:r w:rsidRPr="00742E53">
        <w:rPr>
          <w:rFonts w:ascii="Times New Roman" w:hAnsi="Times New Roman" w:cs="Times New Roman"/>
        </w:rPr>
        <w:t xml:space="preserve">. The importance of stable energy access for psychological well-being is underscored by evidence from Germany, where energy-poor households – those unable to keep homes adequately warm due to financial constraints – had significantly worse self-rated health and mental-health outcomes </w:t>
      </w:r>
      <w:r w:rsidRPr="00742E53">
        <w:rPr>
          <w:rFonts w:ascii="Times New Roman" w:hAnsi="Times New Roman" w:cs="Times New Roman"/>
        </w:rPr>
        <w:fldChar w:fldCharType="begin"/>
      </w:r>
      <w:r w:rsidRPr="00742E53">
        <w:rPr>
          <w:rFonts w:ascii="Times New Roman" w:hAnsi="Times New Roman" w:cs="Times New Roman"/>
        </w:rPr>
        <w:instrText xml:space="preserve"> ADDIN ZOTERO_ITEM CSL_CITATION {"citationID":"mZOJ4Tc8","properties":{"unsorted":false,"formattedCitation":"(Buchner &amp; Rehm, 2025)","plainCitation":"(Buchner &amp; Rehm, 2025)","noteIndex":0},"citationItems":[{"id":4584,"uris":["http://zotero.org/users/12445093/items/9ACC3SXU"],"itemData":{"id":4584,"type":"article-journal","abstract":"This paper aims to understand the health effects of energy poverty in Germany using SOEP panel data from 2010 to 2020. Linear probability and fixed effects ordered logit models reveal a consistently negative relationship of three expenditures-based energy poverty indicators with general health: the odds ratio of being in better health decreases between about 6 % and 8 %. This association is stronger for the subjective energy poverty metric: members of households unable to keep the home comfortably warm due to financial reasons have an about 18 % lower odds ratio of being in better health categories. Investigating potential channels shows that mental health is consistently negatively linked to our energy poverty metrics, while physical health is weakly associated with energy poverty in Germany, with the exception of doctor visits. Finally, by instrumenting energy poverty with data on energy price indices and matching energy costs to the heating systems used by households, we show that living in a household that experiences a transition to energy poverty due to rising energy prices is also linked to a lower likelihood of being in good health.","call-number":"1","container-title":"Energy Economics","DOI":"10.1016/j.eneco.2025.108376","ISSN":"01409883","journalAbbreviation":"Energy Economics","language":"en","note":"titleTranslation: </w:instrText>
      </w:r>
      <w:r w:rsidRPr="00742E53">
        <w:rPr>
          <w:rFonts w:ascii="Times New Roman" w:hAnsi="Times New Roman" w:cs="Times New Roman"/>
        </w:rPr>
        <w:instrText>能源贫困与健康：德国微观层面的证据</w:instrText>
      </w:r>
      <w:r w:rsidRPr="00742E53">
        <w:rPr>
          <w:rFonts w:ascii="Times New Roman" w:hAnsi="Times New Roman" w:cs="Times New Roman"/>
        </w:rPr>
        <w:instrText>\nabstractTranslation: [</w:instrText>
      </w:r>
      <w:r w:rsidRPr="00742E53">
        <w:rPr>
          <w:rFonts w:ascii="Times New Roman" w:hAnsi="Times New Roman" w:cs="Times New Roman"/>
        </w:rPr>
        <w:instrText>请求错误</w:instrText>
      </w:r>
      <w:r w:rsidRPr="00742E53">
        <w:rPr>
          <w:rFonts w:ascii="Times New Roman" w:hAnsi="Times New Roman" w:cs="Times New Roman"/>
        </w:rPr>
        <w:instrText>]\n</w:instrText>
      </w:r>
      <w:r w:rsidRPr="00742E53">
        <w:rPr>
          <w:rFonts w:ascii="Times New Roman" w:hAnsi="Times New Roman" w:cs="Times New Roman"/>
        </w:rPr>
        <w:instrText>此翻译服务不可用，可能是密钥错误，也可能是请求过快。</w:instrText>
      </w:r>
      <w:r w:rsidRPr="00742E53">
        <w:rPr>
          <w:rFonts w:ascii="Times New Roman" w:hAnsi="Times New Roman" w:cs="Times New Roman"/>
        </w:rPr>
        <w:instrText>\n</w:instrText>
      </w:r>
      <w:r w:rsidRPr="00742E53">
        <w:rPr>
          <w:rFonts w:ascii="Times New Roman" w:hAnsi="Times New Roman" w:cs="Times New Roman"/>
        </w:rPr>
        <w:instrText>可以尝试其他翻译服务，或者来此查看相关回答：</w:instrText>
      </w:r>
      <w:r w:rsidRPr="00742E53">
        <w:rPr>
          <w:rFonts w:ascii="Times New Roman" w:hAnsi="Times New Roman" w:cs="Times New Roman"/>
        </w:rPr>
        <w:instrText>\nhttps://zotero.yuque.com/staff-gkhviy/pdf-trans/age09f\n\n</w:instrText>
      </w:r>
      <w:r w:rsidRPr="00742E53">
        <w:rPr>
          <w:rFonts w:ascii="Times New Roman" w:hAnsi="Times New Roman" w:cs="Times New Roman"/>
        </w:rPr>
        <w:instrText>请注意，这些错误与</w:instrText>
      </w:r>
      <w:r w:rsidRPr="00742E53">
        <w:rPr>
          <w:rFonts w:ascii="Times New Roman" w:hAnsi="Times New Roman" w:cs="Times New Roman"/>
        </w:rPr>
        <w:instrText xml:space="preserve"> Zotero </w:instrText>
      </w:r>
      <w:r w:rsidRPr="00742E53">
        <w:rPr>
          <w:rFonts w:ascii="Times New Roman" w:hAnsi="Times New Roman" w:cs="Times New Roman"/>
        </w:rPr>
        <w:instrText>和本翻译插件无关，由该翻译服务引起：</w:instrText>
      </w:r>
      <w:r w:rsidRPr="00742E53">
        <w:rPr>
          <w:rFonts w:ascii="Times New Roman" w:hAnsi="Times New Roman" w:cs="Times New Roman"/>
        </w:rPr>
        <w:instrText xml:space="preserve"> DeepLX(API)\n\nError: HTTP POST https://api.deeplx.org/y-cS26zcyRdzQVtXTjNhBWk5TQOXCjem9HBtsjut7EM/translate failed with status code 456","page":"108376","source":"13.6","title":"Energy poverty and health: Micro-level evidence from Germany","title-short":"Energy poverty and health","volume":"145","author":[{"family":"Buchner","given":"Martin"},{"family":"Rehm","given":"Miriam"}],"issued":{"date-parts":[["2025",5]]}}}],"schema":"https://github.com/citation-style-language/schema/raw/master/csl-citation.json"} </w:instrText>
      </w:r>
      <w:r w:rsidRPr="00742E53">
        <w:rPr>
          <w:rFonts w:ascii="Times New Roman" w:hAnsi="Times New Roman" w:cs="Times New Roman"/>
        </w:rPr>
        <w:fldChar w:fldCharType="separate"/>
      </w:r>
      <w:r w:rsidRPr="00742E53">
        <w:rPr>
          <w:rFonts w:ascii="Times New Roman" w:hAnsi="Times New Roman" w:cs="Times New Roman"/>
          <w:noProof/>
        </w:rPr>
        <w:t>(Buchner &amp; Rehm, 2025)</w:t>
      </w:r>
      <w:r w:rsidRPr="00742E53">
        <w:rPr>
          <w:rFonts w:ascii="Times New Roman" w:hAnsi="Times New Roman" w:cs="Times New Roman"/>
        </w:rPr>
        <w:fldChar w:fldCharType="end"/>
      </w:r>
      <w:r w:rsidRPr="00742E53">
        <w:rPr>
          <w:rFonts w:ascii="Times New Roman" w:hAnsi="Times New Roman" w:cs="Times New Roman"/>
        </w:rPr>
        <w:t xml:space="preserve">. </w:t>
      </w:r>
      <w:r w:rsidRPr="00742E53">
        <w:rPr>
          <w:rFonts w:ascii="Times New Roman" w:hAnsi="Times New Roman" w:cs="Times New Roman"/>
          <w:color w:val="000000" w:themeColor="text1"/>
        </w:rPr>
        <w:t>Together, these findings highlight that power supply disruptions can affect mental health through multiple pathways; yet the evidence remains largely anchored to major disasters and catastrophic events, leaving the mental health consequences of routine, non-catastrophic outages at the population level empirically unexamined — a gap this study directly addresses.</w:t>
      </w:r>
    </w:p>
    <w:p w14:paraId="6A9CF422" w14:textId="77777777" w:rsidR="00742E53" w:rsidRPr="00082BE0" w:rsidRDefault="00742E53" w:rsidP="00742E53">
      <w:pPr>
        <w:pStyle w:val="NormalWeb"/>
        <w:rPr>
          <w:rStyle w:val="Strong"/>
          <w:rFonts w:eastAsia="Times New Roman"/>
          <w:b w:val="0"/>
          <w:bCs/>
          <w:color w:val="0D0D0D"/>
          <w:shd w:val="clear" w:color="auto" w:fill="FFFFFF"/>
        </w:rPr>
      </w:pPr>
    </w:p>
    <w:p w14:paraId="224EB2BE" w14:textId="77777777" w:rsid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themeColor="text1"/>
          <w:szCs w:val="24"/>
          <w:lang w:val="en-GB"/>
        </w:rPr>
      </w:pPr>
      <w:r>
        <w:rPr>
          <w:rFonts w:cs="Times New Roman"/>
          <w:color w:val="000000" w:themeColor="text1"/>
          <w:szCs w:val="24"/>
          <w:lang w:val="en-GB"/>
        </w:rPr>
        <w:t xml:space="preserve">While both weather and outage pathways are supported by existing evidence, prior empirical studies have generally been unable to separate their independent contribution to mental health outcomes because these stressors co-occur during disasters. </w:t>
      </w:r>
      <w:r>
        <w:rPr>
          <w:rFonts w:cs="Times New Roman"/>
          <w:szCs w:val="24"/>
        </w:rPr>
        <w:t>In a study of Hurricane Sandy,</w:t>
      </w:r>
      <w:r>
        <w:rPr>
          <w:rFonts w:cs="Times New Roman"/>
          <w:color w:val="000000" w:themeColor="text1"/>
          <w:szCs w:val="24"/>
          <w:lang w:val="en-GB"/>
        </w:rPr>
        <w:t xml:space="preserve"> </w:t>
      </w:r>
      <w:r>
        <w:rPr>
          <w:rFonts w:cs="Times New Roman"/>
          <w:color w:val="000000" w:themeColor="text1"/>
          <w:szCs w:val="24"/>
          <w:lang w:val="en-GB"/>
        </w:rPr>
        <w:fldChar w:fldCharType="begin"/>
      </w:r>
      <w:r>
        <w:rPr>
          <w:rFonts w:cs="Times New Roman"/>
          <w:color w:val="000000" w:themeColor="text1"/>
          <w:szCs w:val="24"/>
          <w:lang w:val="en-GB"/>
        </w:rPr>
        <w:instrText xml:space="preserve"> ADDIN ZOTERO_ITEM CSL_CITATION {"citationID":"a1f3kTIf","properties":{"unsorted":false,"formattedCitation":"(Lin et al., 2016)","plainCitation":"(Lin et al., 2016)","noteIndex":0},"citationItems":[{"id":4592,"uris":["http://zotero.org/users/12445093/items/NKXHJDYE"],"itemData":{"id":4592,"type":"article-journal","abstract":"Objectives: This study describes ﬁndings of the impacts of Hurricane Sandy on environmental factors including power outages, air quality, water quality, and weather factors and how these affected mental health during the hurricane.\nMethods: An ecological study was conducted at the county level to describe changes in environmental factors—especially power outages—and their relationships to emergency department (ED) visits for mental health problems by use of a Poisson regression model.\nResults: We found that many environmental hazards occurred as co-exposures during Hurricane Sandy in addition to ﬂooding. Mental health ED visits corresponded with the peak of maximum daily power blackouts, with a 3-day lag, and were positively associated with power blackouts in Bronx (prevalence ratio [PR]: 8.82, 95% conﬁdence interval [CI]: 1.27–61.42) and Queens (PR: 2.47, 95% CI: 1.05–5.82) counties. A possible dose-response relationship was found between the quantile of maximum blackout percentage and the risk of mental health in the Bronx.\nConclusion: We found that multiple co-environmental hazards occurred during Hurricane Sandy, especially power blackouts that mediated this disaster’s impacts. The effects of power outage on mental health had large geographic variations and were substantial, especially in communities with low sociodemographic status. These ﬁndings may provide new insights for future disaster response and preparedness efforts. (Disaster Med Public Health Preparedness. 2016;10:314-319)","call-number":"4","container-title":"Disaster Medicine and Public Health Preparedness","DOI":"10.1017/dmp.2016.51","ISSN":"1935-7893, 1938-744X","issue":"3","journalAbbreviation":"Disaster med. public health prep.","language":"en","license":"https://www.cambridge.org/core/terms","note":"TLDR: It was found that multiple co-environmental hazards occurred during Hurricane Sandy, especially power blackouts that mediated this disaster’s impacts, and th</w:instrText>
      </w:r>
      <w:r>
        <w:rPr>
          <w:rFonts w:cs="Times New Roman" w:hint="eastAsia"/>
          <w:color w:val="000000" w:themeColor="text1"/>
          <w:szCs w:val="24"/>
          <w:lang w:val="en-GB"/>
        </w:rPr>
        <w:instrText xml:space="preserve">e effects of power outage on mental health had large geographic variations and were substantial, especially in communities with low sociodemographic status.\ntitleTranslation: </w:instrText>
      </w:r>
      <w:r>
        <w:rPr>
          <w:rFonts w:cs="Times New Roman" w:hint="eastAsia"/>
          <w:color w:val="000000" w:themeColor="text1"/>
          <w:szCs w:val="24"/>
          <w:lang w:val="en-GB"/>
        </w:rPr>
        <w:instrText>飓风桑迪对我们的环境和心理健康造成了什么影响？</w:instrText>
      </w:r>
      <w:r>
        <w:rPr>
          <w:rFonts w:cs="Times New Roman" w:hint="eastAsia"/>
          <w:color w:val="000000" w:themeColor="text1"/>
          <w:szCs w:val="24"/>
          <w:lang w:val="en-GB"/>
        </w:rPr>
        <w:instrText xml:space="preserve">\nabstractTranslation: </w:instrText>
      </w:r>
      <w:r>
        <w:rPr>
          <w:rFonts w:cs="Times New Roman" w:hint="eastAsia"/>
          <w:color w:val="000000" w:themeColor="text1"/>
          <w:szCs w:val="24"/>
          <w:lang w:val="en-GB"/>
        </w:rPr>
        <w:instrText>研究目的本研究描述了飓风桑迪对环境因素（包括停电、空气质量、水质和天气因素）的影响，以及这些因素在飓风期间对心理健康的影响。</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研究方法通过泊松回归模型，在县一级开展了一项生态学研究，以描述环境因素（尤其是停电）的变化及其与因精神健康问题而到急诊科（</w:instrText>
      </w:r>
      <w:r>
        <w:rPr>
          <w:rFonts w:cs="Times New Roman" w:hint="eastAsia"/>
          <w:color w:val="000000" w:themeColor="text1"/>
          <w:szCs w:val="24"/>
          <w:lang w:val="en-GB"/>
        </w:rPr>
        <w:instrText>ED</w:instrText>
      </w:r>
      <w:r>
        <w:rPr>
          <w:rFonts w:cs="Times New Roman" w:hint="eastAsia"/>
          <w:color w:val="000000" w:themeColor="text1"/>
          <w:szCs w:val="24"/>
          <w:lang w:val="en-GB"/>
        </w:rPr>
        <w:instrText>）就诊的关系。</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结果：我们发现，在飓风桑迪期间，除洪水外，许多环境危害因素也同时发生。在布朗克斯区（患病率比</w:instrText>
      </w:r>
      <w:r>
        <w:rPr>
          <w:rFonts w:cs="Times New Roman" w:hint="eastAsia"/>
          <w:color w:val="000000" w:themeColor="text1"/>
          <w:szCs w:val="24"/>
          <w:lang w:val="en-GB"/>
        </w:rPr>
        <w:instrText xml:space="preserve"> [PR]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8.82</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 xml:space="preserve">95% </w:instrText>
      </w:r>
      <w:r>
        <w:rPr>
          <w:rFonts w:cs="Times New Roman" w:hint="eastAsia"/>
          <w:color w:val="000000" w:themeColor="text1"/>
          <w:szCs w:val="24"/>
          <w:lang w:val="en-GB"/>
        </w:rPr>
        <w:instrText>置信区间</w:instrText>
      </w:r>
      <w:r>
        <w:rPr>
          <w:rFonts w:cs="Times New Roman" w:hint="eastAsia"/>
          <w:color w:val="000000" w:themeColor="text1"/>
          <w:szCs w:val="24"/>
          <w:lang w:val="en-GB"/>
        </w:rPr>
        <w:instrText xml:space="preserve">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1.27-61.42</w:instrText>
      </w:r>
      <w:r>
        <w:rPr>
          <w:rFonts w:cs="Times New Roman" w:hint="eastAsia"/>
          <w:color w:val="000000" w:themeColor="text1"/>
          <w:szCs w:val="24"/>
          <w:lang w:val="en-GB"/>
        </w:rPr>
        <w:instrText>）和皇后区（患病率比</w:instrText>
      </w:r>
      <w:r>
        <w:rPr>
          <w:rFonts w:cs="Times New Roman" w:hint="eastAsia"/>
          <w:color w:val="000000" w:themeColor="text1"/>
          <w:szCs w:val="24"/>
          <w:lang w:val="en-GB"/>
        </w:rPr>
        <w:instrText xml:space="preserve"> [PR]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2.47</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 xml:space="preserve">95% </w:instrText>
      </w:r>
      <w:r>
        <w:rPr>
          <w:rFonts w:cs="Times New Roman" w:hint="eastAsia"/>
          <w:color w:val="000000" w:themeColor="text1"/>
          <w:szCs w:val="24"/>
          <w:lang w:val="en-GB"/>
        </w:rPr>
        <w:instrText>置信区间</w:instrText>
      </w:r>
      <w:r>
        <w:rPr>
          <w:rFonts w:cs="Times New Roman" w:hint="eastAsia"/>
          <w:color w:val="000000" w:themeColor="text1"/>
          <w:szCs w:val="24"/>
          <w:lang w:val="en-GB"/>
        </w:rPr>
        <w:instrText xml:space="preserve">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1.05-5.82</w:instrText>
      </w:r>
      <w:r>
        <w:rPr>
          <w:rFonts w:cs="Times New Roman" w:hint="eastAsia"/>
          <w:color w:val="000000" w:themeColor="text1"/>
          <w:szCs w:val="24"/>
          <w:lang w:val="en-GB"/>
        </w:rPr>
        <w:instrText>），心理健康急诊室就诊人数与每天最大停电时间的峰值相对应，滞后</w:instrText>
      </w:r>
      <w:r>
        <w:rPr>
          <w:rFonts w:cs="Times New Roman" w:hint="eastAsia"/>
          <w:color w:val="000000" w:themeColor="text1"/>
          <w:szCs w:val="24"/>
          <w:lang w:val="en-GB"/>
        </w:rPr>
        <w:instrText xml:space="preserve"> 3 </w:instrText>
      </w:r>
      <w:r>
        <w:rPr>
          <w:rFonts w:cs="Times New Roman" w:hint="eastAsia"/>
          <w:color w:val="000000" w:themeColor="text1"/>
          <w:szCs w:val="24"/>
          <w:lang w:val="en-GB"/>
        </w:rPr>
        <w:instrText>天。在布朗克斯区，最大停电百分比的量化值与精神健康风险之间可能存在剂量</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反应关系。</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结论我们发现，飓风桑迪期间发生了多种共同环境危害，尤其是停电对这场灾难的影响起到了中介作用。停电对心理健康的影响有很大的地域差异，而且影响很大，尤其是在社会人口状况较差的社区。这些发现可能会为未来的救灾和备灾工作提供新的启示。</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灾难医学公共卫生准备》，</w:instrText>
      </w:r>
      <w:r>
        <w:rPr>
          <w:rFonts w:cs="Times New Roman" w:hint="eastAsia"/>
          <w:color w:val="000000" w:themeColor="text1"/>
          <w:szCs w:val="24"/>
          <w:lang w:val="en-GB"/>
        </w:rPr>
        <w:instrText>2016</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314-319</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","page":"314-319","source":"1.9","title":"What Happened to Our</w:instrText>
      </w:r>
      <w:r>
        <w:rPr>
          <w:rFonts w:cs="Times New Roman"/>
          <w:color w:val="000000" w:themeColor="text1"/>
          <w:szCs w:val="24"/>
          <w:lang w:val="en-GB"/>
        </w:rPr>
        <w:instrText xml:space="preserve"> Environment and Mental Health as a Result of Hurricane Sandy?","volume":"10","author":[{"family":"Lin","given":"Shao"},{"family":"Lu","given":"Yi"},{"family":"Justino","given":"John"},{"family":"Dong","given":"Guanghui"},{"family":"Lauper","given":"Ursula"}],"issued":{"date-parts":[["2016",6]]}}}],"schema":"https://github.com/citation-style-language/schema/raw/master/csl-citation.json"} </w:instrText>
      </w:r>
      <w:r>
        <w:rPr>
          <w:rFonts w:cs="Times New Roman"/>
          <w:color w:val="000000" w:themeColor="text1"/>
          <w:szCs w:val="24"/>
          <w:lang w:val="en-GB"/>
        </w:rPr>
        <w:fldChar w:fldCharType="separate"/>
      </w:r>
      <w:r>
        <w:rPr>
          <w:rFonts w:cs="Times New Roman"/>
          <w:noProof/>
          <w:color w:val="000000" w:themeColor="text1"/>
          <w:szCs w:val="24"/>
          <w:lang w:val="en-GB"/>
        </w:rPr>
        <w:t>(Lin et al., 2016)</w:t>
      </w:r>
      <w:r>
        <w:rPr>
          <w:rFonts w:cs="Times New Roman"/>
          <w:color w:val="000000" w:themeColor="text1"/>
          <w:szCs w:val="24"/>
          <w:lang w:val="en-GB"/>
        </w:rPr>
        <w:fldChar w:fldCharType="end"/>
      </w:r>
      <w:r>
        <w:rPr>
          <w:rFonts w:cs="Times New Roman"/>
          <w:color w:val="000000" w:themeColor="text1"/>
          <w:szCs w:val="24"/>
          <w:lang w:val="en-GB"/>
        </w:rPr>
        <w:t xml:space="preserve"> found that each 1-percentage-point increase in the maximum daily percentage of households experiencing blackouts in the Bronx was associated with an 8.82-fold increase in mental health ED visit prevalence – but because the hurricane simultaneously caused flooding, property destruction, displacement, and water service disruptions, it is unclear whether the observed mental health effects reflect the power outage, the trauma of the storm itself, or the loss of other essential services</w:t>
      </w:r>
      <w:r>
        <w:rPr>
          <w:rFonts w:cs="Times New Roman"/>
          <w:szCs w:val="24"/>
        </w:rPr>
        <w:t xml:space="preserve">. </w:t>
      </w:r>
      <w:r>
        <w:rPr>
          <w:rFonts w:cs="Times New Roman"/>
          <w:color w:val="000000" w:themeColor="text1"/>
          <w:szCs w:val="24"/>
          <w:lang w:val="en-GB"/>
        </w:rPr>
        <w:t xml:space="preserve">Similarly, </w:t>
      </w:r>
      <w:r>
        <w:rPr>
          <w:rFonts w:cs="Times New Roman"/>
          <w:color w:val="000000" w:themeColor="text1"/>
          <w:szCs w:val="24"/>
          <w:lang w:val="en-GB"/>
        </w:rPr>
        <w:fldChar w:fldCharType="begin"/>
      </w:r>
      <w:r>
        <w:rPr>
          <w:rFonts w:cs="Times New Roman"/>
          <w:color w:val="000000" w:themeColor="text1"/>
          <w:szCs w:val="24"/>
          <w:lang w:val="en-GB"/>
        </w:rPr>
        <w:instrText xml:space="preserve"> ADDIN ZOTERO_ITEM CSL_CITATION {"citationID":"1q1sziAC","properties":{"unsorted":false,"formattedCitation":"(S. E. Grineski et al., 2022)","plainCitation":"(S. E. Grineski et al., 2022)","noteIndex":0},"citationItems":[{"id":4696,"uris":["http://zotero.org/users/12445093/items/GAUVW7EY"],"itemData":{"id":4696,"type":"article-journal","abstract":"Previous research on health effects of extreme weather has emphasized heat events even though cold-attributable mortality exceeds heat-attributable mortality worldwide. Little is known about the mental health effects of cold weather events, which often cascade to produce secondary impacts like power outages, leaving a knowledge gap in context of a changing climate. We address that gap by taking a novel “cascading disaster health inequities” approach to examine winter storm-associated post-traumatic stress (PTS) using survey data (n = 790) collected in eight Texas metro areas following Winter Storm Uri in 2021, which occurred against the backdrop of COVID-19. The incidence of storm-related PTS was 18%. Being Black (odds ratio [OR]: 6.6), Hispanic (OR: 3.5), or of another non-White race (OR: 4.2) was associated with greater odds of PTS compared to being White, which indicates substantial racial/ethnic inequities in mental health impacts (all p &lt; 0.05). Having a disability also increased odds of PTS (OR: 4.4) (p &lt; 0.05). Having piped water outages (OR: 1.9) and being highly impacted by COVID-19 (OR: 3.3) increased odds of PTS (both p &lt; 0.05). When modelling how COVID-19 and outages cascaded, we compared householders to those with no outages and low COVID-19 impacts. PTS was more likely (p &lt; 0.05) if householders had a water or power outage and high COVID-19 impacts (OR: 4.4) and if they had water and power outages and high COVID-19 impacts (OR: 7.7). Findings provide novel evidence of racial/ethnic inequities and cascading effects with regard to extreme cold events amid the COVID-19 pandemic.","call-number":"2","container-title":"Social Science &amp; Medicine","DOI":"10.1016/j.socscimed.2022.115523","ISSN":"02779536","journalAbbreviation":"Social Science &amp; Medicine","language":"en","note":"TLDR: Examining winter storm-associated post-traumatic stress in eight Texas metro areas following Winter Storm Uri in 2021 provides novel evidence of racial/ethnic inequities and cascading effects with regard to extreme cold events amid the COVID-19 pandemic.\ntitleTranslation: Cascading disasters and mental health inequities: Winter Storm Uri, COVID-19 and post-traumatic stress in T</w:instrText>
      </w:r>
      <w:r>
        <w:rPr>
          <w:rFonts w:cs="Times New Roman" w:hint="eastAsia"/>
          <w:color w:val="000000" w:themeColor="text1"/>
          <w:szCs w:val="24"/>
          <w:lang w:val="en-GB"/>
        </w:rPr>
        <w:instrText xml:space="preserve">exas\nabstractTranslation: </w:instrText>
      </w:r>
      <w:r>
        <w:rPr>
          <w:rFonts w:cs="Times New Roman" w:hint="eastAsia"/>
          <w:color w:val="000000" w:themeColor="text1"/>
          <w:szCs w:val="24"/>
          <w:lang w:val="en-GB"/>
        </w:rPr>
        <w:instrText>以往关于极端天气对健康影响的研究主要集中在高温事件上，尽管全球范围内因寒冷造成的死亡率超过了因高温造成的死亡率。人们对寒冷天气事件对心理健康的影响知之甚少，而寒冷天气事件往往会引发停电等次生影响，这在不断变化的气候背景下留下了知识空白。为了填补这一空白，我们采用了一种新颖的</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连环灾害健康不平等</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方法，利用在</w:instrText>
      </w:r>
      <w:r>
        <w:rPr>
          <w:rFonts w:cs="Times New Roman" w:hint="eastAsia"/>
          <w:color w:val="000000" w:themeColor="text1"/>
          <w:szCs w:val="24"/>
          <w:lang w:val="en-GB"/>
        </w:rPr>
        <w:instrText xml:space="preserve"> 2021 </w:instrText>
      </w:r>
      <w:r>
        <w:rPr>
          <w:rFonts w:cs="Times New Roman" w:hint="eastAsia"/>
          <w:color w:val="000000" w:themeColor="text1"/>
          <w:szCs w:val="24"/>
          <w:lang w:val="en-GB"/>
        </w:rPr>
        <w:instrText>年冬季风暴</w:instrText>
      </w:r>
      <w:r>
        <w:rPr>
          <w:rFonts w:cs="Times New Roman" w:hint="eastAsia"/>
          <w:color w:val="000000" w:themeColor="text1"/>
          <w:szCs w:val="24"/>
          <w:lang w:val="en-GB"/>
        </w:rPr>
        <w:instrText xml:space="preserve"> Uri</w:instrText>
      </w:r>
      <w:r>
        <w:rPr>
          <w:rFonts w:cs="Times New Roman" w:hint="eastAsia"/>
          <w:color w:val="000000" w:themeColor="text1"/>
          <w:szCs w:val="24"/>
          <w:lang w:val="en-GB"/>
        </w:rPr>
        <w:instrText>（发生在</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的背景下）之后在德克萨斯州八个城市地区收集的调查数据（</w:instrText>
      </w:r>
      <w:r>
        <w:rPr>
          <w:rFonts w:cs="Times New Roman" w:hint="eastAsia"/>
          <w:color w:val="000000" w:themeColor="text1"/>
          <w:szCs w:val="24"/>
          <w:lang w:val="en-GB"/>
        </w:rPr>
        <w:instrText>n = 790</w:instrText>
      </w:r>
      <w:r>
        <w:rPr>
          <w:rFonts w:cs="Times New Roman" w:hint="eastAsia"/>
          <w:color w:val="000000" w:themeColor="text1"/>
          <w:szCs w:val="24"/>
          <w:lang w:val="en-GB"/>
        </w:rPr>
        <w:instrText>），研究了与冬季风暴相关的创伤后应激反应（</w:instrText>
      </w:r>
      <w:r>
        <w:rPr>
          <w:rFonts w:cs="Times New Roman" w:hint="eastAsia"/>
          <w:color w:val="000000" w:themeColor="text1"/>
          <w:szCs w:val="24"/>
          <w:lang w:val="en-GB"/>
        </w:rPr>
        <w:instrText>PTS</w:instrText>
      </w:r>
      <w:r>
        <w:rPr>
          <w:rFonts w:cs="Times New Roman" w:hint="eastAsia"/>
          <w:color w:val="000000" w:themeColor="text1"/>
          <w:szCs w:val="24"/>
          <w:lang w:val="en-GB"/>
        </w:rPr>
        <w:instrText>）。与风暴相关的</w:instrText>
      </w:r>
      <w:r>
        <w:rPr>
          <w:rFonts w:cs="Times New Roman" w:hint="eastAsia"/>
          <w:color w:val="000000" w:themeColor="text1"/>
          <w:szCs w:val="24"/>
          <w:lang w:val="en-GB"/>
        </w:rPr>
        <w:instrText xml:space="preserve"> PTS </w:instrText>
      </w:r>
      <w:r>
        <w:rPr>
          <w:rFonts w:cs="Times New Roman" w:hint="eastAsia"/>
          <w:color w:val="000000" w:themeColor="text1"/>
          <w:szCs w:val="24"/>
          <w:lang w:val="en-GB"/>
        </w:rPr>
        <w:instrText>发生率为</w:instrText>
      </w:r>
      <w:r>
        <w:rPr>
          <w:rFonts w:cs="Times New Roman" w:hint="eastAsia"/>
          <w:color w:val="000000" w:themeColor="text1"/>
          <w:szCs w:val="24"/>
          <w:lang w:val="en-GB"/>
        </w:rPr>
        <w:instrText xml:space="preserve"> 18%</w:instrText>
      </w:r>
      <w:r>
        <w:rPr>
          <w:rFonts w:cs="Times New Roman" w:hint="eastAsia"/>
          <w:color w:val="000000" w:themeColor="text1"/>
          <w:szCs w:val="24"/>
          <w:lang w:val="en-GB"/>
        </w:rPr>
        <w:instrText>。与白人相比，黑人（几率比</w:instrText>
      </w:r>
      <w:r>
        <w:rPr>
          <w:rFonts w:cs="Times New Roman" w:hint="eastAsia"/>
          <w:color w:val="000000" w:themeColor="text1"/>
          <w:szCs w:val="24"/>
          <w:lang w:val="en-GB"/>
        </w:rPr>
        <w:instrText xml:space="preserve"> [OR]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6.6</w:instrText>
      </w:r>
      <w:r>
        <w:rPr>
          <w:rFonts w:cs="Times New Roman" w:hint="eastAsia"/>
          <w:color w:val="000000" w:themeColor="text1"/>
          <w:szCs w:val="24"/>
          <w:lang w:val="en-GB"/>
        </w:rPr>
        <w:instrText>）、西班牙裔（</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3.5</w:instrText>
      </w:r>
      <w:r>
        <w:rPr>
          <w:rFonts w:cs="Times New Roman" w:hint="eastAsia"/>
          <w:color w:val="000000" w:themeColor="text1"/>
          <w:szCs w:val="24"/>
          <w:lang w:val="en-GB"/>
        </w:rPr>
        <w:instrText>）或其他非白人种族（</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4.2</w:instrText>
      </w:r>
      <w:r>
        <w:rPr>
          <w:rFonts w:cs="Times New Roman" w:hint="eastAsia"/>
          <w:color w:val="000000" w:themeColor="text1"/>
          <w:szCs w:val="24"/>
          <w:lang w:val="en-GB"/>
        </w:rPr>
        <w:instrText>）与更高的创伤后应激障碍几率相关，这表明在心理健康影响方面存在严重的种族</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族裔不平等（所有</w:instrText>
      </w:r>
      <w:r>
        <w:rPr>
          <w:rFonts w:cs="Times New Roman" w:hint="eastAsia"/>
          <w:color w:val="000000" w:themeColor="text1"/>
          <w:szCs w:val="24"/>
          <w:lang w:val="en-GB"/>
        </w:rPr>
        <w:instrText xml:space="preserve"> p &lt; 0.05</w:instrText>
      </w:r>
      <w:r>
        <w:rPr>
          <w:rFonts w:cs="Times New Roman" w:hint="eastAsia"/>
          <w:color w:val="000000" w:themeColor="text1"/>
          <w:szCs w:val="24"/>
          <w:lang w:val="en-GB"/>
        </w:rPr>
        <w:instrText>）。残疾也会增加</w:instrText>
      </w:r>
      <w:r>
        <w:rPr>
          <w:rFonts w:cs="Times New Roman" w:hint="eastAsia"/>
          <w:color w:val="000000" w:themeColor="text1"/>
          <w:szCs w:val="24"/>
          <w:lang w:val="en-GB"/>
        </w:rPr>
        <w:instrText xml:space="preserve"> PTS </w:instrText>
      </w:r>
      <w:r>
        <w:rPr>
          <w:rFonts w:cs="Times New Roman" w:hint="eastAsia"/>
          <w:color w:val="000000" w:themeColor="text1"/>
          <w:szCs w:val="24"/>
          <w:lang w:val="en-GB"/>
        </w:rPr>
        <w:instrText>的几率（</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4.4</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p &lt; 0.05</w:instrText>
      </w:r>
      <w:r>
        <w:rPr>
          <w:rFonts w:cs="Times New Roman" w:hint="eastAsia"/>
          <w:color w:val="000000" w:themeColor="text1"/>
          <w:szCs w:val="24"/>
          <w:lang w:val="en-GB"/>
        </w:rPr>
        <w:instrText>）。自来水停水（</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1.9</w:instrText>
      </w:r>
      <w:r>
        <w:rPr>
          <w:rFonts w:cs="Times New Roman" w:hint="eastAsia"/>
          <w:color w:val="000000" w:themeColor="text1"/>
          <w:szCs w:val="24"/>
          <w:lang w:val="en-GB"/>
        </w:rPr>
        <w:instrText>）和受</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严重影响（</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3.3</w:instrText>
      </w:r>
      <w:r>
        <w:rPr>
          <w:rFonts w:cs="Times New Roman" w:hint="eastAsia"/>
          <w:color w:val="000000" w:themeColor="text1"/>
          <w:szCs w:val="24"/>
          <w:lang w:val="en-GB"/>
        </w:rPr>
        <w:instrText>）会增加</w:instrText>
      </w:r>
      <w:r>
        <w:rPr>
          <w:rFonts w:cs="Times New Roman" w:hint="eastAsia"/>
          <w:color w:val="000000" w:themeColor="text1"/>
          <w:szCs w:val="24"/>
          <w:lang w:val="en-GB"/>
        </w:rPr>
        <w:instrText xml:space="preserve"> PTS </w:instrText>
      </w:r>
      <w:r>
        <w:rPr>
          <w:rFonts w:cs="Times New Roman" w:hint="eastAsia"/>
          <w:color w:val="000000" w:themeColor="text1"/>
          <w:szCs w:val="24"/>
          <w:lang w:val="en-GB"/>
        </w:rPr>
        <w:instrText>的几率（均</w:instrText>
      </w:r>
      <w:r>
        <w:rPr>
          <w:rFonts w:cs="Times New Roman" w:hint="eastAsia"/>
          <w:color w:val="000000" w:themeColor="text1"/>
          <w:szCs w:val="24"/>
          <w:lang w:val="en-GB"/>
        </w:rPr>
        <w:instrText xml:space="preserve"> p &lt; 0.05</w:instrText>
      </w:r>
      <w:r>
        <w:rPr>
          <w:rFonts w:cs="Times New Roman" w:hint="eastAsia"/>
          <w:color w:val="000000" w:themeColor="text1"/>
          <w:szCs w:val="24"/>
          <w:lang w:val="en-GB"/>
        </w:rPr>
        <w:instrText>）。在模拟</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和停水如何相互影响时，我们将住户与没有停水且</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影响较小的住户进行了比较。如果停水或停电且</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影响较大（</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4.4</w:instrText>
      </w:r>
      <w:r>
        <w:rPr>
          <w:rFonts w:cs="Times New Roman" w:hint="eastAsia"/>
          <w:color w:val="000000" w:themeColor="text1"/>
          <w:szCs w:val="24"/>
          <w:lang w:val="en-GB"/>
        </w:rPr>
        <w:instrText>），如果停水停电且</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影响较大（</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7.7</w:instrText>
      </w:r>
      <w:r>
        <w:rPr>
          <w:rFonts w:cs="Times New Roman" w:hint="eastAsia"/>
          <w:color w:val="000000" w:themeColor="text1"/>
          <w:szCs w:val="24"/>
          <w:lang w:val="en-GB"/>
        </w:rPr>
        <w:instrText>），则更有可能发生</w:instrText>
      </w:r>
      <w:r>
        <w:rPr>
          <w:rFonts w:cs="Times New Roman" w:hint="eastAsia"/>
          <w:color w:val="000000" w:themeColor="text1"/>
          <w:szCs w:val="24"/>
          <w:lang w:val="en-GB"/>
        </w:rPr>
        <w:instrText xml:space="preserve"> PTS</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p &lt; 0.05</w:instrText>
      </w:r>
      <w:r>
        <w:rPr>
          <w:rFonts w:cs="Times New Roman" w:hint="eastAsia"/>
          <w:color w:val="000000" w:themeColor="text1"/>
          <w:szCs w:val="24"/>
          <w:lang w:val="en-GB"/>
        </w:rPr>
        <w:instrText>）。研究结果提供了新的证据，证明在</w:instrText>
      </w:r>
      <w:r>
        <w:rPr>
          <w:rFonts w:cs="Times New Roman" w:hint="eastAsia"/>
          <w:color w:val="000000" w:themeColor="text1"/>
          <w:szCs w:val="24"/>
          <w:lang w:val="en-GB"/>
        </w:rPr>
        <w:instrText xml:space="preserve"> COVID-19 </w:instrText>
      </w:r>
      <w:r>
        <w:rPr>
          <w:rFonts w:cs="Times New Roman" w:hint="eastAsia"/>
          <w:color w:val="000000" w:themeColor="text1"/>
          <w:szCs w:val="24"/>
          <w:lang w:val="en-GB"/>
        </w:rPr>
        <w:instrText>大流行期间发生的极寒事件中存在种族</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民族不平等和连带效应。</w:instrText>
      </w:r>
      <w:r>
        <w:rPr>
          <w:rFonts w:cs="Times New Roman" w:hint="eastAsia"/>
          <w:color w:val="000000" w:themeColor="text1"/>
          <w:szCs w:val="24"/>
          <w:lang w:val="en-GB"/>
        </w:rPr>
        <w:instrText>","page":"115523","source":"4.9","title":"Cascading disasters and mental hea</w:instrText>
      </w:r>
      <w:r>
        <w:rPr>
          <w:rFonts w:cs="Times New Roman"/>
          <w:color w:val="000000" w:themeColor="text1"/>
          <w:szCs w:val="24"/>
          <w:lang w:val="en-GB"/>
        </w:rPr>
        <w:instrText xml:space="preserve">lth inequities: Winter Storm Uri, COVID-19 and post-traumatic stress in Texas","title-short":"Cascading disasters and mental health inequities","volume":"315","author":[{"family":"Grineski","given":"Sara E."},{"family":"Collins","given":"Timothy W."},{"family":"Chakraborty","given":"Jayajit"}],"issued":{"date-parts":[["2022",12]]}}}],"schema":"https://github.com/citation-style-language/schema/raw/master/csl-citation.json"} </w:instrText>
      </w:r>
      <w:r>
        <w:rPr>
          <w:rFonts w:cs="Times New Roman"/>
          <w:color w:val="000000" w:themeColor="text1"/>
          <w:szCs w:val="24"/>
          <w:lang w:val="en-GB"/>
        </w:rPr>
        <w:fldChar w:fldCharType="separate"/>
      </w:r>
      <w:r>
        <w:rPr>
          <w:rFonts w:cs="Times New Roman"/>
          <w:noProof/>
          <w:color w:val="000000" w:themeColor="text1"/>
          <w:szCs w:val="24"/>
          <w:lang w:val="en-GB"/>
        </w:rPr>
        <w:t>(S. E. Grineski et al., 2022)</w:t>
      </w:r>
      <w:r>
        <w:rPr>
          <w:rFonts w:cs="Times New Roman"/>
          <w:color w:val="000000" w:themeColor="text1"/>
          <w:szCs w:val="24"/>
          <w:lang w:val="en-GB"/>
        </w:rPr>
        <w:fldChar w:fldCharType="end"/>
      </w:r>
      <w:r>
        <w:rPr>
          <w:rFonts w:cs="Times New Roman"/>
          <w:color w:val="000000" w:themeColor="text1"/>
          <w:szCs w:val="24"/>
          <w:lang w:val="en-GB"/>
        </w:rPr>
        <w:t xml:space="preserve"> found that Texas residents who experienced both power and water outages during Winter Storm Uri, combined with high Covid-19 impacts, had 7.7 times higher odds of post-traumatic stress – yet the joint occurrence of extreme cold, power loss, </w:t>
      </w:r>
      <w:r w:rsidRPr="00B247AD">
        <w:rPr>
          <w:rFonts w:cs="Times New Roman"/>
          <w:color w:val="000000" w:themeColor="text1"/>
          <w:szCs w:val="24"/>
          <w:lang w:val="en-GB"/>
        </w:rPr>
        <w:t>water loss, and pandemic stress makes</w:t>
      </w:r>
      <w:r>
        <w:rPr>
          <w:rFonts w:cs="Times New Roman"/>
          <w:color w:val="000000" w:themeColor="text1"/>
          <w:szCs w:val="24"/>
          <w:lang w:val="en-GB"/>
        </w:rPr>
        <w:t xml:space="preserve"> it difficult to isolate </w:t>
      </w:r>
      <w:r>
        <w:rPr>
          <w:rFonts w:cs="Times New Roman"/>
          <w:color w:val="000000" w:themeColor="text1"/>
          <w:szCs w:val="24"/>
          <w:lang w:val="en-GB"/>
        </w:rPr>
        <w:lastRenderedPageBreak/>
        <w:t xml:space="preserve">the contribution of any single factor. This identification </w:t>
      </w:r>
      <w:r w:rsidRPr="00B247AD">
        <w:rPr>
          <w:rFonts w:cs="Times New Roman"/>
          <w:color w:val="000000" w:themeColor="text1"/>
          <w:szCs w:val="24"/>
          <w:lang w:val="en-GB"/>
        </w:rPr>
        <w:t xml:space="preserve">challenge extends to </w:t>
      </w:r>
      <w:r>
        <w:rPr>
          <w:rFonts w:cs="Times New Roman"/>
          <w:color w:val="000000" w:themeColor="text1"/>
          <w:szCs w:val="24"/>
          <w:lang w:val="en-GB"/>
        </w:rPr>
        <w:t xml:space="preserve">physical health outcomes: </w:t>
      </w:r>
      <w:r>
        <w:rPr>
          <w:rFonts w:cs="Times New Roman"/>
          <w:color w:val="000000" w:themeColor="text1"/>
          <w:szCs w:val="24"/>
          <w:lang w:val="en-GB"/>
        </w:rPr>
        <w:fldChar w:fldCharType="begin"/>
      </w:r>
      <w:r>
        <w:rPr>
          <w:rFonts w:cs="Times New Roman"/>
          <w:color w:val="000000" w:themeColor="text1"/>
          <w:szCs w:val="24"/>
          <w:lang w:val="en-GB"/>
        </w:rPr>
        <w:instrText xml:space="preserve"> ADDIN ZOTERO_ITEM CSL_CITATION {"citationID":"jMr34MNY","properties":{"unsorted":false,"formattedCitation":"(Sheridan et al., 2021)","plainCitation":"(Sheridan et al., 2021)","noteIndex":0},"citationItems":[{"id":4622,"uris":["http://zotero.org/users/12445093/items/HEFADSM6"],"itemData":{"id":4622,"type":"article-journal","abstract":"Background: There is little work in assessing the impact of storm events combined with power outage (PO). In this study, we evaluated the individual and synergistic impacts of wind events and PO on overall and subtypes of injuries in New York State (NYS) and by demographics.\nMethods: The emergency department (ED) visit data were obtained from the NYS Department of Health from November–April 2005–2013 to identify injury cases, length of stay and care costs. Wind event was deﬁned according to high wind, strong wind or thunderstorm wind deﬁned by NOAA. PO occurrence was deﬁned when PO coverage exceeded the 50th percentile of its distribution. By comparing non-event days, we used distributed lag nonlinear models to evaluate the impacts of wind events, PO, and their combined effect on injuries during the cold season over a 0-3-day lag period, while controlling for time-varying confounders. The differences in critical care indicators between event and non-event days were also evaluated.\nResults: Overall injuries ED visits (16,628,812) signiﬁcantly increased during the wind events (highest Risk Ratio (RR): 1.05; 95% CI: 1.02–1.08), and were highest when wind events cooccurred wit</w:instrText>
      </w:r>
      <w:r>
        <w:rPr>
          <w:rFonts w:cs="Times New Roman" w:hint="eastAsia"/>
          <w:color w:val="000000" w:themeColor="text1"/>
          <w:szCs w:val="24"/>
          <w:lang w:val="en-GB"/>
        </w:rPr>
        <w:instrText>h PO (highest RR: 1.14; 95% CI: 1.10</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1.18), but not during PO alone (RR: 1.00; 95%CI: 0.96</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1.04). The increase was also observed with all subgroups through Day 2 after the event. Greater risks exist for older adults (</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65 years) and those on Medicaid. Afte</w:instrText>
      </w:r>
      <w:r>
        <w:rPr>
          <w:rFonts w:cs="Times New Roman"/>
          <w:color w:val="000000" w:themeColor="text1"/>
          <w:szCs w:val="24"/>
          <w:lang w:val="en-GB"/>
        </w:rPr>
        <w:instrText>r the joint occurrences of wind events and PO, average visits are 0.2 days longer, and cost 13% more, compared to no wind/no PO days.\nConclusion: There is a signiﬁcant increase in ED visits, length of stay and cost of injuries during wind events, especially when they coupled with PO and especially among older cases and Medicaid holders. Our ﬁndings may be used for planning disaster preparedness and recovery efforts.","call-number":"2","container-title":"Science of The Total Environment","DOI":"10.1016/j.scitotenv.2021.149199","ISSN":"00489697","journalAbbreviation":"Science of The Total Environment","language":"en","note":"TLDR: There is a significant increase in ED visits, length of stay and cost of injuries during wind events, especially when they coup</w:instrText>
      </w:r>
      <w:r>
        <w:rPr>
          <w:rFonts w:cs="Times New Roman" w:hint="eastAsia"/>
          <w:color w:val="000000" w:themeColor="text1"/>
          <w:szCs w:val="24"/>
          <w:lang w:val="en-GB"/>
        </w:rPr>
        <w:instrText xml:space="preserve">led with PO and especially among older cases and Medicaid holders.\ntitleTranslation: </w:instrText>
      </w:r>
      <w:r>
        <w:rPr>
          <w:rFonts w:cs="Times New Roman" w:hint="eastAsia"/>
          <w:color w:val="000000" w:themeColor="text1"/>
          <w:szCs w:val="24"/>
          <w:lang w:val="en-GB"/>
        </w:rPr>
        <w:instrText>暴风雪和停电对纽约州伤害急诊就诊的单独和协同影响</w:instrText>
      </w:r>
      <w:r>
        <w:rPr>
          <w:rFonts w:cs="Times New Roman" w:hint="eastAsia"/>
          <w:color w:val="000000" w:themeColor="text1"/>
          <w:szCs w:val="24"/>
          <w:lang w:val="en-GB"/>
        </w:rPr>
        <w:instrText xml:space="preserve">\nabstractTranslation: </w:instrText>
      </w:r>
      <w:r>
        <w:rPr>
          <w:rFonts w:cs="Times New Roman" w:hint="eastAsia"/>
          <w:color w:val="000000" w:themeColor="text1"/>
          <w:szCs w:val="24"/>
          <w:lang w:val="en-GB"/>
        </w:rPr>
        <w:instrText>背景：在评估暴风事件与停电（</w:instrText>
      </w:r>
      <w:r>
        <w:rPr>
          <w:rFonts w:cs="Times New Roman" w:hint="eastAsia"/>
          <w:color w:val="000000" w:themeColor="text1"/>
          <w:szCs w:val="24"/>
          <w:lang w:val="en-GB"/>
        </w:rPr>
        <w:instrText>PO</w:instrText>
      </w:r>
      <w:r>
        <w:rPr>
          <w:rFonts w:cs="Times New Roman" w:hint="eastAsia"/>
          <w:color w:val="000000" w:themeColor="text1"/>
          <w:szCs w:val="24"/>
          <w:lang w:val="en-GB"/>
        </w:rPr>
        <w:instrText>）结合造成的影响方面鲜有研究。在本研究中，我们评估了风灾和停电对纽约州（</w:instrText>
      </w:r>
      <w:r>
        <w:rPr>
          <w:rFonts w:cs="Times New Roman" w:hint="eastAsia"/>
          <w:color w:val="000000" w:themeColor="text1"/>
          <w:szCs w:val="24"/>
          <w:lang w:val="en-GB"/>
        </w:rPr>
        <w:instrText>NYS</w:instrText>
      </w:r>
      <w:r>
        <w:rPr>
          <w:rFonts w:cs="Times New Roman" w:hint="eastAsia"/>
          <w:color w:val="000000" w:themeColor="text1"/>
          <w:szCs w:val="24"/>
          <w:lang w:val="en-GB"/>
        </w:rPr>
        <w:instrText>）总体伤害和亚型伤害的单独和协同影响，并按人口统计进行了分类。</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研究方法：从纽约州卫生部获得了</w:instrText>
      </w:r>
      <w:r>
        <w:rPr>
          <w:rFonts w:cs="Times New Roman" w:hint="eastAsia"/>
          <w:color w:val="000000" w:themeColor="text1"/>
          <w:szCs w:val="24"/>
          <w:lang w:val="en-GB"/>
        </w:rPr>
        <w:instrText xml:space="preserve"> 2005 </w:instrText>
      </w:r>
      <w:r>
        <w:rPr>
          <w:rFonts w:cs="Times New Roman" w:hint="eastAsia"/>
          <w:color w:val="000000" w:themeColor="text1"/>
          <w:szCs w:val="24"/>
          <w:lang w:val="en-GB"/>
        </w:rPr>
        <w:instrText>年</w:instrText>
      </w:r>
      <w:r>
        <w:rPr>
          <w:rFonts w:cs="Times New Roman" w:hint="eastAsia"/>
          <w:color w:val="000000" w:themeColor="text1"/>
          <w:szCs w:val="24"/>
          <w:lang w:val="en-GB"/>
        </w:rPr>
        <w:instrText xml:space="preserve"> 11 </w:instrText>
      </w:r>
      <w:r>
        <w:rPr>
          <w:rFonts w:cs="Times New Roman" w:hint="eastAsia"/>
          <w:color w:val="000000" w:themeColor="text1"/>
          <w:szCs w:val="24"/>
          <w:lang w:val="en-GB"/>
        </w:rPr>
        <w:instrText>月至</w:instrText>
      </w:r>
      <w:r>
        <w:rPr>
          <w:rFonts w:cs="Times New Roman" w:hint="eastAsia"/>
          <w:color w:val="000000" w:themeColor="text1"/>
          <w:szCs w:val="24"/>
          <w:lang w:val="en-GB"/>
        </w:rPr>
        <w:instrText xml:space="preserve"> 2013 </w:instrText>
      </w:r>
      <w:r>
        <w:rPr>
          <w:rFonts w:cs="Times New Roman" w:hint="eastAsia"/>
          <w:color w:val="000000" w:themeColor="text1"/>
          <w:szCs w:val="24"/>
          <w:lang w:val="en-GB"/>
        </w:rPr>
        <w:instrText>年</w:instrText>
      </w:r>
      <w:r>
        <w:rPr>
          <w:rFonts w:cs="Times New Roman" w:hint="eastAsia"/>
          <w:color w:val="000000" w:themeColor="text1"/>
          <w:szCs w:val="24"/>
          <w:lang w:val="en-GB"/>
        </w:rPr>
        <w:instrText xml:space="preserve"> 4 </w:instrText>
      </w:r>
      <w:r>
        <w:rPr>
          <w:rFonts w:cs="Times New Roman" w:hint="eastAsia"/>
          <w:color w:val="000000" w:themeColor="text1"/>
          <w:szCs w:val="24"/>
          <w:lang w:val="en-GB"/>
        </w:rPr>
        <w:instrText>月期间的急诊科（</w:instrText>
      </w:r>
      <w:r>
        <w:rPr>
          <w:rFonts w:cs="Times New Roman" w:hint="eastAsia"/>
          <w:color w:val="000000" w:themeColor="text1"/>
          <w:szCs w:val="24"/>
          <w:lang w:val="en-GB"/>
        </w:rPr>
        <w:instrText>ED</w:instrText>
      </w:r>
      <w:r>
        <w:rPr>
          <w:rFonts w:cs="Times New Roman" w:hint="eastAsia"/>
          <w:color w:val="000000" w:themeColor="text1"/>
          <w:szCs w:val="24"/>
          <w:lang w:val="en-GB"/>
        </w:rPr>
        <w:instrText>）就诊数据，以确定受伤病例、住院时间和护理成本。风力事件根据诺阿（</w:instrText>
      </w:r>
      <w:r>
        <w:rPr>
          <w:rFonts w:cs="Times New Roman" w:hint="eastAsia"/>
          <w:color w:val="000000" w:themeColor="text1"/>
          <w:szCs w:val="24"/>
          <w:lang w:val="en-GB"/>
        </w:rPr>
        <w:instrText>NOAA</w:instrText>
      </w:r>
      <w:r>
        <w:rPr>
          <w:rFonts w:cs="Times New Roman" w:hint="eastAsia"/>
          <w:color w:val="000000" w:themeColor="text1"/>
          <w:szCs w:val="24"/>
          <w:lang w:val="en-GB"/>
        </w:rPr>
        <w:instrText>）定义的大风、强风或雷暴风进行判定。当</w:instrText>
      </w:r>
      <w:r>
        <w:rPr>
          <w:rFonts w:cs="Times New Roman" w:hint="eastAsia"/>
          <w:color w:val="000000" w:themeColor="text1"/>
          <w:szCs w:val="24"/>
          <w:lang w:val="en-GB"/>
        </w:rPr>
        <w:instrText xml:space="preserve"> PO </w:instrText>
      </w:r>
      <w:r>
        <w:rPr>
          <w:rFonts w:cs="Times New Roman" w:hint="eastAsia"/>
          <w:color w:val="000000" w:themeColor="text1"/>
          <w:szCs w:val="24"/>
          <w:lang w:val="en-GB"/>
        </w:rPr>
        <w:instrText>覆盖率超过其分布的第</w:instrText>
      </w:r>
      <w:r>
        <w:rPr>
          <w:rFonts w:cs="Times New Roman" w:hint="eastAsia"/>
          <w:color w:val="000000" w:themeColor="text1"/>
          <w:szCs w:val="24"/>
          <w:lang w:val="en-GB"/>
        </w:rPr>
        <w:instrText xml:space="preserve"> 50 </w:instrText>
      </w:r>
      <w:r>
        <w:rPr>
          <w:rFonts w:cs="Times New Roman" w:hint="eastAsia"/>
          <w:color w:val="000000" w:themeColor="text1"/>
          <w:szCs w:val="24"/>
          <w:lang w:val="en-GB"/>
        </w:rPr>
        <w:instrText>百分位数时，即判定为发生了</w:instrText>
      </w:r>
      <w:r>
        <w:rPr>
          <w:rFonts w:cs="Times New Roman" w:hint="eastAsia"/>
          <w:color w:val="000000" w:themeColor="text1"/>
          <w:szCs w:val="24"/>
          <w:lang w:val="en-GB"/>
        </w:rPr>
        <w:instrText xml:space="preserve"> PO</w:instrText>
      </w:r>
      <w:r>
        <w:rPr>
          <w:rFonts w:cs="Times New Roman" w:hint="eastAsia"/>
          <w:color w:val="000000" w:themeColor="text1"/>
          <w:szCs w:val="24"/>
          <w:lang w:val="en-GB"/>
        </w:rPr>
        <w:instrText>。通过比较非事件日，我们使用分布式滞后非线性模型来评估风事件、</w:instrText>
      </w:r>
      <w:r>
        <w:rPr>
          <w:rFonts w:cs="Times New Roman" w:hint="eastAsia"/>
          <w:color w:val="000000" w:themeColor="text1"/>
          <w:szCs w:val="24"/>
          <w:lang w:val="en-GB"/>
        </w:rPr>
        <w:instrText xml:space="preserve">PO </w:instrText>
      </w:r>
      <w:r>
        <w:rPr>
          <w:rFonts w:cs="Times New Roman" w:hint="eastAsia"/>
          <w:color w:val="000000" w:themeColor="text1"/>
          <w:szCs w:val="24"/>
          <w:lang w:val="en-GB"/>
        </w:rPr>
        <w:instrText>以及它们在</w:instrText>
      </w:r>
      <w:r>
        <w:rPr>
          <w:rFonts w:cs="Times New Roman" w:hint="eastAsia"/>
          <w:color w:val="000000" w:themeColor="text1"/>
          <w:szCs w:val="24"/>
          <w:lang w:val="en-GB"/>
        </w:rPr>
        <w:instrText xml:space="preserve"> 0-3 </w:instrText>
      </w:r>
      <w:r>
        <w:rPr>
          <w:rFonts w:cs="Times New Roman" w:hint="eastAsia"/>
          <w:color w:val="000000" w:themeColor="text1"/>
          <w:szCs w:val="24"/>
          <w:lang w:val="en-GB"/>
        </w:rPr>
        <w:instrText>天滞后期内对寒冷季节伤害的综合影响，同时控制随时间变化的混杂因素。同时还评估了事件日与非事件日之间危重症护理指标的差异。</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结果显示在风灾期间，急诊室就诊总人数（</w:instrText>
      </w:r>
      <w:r>
        <w:rPr>
          <w:rFonts w:cs="Times New Roman" w:hint="eastAsia"/>
          <w:color w:val="000000" w:themeColor="text1"/>
          <w:szCs w:val="24"/>
          <w:lang w:val="en-GB"/>
        </w:rPr>
        <w:instrText xml:space="preserve">16,628,812 </w:instrText>
      </w:r>
      <w:r>
        <w:rPr>
          <w:rFonts w:cs="Times New Roman" w:hint="eastAsia"/>
          <w:color w:val="000000" w:themeColor="text1"/>
          <w:szCs w:val="24"/>
          <w:lang w:val="en-GB"/>
        </w:rPr>
        <w:instrText>人次）显著增加（最高风险比</w:instrText>
      </w:r>
      <w:r>
        <w:rPr>
          <w:rFonts w:cs="Times New Roman" w:hint="eastAsia"/>
          <w:color w:val="000000" w:themeColor="text1"/>
          <w:szCs w:val="24"/>
          <w:lang w:val="en-GB"/>
        </w:rPr>
        <w:instrText xml:space="preserve"> (RR)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1.05; 95%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1.05</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95%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1.02-1.08</w:instrText>
      </w:r>
      <w:r>
        <w:rPr>
          <w:rFonts w:cs="Times New Roman" w:hint="eastAsia"/>
          <w:color w:val="000000" w:themeColor="text1"/>
          <w:szCs w:val="24"/>
          <w:lang w:val="en-GB"/>
        </w:rPr>
        <w:instrText>），在风灾与疫情同时发生时最高（最高风险比：</w:instrText>
      </w:r>
      <w:r>
        <w:rPr>
          <w:rFonts w:cs="Times New Roman" w:hint="eastAsia"/>
          <w:color w:val="000000" w:themeColor="text1"/>
          <w:szCs w:val="24"/>
          <w:lang w:val="en-GB"/>
        </w:rPr>
        <w:instrText>1.14</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95%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1.10-1.18</w:instrText>
      </w:r>
      <w:r>
        <w:rPr>
          <w:rFonts w:cs="Times New Roman" w:hint="eastAsia"/>
          <w:color w:val="000000" w:themeColor="text1"/>
          <w:szCs w:val="24"/>
          <w:lang w:val="en-GB"/>
        </w:rPr>
        <w:instrText>），而在疫情单独发生时则没有（风险比：</w:instrText>
      </w:r>
      <w:r>
        <w:rPr>
          <w:rFonts w:cs="Times New Roman" w:hint="eastAsia"/>
          <w:color w:val="000000" w:themeColor="text1"/>
          <w:szCs w:val="24"/>
          <w:lang w:val="en-GB"/>
        </w:rPr>
        <w:instrText>1.00</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95%CI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0.96-1.04</w:instrText>
      </w:r>
      <w:r>
        <w:rPr>
          <w:rFonts w:cs="Times New Roman" w:hint="eastAsia"/>
          <w:color w:val="000000" w:themeColor="text1"/>
          <w:szCs w:val="24"/>
          <w:lang w:val="en-GB"/>
        </w:rPr>
        <w:instrText>）。在事件发生后的第</w:instrText>
      </w:r>
      <w:r>
        <w:rPr>
          <w:rFonts w:cs="Times New Roman" w:hint="eastAsia"/>
          <w:color w:val="000000" w:themeColor="text1"/>
          <w:szCs w:val="24"/>
          <w:lang w:val="en-GB"/>
        </w:rPr>
        <w:instrText xml:space="preserve"> 2 </w:instrText>
      </w:r>
      <w:r>
        <w:rPr>
          <w:rFonts w:cs="Times New Roman" w:hint="eastAsia"/>
          <w:color w:val="000000" w:themeColor="text1"/>
          <w:szCs w:val="24"/>
          <w:lang w:val="en-GB"/>
        </w:rPr>
        <w:instrText>天，所有亚组也都观察到了这种增加。老年人（≥</w:instrText>
      </w:r>
      <w:r>
        <w:rPr>
          <w:rFonts w:cs="Times New Roman" w:hint="eastAsia"/>
          <w:color w:val="000000" w:themeColor="text1"/>
          <w:szCs w:val="24"/>
          <w:lang w:val="en-GB"/>
        </w:rPr>
        <w:instrText xml:space="preserve">65 </w:instrText>
      </w:r>
      <w:r>
        <w:rPr>
          <w:rFonts w:cs="Times New Roman" w:hint="eastAsia"/>
          <w:color w:val="000000" w:themeColor="text1"/>
          <w:szCs w:val="24"/>
          <w:lang w:val="en-GB"/>
        </w:rPr>
        <w:instrText>岁）和享受医疗补助者的风险更大。与无风</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无</w:instrText>
      </w:r>
      <w:r>
        <w:rPr>
          <w:rFonts w:cs="Times New Roman" w:hint="eastAsia"/>
          <w:color w:val="000000" w:themeColor="text1"/>
          <w:szCs w:val="24"/>
          <w:lang w:val="en-GB"/>
        </w:rPr>
        <w:instrText xml:space="preserve"> PO </w:instrText>
      </w:r>
      <w:r>
        <w:rPr>
          <w:rFonts w:cs="Times New Roman" w:hint="eastAsia"/>
          <w:color w:val="000000" w:themeColor="text1"/>
          <w:szCs w:val="24"/>
          <w:lang w:val="en-GB"/>
        </w:rPr>
        <w:instrText>日相比，联合发生风事件和</w:instrText>
      </w:r>
      <w:r>
        <w:rPr>
          <w:rFonts w:cs="Times New Roman" w:hint="eastAsia"/>
          <w:color w:val="000000" w:themeColor="text1"/>
          <w:szCs w:val="24"/>
          <w:lang w:val="en-GB"/>
        </w:rPr>
        <w:instrText xml:space="preserve"> PO </w:instrText>
      </w:r>
      <w:r>
        <w:rPr>
          <w:rFonts w:cs="Times New Roman" w:hint="eastAsia"/>
          <w:color w:val="000000" w:themeColor="text1"/>
          <w:szCs w:val="24"/>
          <w:lang w:val="en-GB"/>
        </w:rPr>
        <w:instrText>后，平均就诊时间延长</w:instrText>
      </w:r>
      <w:r>
        <w:rPr>
          <w:rFonts w:cs="Times New Roman" w:hint="eastAsia"/>
          <w:color w:val="000000" w:themeColor="text1"/>
          <w:szCs w:val="24"/>
          <w:lang w:val="en-GB"/>
        </w:rPr>
        <w:instrText xml:space="preserve"> 0.2 </w:instrText>
      </w:r>
      <w:r>
        <w:rPr>
          <w:rFonts w:cs="Times New Roman" w:hint="eastAsia"/>
          <w:color w:val="000000" w:themeColor="text1"/>
          <w:szCs w:val="24"/>
          <w:lang w:val="en-GB"/>
        </w:rPr>
        <w:instrText>天，费用增加</w:instrText>
      </w:r>
      <w:r>
        <w:rPr>
          <w:rFonts w:cs="Times New Roman" w:hint="eastAsia"/>
          <w:color w:val="000000" w:themeColor="text1"/>
          <w:szCs w:val="24"/>
          <w:lang w:val="en-GB"/>
        </w:rPr>
        <w:instrText xml:space="preserve"> 13%</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结论在风灾期间，特别是在风灾和溺水事件同时发生时，尤其是在年龄较大的病例和医疗补助持有者中，急诊室就诊人次、住院时间和受伤费用都会显著增加。我们的发现可用于规划备灾和恢复工作。</w:instrText>
      </w:r>
      <w:r>
        <w:rPr>
          <w:rFonts w:cs="Times New Roman" w:hint="eastAsia"/>
          <w:color w:val="000000" w:themeColor="text1"/>
          <w:szCs w:val="24"/>
          <w:lang w:val="en-GB"/>
        </w:rPr>
        <w:instrText>","page":"149199","source":"8.2","title":"The individual and synergistic impacts of windstorms and power outages on injury ED visits in New York State","volume":"797","author":[{"family":"Sherid</w:instrText>
      </w:r>
      <w:r>
        <w:rPr>
          <w:rFonts w:cs="Times New Roman"/>
          <w:color w:val="000000" w:themeColor="text1"/>
          <w:szCs w:val="24"/>
          <w:lang w:val="en-GB"/>
        </w:rPr>
        <w:instrText xml:space="preserve">an","given":"Scott C."},{"family":"Zhang","given":"Wangjian"},{"family":"Deng","given":"Xinlei"},{"family":"Lin","given":"Shao"}],"issued":{"date-parts":[["2021",11]]}}}],"schema":"https://github.com/citation-style-language/schema/raw/master/csl-citation.json"} </w:instrText>
      </w:r>
      <w:r>
        <w:rPr>
          <w:rFonts w:cs="Times New Roman"/>
          <w:color w:val="000000" w:themeColor="text1"/>
          <w:szCs w:val="24"/>
          <w:lang w:val="en-GB"/>
        </w:rPr>
        <w:fldChar w:fldCharType="separate"/>
      </w:r>
      <w:r>
        <w:rPr>
          <w:rFonts w:cs="Times New Roman"/>
          <w:noProof/>
          <w:color w:val="000000" w:themeColor="text1"/>
          <w:szCs w:val="24"/>
          <w:lang w:val="en-GB"/>
        </w:rPr>
        <w:t>(Sheridan et al., 2021)</w:t>
      </w:r>
      <w:r>
        <w:rPr>
          <w:rFonts w:cs="Times New Roman"/>
          <w:color w:val="000000" w:themeColor="text1"/>
          <w:szCs w:val="24"/>
          <w:lang w:val="en-GB"/>
        </w:rPr>
        <w:fldChar w:fldCharType="end"/>
      </w:r>
      <w:r>
        <w:rPr>
          <w:rFonts w:cs="Times New Roman"/>
          <w:noProof/>
          <w:color w:val="000000" w:themeColor="text1"/>
          <w:szCs w:val="24"/>
          <w:lang w:val="en-GB"/>
        </w:rPr>
        <w:t xml:space="preserve"> </w:t>
      </w:r>
      <w:r>
        <w:rPr>
          <w:rFonts w:cs="Times New Roman"/>
          <w:color w:val="000000" w:themeColor="text1"/>
          <w:szCs w:val="24"/>
          <w:lang w:val="en-GB"/>
        </w:rPr>
        <w:t xml:space="preserve">found that the combined exposure to windstorms and power outages produced the highest increase in injury-related ED visits in New York State, while power outages alone did not significantly affect injury visits, suggesting that the health effects observed during disasters may be driven primarily by the weather event rather than the outage. </w:t>
      </w:r>
      <w:r>
        <w:rPr>
          <w:rFonts w:cs="Times New Roman"/>
          <w:color w:val="000000" w:themeColor="text1"/>
          <w:szCs w:val="24"/>
          <w:lang w:val="en-GB"/>
        </w:rPr>
        <w:fldChar w:fldCharType="begin"/>
      </w:r>
      <w:r>
        <w:rPr>
          <w:rFonts w:cs="Times New Roman"/>
          <w:color w:val="000000" w:themeColor="text1"/>
          <w:szCs w:val="24"/>
          <w:lang w:val="en-GB"/>
        </w:rPr>
        <w:instrText xml:space="preserve"> ADDIN ZOTERO_ITEM CSL_CITATION {"citationID":"kxlm3BSu","properties":{"unsorted":false,"formattedCitation":"(Skarha et al., 2021)","plainCitation":"(Skarha et al., 2021)","noteIndex":0},"citationItems":[{"id":4699,"uris":["http://zotero.org/users/12445093/items/F57VMU8P"],"itemData":{"id":4699,"type":"article-journal","abstract":"OBJECTIVE To determine the association of power loss from Hurricane Irma with hospitalization and mortality in NH residents in Florida. DESIGN, SETTING, AND PARTICIPANTS This retrospective cohort study of NH residents residing in Florida when Hurricane Irma landed on September 10, 2017, assessed mortality at 7 and 30 days after the storm and hospitalization at 30 days after the storm. The analysis was conducted from May 2, 2021, to June 28, 2021. All NH residents residing in Florida at landfall were eligible (N = 67 273). We excluded those younger than 65 years, missing power status information, or who were evacuated (13 178 [19.6%]). EXPOSURE We used state-administered surveys to determine NH power outage status. Exposed residents experienced a power outage poststorm, whereas unexposed residents did not experience a power outage poststorm. MAIN OUTCOMES AND MEASURES We used Medicare claims to assess mortality and hospitalization after Hurricane Irma landfall using generalized linear models with robust standard errors.\nRESULTS In the aftermath of Hurricane Irma, 27 892 residents (18 510 women [66.4%]; 3906 [14.0%] Black, 1651 [5.9%] Hispanic, and 21 756 [78.0%] White individuals) in 299 NHs were exposed to power loss and 26 203 residents (17 620 women [67.2%]; 4175 [15.9%] Black, 1030 [3.9%] Hispanic, and 20 477 [78.1%] White individuals) in 292 NHs were unexposed. Nursing homes that lost power were similar in size, quality star rating, and type of ownership compared with NHs that did not lose power. Power loss was associated with an increased adjusted odds of mortality among all residents within 7 days (odds ratio [OR],1.25; 95% CI,1.05-1.48) and 30 days (OR, 1.12; 95% CI,1.02-1.23) poststorm and hospitalization within 30 days, although only among residents aged 65 to 74 years (OR, 1.16; 95% CI, 1.03-1.33).\nCONCLUSIONS AND RELEVANCE In this cohort study, power loss was associated with higher odds of mortality in all affected NH residents and hospitalization in some residents. The benefits and costs of policies that require NHs to have emergency alternate power sources should be assessed.","container-title":"JAMA Health Forum","DOI":"10.1001/jamahealthforum.2021.3900","ISSN":"2689-0186","issue":"11","journalAbbreviation":"JAMA Health Forum","language":"en","note":"TLDR: The study results suggest that further research should assess the benefits and costs of policies that require nursing homes to have emergency alternate power s</w:instrText>
      </w:r>
      <w:r>
        <w:rPr>
          <w:rFonts w:cs="Times New Roman" w:hint="eastAsia"/>
          <w:color w:val="000000" w:themeColor="text1"/>
          <w:szCs w:val="24"/>
          <w:lang w:val="en-GB"/>
        </w:rPr>
        <w:instrText xml:space="preserve">ources.\ntitleTranslation: </w:instrText>
      </w:r>
      <w:r>
        <w:rPr>
          <w:rFonts w:cs="Times New Roman" w:hint="eastAsia"/>
          <w:color w:val="000000" w:themeColor="text1"/>
          <w:szCs w:val="24"/>
          <w:lang w:val="en-GB"/>
        </w:rPr>
        <w:instrText>飓风</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艾玛</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过后停电与佛罗里达州养老院居民死亡率和住院率的关系</w:instrText>
      </w:r>
      <w:r>
        <w:rPr>
          <w:rFonts w:cs="Times New Roman" w:hint="eastAsia"/>
          <w:color w:val="000000" w:themeColor="text1"/>
          <w:szCs w:val="24"/>
          <w:lang w:val="en-GB"/>
        </w:rPr>
        <w:instrText xml:space="preserve">\nabstractTranslation: </w:instrText>
      </w:r>
      <w:r>
        <w:rPr>
          <w:rFonts w:cs="Times New Roman" w:hint="eastAsia"/>
          <w:color w:val="000000" w:themeColor="text1"/>
          <w:szCs w:val="24"/>
          <w:lang w:val="en-GB"/>
        </w:rPr>
        <w:instrText>目的</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确定飓风</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艾玛</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造成的电力损失与佛罗里达州</w:instrText>
      </w:r>
      <w:r>
        <w:rPr>
          <w:rFonts w:cs="Times New Roman" w:hint="eastAsia"/>
          <w:color w:val="000000" w:themeColor="text1"/>
          <w:szCs w:val="24"/>
          <w:lang w:val="en-GB"/>
        </w:rPr>
        <w:instrText xml:space="preserve"> NH </w:instrText>
      </w:r>
      <w:r>
        <w:rPr>
          <w:rFonts w:cs="Times New Roman" w:hint="eastAsia"/>
          <w:color w:val="000000" w:themeColor="text1"/>
          <w:szCs w:val="24"/>
          <w:lang w:val="en-GB"/>
        </w:rPr>
        <w:instrText>居民的住院和死亡率之间的关系。设计、地点和参与者</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这项回顾性队列研究针对</w:instrText>
      </w:r>
      <w:r>
        <w:rPr>
          <w:rFonts w:cs="Times New Roman" w:hint="eastAsia"/>
          <w:color w:val="000000" w:themeColor="text1"/>
          <w:szCs w:val="24"/>
          <w:lang w:val="en-GB"/>
        </w:rPr>
        <w:instrText xml:space="preserve"> 2017 </w:instrText>
      </w:r>
      <w:r>
        <w:rPr>
          <w:rFonts w:cs="Times New Roman" w:hint="eastAsia"/>
          <w:color w:val="000000" w:themeColor="text1"/>
          <w:szCs w:val="24"/>
          <w:lang w:val="en-GB"/>
        </w:rPr>
        <w:instrText>年</w:instrText>
      </w:r>
      <w:r>
        <w:rPr>
          <w:rFonts w:cs="Times New Roman" w:hint="eastAsia"/>
          <w:color w:val="000000" w:themeColor="text1"/>
          <w:szCs w:val="24"/>
          <w:lang w:val="en-GB"/>
        </w:rPr>
        <w:instrText xml:space="preserve"> 9 </w:instrText>
      </w:r>
      <w:r>
        <w:rPr>
          <w:rFonts w:cs="Times New Roman" w:hint="eastAsia"/>
          <w:color w:val="000000" w:themeColor="text1"/>
          <w:szCs w:val="24"/>
          <w:lang w:val="en-GB"/>
        </w:rPr>
        <w:instrText>月</w:instrText>
      </w:r>
      <w:r>
        <w:rPr>
          <w:rFonts w:cs="Times New Roman" w:hint="eastAsia"/>
          <w:color w:val="000000" w:themeColor="text1"/>
          <w:szCs w:val="24"/>
          <w:lang w:val="en-GB"/>
        </w:rPr>
        <w:instrText xml:space="preserve"> 10 </w:instrText>
      </w:r>
      <w:r>
        <w:rPr>
          <w:rFonts w:cs="Times New Roman" w:hint="eastAsia"/>
          <w:color w:val="000000" w:themeColor="text1"/>
          <w:szCs w:val="24"/>
          <w:lang w:val="en-GB"/>
        </w:rPr>
        <w:instrText>日飓风艾玛登陆佛罗里达州时居住在佛罗里达州的</w:instrText>
      </w:r>
      <w:r>
        <w:rPr>
          <w:rFonts w:cs="Times New Roman" w:hint="eastAsia"/>
          <w:color w:val="000000" w:themeColor="text1"/>
          <w:szCs w:val="24"/>
          <w:lang w:val="en-GB"/>
        </w:rPr>
        <w:instrText xml:space="preserve"> NH </w:instrText>
      </w:r>
      <w:r>
        <w:rPr>
          <w:rFonts w:cs="Times New Roman" w:hint="eastAsia"/>
          <w:color w:val="000000" w:themeColor="text1"/>
          <w:szCs w:val="24"/>
          <w:lang w:val="en-GB"/>
        </w:rPr>
        <w:instrText>居民，评估风暴过后</w:instrText>
      </w:r>
      <w:r>
        <w:rPr>
          <w:rFonts w:cs="Times New Roman" w:hint="eastAsia"/>
          <w:color w:val="000000" w:themeColor="text1"/>
          <w:szCs w:val="24"/>
          <w:lang w:val="en-GB"/>
        </w:rPr>
        <w:instrText xml:space="preserve"> 7 </w:instrText>
      </w:r>
      <w:r>
        <w:rPr>
          <w:rFonts w:cs="Times New Roman" w:hint="eastAsia"/>
          <w:color w:val="000000" w:themeColor="text1"/>
          <w:szCs w:val="24"/>
          <w:lang w:val="en-GB"/>
        </w:rPr>
        <w:instrText>天和</w:instrText>
      </w:r>
      <w:r>
        <w:rPr>
          <w:rFonts w:cs="Times New Roman" w:hint="eastAsia"/>
          <w:color w:val="000000" w:themeColor="text1"/>
          <w:szCs w:val="24"/>
          <w:lang w:val="en-GB"/>
        </w:rPr>
        <w:instrText xml:space="preserve"> 30 </w:instrText>
      </w:r>
      <w:r>
        <w:rPr>
          <w:rFonts w:cs="Times New Roman" w:hint="eastAsia"/>
          <w:color w:val="000000" w:themeColor="text1"/>
          <w:szCs w:val="24"/>
          <w:lang w:val="en-GB"/>
        </w:rPr>
        <w:instrText>天的死亡率以及风暴过后</w:instrText>
      </w:r>
      <w:r>
        <w:rPr>
          <w:rFonts w:cs="Times New Roman" w:hint="eastAsia"/>
          <w:color w:val="000000" w:themeColor="text1"/>
          <w:szCs w:val="24"/>
          <w:lang w:val="en-GB"/>
        </w:rPr>
        <w:instrText xml:space="preserve"> 30 </w:instrText>
      </w:r>
      <w:r>
        <w:rPr>
          <w:rFonts w:cs="Times New Roman" w:hint="eastAsia"/>
          <w:color w:val="000000" w:themeColor="text1"/>
          <w:szCs w:val="24"/>
          <w:lang w:val="en-GB"/>
        </w:rPr>
        <w:instrText>天的住院情况。分析时间为</w:instrText>
      </w:r>
      <w:r>
        <w:rPr>
          <w:rFonts w:cs="Times New Roman" w:hint="eastAsia"/>
          <w:color w:val="000000" w:themeColor="text1"/>
          <w:szCs w:val="24"/>
          <w:lang w:val="en-GB"/>
        </w:rPr>
        <w:instrText xml:space="preserve"> 2021 </w:instrText>
      </w:r>
      <w:r>
        <w:rPr>
          <w:rFonts w:cs="Times New Roman" w:hint="eastAsia"/>
          <w:color w:val="000000" w:themeColor="text1"/>
          <w:szCs w:val="24"/>
          <w:lang w:val="en-GB"/>
        </w:rPr>
        <w:instrText>年</w:instrText>
      </w:r>
      <w:r>
        <w:rPr>
          <w:rFonts w:cs="Times New Roman" w:hint="eastAsia"/>
          <w:color w:val="000000" w:themeColor="text1"/>
          <w:szCs w:val="24"/>
          <w:lang w:val="en-GB"/>
        </w:rPr>
        <w:instrText xml:space="preserve"> 5 </w:instrText>
      </w:r>
      <w:r>
        <w:rPr>
          <w:rFonts w:cs="Times New Roman" w:hint="eastAsia"/>
          <w:color w:val="000000" w:themeColor="text1"/>
          <w:szCs w:val="24"/>
          <w:lang w:val="en-GB"/>
        </w:rPr>
        <w:instrText>月</w:instrText>
      </w:r>
      <w:r>
        <w:rPr>
          <w:rFonts w:cs="Times New Roman" w:hint="eastAsia"/>
          <w:color w:val="000000" w:themeColor="text1"/>
          <w:szCs w:val="24"/>
          <w:lang w:val="en-GB"/>
        </w:rPr>
        <w:instrText xml:space="preserve"> 2 </w:instrText>
      </w:r>
      <w:r>
        <w:rPr>
          <w:rFonts w:cs="Times New Roman" w:hint="eastAsia"/>
          <w:color w:val="000000" w:themeColor="text1"/>
          <w:szCs w:val="24"/>
          <w:lang w:val="en-GB"/>
        </w:rPr>
        <w:instrText>日至</w:instrText>
      </w:r>
      <w:r>
        <w:rPr>
          <w:rFonts w:cs="Times New Roman" w:hint="eastAsia"/>
          <w:color w:val="000000" w:themeColor="text1"/>
          <w:szCs w:val="24"/>
          <w:lang w:val="en-GB"/>
        </w:rPr>
        <w:instrText xml:space="preserve"> 2021 </w:instrText>
      </w:r>
      <w:r>
        <w:rPr>
          <w:rFonts w:cs="Times New Roman" w:hint="eastAsia"/>
          <w:color w:val="000000" w:themeColor="text1"/>
          <w:szCs w:val="24"/>
          <w:lang w:val="en-GB"/>
        </w:rPr>
        <w:instrText>年</w:instrText>
      </w:r>
      <w:r>
        <w:rPr>
          <w:rFonts w:cs="Times New Roman" w:hint="eastAsia"/>
          <w:color w:val="000000" w:themeColor="text1"/>
          <w:szCs w:val="24"/>
          <w:lang w:val="en-GB"/>
        </w:rPr>
        <w:instrText xml:space="preserve"> 6 </w:instrText>
      </w:r>
      <w:r>
        <w:rPr>
          <w:rFonts w:cs="Times New Roman" w:hint="eastAsia"/>
          <w:color w:val="000000" w:themeColor="text1"/>
          <w:szCs w:val="24"/>
          <w:lang w:val="en-GB"/>
        </w:rPr>
        <w:instrText>月</w:instrText>
      </w:r>
      <w:r>
        <w:rPr>
          <w:rFonts w:cs="Times New Roman" w:hint="eastAsia"/>
          <w:color w:val="000000" w:themeColor="text1"/>
          <w:szCs w:val="24"/>
          <w:lang w:val="en-GB"/>
        </w:rPr>
        <w:instrText xml:space="preserve"> 28 </w:instrText>
      </w:r>
      <w:r>
        <w:rPr>
          <w:rFonts w:cs="Times New Roman" w:hint="eastAsia"/>
          <w:color w:val="000000" w:themeColor="text1"/>
          <w:szCs w:val="24"/>
          <w:lang w:val="en-GB"/>
        </w:rPr>
        <w:instrText>日。登陆时居住在佛罗里达州的所有新罕布什尔州居民均符合条件（</w:instrText>
      </w:r>
      <w:r>
        <w:rPr>
          <w:rFonts w:cs="Times New Roman" w:hint="eastAsia"/>
          <w:color w:val="000000" w:themeColor="text1"/>
          <w:szCs w:val="24"/>
          <w:lang w:val="en-GB"/>
        </w:rPr>
        <w:instrText>N = 67 273</w:instrText>
      </w:r>
      <w:r>
        <w:rPr>
          <w:rFonts w:cs="Times New Roman" w:hint="eastAsia"/>
          <w:color w:val="000000" w:themeColor="text1"/>
          <w:szCs w:val="24"/>
          <w:lang w:val="en-GB"/>
        </w:rPr>
        <w:instrText>）。我们排除了年龄小于</w:instrText>
      </w:r>
      <w:r>
        <w:rPr>
          <w:rFonts w:cs="Times New Roman" w:hint="eastAsia"/>
          <w:color w:val="000000" w:themeColor="text1"/>
          <w:szCs w:val="24"/>
          <w:lang w:val="en-GB"/>
        </w:rPr>
        <w:instrText xml:space="preserve"> 65 </w:instrText>
      </w:r>
      <w:r>
        <w:rPr>
          <w:rFonts w:cs="Times New Roman" w:hint="eastAsia"/>
          <w:color w:val="000000" w:themeColor="text1"/>
          <w:szCs w:val="24"/>
          <w:lang w:val="en-GB"/>
        </w:rPr>
        <w:instrText>岁、缺少电力状态信息或被疏散的居民（</w:instrText>
      </w:r>
      <w:r>
        <w:rPr>
          <w:rFonts w:cs="Times New Roman" w:hint="eastAsia"/>
          <w:color w:val="000000" w:themeColor="text1"/>
          <w:szCs w:val="24"/>
          <w:lang w:val="en-GB"/>
        </w:rPr>
        <w:instrText>13 178 [19.6%]</w:instrText>
      </w:r>
      <w:r>
        <w:rPr>
          <w:rFonts w:cs="Times New Roman" w:hint="eastAsia"/>
          <w:color w:val="000000" w:themeColor="text1"/>
          <w:szCs w:val="24"/>
          <w:lang w:val="en-GB"/>
        </w:rPr>
        <w:instrText>）。暴露</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我们使用州政府管理的调查来确定新罕布什尔州的停电状况。暴露于暴风雪的居民在暴风雪后经历了停电，而未暴露于暴风雪的居民在暴风雪后没有经历停电。主要结果和测量方法</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我们使用医疗保险索赔来评估飓风</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艾玛</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登陆后的死亡率和住院率，使用的是带有稳健标准误差的广义线性模型。</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结果</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飓风</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艾玛</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过后，</w:instrText>
      </w:r>
      <w:r>
        <w:rPr>
          <w:rFonts w:cs="Times New Roman" w:hint="eastAsia"/>
          <w:color w:val="000000" w:themeColor="text1"/>
          <w:szCs w:val="24"/>
          <w:lang w:val="en-GB"/>
        </w:rPr>
        <w:instrText xml:space="preserve">27 892 </w:instrText>
      </w:r>
      <w:r>
        <w:rPr>
          <w:rFonts w:cs="Times New Roman" w:hint="eastAsia"/>
          <w:color w:val="000000" w:themeColor="text1"/>
          <w:szCs w:val="24"/>
          <w:lang w:val="en-GB"/>
        </w:rPr>
        <w:instrText>名居民（</w:instrText>
      </w:r>
      <w:r>
        <w:rPr>
          <w:rFonts w:cs="Times New Roman" w:hint="eastAsia"/>
          <w:color w:val="000000" w:themeColor="text1"/>
          <w:szCs w:val="24"/>
          <w:lang w:val="en-GB"/>
        </w:rPr>
        <w:instrText xml:space="preserve">18 510 </w:instrText>
      </w:r>
      <w:r>
        <w:rPr>
          <w:rFonts w:cs="Times New Roman" w:hint="eastAsia"/>
          <w:color w:val="000000" w:themeColor="text1"/>
          <w:szCs w:val="24"/>
          <w:lang w:val="en-GB"/>
        </w:rPr>
        <w:instrText>名女性</w:instrText>
      </w:r>
      <w:r>
        <w:rPr>
          <w:rFonts w:cs="Times New Roman" w:hint="eastAsia"/>
          <w:color w:val="000000" w:themeColor="text1"/>
          <w:szCs w:val="24"/>
          <w:lang w:val="en-GB"/>
        </w:rPr>
        <w:instrText xml:space="preserve"> [66.4%]</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 xml:space="preserve">3906 </w:instrText>
      </w:r>
      <w:r>
        <w:rPr>
          <w:rFonts w:cs="Times New Roman" w:hint="eastAsia"/>
          <w:color w:val="000000" w:themeColor="text1"/>
          <w:szCs w:val="24"/>
          <w:lang w:val="en-GB"/>
        </w:rPr>
        <w:instrText>名黑人</w:instrText>
      </w:r>
      <w:r>
        <w:rPr>
          <w:rFonts w:cs="Times New Roman" w:hint="eastAsia"/>
          <w:color w:val="000000" w:themeColor="text1"/>
          <w:szCs w:val="24"/>
          <w:lang w:val="en-GB"/>
        </w:rPr>
        <w:instrText xml:space="preserve"> [14.0%]</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 xml:space="preserve">1651 </w:instrText>
      </w:r>
      <w:r>
        <w:rPr>
          <w:rFonts w:cs="Times New Roman" w:hint="eastAsia"/>
          <w:color w:val="000000" w:themeColor="text1"/>
          <w:szCs w:val="24"/>
          <w:lang w:val="en-GB"/>
        </w:rPr>
        <w:instrText>名西班牙裔</w:instrText>
      </w:r>
      <w:r>
        <w:rPr>
          <w:rFonts w:cs="Times New Roman" w:hint="eastAsia"/>
          <w:color w:val="000000" w:themeColor="text1"/>
          <w:szCs w:val="24"/>
          <w:lang w:val="en-GB"/>
        </w:rPr>
        <w:instrText xml:space="preserve"> [5.9%] </w:instrText>
      </w:r>
      <w:r>
        <w:rPr>
          <w:rFonts w:cs="Times New Roman" w:hint="eastAsia"/>
          <w:color w:val="000000" w:themeColor="text1"/>
          <w:szCs w:val="24"/>
          <w:lang w:val="en-GB"/>
        </w:rPr>
        <w:instrText>和</w:instrText>
      </w:r>
      <w:r>
        <w:rPr>
          <w:rFonts w:cs="Times New Roman" w:hint="eastAsia"/>
          <w:color w:val="000000" w:themeColor="text1"/>
          <w:szCs w:val="24"/>
          <w:lang w:val="en-GB"/>
        </w:rPr>
        <w:instrText xml:space="preserve"> 21 756 </w:instrText>
      </w:r>
      <w:r>
        <w:rPr>
          <w:rFonts w:cs="Times New Roman" w:hint="eastAsia"/>
          <w:color w:val="000000" w:themeColor="text1"/>
          <w:szCs w:val="24"/>
          <w:lang w:val="en-GB"/>
        </w:rPr>
        <w:instrText>名白人</w:instrText>
      </w:r>
      <w:r>
        <w:rPr>
          <w:rFonts w:cs="Times New Roman" w:hint="eastAsia"/>
          <w:color w:val="000000" w:themeColor="text1"/>
          <w:szCs w:val="24"/>
          <w:lang w:val="en-GB"/>
        </w:rPr>
        <w:instrText xml:space="preserve"> [78.299</w:instrText>
      </w:r>
      <w:r>
        <w:rPr>
          <w:rFonts w:cs="Times New Roman" w:hint="eastAsia"/>
          <w:color w:val="000000" w:themeColor="text1"/>
          <w:szCs w:val="24"/>
          <w:lang w:val="en-GB"/>
        </w:rPr>
        <w:instrText>家养老院中的</w:instrText>
      </w:r>
      <w:r>
        <w:rPr>
          <w:rFonts w:cs="Times New Roman" w:hint="eastAsia"/>
          <w:color w:val="000000" w:themeColor="text1"/>
          <w:szCs w:val="24"/>
          <w:lang w:val="en-GB"/>
        </w:rPr>
        <w:instrText>26 203</w:instrText>
      </w:r>
      <w:r>
        <w:rPr>
          <w:rFonts w:cs="Times New Roman" w:hint="eastAsia"/>
          <w:color w:val="000000" w:themeColor="text1"/>
          <w:szCs w:val="24"/>
          <w:lang w:val="en-GB"/>
        </w:rPr>
        <w:instrText>名居民（</w:instrText>
      </w:r>
      <w:r>
        <w:rPr>
          <w:rFonts w:cs="Times New Roman" w:hint="eastAsia"/>
          <w:color w:val="000000" w:themeColor="text1"/>
          <w:szCs w:val="24"/>
          <w:lang w:val="en-GB"/>
        </w:rPr>
        <w:instrText>17 620</w:instrText>
      </w:r>
      <w:r>
        <w:rPr>
          <w:rFonts w:cs="Times New Roman" w:hint="eastAsia"/>
          <w:color w:val="000000" w:themeColor="text1"/>
          <w:szCs w:val="24"/>
          <w:lang w:val="en-GB"/>
        </w:rPr>
        <w:instrText>名女性</w:instrText>
      </w:r>
      <w:r>
        <w:rPr>
          <w:rFonts w:cs="Times New Roman" w:hint="eastAsia"/>
          <w:color w:val="000000" w:themeColor="text1"/>
          <w:szCs w:val="24"/>
          <w:lang w:val="en-GB"/>
        </w:rPr>
        <w:instrText>[67.2%]</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4175</w:instrText>
      </w:r>
      <w:r>
        <w:rPr>
          <w:rFonts w:cs="Times New Roman" w:hint="eastAsia"/>
          <w:color w:val="000000" w:themeColor="text1"/>
          <w:szCs w:val="24"/>
          <w:lang w:val="en-GB"/>
        </w:rPr>
        <w:instrText>名</w:instrText>
      </w:r>
      <w:r>
        <w:rPr>
          <w:rFonts w:cs="Times New Roman" w:hint="eastAsia"/>
          <w:color w:val="000000" w:themeColor="text1"/>
          <w:szCs w:val="24"/>
          <w:lang w:val="en-GB"/>
        </w:rPr>
        <w:instrText>[15.9%]</w:instrText>
      </w:r>
      <w:r>
        <w:rPr>
          <w:rFonts w:cs="Times New Roman" w:hint="eastAsia"/>
          <w:color w:val="000000" w:themeColor="text1"/>
          <w:szCs w:val="24"/>
          <w:lang w:val="en-GB"/>
        </w:rPr>
        <w:instrText>黑人、</w:instrText>
      </w:r>
      <w:r>
        <w:rPr>
          <w:rFonts w:cs="Times New Roman" w:hint="eastAsia"/>
          <w:color w:val="000000" w:themeColor="text1"/>
          <w:szCs w:val="24"/>
          <w:lang w:val="en-GB"/>
        </w:rPr>
        <w:instrText>1030</w:instrText>
      </w:r>
      <w:r>
        <w:rPr>
          <w:rFonts w:cs="Times New Roman" w:hint="eastAsia"/>
          <w:color w:val="000000" w:themeColor="text1"/>
          <w:szCs w:val="24"/>
          <w:lang w:val="en-GB"/>
        </w:rPr>
        <w:instrText>名</w:instrText>
      </w:r>
      <w:r>
        <w:rPr>
          <w:rFonts w:cs="Times New Roman" w:hint="eastAsia"/>
          <w:color w:val="000000" w:themeColor="text1"/>
          <w:szCs w:val="24"/>
          <w:lang w:val="en-GB"/>
        </w:rPr>
        <w:instrText>[3.9%]</w:instrText>
      </w:r>
      <w:r>
        <w:rPr>
          <w:rFonts w:cs="Times New Roman" w:hint="eastAsia"/>
          <w:color w:val="000000" w:themeColor="text1"/>
          <w:szCs w:val="24"/>
          <w:lang w:val="en-GB"/>
        </w:rPr>
        <w:instrText>西班牙裔和</w:instrText>
      </w:r>
      <w:r>
        <w:rPr>
          <w:rFonts w:cs="Times New Roman" w:hint="eastAsia"/>
          <w:color w:val="000000" w:themeColor="text1"/>
          <w:szCs w:val="24"/>
          <w:lang w:val="en-GB"/>
        </w:rPr>
        <w:instrText>20 477</w:instrText>
      </w:r>
      <w:r>
        <w:rPr>
          <w:rFonts w:cs="Times New Roman" w:hint="eastAsia"/>
          <w:color w:val="000000" w:themeColor="text1"/>
          <w:szCs w:val="24"/>
          <w:lang w:val="en-GB"/>
        </w:rPr>
        <w:instrText>名</w:instrText>
      </w:r>
      <w:r>
        <w:rPr>
          <w:rFonts w:cs="Times New Roman" w:hint="eastAsia"/>
          <w:color w:val="000000" w:themeColor="text1"/>
          <w:szCs w:val="24"/>
          <w:lang w:val="en-GB"/>
        </w:rPr>
        <w:instrText>[78.1%]</w:instrText>
      </w:r>
      <w:r>
        <w:rPr>
          <w:rFonts w:cs="Times New Roman" w:hint="eastAsia"/>
          <w:color w:val="000000" w:themeColor="text1"/>
          <w:szCs w:val="24"/>
          <w:lang w:val="en-GB"/>
        </w:rPr>
        <w:instrText>白人）未受到停电影响。与未停电的养老院相比，停电的养老院在规模、质量星级和所有权类型方面都很相似。停电与所有居民在暴风雨后</w:instrText>
      </w:r>
      <w:r>
        <w:rPr>
          <w:rFonts w:cs="Times New Roman" w:hint="eastAsia"/>
          <w:color w:val="000000" w:themeColor="text1"/>
          <w:szCs w:val="24"/>
          <w:lang w:val="en-GB"/>
        </w:rPr>
        <w:instrText xml:space="preserve"> 7 </w:instrText>
      </w:r>
      <w:r>
        <w:rPr>
          <w:rFonts w:cs="Times New Roman" w:hint="eastAsia"/>
          <w:color w:val="000000" w:themeColor="text1"/>
          <w:szCs w:val="24"/>
          <w:lang w:val="en-GB"/>
        </w:rPr>
        <w:instrText>天内（几率比</w:instrText>
      </w:r>
      <w:r>
        <w:rPr>
          <w:rFonts w:cs="Times New Roman" w:hint="eastAsia"/>
          <w:color w:val="000000" w:themeColor="text1"/>
          <w:szCs w:val="24"/>
          <w:lang w:val="en-GB"/>
        </w:rPr>
        <w:instrText xml:space="preserve"> [OR]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1.25</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95%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1.05-1.48</w:instrText>
      </w:r>
      <w:r>
        <w:rPr>
          <w:rFonts w:cs="Times New Roman" w:hint="eastAsia"/>
          <w:color w:val="000000" w:themeColor="text1"/>
          <w:szCs w:val="24"/>
          <w:lang w:val="en-GB"/>
        </w:rPr>
        <w:instrText>）和</w:instrText>
      </w:r>
      <w:r>
        <w:rPr>
          <w:rFonts w:cs="Times New Roman" w:hint="eastAsia"/>
          <w:color w:val="000000" w:themeColor="text1"/>
          <w:szCs w:val="24"/>
          <w:lang w:val="en-GB"/>
        </w:rPr>
        <w:instrText xml:space="preserve"> 30 </w:instrText>
      </w:r>
      <w:r>
        <w:rPr>
          <w:rFonts w:cs="Times New Roman" w:hint="eastAsia"/>
          <w:color w:val="000000" w:themeColor="text1"/>
          <w:szCs w:val="24"/>
          <w:lang w:val="en-GB"/>
        </w:rPr>
        <w:instrText>天内（</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1.12</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95%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1.02-1.23</w:instrText>
      </w:r>
      <w:r>
        <w:rPr>
          <w:rFonts w:cs="Times New Roman" w:hint="eastAsia"/>
          <w:color w:val="000000" w:themeColor="text1"/>
          <w:szCs w:val="24"/>
          <w:lang w:val="en-GB"/>
        </w:rPr>
        <w:instrText>）死亡以及</w:instrText>
      </w:r>
      <w:r>
        <w:rPr>
          <w:rFonts w:cs="Times New Roman" w:hint="eastAsia"/>
          <w:color w:val="000000" w:themeColor="text1"/>
          <w:szCs w:val="24"/>
          <w:lang w:val="en-GB"/>
        </w:rPr>
        <w:instrText xml:space="preserve"> 30 </w:instrText>
      </w:r>
      <w:r>
        <w:rPr>
          <w:rFonts w:cs="Times New Roman" w:hint="eastAsia"/>
          <w:color w:val="000000" w:themeColor="text1"/>
          <w:szCs w:val="24"/>
          <w:lang w:val="en-GB"/>
        </w:rPr>
        <w:instrText>天内住院的调整后几率增加有关，但仅限于</w:instrText>
      </w:r>
      <w:r>
        <w:rPr>
          <w:rFonts w:cs="Times New Roman" w:hint="eastAsia"/>
          <w:color w:val="000000" w:themeColor="text1"/>
          <w:szCs w:val="24"/>
          <w:lang w:val="en-GB"/>
        </w:rPr>
        <w:instrText xml:space="preserve"> 65 </w:instrText>
      </w:r>
      <w:r>
        <w:rPr>
          <w:rFonts w:cs="Times New Roman" w:hint="eastAsia"/>
          <w:color w:val="000000" w:themeColor="text1"/>
          <w:szCs w:val="24"/>
          <w:lang w:val="en-GB"/>
        </w:rPr>
        <w:instrText>至</w:instrText>
      </w:r>
      <w:r>
        <w:rPr>
          <w:rFonts w:cs="Times New Roman" w:hint="eastAsia"/>
          <w:color w:val="000000" w:themeColor="text1"/>
          <w:szCs w:val="24"/>
          <w:lang w:val="en-GB"/>
        </w:rPr>
        <w:instrText xml:space="preserve"> 74 </w:instrText>
      </w:r>
      <w:r>
        <w:rPr>
          <w:rFonts w:cs="Times New Roman" w:hint="eastAsia"/>
          <w:color w:val="000000" w:themeColor="text1"/>
          <w:szCs w:val="24"/>
          <w:lang w:val="en-GB"/>
        </w:rPr>
        <w:instrText>岁的居民（</w:instrText>
      </w:r>
      <w:r>
        <w:rPr>
          <w:rFonts w:cs="Times New Roman" w:hint="eastAsia"/>
          <w:color w:val="000000" w:themeColor="text1"/>
          <w:szCs w:val="24"/>
          <w:lang w:val="en-GB"/>
        </w:rPr>
        <w:instrText>OR</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1.16</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95% CI</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1.03-1.33</w:instrText>
      </w:r>
      <w:r>
        <w:rPr>
          <w:rFonts w:cs="Times New Roman" w:hint="eastAsia"/>
          <w:color w:val="000000" w:themeColor="text1"/>
          <w:szCs w:val="24"/>
          <w:lang w:val="en-GB"/>
        </w:rPr>
        <w:instrText>）。</w:instrText>
      </w:r>
      <w:r>
        <w:rPr>
          <w:rFonts w:cs="Times New Roman" w:hint="eastAsia"/>
          <w:color w:val="000000" w:themeColor="text1"/>
          <w:szCs w:val="24"/>
          <w:lang w:val="en-GB"/>
        </w:rPr>
        <w:instrText>\n</w:instrText>
      </w:r>
      <w:r>
        <w:rPr>
          <w:rFonts w:cs="Times New Roman" w:hint="eastAsia"/>
          <w:color w:val="000000" w:themeColor="text1"/>
          <w:szCs w:val="24"/>
          <w:lang w:val="en-GB"/>
        </w:rPr>
        <w:instrText>结论和意义</w:instrText>
      </w:r>
      <w:r>
        <w:rPr>
          <w:rFonts w:cs="Times New Roman" w:hint="eastAsia"/>
          <w:color w:val="000000" w:themeColor="text1"/>
          <w:szCs w:val="24"/>
          <w:lang w:val="en-GB"/>
        </w:rPr>
        <w:instrText xml:space="preserve"> </w:instrText>
      </w:r>
      <w:r>
        <w:rPr>
          <w:rFonts w:cs="Times New Roman" w:hint="eastAsia"/>
          <w:color w:val="000000" w:themeColor="text1"/>
          <w:szCs w:val="24"/>
          <w:lang w:val="en-GB"/>
        </w:rPr>
        <w:instrText>在这项队列研究中，电力损失与所有受影响的</w:instrText>
      </w:r>
      <w:r>
        <w:rPr>
          <w:rFonts w:cs="Times New Roman" w:hint="eastAsia"/>
          <w:color w:val="000000" w:themeColor="text1"/>
          <w:szCs w:val="24"/>
          <w:lang w:val="en-GB"/>
        </w:rPr>
        <w:instrText xml:space="preserve"> NH </w:instrText>
      </w:r>
      <w:r>
        <w:rPr>
          <w:rFonts w:cs="Times New Roman" w:hint="eastAsia"/>
          <w:color w:val="000000" w:themeColor="text1"/>
          <w:szCs w:val="24"/>
          <w:lang w:val="en-GB"/>
        </w:rPr>
        <w:instrText>居民较高的死亡率和部分居民的住院率有关。应该对要求养老院配备应急备用电源的政策的效益和成本进行评估。</w:instrText>
      </w:r>
      <w:r>
        <w:rPr>
          <w:rFonts w:cs="Times New Roman" w:hint="eastAsia"/>
          <w:color w:val="000000" w:themeColor="text1"/>
          <w:szCs w:val="24"/>
          <w:lang w:val="en-GB"/>
        </w:rPr>
        <w:instrText>","page":"e213900","source":"9.5","title":"Association of Powe</w:instrText>
      </w:r>
      <w:r>
        <w:rPr>
          <w:rFonts w:cs="Times New Roman"/>
          <w:color w:val="000000" w:themeColor="text1"/>
          <w:szCs w:val="24"/>
          <w:lang w:val="en-GB"/>
        </w:rPr>
        <w:instrText xml:space="preserve">r Outage With Mortality and Hospitalizations Among Florida Nursing Home Residents After Hurricane Irma","volume":"2","author":[{"family":"Skarha","given":"Julianne"},{"family":"Gordon","given":"Lily"},{"family":"Sakib","given":"Nazmus"},{"family":"June","given":"Joseph"},{"family":"Jester","given":"Dylan J."},{"family":"Peterson","given":"Lindsay J."},{"family":"Andel","given":"Ross"},{"family":"Dosa","given":"David M."}],"issued":{"date-parts":[["2021",11,24]]}}}],"schema":"https://github.com/citation-style-language/schema/raw/master/csl-citation.json"} </w:instrText>
      </w:r>
      <w:r>
        <w:rPr>
          <w:rFonts w:cs="Times New Roman"/>
          <w:color w:val="000000" w:themeColor="text1"/>
          <w:szCs w:val="24"/>
          <w:lang w:val="en-GB"/>
        </w:rPr>
        <w:fldChar w:fldCharType="separate"/>
      </w:r>
      <w:r>
        <w:rPr>
          <w:rFonts w:cs="Times New Roman"/>
          <w:noProof/>
          <w:color w:val="000000" w:themeColor="text1"/>
          <w:szCs w:val="24"/>
          <w:lang w:val="en-GB"/>
        </w:rPr>
        <w:t>(Skarha et al., 2021)</w:t>
      </w:r>
      <w:r>
        <w:rPr>
          <w:rFonts w:cs="Times New Roman"/>
          <w:color w:val="000000" w:themeColor="text1"/>
          <w:szCs w:val="24"/>
          <w:lang w:val="en-GB"/>
        </w:rPr>
        <w:fldChar w:fldCharType="end"/>
      </w:r>
      <w:r>
        <w:rPr>
          <w:rFonts w:cs="Times New Roman"/>
          <w:color w:val="000000"/>
          <w:szCs w:val="24"/>
          <w:lang w:val="en-GB"/>
        </w:rPr>
        <w:t xml:space="preserve"> </w:t>
      </w:r>
      <w:r>
        <w:rPr>
          <w:rFonts w:cs="Times New Roman"/>
          <w:color w:val="000000" w:themeColor="text1"/>
          <w:szCs w:val="24"/>
          <w:lang w:val="en-GB"/>
        </w:rPr>
        <w:t>compared nursing home residents in facilities that lost power with those that maintained power during Hurricane Irma, and found that power loss was associated with 25% higher odds of mortality within 7 days and 12% higher odds within 30 days.</w:t>
      </w:r>
      <w:r>
        <w:rPr>
          <w:rFonts w:cs="Times New Roman"/>
          <w:color w:val="000000"/>
          <w:szCs w:val="24"/>
          <w:lang w:val="en-GB"/>
        </w:rPr>
        <w:t xml:space="preserve"> </w:t>
      </w:r>
      <w:r>
        <w:rPr>
          <w:rFonts w:cs="Times New Roman"/>
          <w:noProof/>
          <w:color w:val="000000" w:themeColor="text1"/>
          <w:szCs w:val="24"/>
          <w:lang w:val="en-GB"/>
        </w:rPr>
        <w:fldChar w:fldCharType="begin"/>
      </w:r>
      <w:r>
        <w:rPr>
          <w:rFonts w:cs="Times New Roman"/>
          <w:noProof/>
          <w:color w:val="000000" w:themeColor="text1"/>
          <w:szCs w:val="24"/>
          <w:lang w:val="en-GB"/>
        </w:rPr>
        <w:instrText xml:space="preserve"> ADDIN ZOTERO_ITEM CSL_CITATION {"citationID":"e4oD5qZO","properties":{"unsorted":false,"formattedCitation":"(Lin et al., 2021)","plainCitation":"(Lin et al., 2021)","noteIndex":0},"citationItems":[{"id":4627,"uris":["http://zotero.org/users/12445093/items/IXS43C89"],"itemData":{"id":4627,"type":"article-journal","abstract":"Background: While most prior research has focused on extreme heat, few assessed the immediate health effects of winter storms and associated power outages (PO), although severe storms have become more frequent. This study evaluates the joint and independent health effects of winter storms and PO, snow versus ice-storm, effects by time window (peak timing, winter/transitional months) and the impacts on critical care indicators including numbers of comorbidity, procedure, length of stay and cost.\nMethods: We use distributed lag nonlinear models to assess the impacts of winter storm/PO on hospitalizations due to cardiovascular, lower respiratory diseases (LRD), respiratory infections, food/water-borne diseases (FWBD) and injuries in New York State on 0–6 lag days following storm/PO compared with non-storm/non-PO periods (references), while controlling for time-varying factors and PM2.5. The storm-related hospitalizations are described by time window. We also calculate changes in critical care indicators between the storm/PO and control periods.\nResults: We found the joint effects of storm/PO are the strongest (risk ratios (RR) range: 1.01–1.90), followed by that of storm alone (1.02–1.39), but not during PO alone. Ice storms have stronger impacts (RRs: 1.04–3.15) than snowstorms (RRs: 1.03–2.21). The storm/PO-health associations, which occur immediately, and some last a whole week, are stronger in FWBD, October/November, and peak between 3:00–8:00 p.m. Comorbidity and medical costs significantly increase after storm/PO.\nConclusion: Winter storms increase multiple diseases, comorbidity and medical costs, especially when accompanied by PO or ice storms. Early warnings and prevention may be critical in the transitional months and afternoon rush hours.","call-number":"2","container-title":"Environmental Research","DOI":"10.1016/j.envres.2021.110924","ISSN":"00139351","journalAbbreviation":"Environmental Research","language":"en","note":"T</w:instrText>
      </w:r>
      <w:r>
        <w:rPr>
          <w:rFonts w:cs="Times New Roman" w:hint="eastAsia"/>
          <w:noProof/>
          <w:color w:val="000000" w:themeColor="text1"/>
          <w:szCs w:val="24"/>
          <w:lang w:val="en-GB"/>
        </w:rPr>
        <w:instrText xml:space="preserve">LDR: Winter storms increase multiple diseases, comorbidity and medical costs, especially when accompanied by PO or ice storms, especially in the transitional months and afternoon rush hours.\ntitleTranslation: </w:instrText>
      </w:r>
      <w:r>
        <w:rPr>
          <w:rFonts w:cs="Times New Roman" w:hint="eastAsia"/>
          <w:noProof/>
          <w:color w:val="000000" w:themeColor="text1"/>
          <w:szCs w:val="24"/>
          <w:lang w:val="en-GB"/>
        </w:rPr>
        <w:instrText>冬季风暴和停电对多种健康结果的直接影响以及易受影响的时间窗口</w:instrText>
      </w:r>
      <w:r>
        <w:rPr>
          <w:rFonts w:cs="Times New Roman" w:hint="eastAsia"/>
          <w:noProof/>
          <w:color w:val="000000" w:themeColor="text1"/>
          <w:szCs w:val="24"/>
          <w:lang w:val="en-GB"/>
        </w:rPr>
        <w:instrText xml:space="preserve">\nabstractTranslation: </w:instrText>
      </w:r>
      <w:r>
        <w:rPr>
          <w:rFonts w:cs="Times New Roman" w:hint="eastAsia"/>
          <w:noProof/>
          <w:color w:val="000000" w:themeColor="text1"/>
          <w:szCs w:val="24"/>
          <w:lang w:val="en-GB"/>
        </w:rPr>
        <w:instrText>背景：之前的研究大多集中在极端高温方面，但很少有研究对冬季风暴和相关停电（</w:instrText>
      </w:r>
      <w:r>
        <w:rPr>
          <w:rFonts w:cs="Times New Roman" w:hint="eastAsia"/>
          <w:noProof/>
          <w:color w:val="000000" w:themeColor="text1"/>
          <w:szCs w:val="24"/>
          <w:lang w:val="en-GB"/>
        </w:rPr>
        <w:instrText>PO</w:instrText>
      </w:r>
      <w:r>
        <w:rPr>
          <w:rFonts w:cs="Times New Roman" w:hint="eastAsia"/>
          <w:noProof/>
          <w:color w:val="000000" w:themeColor="text1"/>
          <w:szCs w:val="24"/>
          <w:lang w:val="en-GB"/>
        </w:rPr>
        <w:instrText>）对健康的直接影响进行评估，尽管强风暴已变得越来越频繁。本研究评估了冬季暴风雪和停电对健康的共同和独立影响、雪灾和冰灾的影响、不同时间窗口（高峰期、冬季</w:instrText>
      </w:r>
      <w:r>
        <w:rPr>
          <w:rFonts w:cs="Times New Roman" w:hint="eastAsia"/>
          <w:noProof/>
          <w:color w:val="000000" w:themeColor="text1"/>
          <w:szCs w:val="24"/>
          <w:lang w:val="en-GB"/>
        </w:rPr>
        <w:instrText>/</w:instrText>
      </w:r>
      <w:r>
        <w:rPr>
          <w:rFonts w:cs="Times New Roman" w:hint="eastAsia"/>
          <w:noProof/>
          <w:color w:val="000000" w:themeColor="text1"/>
          <w:szCs w:val="24"/>
          <w:lang w:val="en-GB"/>
        </w:rPr>
        <w:instrText>过渡月）的影响以及对重症监护指标的影响，包括合并症数量、手术、住院时间和费用。</w:instrText>
      </w:r>
      <w:r>
        <w:rPr>
          <w:rFonts w:cs="Times New Roman" w:hint="eastAsia"/>
          <w:noProof/>
          <w:color w:val="000000" w:themeColor="text1"/>
          <w:szCs w:val="24"/>
          <w:lang w:val="en-GB"/>
        </w:rPr>
        <w:instrText>\n</w:instrText>
      </w:r>
      <w:r>
        <w:rPr>
          <w:rFonts w:cs="Times New Roman" w:hint="eastAsia"/>
          <w:noProof/>
          <w:color w:val="000000" w:themeColor="text1"/>
          <w:szCs w:val="24"/>
          <w:lang w:val="en-GB"/>
        </w:rPr>
        <w:instrText>方法：我们使用分布式滞后非线性模型来评估冬季暴风雪</w:instrText>
      </w:r>
      <w:r>
        <w:rPr>
          <w:rFonts w:cs="Times New Roman" w:hint="eastAsia"/>
          <w:noProof/>
          <w:color w:val="000000" w:themeColor="text1"/>
          <w:szCs w:val="24"/>
          <w:lang w:val="en-GB"/>
        </w:rPr>
        <w:instrText xml:space="preserve">/PO </w:instrText>
      </w:r>
      <w:r>
        <w:rPr>
          <w:rFonts w:cs="Times New Roman" w:hint="eastAsia"/>
          <w:noProof/>
          <w:color w:val="000000" w:themeColor="text1"/>
          <w:szCs w:val="24"/>
          <w:lang w:val="en-GB"/>
        </w:rPr>
        <w:instrText>对纽约州暴风雪</w:instrText>
      </w:r>
      <w:r>
        <w:rPr>
          <w:rFonts w:cs="Times New Roman" w:hint="eastAsia"/>
          <w:noProof/>
          <w:color w:val="000000" w:themeColor="text1"/>
          <w:szCs w:val="24"/>
          <w:lang w:val="en-GB"/>
        </w:rPr>
        <w:instrText xml:space="preserve">/PO </w:instrText>
      </w:r>
      <w:r>
        <w:rPr>
          <w:rFonts w:cs="Times New Roman" w:hint="eastAsia"/>
          <w:noProof/>
          <w:color w:val="000000" w:themeColor="text1"/>
          <w:szCs w:val="24"/>
          <w:lang w:val="en-GB"/>
        </w:rPr>
        <w:instrText>后</w:instrText>
      </w:r>
      <w:r>
        <w:rPr>
          <w:rFonts w:cs="Times New Roman" w:hint="eastAsia"/>
          <w:noProof/>
          <w:color w:val="000000" w:themeColor="text1"/>
          <w:szCs w:val="24"/>
          <w:lang w:val="en-GB"/>
        </w:rPr>
        <w:instrText xml:space="preserve"> 0-6 </w:instrText>
      </w:r>
      <w:r>
        <w:rPr>
          <w:rFonts w:cs="Times New Roman" w:hint="eastAsia"/>
          <w:noProof/>
          <w:color w:val="000000" w:themeColor="text1"/>
          <w:szCs w:val="24"/>
          <w:lang w:val="en-GB"/>
        </w:rPr>
        <w:instrText>滞后天心血管疾病、下呼吸道疾病</w:instrText>
      </w:r>
      <w:r>
        <w:rPr>
          <w:rFonts w:cs="Times New Roman" w:hint="eastAsia"/>
          <w:noProof/>
          <w:color w:val="000000" w:themeColor="text1"/>
          <w:szCs w:val="24"/>
          <w:lang w:val="en-GB"/>
        </w:rPr>
        <w:instrText xml:space="preserve"> (LRD)</w:instrText>
      </w:r>
      <w:r>
        <w:rPr>
          <w:rFonts w:cs="Times New Roman" w:hint="eastAsia"/>
          <w:noProof/>
          <w:color w:val="000000" w:themeColor="text1"/>
          <w:szCs w:val="24"/>
          <w:lang w:val="en-GB"/>
        </w:rPr>
        <w:instrText>、呼吸道感染、食物</w:instrText>
      </w:r>
      <w:r>
        <w:rPr>
          <w:rFonts w:cs="Times New Roman" w:hint="eastAsia"/>
          <w:noProof/>
          <w:color w:val="000000" w:themeColor="text1"/>
          <w:szCs w:val="24"/>
          <w:lang w:val="en-GB"/>
        </w:rPr>
        <w:instrText>/</w:instrText>
      </w:r>
      <w:r>
        <w:rPr>
          <w:rFonts w:cs="Times New Roman" w:hint="eastAsia"/>
          <w:noProof/>
          <w:color w:val="000000" w:themeColor="text1"/>
          <w:szCs w:val="24"/>
          <w:lang w:val="en-GB"/>
        </w:rPr>
        <w:instrText>水传播疾病</w:instrText>
      </w:r>
      <w:r>
        <w:rPr>
          <w:rFonts w:cs="Times New Roman" w:hint="eastAsia"/>
          <w:noProof/>
          <w:color w:val="000000" w:themeColor="text1"/>
          <w:szCs w:val="24"/>
          <w:lang w:val="en-GB"/>
        </w:rPr>
        <w:instrText xml:space="preserve"> (FWBD) </w:instrText>
      </w:r>
      <w:r>
        <w:rPr>
          <w:rFonts w:cs="Times New Roman" w:hint="eastAsia"/>
          <w:noProof/>
          <w:color w:val="000000" w:themeColor="text1"/>
          <w:szCs w:val="24"/>
          <w:lang w:val="en-GB"/>
        </w:rPr>
        <w:instrText>和受伤住院的影响，并与非暴风雪</w:instrText>
      </w:r>
      <w:r>
        <w:rPr>
          <w:rFonts w:cs="Times New Roman" w:hint="eastAsia"/>
          <w:noProof/>
          <w:color w:val="000000" w:themeColor="text1"/>
          <w:szCs w:val="24"/>
          <w:lang w:val="en-GB"/>
        </w:rPr>
        <w:instrText>/</w:instrText>
      </w:r>
      <w:r>
        <w:rPr>
          <w:rFonts w:cs="Times New Roman" w:hint="eastAsia"/>
          <w:noProof/>
          <w:color w:val="000000" w:themeColor="text1"/>
          <w:szCs w:val="24"/>
          <w:lang w:val="en-GB"/>
        </w:rPr>
        <w:instrText>非</w:instrText>
      </w:r>
      <w:r>
        <w:rPr>
          <w:rFonts w:cs="Times New Roman" w:hint="eastAsia"/>
          <w:noProof/>
          <w:color w:val="000000" w:themeColor="text1"/>
          <w:szCs w:val="24"/>
          <w:lang w:val="en-GB"/>
        </w:rPr>
        <w:instrText xml:space="preserve"> PO </w:instrText>
      </w:r>
      <w:r>
        <w:rPr>
          <w:rFonts w:cs="Times New Roman" w:hint="eastAsia"/>
          <w:noProof/>
          <w:color w:val="000000" w:themeColor="text1"/>
          <w:szCs w:val="24"/>
          <w:lang w:val="en-GB"/>
        </w:rPr>
        <w:instrText>期间（参考）进行比较，同时控制时变因素和</w:instrText>
      </w:r>
      <w:r>
        <w:rPr>
          <w:rFonts w:cs="Times New Roman" w:hint="eastAsia"/>
          <w:noProof/>
          <w:color w:val="000000" w:themeColor="text1"/>
          <w:szCs w:val="24"/>
          <w:lang w:val="en-GB"/>
        </w:rPr>
        <w:instrText xml:space="preserve"> PM2.5</w:instrText>
      </w:r>
      <w:r>
        <w:rPr>
          <w:rFonts w:cs="Times New Roman" w:hint="eastAsia"/>
          <w:noProof/>
          <w:color w:val="000000" w:themeColor="text1"/>
          <w:szCs w:val="24"/>
          <w:lang w:val="en-GB"/>
        </w:rPr>
        <w:instrText>。与风暴相关的住院情况按时间窗口进行描述。我们还计算了风暴</w:instrText>
      </w:r>
      <w:r>
        <w:rPr>
          <w:rFonts w:cs="Times New Roman" w:hint="eastAsia"/>
          <w:noProof/>
          <w:color w:val="000000" w:themeColor="text1"/>
          <w:szCs w:val="24"/>
          <w:lang w:val="en-GB"/>
        </w:rPr>
        <w:instrText xml:space="preserve">/PO </w:instrText>
      </w:r>
      <w:r>
        <w:rPr>
          <w:rFonts w:cs="Times New Roman" w:hint="eastAsia"/>
          <w:noProof/>
          <w:color w:val="000000" w:themeColor="text1"/>
          <w:szCs w:val="24"/>
          <w:lang w:val="en-GB"/>
        </w:rPr>
        <w:instrText>和对照期间危重症指标的变化。</w:instrText>
      </w:r>
      <w:r>
        <w:rPr>
          <w:rFonts w:cs="Times New Roman" w:hint="eastAsia"/>
          <w:noProof/>
          <w:color w:val="000000" w:themeColor="text1"/>
          <w:szCs w:val="24"/>
          <w:lang w:val="en-GB"/>
        </w:rPr>
        <w:instrText>\n</w:instrText>
      </w:r>
      <w:r>
        <w:rPr>
          <w:rFonts w:cs="Times New Roman" w:hint="eastAsia"/>
          <w:noProof/>
          <w:color w:val="000000" w:themeColor="text1"/>
          <w:szCs w:val="24"/>
          <w:lang w:val="en-GB"/>
        </w:rPr>
        <w:instrText>结果：我们发现暴风雪</w:instrText>
      </w:r>
      <w:r>
        <w:rPr>
          <w:rFonts w:cs="Times New Roman" w:hint="eastAsia"/>
          <w:noProof/>
          <w:color w:val="000000" w:themeColor="text1"/>
          <w:szCs w:val="24"/>
          <w:lang w:val="en-GB"/>
        </w:rPr>
        <w:instrText xml:space="preserve">/PO </w:instrText>
      </w:r>
      <w:r>
        <w:rPr>
          <w:rFonts w:cs="Times New Roman" w:hint="eastAsia"/>
          <w:noProof/>
          <w:color w:val="000000" w:themeColor="text1"/>
          <w:szCs w:val="24"/>
          <w:lang w:val="en-GB"/>
        </w:rPr>
        <w:instrText>的联合效应最强（风险比</w:instrText>
      </w:r>
      <w:r>
        <w:rPr>
          <w:rFonts w:cs="Times New Roman" w:hint="eastAsia"/>
          <w:noProof/>
          <w:color w:val="000000" w:themeColor="text1"/>
          <w:szCs w:val="24"/>
          <w:lang w:val="en-GB"/>
        </w:rPr>
        <w:instrText xml:space="preserve"> (RR) </w:instrText>
      </w:r>
      <w:r>
        <w:rPr>
          <w:rFonts w:cs="Times New Roman" w:hint="eastAsia"/>
          <w:noProof/>
          <w:color w:val="000000" w:themeColor="text1"/>
          <w:szCs w:val="24"/>
          <w:lang w:val="en-GB"/>
        </w:rPr>
        <w:instrText>范围：</w:instrText>
      </w:r>
      <w:r>
        <w:rPr>
          <w:rFonts w:cs="Times New Roman" w:hint="eastAsia"/>
          <w:noProof/>
          <w:color w:val="000000" w:themeColor="text1"/>
          <w:szCs w:val="24"/>
          <w:lang w:val="en-GB"/>
        </w:rPr>
        <w:instrText>1.01-1.90</w:instrText>
      </w:r>
      <w:r>
        <w:rPr>
          <w:rFonts w:cs="Times New Roman" w:hint="eastAsia"/>
          <w:noProof/>
          <w:color w:val="000000" w:themeColor="text1"/>
          <w:szCs w:val="24"/>
          <w:lang w:val="en-GB"/>
        </w:rPr>
        <w:instrText>），同时，暴风雪</w:instrText>
      </w:r>
      <w:r>
        <w:rPr>
          <w:rFonts w:cs="Times New Roman" w:hint="eastAsia"/>
          <w:noProof/>
          <w:color w:val="000000" w:themeColor="text1"/>
          <w:szCs w:val="24"/>
          <w:lang w:val="en-GB"/>
        </w:rPr>
        <w:instrText xml:space="preserve">/PO </w:instrText>
      </w:r>
      <w:r>
        <w:rPr>
          <w:rFonts w:cs="Times New Roman" w:hint="eastAsia"/>
          <w:noProof/>
          <w:color w:val="000000" w:themeColor="text1"/>
          <w:szCs w:val="24"/>
          <w:lang w:val="en-GB"/>
        </w:rPr>
        <w:instrText>对危重病人的影响也最大：</w:instrText>
      </w:r>
      <w:r>
        <w:rPr>
          <w:rFonts w:cs="Times New Roman" w:hint="eastAsia"/>
          <w:noProof/>
          <w:color w:val="000000" w:themeColor="text1"/>
          <w:szCs w:val="24"/>
          <w:lang w:val="en-GB"/>
        </w:rPr>
        <w:instrText>1.01-1.90</w:instrText>
      </w:r>
      <w:r>
        <w:rPr>
          <w:rFonts w:cs="Times New Roman" w:hint="eastAsia"/>
          <w:noProof/>
          <w:color w:val="000000" w:themeColor="text1"/>
          <w:szCs w:val="24"/>
          <w:lang w:val="en-GB"/>
        </w:rPr>
        <w:instrText>），其次是风暴单独影响（</w:instrText>
      </w:r>
      <w:r>
        <w:rPr>
          <w:rFonts w:cs="Times New Roman" w:hint="eastAsia"/>
          <w:noProof/>
          <w:color w:val="000000" w:themeColor="text1"/>
          <w:szCs w:val="24"/>
          <w:lang w:val="en-GB"/>
        </w:rPr>
        <w:instrText>1.02-1.39</w:instrText>
      </w:r>
      <w:r>
        <w:rPr>
          <w:rFonts w:cs="Times New Roman" w:hint="eastAsia"/>
          <w:noProof/>
          <w:color w:val="000000" w:themeColor="text1"/>
          <w:szCs w:val="24"/>
          <w:lang w:val="en-GB"/>
        </w:rPr>
        <w:instrText>），而</w:instrText>
      </w:r>
      <w:r>
        <w:rPr>
          <w:rFonts w:cs="Times New Roman" w:hint="eastAsia"/>
          <w:noProof/>
          <w:color w:val="000000" w:themeColor="text1"/>
          <w:szCs w:val="24"/>
          <w:lang w:val="en-GB"/>
        </w:rPr>
        <w:instrText xml:space="preserve"> PO </w:instrText>
      </w:r>
      <w:r>
        <w:rPr>
          <w:rFonts w:cs="Times New Roman" w:hint="eastAsia"/>
          <w:noProof/>
          <w:color w:val="000000" w:themeColor="text1"/>
          <w:szCs w:val="24"/>
          <w:lang w:val="en-GB"/>
        </w:rPr>
        <w:instrText>单独影响则不明显。冰风暴（</w:instrText>
      </w:r>
      <w:r>
        <w:rPr>
          <w:rFonts w:cs="Times New Roman" w:hint="eastAsia"/>
          <w:noProof/>
          <w:color w:val="000000" w:themeColor="text1"/>
          <w:szCs w:val="24"/>
          <w:lang w:val="en-GB"/>
        </w:rPr>
        <w:instrText>RRs</w:instrText>
      </w:r>
      <w:r>
        <w:rPr>
          <w:rFonts w:cs="Times New Roman" w:hint="eastAsia"/>
          <w:noProof/>
          <w:color w:val="000000" w:themeColor="text1"/>
          <w:szCs w:val="24"/>
          <w:lang w:val="en-GB"/>
        </w:rPr>
        <w:instrText>：</w:instrText>
      </w:r>
      <w:r>
        <w:rPr>
          <w:rFonts w:cs="Times New Roman" w:hint="eastAsia"/>
          <w:noProof/>
          <w:color w:val="000000" w:themeColor="text1"/>
          <w:szCs w:val="24"/>
          <w:lang w:val="en-GB"/>
        </w:rPr>
        <w:instrText>1.04-3.15</w:instrText>
      </w:r>
      <w:r>
        <w:rPr>
          <w:rFonts w:cs="Times New Roman" w:hint="eastAsia"/>
          <w:noProof/>
          <w:color w:val="000000" w:themeColor="text1"/>
          <w:szCs w:val="24"/>
          <w:lang w:val="en-GB"/>
        </w:rPr>
        <w:instrText>）比暴风雪（</w:instrText>
      </w:r>
      <w:r>
        <w:rPr>
          <w:rFonts w:cs="Times New Roman" w:hint="eastAsia"/>
          <w:noProof/>
          <w:color w:val="000000" w:themeColor="text1"/>
          <w:szCs w:val="24"/>
          <w:lang w:val="en-GB"/>
        </w:rPr>
        <w:instrText>RRs</w:instrText>
      </w:r>
      <w:r>
        <w:rPr>
          <w:rFonts w:cs="Times New Roman" w:hint="eastAsia"/>
          <w:noProof/>
          <w:color w:val="000000" w:themeColor="text1"/>
          <w:szCs w:val="24"/>
          <w:lang w:val="en-GB"/>
        </w:rPr>
        <w:instrText>：</w:instrText>
      </w:r>
      <w:r>
        <w:rPr>
          <w:rFonts w:cs="Times New Roman" w:hint="eastAsia"/>
          <w:noProof/>
          <w:color w:val="000000" w:themeColor="text1"/>
          <w:szCs w:val="24"/>
          <w:lang w:val="en-GB"/>
        </w:rPr>
        <w:instrText>1.03-2.21</w:instrText>
      </w:r>
      <w:r>
        <w:rPr>
          <w:rFonts w:cs="Times New Roman" w:hint="eastAsia"/>
          <w:noProof/>
          <w:color w:val="000000" w:themeColor="text1"/>
          <w:szCs w:val="24"/>
          <w:lang w:val="en-GB"/>
        </w:rPr>
        <w:instrText>）的影响更大。暴风雪</w:instrText>
      </w:r>
      <w:r>
        <w:rPr>
          <w:rFonts w:cs="Times New Roman" w:hint="eastAsia"/>
          <w:noProof/>
          <w:color w:val="000000" w:themeColor="text1"/>
          <w:szCs w:val="24"/>
          <w:lang w:val="en-GB"/>
        </w:rPr>
        <w:instrText xml:space="preserve">/PO </w:instrText>
      </w:r>
      <w:r>
        <w:rPr>
          <w:rFonts w:cs="Times New Roman" w:hint="eastAsia"/>
          <w:noProof/>
          <w:color w:val="000000" w:themeColor="text1"/>
          <w:szCs w:val="24"/>
          <w:lang w:val="en-GB"/>
        </w:rPr>
        <w:instrText>与健康之间的关联会立即发生，有的甚至会持续整整一周，这种关联在秋冬季、</w:instrText>
      </w:r>
      <w:r>
        <w:rPr>
          <w:rFonts w:cs="Times New Roman" w:hint="eastAsia"/>
          <w:noProof/>
          <w:color w:val="000000" w:themeColor="text1"/>
          <w:szCs w:val="24"/>
          <w:lang w:val="en-GB"/>
        </w:rPr>
        <w:instrText xml:space="preserve">10 </w:instrText>
      </w:r>
      <w:r>
        <w:rPr>
          <w:rFonts w:cs="Times New Roman" w:hint="eastAsia"/>
          <w:noProof/>
          <w:color w:val="000000" w:themeColor="text1"/>
          <w:szCs w:val="24"/>
          <w:lang w:val="en-GB"/>
        </w:rPr>
        <w:instrText>月</w:instrText>
      </w:r>
      <w:r>
        <w:rPr>
          <w:rFonts w:cs="Times New Roman" w:hint="eastAsia"/>
          <w:noProof/>
          <w:color w:val="000000" w:themeColor="text1"/>
          <w:szCs w:val="24"/>
          <w:lang w:val="en-GB"/>
        </w:rPr>
        <w:instrText xml:space="preserve">/11 </w:instrText>
      </w:r>
      <w:r>
        <w:rPr>
          <w:rFonts w:cs="Times New Roman" w:hint="eastAsia"/>
          <w:noProof/>
          <w:color w:val="000000" w:themeColor="text1"/>
          <w:szCs w:val="24"/>
          <w:lang w:val="en-GB"/>
        </w:rPr>
        <w:instrText>月时更为强烈，并在下午</w:instrText>
      </w:r>
      <w:r>
        <w:rPr>
          <w:rFonts w:cs="Times New Roman" w:hint="eastAsia"/>
          <w:noProof/>
          <w:color w:val="000000" w:themeColor="text1"/>
          <w:szCs w:val="24"/>
          <w:lang w:val="en-GB"/>
        </w:rPr>
        <w:instrText xml:space="preserve"> 3:00-8:00 </w:instrText>
      </w:r>
      <w:r>
        <w:rPr>
          <w:rFonts w:cs="Times New Roman" w:hint="eastAsia"/>
          <w:noProof/>
          <w:color w:val="000000" w:themeColor="text1"/>
          <w:szCs w:val="24"/>
          <w:lang w:val="en-GB"/>
        </w:rPr>
        <w:instrText>之间达到高峰。</w:instrText>
      </w:r>
      <w:r>
        <w:rPr>
          <w:rFonts w:cs="Times New Roman" w:hint="eastAsia"/>
          <w:noProof/>
          <w:color w:val="000000" w:themeColor="text1"/>
          <w:szCs w:val="24"/>
          <w:lang w:val="en-GB"/>
        </w:rPr>
        <w:instrText>\n</w:instrText>
      </w:r>
      <w:r>
        <w:rPr>
          <w:rFonts w:cs="Times New Roman" w:hint="eastAsia"/>
          <w:noProof/>
          <w:color w:val="000000" w:themeColor="text1"/>
          <w:szCs w:val="24"/>
          <w:lang w:val="en-GB"/>
        </w:rPr>
        <w:instrText>结论冬季暴风雪会增加多种疾病、并发症和医疗费用，尤其是伴有</w:instrText>
      </w:r>
      <w:r>
        <w:rPr>
          <w:rFonts w:cs="Times New Roman" w:hint="eastAsia"/>
          <w:noProof/>
          <w:color w:val="000000" w:themeColor="text1"/>
          <w:szCs w:val="24"/>
          <w:lang w:val="en-GB"/>
        </w:rPr>
        <w:instrText xml:space="preserve"> PO </w:instrText>
      </w:r>
      <w:r>
        <w:rPr>
          <w:rFonts w:cs="Times New Roman" w:hint="eastAsia"/>
          <w:noProof/>
          <w:color w:val="000000" w:themeColor="text1"/>
          <w:szCs w:val="24"/>
          <w:lang w:val="en-GB"/>
        </w:rPr>
        <w:instrText>或冰风暴时。在过渡月份和下午高峰时段，早期预警和预防可能至关重要。</w:instrText>
      </w:r>
      <w:r>
        <w:rPr>
          <w:rFonts w:cs="Times New Roman" w:hint="eastAsia"/>
          <w:noProof/>
          <w:color w:val="000000" w:themeColor="text1"/>
          <w:szCs w:val="24"/>
          <w:lang w:val="en-GB"/>
        </w:rPr>
        <w:instrText xml:space="preserve">","page":"110924","source":"7.7","title":"The immediate effects of winter storms and power outages on multiple </w:instrText>
      </w:r>
      <w:r>
        <w:rPr>
          <w:rFonts w:cs="Times New Roman"/>
          <w:noProof/>
          <w:color w:val="000000" w:themeColor="text1"/>
          <w:szCs w:val="24"/>
          <w:lang w:val="en-GB"/>
        </w:rPr>
        <w:instrText xml:space="preserve">health outcomes and the time windows of vulnerability","volume":"196","author":[{"family":"Lin","given":"Shao"},{"family":"Zhang","given":"Wangjian"},{"family":"Sheridan","given":"Scott"},{"family":"Mongillo","given":"Melanie"},{"family":"DiRienzo","given":"Stephen"},{"family":"Stuart","given":"Neil A."},{"family":"Stern","given":"Eric K."},{"family":"Birkhead","given":"Guthrie"},{"family":"Dong","given":"Guanghui"},{"family":"Wu","given":"Shaowei"},{"family":"Chowdhury","given":"Shahriar"},{"family":"Primeau","given":"Michael J."},{"family":"Hao","given":"Yuantao"},{"family":"Romeiko","given":"Xiaobo X."}],"issued":{"date-parts":[["2021",5]]}}}],"schema":"https://github.com/citation-style-language/schema/raw/master/csl-citation.json"} </w:instrText>
      </w:r>
      <w:r>
        <w:rPr>
          <w:rFonts w:cs="Times New Roman"/>
          <w:noProof/>
          <w:color w:val="000000" w:themeColor="text1"/>
          <w:szCs w:val="24"/>
          <w:lang w:val="en-GB"/>
        </w:rPr>
        <w:fldChar w:fldCharType="separate"/>
      </w:r>
      <w:r>
        <w:rPr>
          <w:rFonts w:cs="Times New Roman"/>
          <w:noProof/>
          <w:color w:val="000000" w:themeColor="text1"/>
          <w:szCs w:val="24"/>
          <w:lang w:val="en-GB"/>
        </w:rPr>
        <w:t>(Lin et al., 2021)</w:t>
      </w:r>
      <w:r>
        <w:rPr>
          <w:rFonts w:cs="Times New Roman"/>
          <w:noProof/>
          <w:color w:val="000000" w:themeColor="text1"/>
          <w:szCs w:val="24"/>
          <w:lang w:val="en-GB"/>
        </w:rPr>
        <w:fldChar w:fldCharType="end"/>
      </w:r>
      <w:r>
        <w:rPr>
          <w:rFonts w:cs="Times New Roman"/>
          <w:color w:val="000000" w:themeColor="text1"/>
          <w:szCs w:val="24"/>
          <w:lang w:val="en-GB"/>
        </w:rPr>
        <w:t xml:space="preserve"> reported a similar pattern for cardiovascular and respiratory hospitalizations during winter storms: the joint exposure category (storm plus outage) consistently yielded the strongest effects, while the independent contribution of outages was less clear. </w:t>
      </w:r>
    </w:p>
    <w:p w14:paraId="402BD633" w14:textId="77777777" w:rsidR="00742E53" w:rsidRPr="00305AA2"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themeColor="text1"/>
          <w:szCs w:val="24"/>
          <w:lang w:val="en-GB"/>
        </w:rPr>
      </w:pPr>
    </w:p>
    <w:p w14:paraId="6CC53EB0" w14:textId="34FC47B0" w:rsidR="00742E53" w:rsidRDefault="00742E53" w:rsidP="0074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D0D0D"/>
          <w:szCs w:val="24"/>
          <w:shd w:val="clear" w:color="auto" w:fill="FFFFFF"/>
        </w:rPr>
      </w:pPr>
      <w:r>
        <w:rPr>
          <w:rFonts w:cs="Times New Roman"/>
          <w:color w:val="0D0D0D"/>
          <w:szCs w:val="24"/>
          <w:shd w:val="clear" w:color="auto" w:fill="FFFFFF"/>
        </w:rPr>
        <w:t xml:space="preserve">Several natural hazard–power outage studies classify exposure into four mutually exclusive day types: hazard-only, outage-only, </w:t>
      </w:r>
      <w:proofErr w:type="spellStart"/>
      <w:r>
        <w:rPr>
          <w:rFonts w:cs="Times New Roman"/>
          <w:color w:val="0D0D0D"/>
          <w:szCs w:val="24"/>
          <w:shd w:val="clear" w:color="auto" w:fill="FFFFFF"/>
        </w:rPr>
        <w:t>hazard+outage</w:t>
      </w:r>
      <w:proofErr w:type="spellEnd"/>
      <w:r>
        <w:rPr>
          <w:rFonts w:cs="Times New Roman"/>
          <w:color w:val="0D0D0D"/>
          <w:szCs w:val="24"/>
          <w:shd w:val="clear" w:color="auto" w:fill="FFFFFF"/>
        </w:rPr>
        <w:t xml:space="preserve">, and non-event (reference) days. In New York, </w:t>
      </w:r>
      <w:r>
        <w:rPr>
          <w:rFonts w:cs="Times New Roman"/>
          <w:color w:val="0D0D0D"/>
          <w:szCs w:val="24"/>
          <w:shd w:val="clear" w:color="auto" w:fill="FFFFFF"/>
        </w:rPr>
        <w:fldChar w:fldCharType="begin"/>
      </w:r>
      <w:r>
        <w:rPr>
          <w:rFonts w:cs="Times New Roman"/>
          <w:color w:val="0D0D0D"/>
          <w:szCs w:val="24"/>
          <w:shd w:val="clear" w:color="auto" w:fill="FFFFFF"/>
        </w:rPr>
        <w:instrText xml:space="preserve"> ADDIN ZOTERO_ITEM CSL_CITATION {"citationID":"n3wWP1IN","properties":{"unsorted":false,"formattedCitation":"(Sheridan et al., 2021)","plainCitation":"(Sheridan et al., 2021)","noteIndex":0},"citationItems":[{"id":4622,"uris":["http://zotero.org/users/12445093/items/HEFADSM6"],"itemData":{"id":4622,"type":"article-journal","abstract":"Background: There is little work in assessing the impact of storm events combined with power outage (PO). In this study, we evaluated the individual and synergistic impacts of wind events and PO on overall and subtypes of injuries in New York State (NYS) and by demographics.\nMethods: The emergency department (ED) visit data were obtained from the NYS Department of Health from November–April 2005–2013 to identify injury cases, length of stay and care costs. Wind event was deﬁned according to high wind, strong wind or thunderstorm wind deﬁned by NOAA. PO occurrence was deﬁned when PO coverage exceeded the 50th percentile of its distribution. By comparing non-event days, we used distributed lag nonlinear models to evaluate the impacts of wind events, PO, and their combined effect on injuries during the cold season over a 0-3-day lag period, while controlling for time-varying confounders. The differences in critical care indicators between event and non-event days were also evaluated.\nResults: Overall injuries ED visits (16,628,812) signiﬁcantly increased during the wind events (highest Risk Ratio (RR): 1.05; 95% CI: 1.02–1.08), and were highest when wind events cooccurred wit</w:instrText>
      </w:r>
      <w:r>
        <w:rPr>
          <w:rFonts w:cs="Times New Roman" w:hint="eastAsia"/>
          <w:color w:val="0D0D0D"/>
          <w:szCs w:val="24"/>
          <w:shd w:val="clear" w:color="auto" w:fill="FFFFFF"/>
        </w:rPr>
        <w:instrText>h PO (highest RR: 1.14; 95% CI: 1.10</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1.18), but not during PO alone (RR: 1.00; 95%CI: 0.96</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1.04). The increase was also observed with all subgroups through Day 2 after the event. Greater risks exist for older adults (</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65 years) and those on Medicaid. Afte</w:instrText>
      </w:r>
      <w:r>
        <w:rPr>
          <w:rFonts w:cs="Times New Roman"/>
          <w:color w:val="0D0D0D"/>
          <w:szCs w:val="24"/>
          <w:shd w:val="clear" w:color="auto" w:fill="FFFFFF"/>
        </w:rPr>
        <w:instrText>r the joint occurrences of wind events and PO, average visits are 0.2 days longer, and cost 13% more, compared to no wind/no PO days.\nConclusion: There is a signiﬁcant increase in ED visits, length of stay and cost of injuries during wind events, especially when they coupled with PO and especially among older cases and Medicaid holders. Our ﬁndings may be used for planning disaster preparedness and recovery efforts.","call-number":"2","container-title":"Science of The Total Environment","DOI":"10.1016/j.scitotenv.2021.149199","ISSN":"00489697","journalAbbreviation":"Science of The Total Environment","language":"en","note":"TLDR: There is a significant increase in ED visits, length of stay and cost of injuries during wind events, especially when they coup</w:instrText>
      </w:r>
      <w:r>
        <w:rPr>
          <w:rFonts w:cs="Times New Roman" w:hint="eastAsia"/>
          <w:color w:val="0D0D0D"/>
          <w:szCs w:val="24"/>
          <w:shd w:val="clear" w:color="auto" w:fill="FFFFFF"/>
        </w:rPr>
        <w:instrText xml:space="preserve">led with PO and especially among older cases and Medicaid holders.\ntitleTranslation: </w:instrText>
      </w:r>
      <w:r>
        <w:rPr>
          <w:rFonts w:cs="Times New Roman" w:hint="eastAsia"/>
          <w:color w:val="0D0D0D"/>
          <w:szCs w:val="24"/>
          <w:shd w:val="clear" w:color="auto" w:fill="FFFFFF"/>
        </w:rPr>
        <w:instrText>暴风雪和停电对纽约州伤害急诊就诊的单独和协同影响</w:instrText>
      </w:r>
      <w:r>
        <w:rPr>
          <w:rFonts w:cs="Times New Roman" w:hint="eastAsia"/>
          <w:color w:val="0D0D0D"/>
          <w:szCs w:val="24"/>
          <w:shd w:val="clear" w:color="auto" w:fill="FFFFFF"/>
        </w:rPr>
        <w:instrText xml:space="preserve">\nabstractTranslation: </w:instrText>
      </w:r>
      <w:r>
        <w:rPr>
          <w:rFonts w:cs="Times New Roman" w:hint="eastAsia"/>
          <w:color w:val="0D0D0D"/>
          <w:szCs w:val="24"/>
          <w:shd w:val="clear" w:color="auto" w:fill="FFFFFF"/>
        </w:rPr>
        <w:instrText>背景：在评估暴风事件与停电（</w:instrText>
      </w:r>
      <w:r>
        <w:rPr>
          <w:rFonts w:cs="Times New Roman" w:hint="eastAsia"/>
          <w:color w:val="0D0D0D"/>
          <w:szCs w:val="24"/>
          <w:shd w:val="clear" w:color="auto" w:fill="FFFFFF"/>
        </w:rPr>
        <w:instrText>PO</w:instrText>
      </w:r>
      <w:r>
        <w:rPr>
          <w:rFonts w:cs="Times New Roman" w:hint="eastAsia"/>
          <w:color w:val="0D0D0D"/>
          <w:szCs w:val="24"/>
          <w:shd w:val="clear" w:color="auto" w:fill="FFFFFF"/>
        </w:rPr>
        <w:instrText>）结合造成的影响方面鲜有研究。在本研究中，我们评估了风灾和停电对纽约州（</w:instrText>
      </w:r>
      <w:r>
        <w:rPr>
          <w:rFonts w:cs="Times New Roman" w:hint="eastAsia"/>
          <w:color w:val="0D0D0D"/>
          <w:szCs w:val="24"/>
          <w:shd w:val="clear" w:color="auto" w:fill="FFFFFF"/>
        </w:rPr>
        <w:instrText>NYS</w:instrText>
      </w:r>
      <w:r>
        <w:rPr>
          <w:rFonts w:cs="Times New Roman" w:hint="eastAsia"/>
          <w:color w:val="0D0D0D"/>
          <w:szCs w:val="24"/>
          <w:shd w:val="clear" w:color="auto" w:fill="FFFFFF"/>
        </w:rPr>
        <w:instrText>）总体伤害和亚型伤害的单独和协同影响，并按人口统计进行了分类。</w:instrText>
      </w:r>
      <w:r>
        <w:rPr>
          <w:rFonts w:cs="Times New Roman" w:hint="eastAsia"/>
          <w:color w:val="0D0D0D"/>
          <w:szCs w:val="24"/>
          <w:shd w:val="clear" w:color="auto" w:fill="FFFFFF"/>
        </w:rPr>
        <w:instrText>\n</w:instrText>
      </w:r>
      <w:r>
        <w:rPr>
          <w:rFonts w:cs="Times New Roman" w:hint="eastAsia"/>
          <w:color w:val="0D0D0D"/>
          <w:szCs w:val="24"/>
          <w:shd w:val="clear" w:color="auto" w:fill="FFFFFF"/>
        </w:rPr>
        <w:instrText>研究方法：从纽约州卫生部获得了</w:instrText>
      </w:r>
      <w:r>
        <w:rPr>
          <w:rFonts w:cs="Times New Roman" w:hint="eastAsia"/>
          <w:color w:val="0D0D0D"/>
          <w:szCs w:val="24"/>
          <w:shd w:val="clear" w:color="auto" w:fill="FFFFFF"/>
        </w:rPr>
        <w:instrText xml:space="preserve"> 2005 </w:instrText>
      </w:r>
      <w:r>
        <w:rPr>
          <w:rFonts w:cs="Times New Roman" w:hint="eastAsia"/>
          <w:color w:val="0D0D0D"/>
          <w:szCs w:val="24"/>
          <w:shd w:val="clear" w:color="auto" w:fill="FFFFFF"/>
        </w:rPr>
        <w:instrText>年</w:instrText>
      </w:r>
      <w:r>
        <w:rPr>
          <w:rFonts w:cs="Times New Roman" w:hint="eastAsia"/>
          <w:color w:val="0D0D0D"/>
          <w:szCs w:val="24"/>
          <w:shd w:val="clear" w:color="auto" w:fill="FFFFFF"/>
        </w:rPr>
        <w:instrText xml:space="preserve"> 11 </w:instrText>
      </w:r>
      <w:r>
        <w:rPr>
          <w:rFonts w:cs="Times New Roman" w:hint="eastAsia"/>
          <w:color w:val="0D0D0D"/>
          <w:szCs w:val="24"/>
          <w:shd w:val="clear" w:color="auto" w:fill="FFFFFF"/>
        </w:rPr>
        <w:instrText>月至</w:instrText>
      </w:r>
      <w:r>
        <w:rPr>
          <w:rFonts w:cs="Times New Roman" w:hint="eastAsia"/>
          <w:color w:val="0D0D0D"/>
          <w:szCs w:val="24"/>
          <w:shd w:val="clear" w:color="auto" w:fill="FFFFFF"/>
        </w:rPr>
        <w:instrText xml:space="preserve"> 2013 </w:instrText>
      </w:r>
      <w:r>
        <w:rPr>
          <w:rFonts w:cs="Times New Roman" w:hint="eastAsia"/>
          <w:color w:val="0D0D0D"/>
          <w:szCs w:val="24"/>
          <w:shd w:val="clear" w:color="auto" w:fill="FFFFFF"/>
        </w:rPr>
        <w:instrText>年</w:instrText>
      </w:r>
      <w:r>
        <w:rPr>
          <w:rFonts w:cs="Times New Roman" w:hint="eastAsia"/>
          <w:color w:val="0D0D0D"/>
          <w:szCs w:val="24"/>
          <w:shd w:val="clear" w:color="auto" w:fill="FFFFFF"/>
        </w:rPr>
        <w:instrText xml:space="preserve"> 4 </w:instrText>
      </w:r>
      <w:r>
        <w:rPr>
          <w:rFonts w:cs="Times New Roman" w:hint="eastAsia"/>
          <w:color w:val="0D0D0D"/>
          <w:szCs w:val="24"/>
          <w:shd w:val="clear" w:color="auto" w:fill="FFFFFF"/>
        </w:rPr>
        <w:instrText>月期间的急诊科（</w:instrText>
      </w:r>
      <w:r>
        <w:rPr>
          <w:rFonts w:cs="Times New Roman" w:hint="eastAsia"/>
          <w:color w:val="0D0D0D"/>
          <w:szCs w:val="24"/>
          <w:shd w:val="clear" w:color="auto" w:fill="FFFFFF"/>
        </w:rPr>
        <w:instrText>ED</w:instrText>
      </w:r>
      <w:r>
        <w:rPr>
          <w:rFonts w:cs="Times New Roman" w:hint="eastAsia"/>
          <w:color w:val="0D0D0D"/>
          <w:szCs w:val="24"/>
          <w:shd w:val="clear" w:color="auto" w:fill="FFFFFF"/>
        </w:rPr>
        <w:instrText>）就诊数据，以确定受伤病例、住院时间和护理成本。风力事件根据诺阿（</w:instrText>
      </w:r>
      <w:r>
        <w:rPr>
          <w:rFonts w:cs="Times New Roman" w:hint="eastAsia"/>
          <w:color w:val="0D0D0D"/>
          <w:szCs w:val="24"/>
          <w:shd w:val="clear" w:color="auto" w:fill="FFFFFF"/>
        </w:rPr>
        <w:instrText>NOAA</w:instrText>
      </w:r>
      <w:r>
        <w:rPr>
          <w:rFonts w:cs="Times New Roman" w:hint="eastAsia"/>
          <w:color w:val="0D0D0D"/>
          <w:szCs w:val="24"/>
          <w:shd w:val="clear" w:color="auto" w:fill="FFFFFF"/>
        </w:rPr>
        <w:instrText>）定义的大风、强风或雷暴风进行判定。当</w:instrText>
      </w:r>
      <w:r>
        <w:rPr>
          <w:rFonts w:cs="Times New Roman" w:hint="eastAsia"/>
          <w:color w:val="0D0D0D"/>
          <w:szCs w:val="24"/>
          <w:shd w:val="clear" w:color="auto" w:fill="FFFFFF"/>
        </w:rPr>
        <w:instrText xml:space="preserve"> PO </w:instrText>
      </w:r>
      <w:r>
        <w:rPr>
          <w:rFonts w:cs="Times New Roman" w:hint="eastAsia"/>
          <w:color w:val="0D0D0D"/>
          <w:szCs w:val="24"/>
          <w:shd w:val="clear" w:color="auto" w:fill="FFFFFF"/>
        </w:rPr>
        <w:instrText>覆盖率超过其分布的第</w:instrText>
      </w:r>
      <w:r>
        <w:rPr>
          <w:rFonts w:cs="Times New Roman" w:hint="eastAsia"/>
          <w:color w:val="0D0D0D"/>
          <w:szCs w:val="24"/>
          <w:shd w:val="clear" w:color="auto" w:fill="FFFFFF"/>
        </w:rPr>
        <w:instrText xml:space="preserve"> 50 </w:instrText>
      </w:r>
      <w:r>
        <w:rPr>
          <w:rFonts w:cs="Times New Roman" w:hint="eastAsia"/>
          <w:color w:val="0D0D0D"/>
          <w:szCs w:val="24"/>
          <w:shd w:val="clear" w:color="auto" w:fill="FFFFFF"/>
        </w:rPr>
        <w:instrText>百分位数时，即判定为发生了</w:instrText>
      </w:r>
      <w:r>
        <w:rPr>
          <w:rFonts w:cs="Times New Roman" w:hint="eastAsia"/>
          <w:color w:val="0D0D0D"/>
          <w:szCs w:val="24"/>
          <w:shd w:val="clear" w:color="auto" w:fill="FFFFFF"/>
        </w:rPr>
        <w:instrText xml:space="preserve"> PO</w:instrText>
      </w:r>
      <w:r>
        <w:rPr>
          <w:rFonts w:cs="Times New Roman" w:hint="eastAsia"/>
          <w:color w:val="0D0D0D"/>
          <w:szCs w:val="24"/>
          <w:shd w:val="clear" w:color="auto" w:fill="FFFFFF"/>
        </w:rPr>
        <w:instrText>。通过比较非事件日，我们使用分布式滞后非线性模型来评估风事件、</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以及它们在</w:instrText>
      </w:r>
      <w:r>
        <w:rPr>
          <w:rFonts w:cs="Times New Roman" w:hint="eastAsia"/>
          <w:color w:val="0D0D0D"/>
          <w:szCs w:val="24"/>
          <w:shd w:val="clear" w:color="auto" w:fill="FFFFFF"/>
        </w:rPr>
        <w:instrText xml:space="preserve"> 0-3 </w:instrText>
      </w:r>
      <w:r>
        <w:rPr>
          <w:rFonts w:cs="Times New Roman" w:hint="eastAsia"/>
          <w:color w:val="0D0D0D"/>
          <w:szCs w:val="24"/>
          <w:shd w:val="clear" w:color="auto" w:fill="FFFFFF"/>
        </w:rPr>
        <w:instrText>天滞后期内对寒冷季节伤害的综合影响，同时控制随时间变化的混杂因素。同时还评估了事件日与非事件日之间危重症护理指标的差异。</w:instrText>
      </w:r>
      <w:r>
        <w:rPr>
          <w:rFonts w:cs="Times New Roman" w:hint="eastAsia"/>
          <w:color w:val="0D0D0D"/>
          <w:szCs w:val="24"/>
          <w:shd w:val="clear" w:color="auto" w:fill="FFFFFF"/>
        </w:rPr>
        <w:instrText>\n</w:instrText>
      </w:r>
      <w:r>
        <w:rPr>
          <w:rFonts w:cs="Times New Roman" w:hint="eastAsia"/>
          <w:color w:val="0D0D0D"/>
          <w:szCs w:val="24"/>
          <w:shd w:val="clear" w:color="auto" w:fill="FFFFFF"/>
        </w:rPr>
        <w:instrText>结果显示在风灾期间，急诊室就诊总人数（</w:instrText>
      </w:r>
      <w:r>
        <w:rPr>
          <w:rFonts w:cs="Times New Roman" w:hint="eastAsia"/>
          <w:color w:val="0D0D0D"/>
          <w:szCs w:val="24"/>
          <w:shd w:val="clear" w:color="auto" w:fill="FFFFFF"/>
        </w:rPr>
        <w:instrText xml:space="preserve">16,628,812 </w:instrText>
      </w:r>
      <w:r>
        <w:rPr>
          <w:rFonts w:cs="Times New Roman" w:hint="eastAsia"/>
          <w:color w:val="0D0D0D"/>
          <w:szCs w:val="24"/>
          <w:shd w:val="clear" w:color="auto" w:fill="FFFFFF"/>
        </w:rPr>
        <w:instrText>人次）显著增加（最高风险比</w:instrText>
      </w:r>
      <w:r>
        <w:rPr>
          <w:rFonts w:cs="Times New Roman" w:hint="eastAsia"/>
          <w:color w:val="0D0D0D"/>
          <w:szCs w:val="24"/>
          <w:shd w:val="clear" w:color="auto" w:fill="FFFFFF"/>
        </w:rPr>
        <w:instrText xml:space="preserve"> (RR)</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1.05; 95% CI</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1.05</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95% CI</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1.02-1.08</w:instrText>
      </w:r>
      <w:r>
        <w:rPr>
          <w:rFonts w:cs="Times New Roman" w:hint="eastAsia"/>
          <w:color w:val="0D0D0D"/>
          <w:szCs w:val="24"/>
          <w:shd w:val="clear" w:color="auto" w:fill="FFFFFF"/>
        </w:rPr>
        <w:instrText>），在风灾与疫情同时发生时最高（最高风险比：</w:instrText>
      </w:r>
      <w:r>
        <w:rPr>
          <w:rFonts w:cs="Times New Roman" w:hint="eastAsia"/>
          <w:color w:val="0D0D0D"/>
          <w:szCs w:val="24"/>
          <w:shd w:val="clear" w:color="auto" w:fill="FFFFFF"/>
        </w:rPr>
        <w:instrText>1.14</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95% CI</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1.10-1.18</w:instrText>
      </w:r>
      <w:r>
        <w:rPr>
          <w:rFonts w:cs="Times New Roman" w:hint="eastAsia"/>
          <w:color w:val="0D0D0D"/>
          <w:szCs w:val="24"/>
          <w:shd w:val="clear" w:color="auto" w:fill="FFFFFF"/>
        </w:rPr>
        <w:instrText>），而在疫情单独发生时则没有（风险比：</w:instrText>
      </w:r>
      <w:r>
        <w:rPr>
          <w:rFonts w:cs="Times New Roman" w:hint="eastAsia"/>
          <w:color w:val="0D0D0D"/>
          <w:szCs w:val="24"/>
          <w:shd w:val="clear" w:color="auto" w:fill="FFFFFF"/>
        </w:rPr>
        <w:instrText>1.00</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95%CI</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0.96-1.04</w:instrText>
      </w:r>
      <w:r>
        <w:rPr>
          <w:rFonts w:cs="Times New Roman" w:hint="eastAsia"/>
          <w:color w:val="0D0D0D"/>
          <w:szCs w:val="24"/>
          <w:shd w:val="clear" w:color="auto" w:fill="FFFFFF"/>
        </w:rPr>
        <w:instrText>）。在事件发生后的第</w:instrText>
      </w:r>
      <w:r>
        <w:rPr>
          <w:rFonts w:cs="Times New Roman" w:hint="eastAsia"/>
          <w:color w:val="0D0D0D"/>
          <w:szCs w:val="24"/>
          <w:shd w:val="clear" w:color="auto" w:fill="FFFFFF"/>
        </w:rPr>
        <w:instrText xml:space="preserve"> 2 </w:instrText>
      </w:r>
      <w:r>
        <w:rPr>
          <w:rFonts w:cs="Times New Roman" w:hint="eastAsia"/>
          <w:color w:val="0D0D0D"/>
          <w:szCs w:val="24"/>
          <w:shd w:val="clear" w:color="auto" w:fill="FFFFFF"/>
        </w:rPr>
        <w:instrText>天，所有亚组也都观察到了这种增加。老年人（≥</w:instrText>
      </w:r>
      <w:r>
        <w:rPr>
          <w:rFonts w:cs="Times New Roman" w:hint="eastAsia"/>
          <w:color w:val="0D0D0D"/>
          <w:szCs w:val="24"/>
          <w:shd w:val="clear" w:color="auto" w:fill="FFFFFF"/>
        </w:rPr>
        <w:instrText xml:space="preserve">65 </w:instrText>
      </w:r>
      <w:r>
        <w:rPr>
          <w:rFonts w:cs="Times New Roman" w:hint="eastAsia"/>
          <w:color w:val="0D0D0D"/>
          <w:szCs w:val="24"/>
          <w:shd w:val="clear" w:color="auto" w:fill="FFFFFF"/>
        </w:rPr>
        <w:instrText>岁）和享受医疗补助者的风险更大。与无风</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无</w:instrText>
      </w:r>
      <w:r>
        <w:rPr>
          <w:rFonts w:cs="Times New Roman" w:hint="eastAsia"/>
          <w:color w:val="0D0D0D"/>
          <w:szCs w:val="24"/>
          <w:shd w:val="clear" w:color="auto" w:fill="FFFFFF"/>
        </w:rPr>
        <w:instrText xml:space="preserve"> PO </w:instrText>
      </w:r>
      <w:r>
        <w:rPr>
          <w:rFonts w:cs="Times New Roman" w:hint="eastAsia"/>
          <w:color w:val="0D0D0D"/>
          <w:szCs w:val="24"/>
          <w:shd w:val="clear" w:color="auto" w:fill="FFFFFF"/>
        </w:rPr>
        <w:instrText>日相比，联合发生风事件和</w:instrText>
      </w:r>
      <w:r>
        <w:rPr>
          <w:rFonts w:cs="Times New Roman" w:hint="eastAsia"/>
          <w:color w:val="0D0D0D"/>
          <w:szCs w:val="24"/>
          <w:shd w:val="clear" w:color="auto" w:fill="FFFFFF"/>
        </w:rPr>
        <w:instrText xml:space="preserve"> PO </w:instrText>
      </w:r>
      <w:r>
        <w:rPr>
          <w:rFonts w:cs="Times New Roman" w:hint="eastAsia"/>
          <w:color w:val="0D0D0D"/>
          <w:szCs w:val="24"/>
          <w:shd w:val="clear" w:color="auto" w:fill="FFFFFF"/>
        </w:rPr>
        <w:instrText>后，平均就诊时间延长</w:instrText>
      </w:r>
      <w:r>
        <w:rPr>
          <w:rFonts w:cs="Times New Roman" w:hint="eastAsia"/>
          <w:color w:val="0D0D0D"/>
          <w:szCs w:val="24"/>
          <w:shd w:val="clear" w:color="auto" w:fill="FFFFFF"/>
        </w:rPr>
        <w:instrText xml:space="preserve"> 0.2 </w:instrText>
      </w:r>
      <w:r>
        <w:rPr>
          <w:rFonts w:cs="Times New Roman" w:hint="eastAsia"/>
          <w:color w:val="0D0D0D"/>
          <w:szCs w:val="24"/>
          <w:shd w:val="clear" w:color="auto" w:fill="FFFFFF"/>
        </w:rPr>
        <w:instrText>天，费用增加</w:instrText>
      </w:r>
      <w:r>
        <w:rPr>
          <w:rFonts w:cs="Times New Roman" w:hint="eastAsia"/>
          <w:color w:val="0D0D0D"/>
          <w:szCs w:val="24"/>
          <w:shd w:val="clear" w:color="auto" w:fill="FFFFFF"/>
        </w:rPr>
        <w:instrText xml:space="preserve"> 13%</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\n</w:instrText>
      </w:r>
      <w:r>
        <w:rPr>
          <w:rFonts w:cs="Times New Roman" w:hint="eastAsia"/>
          <w:color w:val="0D0D0D"/>
          <w:szCs w:val="24"/>
          <w:shd w:val="clear" w:color="auto" w:fill="FFFFFF"/>
        </w:rPr>
        <w:instrText>结论在风灾期间，特别是在风灾和溺水事件同时发生时，尤其是在年龄较大的病例和医疗补助持有者中，急诊室就诊人次、住院时间和受伤费用都会显著增加。我们的发现可用于规划备灾和恢复工作。</w:instrText>
      </w:r>
      <w:r>
        <w:rPr>
          <w:rFonts w:cs="Times New Roman" w:hint="eastAsia"/>
          <w:color w:val="0D0D0D"/>
          <w:szCs w:val="24"/>
          <w:shd w:val="clear" w:color="auto" w:fill="FFFFFF"/>
        </w:rPr>
        <w:instrText>","page":"149199","source":"8.2","title":"The individual and synergistic impacts of windstorms and power outages on injury ED visits in New York State","volume":"797","author":[{"family":"Sherid</w:instrText>
      </w:r>
      <w:r>
        <w:rPr>
          <w:rFonts w:cs="Times New Roman"/>
          <w:color w:val="0D0D0D"/>
          <w:szCs w:val="24"/>
          <w:shd w:val="clear" w:color="auto" w:fill="FFFFFF"/>
        </w:rPr>
        <w:instrText xml:space="preserve">an","given":"Scott C."},{"family":"Zhang","given":"Wangjian"},{"family":"Deng","given":"Xinlei"},{"family":"Lin","given":"Shao"}],"issued":{"date-parts":[["2021",11]]}}}],"schema":"https://github.com/citation-style-language/schema/raw/master/csl-citation.json"} </w:instrText>
      </w:r>
      <w:r>
        <w:rPr>
          <w:rFonts w:cs="Times New Roman"/>
          <w:color w:val="0D0D0D"/>
          <w:szCs w:val="24"/>
          <w:shd w:val="clear" w:color="auto" w:fill="FFFFFF"/>
        </w:rPr>
        <w:fldChar w:fldCharType="separate"/>
      </w:r>
      <w:r>
        <w:rPr>
          <w:rFonts w:cs="Times New Roman"/>
          <w:noProof/>
          <w:color w:val="0D0D0D"/>
          <w:szCs w:val="24"/>
          <w:shd w:val="clear" w:color="auto" w:fill="FFFFFF"/>
        </w:rPr>
        <w:t>(Sheridan et al., 2021)</w:t>
      </w:r>
      <w:r>
        <w:rPr>
          <w:rFonts w:cs="Times New Roman"/>
          <w:color w:val="0D0D0D"/>
          <w:szCs w:val="24"/>
          <w:shd w:val="clear" w:color="auto" w:fill="FFFFFF"/>
        </w:rPr>
        <w:fldChar w:fldCharType="end"/>
      </w:r>
      <w:r>
        <w:rPr>
          <w:rFonts w:cs="Times New Roman"/>
          <w:color w:val="0D0D0D"/>
          <w:szCs w:val="24"/>
          <w:shd w:val="clear" w:color="auto" w:fill="FFFFFF"/>
        </w:rPr>
        <w:t xml:space="preserve"> found the highest injury ED risk on joint </w:t>
      </w:r>
      <w:proofErr w:type="spellStart"/>
      <w:r>
        <w:rPr>
          <w:rFonts w:cs="Times New Roman"/>
          <w:color w:val="0D0D0D"/>
          <w:szCs w:val="24"/>
          <w:shd w:val="clear" w:color="auto" w:fill="FFFFFF"/>
        </w:rPr>
        <w:t>wind+outage</w:t>
      </w:r>
      <w:proofErr w:type="spellEnd"/>
      <w:r>
        <w:rPr>
          <w:rFonts w:cs="Times New Roman"/>
          <w:color w:val="0D0D0D"/>
          <w:szCs w:val="24"/>
          <w:shd w:val="clear" w:color="auto" w:fill="FFFFFF"/>
        </w:rPr>
        <w:t xml:space="preserve"> days (RR (relative risk) = 1.14, means the outcome risk is 14% higher in the exposed group vs. reference), while outage-only days were not statistically significant; all estimates were relative to non-event days (days with neither a wind event nor an outage). Using a similar day-type framework, </w:t>
      </w:r>
      <w:r>
        <w:rPr>
          <w:rFonts w:cs="Times New Roman"/>
          <w:color w:val="0D0D0D"/>
          <w:szCs w:val="24"/>
          <w:shd w:val="clear" w:color="auto" w:fill="FFFFFF"/>
        </w:rPr>
        <w:fldChar w:fldCharType="begin"/>
      </w:r>
      <w:r>
        <w:rPr>
          <w:rFonts w:cs="Times New Roman"/>
          <w:color w:val="0D0D0D"/>
          <w:szCs w:val="24"/>
          <w:shd w:val="clear" w:color="auto" w:fill="FFFFFF"/>
        </w:rPr>
        <w:instrText xml:space="preserve"> ADDIN ZOTERO_ITEM CSL_CITATION {"citationID":"F0orD4FY","properties":{"unsorted":false,"formattedCitation":"(Lin et al., 2021)","plainCitation":"(Lin et al., 2021)","noteIndex":0},"citationItems":[{"id":4627,"uris":["http://zotero.org/users/12445093/items/IXS43C89"],"itemData":{"id":4627,"type":"article-journal","abstract":"Background: While most prior research has focused on extreme heat, few assessed the immediate health effects of winter storms and associated power outages (PO), although severe storms have become more frequent. This study evaluates the joint and independent health effects of winter storms and PO, snow versus ice-storm, effects by time window (peak timing, winter/transitional months) and the impacts on critical care indicators including numbers of comorbidity, procedure, length of stay and cost.\nMethods: We use distributed lag nonlinear models to assess the impacts of winter storm/PO on hospitalizations due to cardiovascular, lower respiratory diseases (LRD), respiratory infections, food/water-borne diseases (FWBD) and injuries in New York State on 0–6 lag days following storm/PO compared with non-storm/non-PO periods (references), while controlling for time-varying factors and PM2.5. The storm-related hospitalizations are described by time window. We also calculate changes in critical care indicators between the storm/PO and control periods.\nResults: We found the joint effects of storm/PO are the strongest (risk ratios (RR) range: 1.01–1.90), followed by that of storm alone (1.02–1.39), but not during PO alone. Ice storms have stronger impacts (RRs: 1.04–3.15) than snowstorms (RRs: 1.03–2.21). The storm/PO-health associations, which occur immediately, and some last a whole week, are stronger in FWBD, October/November, and peak between 3:00–8:00 p.m. Comorbidity and medical costs significantly increase after storm/PO.\nConclusion: Winter storms increase multiple diseases, comorbidity and medical costs, especially when accompanied by PO or ice storms. Early warnings and prevention may be critical in the transitional months and afternoon rush hours.","call-number":"2","container-title":"Environmental Research","DOI":"10.1016/j.envres.2021.110924","ISSN":"00139351","journalAbbreviation":"Environmental Research","language":"en","note":"T</w:instrText>
      </w:r>
      <w:r>
        <w:rPr>
          <w:rFonts w:cs="Times New Roman" w:hint="eastAsia"/>
          <w:color w:val="0D0D0D"/>
          <w:szCs w:val="24"/>
          <w:shd w:val="clear" w:color="auto" w:fill="FFFFFF"/>
        </w:rPr>
        <w:instrText xml:space="preserve">LDR: Winter storms increase multiple diseases, comorbidity and medical costs, especially when accompanied by PO or ice storms, especially in the transitional months and afternoon rush hours.\ntitleTranslation: </w:instrText>
      </w:r>
      <w:r>
        <w:rPr>
          <w:rFonts w:cs="Times New Roman" w:hint="eastAsia"/>
          <w:color w:val="0D0D0D"/>
          <w:szCs w:val="24"/>
          <w:shd w:val="clear" w:color="auto" w:fill="FFFFFF"/>
        </w:rPr>
        <w:instrText>冬季风暴和停电对多种健康结果的直接影响以及易受影响的时间窗口</w:instrText>
      </w:r>
      <w:r>
        <w:rPr>
          <w:rFonts w:cs="Times New Roman" w:hint="eastAsia"/>
          <w:color w:val="0D0D0D"/>
          <w:szCs w:val="24"/>
          <w:shd w:val="clear" w:color="auto" w:fill="FFFFFF"/>
        </w:rPr>
        <w:instrText xml:space="preserve">\nabstractTranslation: </w:instrText>
      </w:r>
      <w:r>
        <w:rPr>
          <w:rFonts w:cs="Times New Roman" w:hint="eastAsia"/>
          <w:color w:val="0D0D0D"/>
          <w:szCs w:val="24"/>
          <w:shd w:val="clear" w:color="auto" w:fill="FFFFFF"/>
        </w:rPr>
        <w:instrText>背景：之前的研究大多集中在极端高温方面，但很少有研究对冬季风暴和相关停电（</w:instrText>
      </w:r>
      <w:r>
        <w:rPr>
          <w:rFonts w:cs="Times New Roman" w:hint="eastAsia"/>
          <w:color w:val="0D0D0D"/>
          <w:szCs w:val="24"/>
          <w:shd w:val="clear" w:color="auto" w:fill="FFFFFF"/>
        </w:rPr>
        <w:instrText>PO</w:instrText>
      </w:r>
      <w:r>
        <w:rPr>
          <w:rFonts w:cs="Times New Roman" w:hint="eastAsia"/>
          <w:color w:val="0D0D0D"/>
          <w:szCs w:val="24"/>
          <w:shd w:val="clear" w:color="auto" w:fill="FFFFFF"/>
        </w:rPr>
        <w:instrText>）对健康的直接影响进行评估，尽管强风暴已变得越来越频繁。本研究评估了冬季暴风雪和停电对健康的共同和独立影响、雪灾和冰灾的影响、不同时间窗口（高峰期、冬季</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过渡月）的影响以及对重症监护指标的影响，包括合并症数量、手术、住院时间和费用。</w:instrText>
      </w:r>
      <w:r>
        <w:rPr>
          <w:rFonts w:cs="Times New Roman" w:hint="eastAsia"/>
          <w:color w:val="0D0D0D"/>
          <w:szCs w:val="24"/>
          <w:shd w:val="clear" w:color="auto" w:fill="FFFFFF"/>
        </w:rPr>
        <w:instrText>\n</w:instrText>
      </w:r>
      <w:r>
        <w:rPr>
          <w:rFonts w:cs="Times New Roman" w:hint="eastAsia"/>
          <w:color w:val="0D0D0D"/>
          <w:szCs w:val="24"/>
          <w:shd w:val="clear" w:color="auto" w:fill="FFFFFF"/>
        </w:rPr>
        <w:instrText>方法：我们使用分布式滞后非线性模型来评估冬季暴风雪</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对纽约州暴风雪</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后</w:instrText>
      </w:r>
      <w:r>
        <w:rPr>
          <w:rFonts w:cs="Times New Roman" w:hint="eastAsia"/>
          <w:color w:val="0D0D0D"/>
          <w:szCs w:val="24"/>
          <w:shd w:val="clear" w:color="auto" w:fill="FFFFFF"/>
        </w:rPr>
        <w:instrText xml:space="preserve"> 0-6 </w:instrText>
      </w:r>
      <w:r>
        <w:rPr>
          <w:rFonts w:cs="Times New Roman" w:hint="eastAsia"/>
          <w:color w:val="0D0D0D"/>
          <w:szCs w:val="24"/>
          <w:shd w:val="clear" w:color="auto" w:fill="FFFFFF"/>
        </w:rPr>
        <w:instrText>滞后天心血管疾病、下呼吸道疾病</w:instrText>
      </w:r>
      <w:r>
        <w:rPr>
          <w:rFonts w:cs="Times New Roman" w:hint="eastAsia"/>
          <w:color w:val="0D0D0D"/>
          <w:szCs w:val="24"/>
          <w:shd w:val="clear" w:color="auto" w:fill="FFFFFF"/>
        </w:rPr>
        <w:instrText xml:space="preserve"> (LRD)</w:instrText>
      </w:r>
      <w:r>
        <w:rPr>
          <w:rFonts w:cs="Times New Roman" w:hint="eastAsia"/>
          <w:color w:val="0D0D0D"/>
          <w:szCs w:val="24"/>
          <w:shd w:val="clear" w:color="auto" w:fill="FFFFFF"/>
        </w:rPr>
        <w:instrText>、呼吸道感染、食物</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水传播疾病</w:instrText>
      </w:r>
      <w:r>
        <w:rPr>
          <w:rFonts w:cs="Times New Roman" w:hint="eastAsia"/>
          <w:color w:val="0D0D0D"/>
          <w:szCs w:val="24"/>
          <w:shd w:val="clear" w:color="auto" w:fill="FFFFFF"/>
        </w:rPr>
        <w:instrText xml:space="preserve"> (FWBD) </w:instrText>
      </w:r>
      <w:r>
        <w:rPr>
          <w:rFonts w:cs="Times New Roman" w:hint="eastAsia"/>
          <w:color w:val="0D0D0D"/>
          <w:szCs w:val="24"/>
          <w:shd w:val="clear" w:color="auto" w:fill="FFFFFF"/>
        </w:rPr>
        <w:instrText>和受伤住院的影响，并与非暴风雪</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非</w:instrText>
      </w:r>
      <w:r>
        <w:rPr>
          <w:rFonts w:cs="Times New Roman" w:hint="eastAsia"/>
          <w:color w:val="0D0D0D"/>
          <w:szCs w:val="24"/>
          <w:shd w:val="clear" w:color="auto" w:fill="FFFFFF"/>
        </w:rPr>
        <w:instrText xml:space="preserve"> PO </w:instrText>
      </w:r>
      <w:r>
        <w:rPr>
          <w:rFonts w:cs="Times New Roman" w:hint="eastAsia"/>
          <w:color w:val="0D0D0D"/>
          <w:szCs w:val="24"/>
          <w:shd w:val="clear" w:color="auto" w:fill="FFFFFF"/>
        </w:rPr>
        <w:instrText>期间（参考）进行比较，同时控制时变因素和</w:instrText>
      </w:r>
      <w:r>
        <w:rPr>
          <w:rFonts w:cs="Times New Roman" w:hint="eastAsia"/>
          <w:color w:val="0D0D0D"/>
          <w:szCs w:val="24"/>
          <w:shd w:val="clear" w:color="auto" w:fill="FFFFFF"/>
        </w:rPr>
        <w:instrText xml:space="preserve"> PM2.5</w:instrText>
      </w:r>
      <w:r>
        <w:rPr>
          <w:rFonts w:cs="Times New Roman" w:hint="eastAsia"/>
          <w:color w:val="0D0D0D"/>
          <w:szCs w:val="24"/>
          <w:shd w:val="clear" w:color="auto" w:fill="FFFFFF"/>
        </w:rPr>
        <w:instrText>。与风暴相关的住院情况按时间窗口进行描述。我们还计算了风暴</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和对照期间危重症指标的变化。</w:instrText>
      </w:r>
      <w:r>
        <w:rPr>
          <w:rFonts w:cs="Times New Roman" w:hint="eastAsia"/>
          <w:color w:val="0D0D0D"/>
          <w:szCs w:val="24"/>
          <w:shd w:val="clear" w:color="auto" w:fill="FFFFFF"/>
        </w:rPr>
        <w:instrText>\n</w:instrText>
      </w:r>
      <w:r>
        <w:rPr>
          <w:rFonts w:cs="Times New Roman" w:hint="eastAsia"/>
          <w:color w:val="0D0D0D"/>
          <w:szCs w:val="24"/>
          <w:shd w:val="clear" w:color="auto" w:fill="FFFFFF"/>
        </w:rPr>
        <w:instrText>结果：我们发现暴风雪</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的联合效应最强（风险比</w:instrText>
      </w:r>
      <w:r>
        <w:rPr>
          <w:rFonts w:cs="Times New Roman" w:hint="eastAsia"/>
          <w:color w:val="0D0D0D"/>
          <w:szCs w:val="24"/>
          <w:shd w:val="clear" w:color="auto" w:fill="FFFFFF"/>
        </w:rPr>
        <w:instrText xml:space="preserve"> (RR) </w:instrText>
      </w:r>
      <w:r>
        <w:rPr>
          <w:rFonts w:cs="Times New Roman" w:hint="eastAsia"/>
          <w:color w:val="0D0D0D"/>
          <w:szCs w:val="24"/>
          <w:shd w:val="clear" w:color="auto" w:fill="FFFFFF"/>
        </w:rPr>
        <w:instrText>范围：</w:instrText>
      </w:r>
      <w:r>
        <w:rPr>
          <w:rFonts w:cs="Times New Roman" w:hint="eastAsia"/>
          <w:color w:val="0D0D0D"/>
          <w:szCs w:val="24"/>
          <w:shd w:val="clear" w:color="auto" w:fill="FFFFFF"/>
        </w:rPr>
        <w:instrText>1.01-1.90</w:instrText>
      </w:r>
      <w:r>
        <w:rPr>
          <w:rFonts w:cs="Times New Roman" w:hint="eastAsia"/>
          <w:color w:val="0D0D0D"/>
          <w:szCs w:val="24"/>
          <w:shd w:val="clear" w:color="auto" w:fill="FFFFFF"/>
        </w:rPr>
        <w:instrText>），同时，暴风雪</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对危重病人的影响也最大：</w:instrText>
      </w:r>
      <w:r>
        <w:rPr>
          <w:rFonts w:cs="Times New Roman" w:hint="eastAsia"/>
          <w:color w:val="0D0D0D"/>
          <w:szCs w:val="24"/>
          <w:shd w:val="clear" w:color="auto" w:fill="FFFFFF"/>
        </w:rPr>
        <w:instrText>1.01-1.90</w:instrText>
      </w:r>
      <w:r>
        <w:rPr>
          <w:rFonts w:cs="Times New Roman" w:hint="eastAsia"/>
          <w:color w:val="0D0D0D"/>
          <w:szCs w:val="24"/>
          <w:shd w:val="clear" w:color="auto" w:fill="FFFFFF"/>
        </w:rPr>
        <w:instrText>），其次是风暴单独影响（</w:instrText>
      </w:r>
      <w:r>
        <w:rPr>
          <w:rFonts w:cs="Times New Roman" w:hint="eastAsia"/>
          <w:color w:val="0D0D0D"/>
          <w:szCs w:val="24"/>
          <w:shd w:val="clear" w:color="auto" w:fill="FFFFFF"/>
        </w:rPr>
        <w:instrText>1.02-1.39</w:instrText>
      </w:r>
      <w:r>
        <w:rPr>
          <w:rFonts w:cs="Times New Roman" w:hint="eastAsia"/>
          <w:color w:val="0D0D0D"/>
          <w:szCs w:val="24"/>
          <w:shd w:val="clear" w:color="auto" w:fill="FFFFFF"/>
        </w:rPr>
        <w:instrText>），而</w:instrText>
      </w:r>
      <w:r>
        <w:rPr>
          <w:rFonts w:cs="Times New Roman" w:hint="eastAsia"/>
          <w:color w:val="0D0D0D"/>
          <w:szCs w:val="24"/>
          <w:shd w:val="clear" w:color="auto" w:fill="FFFFFF"/>
        </w:rPr>
        <w:instrText xml:space="preserve"> PO </w:instrText>
      </w:r>
      <w:r>
        <w:rPr>
          <w:rFonts w:cs="Times New Roman" w:hint="eastAsia"/>
          <w:color w:val="0D0D0D"/>
          <w:szCs w:val="24"/>
          <w:shd w:val="clear" w:color="auto" w:fill="FFFFFF"/>
        </w:rPr>
        <w:instrText>单独影响则不明显。冰风暴（</w:instrText>
      </w:r>
      <w:r>
        <w:rPr>
          <w:rFonts w:cs="Times New Roman" w:hint="eastAsia"/>
          <w:color w:val="0D0D0D"/>
          <w:szCs w:val="24"/>
          <w:shd w:val="clear" w:color="auto" w:fill="FFFFFF"/>
        </w:rPr>
        <w:instrText>RRs</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1.04-3.15</w:instrText>
      </w:r>
      <w:r>
        <w:rPr>
          <w:rFonts w:cs="Times New Roman" w:hint="eastAsia"/>
          <w:color w:val="0D0D0D"/>
          <w:szCs w:val="24"/>
          <w:shd w:val="clear" w:color="auto" w:fill="FFFFFF"/>
        </w:rPr>
        <w:instrText>）比暴风雪（</w:instrText>
      </w:r>
      <w:r>
        <w:rPr>
          <w:rFonts w:cs="Times New Roman" w:hint="eastAsia"/>
          <w:color w:val="0D0D0D"/>
          <w:szCs w:val="24"/>
          <w:shd w:val="clear" w:color="auto" w:fill="FFFFFF"/>
        </w:rPr>
        <w:instrText>RRs</w:instrText>
      </w:r>
      <w:r>
        <w:rPr>
          <w:rFonts w:cs="Times New Roman" w:hint="eastAsia"/>
          <w:color w:val="0D0D0D"/>
          <w:szCs w:val="24"/>
          <w:shd w:val="clear" w:color="auto" w:fill="FFFFFF"/>
        </w:rPr>
        <w:instrText>：</w:instrText>
      </w:r>
      <w:r>
        <w:rPr>
          <w:rFonts w:cs="Times New Roman" w:hint="eastAsia"/>
          <w:color w:val="0D0D0D"/>
          <w:szCs w:val="24"/>
          <w:shd w:val="clear" w:color="auto" w:fill="FFFFFF"/>
        </w:rPr>
        <w:instrText>1.03-2.21</w:instrText>
      </w:r>
      <w:r>
        <w:rPr>
          <w:rFonts w:cs="Times New Roman" w:hint="eastAsia"/>
          <w:color w:val="0D0D0D"/>
          <w:szCs w:val="24"/>
          <w:shd w:val="clear" w:color="auto" w:fill="FFFFFF"/>
        </w:rPr>
        <w:instrText>）的影响更大。暴风雪</w:instrText>
      </w:r>
      <w:r>
        <w:rPr>
          <w:rFonts w:cs="Times New Roman" w:hint="eastAsia"/>
          <w:color w:val="0D0D0D"/>
          <w:szCs w:val="24"/>
          <w:shd w:val="clear" w:color="auto" w:fill="FFFFFF"/>
        </w:rPr>
        <w:instrText xml:space="preserve">/PO </w:instrText>
      </w:r>
      <w:r>
        <w:rPr>
          <w:rFonts w:cs="Times New Roman" w:hint="eastAsia"/>
          <w:color w:val="0D0D0D"/>
          <w:szCs w:val="24"/>
          <w:shd w:val="clear" w:color="auto" w:fill="FFFFFF"/>
        </w:rPr>
        <w:instrText>与健康之间的关联会立即发生，有的甚至会持续整整一周，这种关联在秋冬季、</w:instrText>
      </w:r>
      <w:r>
        <w:rPr>
          <w:rFonts w:cs="Times New Roman" w:hint="eastAsia"/>
          <w:color w:val="0D0D0D"/>
          <w:szCs w:val="24"/>
          <w:shd w:val="clear" w:color="auto" w:fill="FFFFFF"/>
        </w:rPr>
        <w:instrText xml:space="preserve">10 </w:instrText>
      </w:r>
      <w:r>
        <w:rPr>
          <w:rFonts w:cs="Times New Roman" w:hint="eastAsia"/>
          <w:color w:val="0D0D0D"/>
          <w:szCs w:val="24"/>
          <w:shd w:val="clear" w:color="auto" w:fill="FFFFFF"/>
        </w:rPr>
        <w:instrText>月</w:instrText>
      </w:r>
      <w:r>
        <w:rPr>
          <w:rFonts w:cs="Times New Roman" w:hint="eastAsia"/>
          <w:color w:val="0D0D0D"/>
          <w:szCs w:val="24"/>
          <w:shd w:val="clear" w:color="auto" w:fill="FFFFFF"/>
        </w:rPr>
        <w:instrText xml:space="preserve">/11 </w:instrText>
      </w:r>
      <w:r>
        <w:rPr>
          <w:rFonts w:cs="Times New Roman" w:hint="eastAsia"/>
          <w:color w:val="0D0D0D"/>
          <w:szCs w:val="24"/>
          <w:shd w:val="clear" w:color="auto" w:fill="FFFFFF"/>
        </w:rPr>
        <w:instrText>月时更为强烈，并在下午</w:instrText>
      </w:r>
      <w:r>
        <w:rPr>
          <w:rFonts w:cs="Times New Roman" w:hint="eastAsia"/>
          <w:color w:val="0D0D0D"/>
          <w:szCs w:val="24"/>
          <w:shd w:val="clear" w:color="auto" w:fill="FFFFFF"/>
        </w:rPr>
        <w:instrText xml:space="preserve"> 3:00-8:00 </w:instrText>
      </w:r>
      <w:r>
        <w:rPr>
          <w:rFonts w:cs="Times New Roman" w:hint="eastAsia"/>
          <w:color w:val="0D0D0D"/>
          <w:szCs w:val="24"/>
          <w:shd w:val="clear" w:color="auto" w:fill="FFFFFF"/>
        </w:rPr>
        <w:instrText>之间达到高峰。</w:instrText>
      </w:r>
      <w:r>
        <w:rPr>
          <w:rFonts w:cs="Times New Roman" w:hint="eastAsia"/>
          <w:color w:val="0D0D0D"/>
          <w:szCs w:val="24"/>
          <w:shd w:val="clear" w:color="auto" w:fill="FFFFFF"/>
        </w:rPr>
        <w:instrText>\n</w:instrText>
      </w:r>
      <w:r>
        <w:rPr>
          <w:rFonts w:cs="Times New Roman" w:hint="eastAsia"/>
          <w:color w:val="0D0D0D"/>
          <w:szCs w:val="24"/>
          <w:shd w:val="clear" w:color="auto" w:fill="FFFFFF"/>
        </w:rPr>
        <w:instrText>结论冬季暴风雪会增加多种疾病、并发症和医疗费用，尤其是伴有</w:instrText>
      </w:r>
      <w:r>
        <w:rPr>
          <w:rFonts w:cs="Times New Roman" w:hint="eastAsia"/>
          <w:color w:val="0D0D0D"/>
          <w:szCs w:val="24"/>
          <w:shd w:val="clear" w:color="auto" w:fill="FFFFFF"/>
        </w:rPr>
        <w:instrText xml:space="preserve"> PO </w:instrText>
      </w:r>
      <w:r>
        <w:rPr>
          <w:rFonts w:cs="Times New Roman" w:hint="eastAsia"/>
          <w:color w:val="0D0D0D"/>
          <w:szCs w:val="24"/>
          <w:shd w:val="clear" w:color="auto" w:fill="FFFFFF"/>
        </w:rPr>
        <w:instrText>或冰风暴时。在过渡月份和下午高峰时段，早期预警和预防可能至关重要。</w:instrText>
      </w:r>
      <w:r>
        <w:rPr>
          <w:rFonts w:cs="Times New Roman" w:hint="eastAsia"/>
          <w:color w:val="0D0D0D"/>
          <w:szCs w:val="24"/>
          <w:shd w:val="clear" w:color="auto" w:fill="FFFFFF"/>
        </w:rPr>
        <w:instrText xml:space="preserve">","page":"110924","source":"7.7","title":"The immediate effects of winter storms and power outages on multiple </w:instrText>
      </w:r>
      <w:r>
        <w:rPr>
          <w:rFonts w:cs="Times New Roman"/>
          <w:color w:val="0D0D0D"/>
          <w:szCs w:val="24"/>
          <w:shd w:val="clear" w:color="auto" w:fill="FFFFFF"/>
        </w:rPr>
        <w:instrText xml:space="preserve">health outcomes and the time windows of vulnerability","volume":"196","author":[{"family":"Lin","given":"Shao"},{"family":"Zhang","given":"Wangjian"},{"family":"Sheridan","given":"Scott"},{"family":"Mongillo","given":"Melanie"},{"family":"DiRienzo","given":"Stephen"},{"family":"Stuart","given":"Neil A."},{"family":"Stern","given":"Eric K."},{"family":"Birkhead","given":"Guthrie"},{"family":"Dong","given":"Guanghui"},{"family":"Wu","given":"Shaowei"},{"family":"Chowdhury","given":"Shahriar"},{"family":"Primeau","given":"Michael J."},{"family":"Hao","given":"Yuantao"},{"family":"Romeiko","given":"Xiaobo X."}],"issued":{"date-parts":[["2021",5]]}}}],"schema":"https://github.com/citation-style-language/schema/raw/master/csl-citation.json"} </w:instrText>
      </w:r>
      <w:r>
        <w:rPr>
          <w:rFonts w:cs="Times New Roman"/>
          <w:color w:val="0D0D0D"/>
          <w:szCs w:val="24"/>
          <w:shd w:val="clear" w:color="auto" w:fill="FFFFFF"/>
        </w:rPr>
        <w:fldChar w:fldCharType="separate"/>
      </w:r>
      <w:r>
        <w:rPr>
          <w:rFonts w:cs="Times New Roman"/>
          <w:noProof/>
          <w:color w:val="0D0D0D"/>
          <w:szCs w:val="24"/>
          <w:shd w:val="clear" w:color="auto" w:fill="FFFFFF"/>
        </w:rPr>
        <w:t>(Lin et al., 2021)</w:t>
      </w:r>
      <w:r>
        <w:rPr>
          <w:rFonts w:cs="Times New Roman"/>
          <w:color w:val="0D0D0D"/>
          <w:szCs w:val="24"/>
          <w:shd w:val="clear" w:color="auto" w:fill="FFFFFF"/>
        </w:rPr>
        <w:fldChar w:fldCharType="end"/>
      </w:r>
      <w:r>
        <w:rPr>
          <w:rFonts w:cs="Times New Roman"/>
          <w:color w:val="0D0D0D"/>
          <w:szCs w:val="24"/>
          <w:shd w:val="clear" w:color="auto" w:fill="FFFFFF"/>
        </w:rPr>
        <w:t xml:space="preserve"> examined winter storms and outages (with outage defined as coverage above the 50th percentile among operating divisions with outages) and likewise found the strongest effects under joint exposure, including a 25% increase in cardiovascular hospitalizations (RR = 1.25) and a 54% increase in lower respiratory disease hospitalizations (RR = 1.54), both relative to non-event (non-storm/non-outage) days. Outage-only effects were more limited and delayed (e.g., injuries +22% at lag day 1; food/water-borne diseases +51% at lag day 3), with an unexpected decrease in lower respiratory disease at lag day 5 (RR = 0.88, lower risk, 12% </w:t>
      </w:r>
      <w:r w:rsidRPr="00B247AD">
        <w:rPr>
          <w:rFonts w:cs="Times New Roman"/>
          <w:color w:val="000000" w:themeColor="text1"/>
          <w:szCs w:val="24"/>
          <w:shd w:val="clear" w:color="auto" w:fill="FFFFFF"/>
        </w:rPr>
        <w:t xml:space="preserve">lower). </w:t>
      </w:r>
      <w:r>
        <w:rPr>
          <w:rFonts w:cs="Times New Roman"/>
          <w:color w:val="0D0D0D"/>
          <w:szCs w:val="24"/>
          <w:shd w:val="clear" w:color="auto" w:fill="FFFFFF"/>
        </w:rPr>
        <w:t xml:space="preserve">These studies are useful because they separate hazard-only, outage-only, and </w:t>
      </w:r>
      <w:proofErr w:type="spellStart"/>
      <w:r>
        <w:rPr>
          <w:rFonts w:cs="Times New Roman"/>
          <w:color w:val="0D0D0D"/>
          <w:szCs w:val="24"/>
          <w:shd w:val="clear" w:color="auto" w:fill="FFFFFF"/>
        </w:rPr>
        <w:t>hazard+outage</w:t>
      </w:r>
      <w:proofErr w:type="spellEnd"/>
      <w:r>
        <w:rPr>
          <w:rFonts w:cs="Times New Roman"/>
          <w:color w:val="0D0D0D"/>
          <w:szCs w:val="24"/>
          <w:shd w:val="clear" w:color="auto" w:fill="FFFFFF"/>
        </w:rPr>
        <w:t xml:space="preserve"> days. They show that the largest health risk often appears on joint-exposure days, but it does not by itself test whether the joint effect is greater than the sum (additive interaction) or product (multiplicative interaction) of the two single effects.</w:t>
      </w:r>
    </w:p>
    <w:p w14:paraId="30617ADD" w14:textId="77777777" w:rsidR="000E3987" w:rsidRDefault="000E3987" w:rsidP="000E3987">
      <w:pPr>
        <w:jc w:val="left"/>
        <w:rPr>
          <w:rFonts w:cs="Times New Roman"/>
          <w:b/>
          <w:bCs/>
        </w:rPr>
      </w:pPr>
    </w:p>
    <w:p w14:paraId="2A65A09B" w14:textId="77777777" w:rsidR="003C310D" w:rsidRDefault="003C310D" w:rsidP="000E3987">
      <w:pPr>
        <w:jc w:val="left"/>
        <w:rPr>
          <w:rFonts w:cs="Times New Roman"/>
          <w:b/>
          <w:bCs/>
        </w:rPr>
      </w:pPr>
    </w:p>
    <w:p w14:paraId="56ED2218" w14:textId="77777777" w:rsidR="003C310D" w:rsidRDefault="003C310D" w:rsidP="000E3987">
      <w:pPr>
        <w:jc w:val="left"/>
        <w:rPr>
          <w:rFonts w:cs="Times New Roman"/>
          <w:b/>
          <w:bCs/>
        </w:rPr>
      </w:pPr>
    </w:p>
    <w:p w14:paraId="332193D1" w14:textId="77777777" w:rsidR="003C310D" w:rsidRDefault="003C310D" w:rsidP="000E3987">
      <w:pPr>
        <w:jc w:val="left"/>
        <w:rPr>
          <w:rFonts w:cs="Times New Roman"/>
          <w:b/>
          <w:bCs/>
        </w:rPr>
      </w:pPr>
    </w:p>
    <w:p w14:paraId="29187C8E" w14:textId="77777777" w:rsidR="003C310D" w:rsidRDefault="003C310D" w:rsidP="000E3987">
      <w:pPr>
        <w:jc w:val="left"/>
        <w:rPr>
          <w:rFonts w:cs="Times New Roman"/>
          <w:b/>
          <w:bCs/>
        </w:rPr>
      </w:pPr>
    </w:p>
    <w:p w14:paraId="7D54CC01" w14:textId="77777777" w:rsidR="003C310D" w:rsidRDefault="003C310D" w:rsidP="000E3987">
      <w:pPr>
        <w:jc w:val="left"/>
        <w:rPr>
          <w:rFonts w:cs="Times New Roman"/>
          <w:b/>
          <w:bCs/>
        </w:rPr>
      </w:pPr>
    </w:p>
    <w:p w14:paraId="2D9F743E" w14:textId="77777777" w:rsidR="003C310D" w:rsidRDefault="003C310D" w:rsidP="000E3987">
      <w:pPr>
        <w:jc w:val="left"/>
        <w:rPr>
          <w:rFonts w:cs="Times New Roman"/>
          <w:b/>
          <w:bCs/>
        </w:rPr>
      </w:pPr>
    </w:p>
    <w:p w14:paraId="559CEBCE" w14:textId="77777777" w:rsidR="003C310D" w:rsidRDefault="003C310D" w:rsidP="000E3987">
      <w:pPr>
        <w:jc w:val="left"/>
        <w:rPr>
          <w:rFonts w:cs="Times New Roman"/>
          <w:b/>
          <w:bCs/>
        </w:rPr>
      </w:pPr>
    </w:p>
    <w:p w14:paraId="2AD2E509" w14:textId="77777777" w:rsidR="003C310D" w:rsidRDefault="003C310D" w:rsidP="000E3987">
      <w:pPr>
        <w:jc w:val="left"/>
        <w:rPr>
          <w:rFonts w:cs="Times New Roman"/>
          <w:b/>
          <w:bCs/>
        </w:rPr>
      </w:pPr>
    </w:p>
    <w:p w14:paraId="21D5EDA4" w14:textId="77777777" w:rsidR="003C310D" w:rsidRDefault="003C310D" w:rsidP="000E3987">
      <w:pPr>
        <w:jc w:val="left"/>
        <w:rPr>
          <w:rFonts w:cs="Times New Roman"/>
          <w:b/>
          <w:bCs/>
        </w:rPr>
      </w:pPr>
    </w:p>
    <w:p w14:paraId="43B27451" w14:textId="77777777" w:rsidR="003C310D" w:rsidRDefault="003C310D" w:rsidP="000E3987">
      <w:pPr>
        <w:jc w:val="left"/>
        <w:rPr>
          <w:rFonts w:cs="Times New Roman"/>
          <w:b/>
          <w:bCs/>
        </w:rPr>
      </w:pPr>
    </w:p>
    <w:p w14:paraId="1B81C20D" w14:textId="77777777" w:rsidR="003C310D" w:rsidRDefault="003C310D" w:rsidP="000E3987">
      <w:pPr>
        <w:jc w:val="left"/>
        <w:rPr>
          <w:rFonts w:cs="Times New Roman"/>
          <w:b/>
          <w:bCs/>
        </w:rPr>
      </w:pPr>
    </w:p>
    <w:p w14:paraId="01207AB2" w14:textId="704982B0" w:rsidR="003C310D" w:rsidRPr="003C310D" w:rsidRDefault="003C310D" w:rsidP="003C310D">
      <w:pPr>
        <w:jc w:val="left"/>
        <w:rPr>
          <w:rFonts w:cs="Times New Roman"/>
          <w:b/>
          <w:bCs/>
        </w:rPr>
      </w:pPr>
      <w:r>
        <w:rPr>
          <w:rFonts w:cs="Times New Roman"/>
          <w:b/>
          <w:bCs/>
        </w:rPr>
        <w:lastRenderedPageBreak/>
        <w:t xml:space="preserve">Supplementary Information N2: </w:t>
      </w:r>
      <w:r w:rsidRPr="00B610A5">
        <w:rPr>
          <w:rFonts w:eastAsia="Times New Roman" w:cs="Times New Roman"/>
          <w:b/>
          <w:bCs/>
        </w:rPr>
        <w:t>IV Robustness Checks: Alternative Outage Definitions</w:t>
      </w:r>
    </w:p>
    <w:p w14:paraId="560F9D89" w14:textId="2D0E29A5" w:rsidR="003C310D" w:rsidRDefault="00A4053D" w:rsidP="003C310D">
      <w:pPr>
        <w:rPr>
          <w:color w:val="000000" w:themeColor="text1"/>
        </w:rPr>
      </w:pPr>
      <w:r>
        <w:rPr>
          <w:color w:val="000000" w:themeColor="text1"/>
        </w:rPr>
        <w:t xml:space="preserve">Supplementary Figure </w:t>
      </w:r>
      <w:r w:rsidR="00F561AC">
        <w:rPr>
          <w:color w:val="000000" w:themeColor="text1"/>
        </w:rPr>
        <w:t>N</w:t>
      </w:r>
      <w:r>
        <w:rPr>
          <w:color w:val="000000" w:themeColor="text1"/>
        </w:rPr>
        <w:t>1</w:t>
      </w:r>
      <w:r w:rsidR="003C310D" w:rsidRPr="008207C4">
        <w:rPr>
          <w:color w:val="000000" w:themeColor="text1"/>
        </w:rPr>
        <w:t xml:space="preserve"> presents IV second-stage estimates across seven alternative episode-based definitions of power outage exposure, ranging from episodes lasting at least 8 hours (P50 severity) to the baseline measure of at least 1 hour (P75 severity). The results demonstrate that the positive association between outages and mental health hospitalizations is robust, and that shorter-duration, higher-frequency outage measures yield more precise estimates.</w:t>
      </w:r>
    </w:p>
    <w:p w14:paraId="1B9B7880" w14:textId="77777777" w:rsidR="00F561AC" w:rsidRPr="008207C4" w:rsidRDefault="00F561AC" w:rsidP="003C310D">
      <w:pPr>
        <w:rPr>
          <w:rFonts w:eastAsia="Times New Roman" w:cs="Times New Roman"/>
          <w:color w:val="000000" w:themeColor="text1"/>
        </w:rPr>
      </w:pPr>
    </w:p>
    <w:p w14:paraId="301B6451" w14:textId="77777777" w:rsidR="003C310D" w:rsidRDefault="003C310D" w:rsidP="003C310D">
      <w:pPr>
        <w:rPr>
          <w:color w:val="000000" w:themeColor="text1"/>
        </w:rPr>
      </w:pPr>
      <w:r w:rsidRPr="008207C4">
        <w:rPr>
          <w:color w:val="000000" w:themeColor="text1"/>
        </w:rPr>
        <w:t>Specifications (a) through (g) progress from longer to shorter minimum duration thresholds. Specifications (a) and (b), using episodes lasting at least 8 hours and 6 hours above the 50th percentile of severity, yield large but statistically imprecise coefficients of 1.226 and 0.863, respectively, reflecting the rarity of such prolonged events and the corresponding weakness of the first stage (F = 7.89 and 8.95). Specification (c), using episodes lasting at least 5 hours (P50 severity), yields a coefficient of 0.697 (p &lt; 0.10; IRR = 2.01). Specification (d), using episodes lasting at least 4 hours, yields 0.555 (p &lt; 0.10; IRR = 1.74). Specification (e), using episodes lasting at least 3 hours above the 50th percentile, produces a more precisely estimated effect of 0.482 (p &lt; 0.05; IRR = 1.62). Specifications (f) and (g) move to the 75th percentile severity threshold: specification (f), restricting to episodes lasting at least 2 hours, yields 0.416 (p &lt; 0.01; IRR = 1.52), while specification (g)—the baseline measure of at least 1 hour (P75)—yields the most precisely estimated effect of 0.380 (p &lt; 0.01; IRR = 1.46).</w:t>
      </w:r>
    </w:p>
    <w:p w14:paraId="25E44AAC" w14:textId="77777777" w:rsidR="003C310D" w:rsidRPr="008207C4" w:rsidRDefault="003C310D" w:rsidP="003C310D">
      <w:pPr>
        <w:rPr>
          <w:rFonts w:eastAsia="Times New Roman" w:cs="Times New Roman"/>
          <w:color w:val="000000" w:themeColor="text1"/>
        </w:rPr>
      </w:pPr>
    </w:p>
    <w:p w14:paraId="42117AC1" w14:textId="77777777" w:rsidR="003C310D" w:rsidRDefault="003C310D" w:rsidP="003C310D">
      <w:pPr>
        <w:rPr>
          <w:color w:val="000000" w:themeColor="text1"/>
        </w:rPr>
      </w:pPr>
      <w:r w:rsidRPr="008207C4">
        <w:rPr>
          <w:color w:val="000000" w:themeColor="text1"/>
        </w:rPr>
        <w:t>The pattern across specifications is clear and interpretable: as the minimum duration threshold decreases, the estimates become more statistically precise while the point estimates decline in magnitude, reflecting increased instrument strength and greater episode frequency. First-stage F-statistics decline monotonically from 19.76 for the baseline measure (≥1hr P75) to 7.89 for the longest-duration specification (≥8hr P50), confirming that shorter-duration outage measures are more strongly predicted by grid infrastructure density. The declining precision at longer duration thresholds reinforces the interpretation that moderate-duration outages—which are sufficiently frequent to generate meaningful instrument variation—drive the strongest and most reliable associations with mental health outcomes.</w:t>
      </w:r>
    </w:p>
    <w:p w14:paraId="339F28E3" w14:textId="77777777" w:rsidR="003C310D" w:rsidRPr="008207C4" w:rsidRDefault="003C310D" w:rsidP="003C310D">
      <w:pPr>
        <w:rPr>
          <w:rFonts w:eastAsia="Times New Roman" w:cs="Times New Roman"/>
          <w:color w:val="000000" w:themeColor="text1"/>
        </w:rPr>
      </w:pPr>
    </w:p>
    <w:p w14:paraId="7BF06015" w14:textId="77777777" w:rsidR="003C310D" w:rsidRDefault="003C310D" w:rsidP="003C310D">
      <w:pPr>
        <w:rPr>
          <w:color w:val="000000" w:themeColor="text1"/>
        </w:rPr>
      </w:pPr>
      <w:r w:rsidRPr="008207C4">
        <w:rPr>
          <w:color w:val="000000" w:themeColor="text1"/>
        </w:rPr>
        <w:t>Across all seven specifications, the IV estimates remain positive, with statistically significant effects observed in specifications (c) through (g) (IRR = 1.46–2.01). All Hansen J overidentification tests pass (p &gt; 0.</w:t>
      </w:r>
      <w:r>
        <w:rPr>
          <w:color w:val="000000" w:themeColor="text1"/>
        </w:rPr>
        <w:t>40</w:t>
      </w:r>
      <w:r w:rsidRPr="008207C4">
        <w:rPr>
          <w:color w:val="000000" w:themeColor="text1"/>
        </w:rPr>
        <w:t>), confirming instrument validity across alternative outage definitions. The consistency of results across different episode-based operationalizations—using varying duration and severity thresholds—strengthens confidence that the estimated effects reflect a causal relationship between power outages and mental health outcomes.</w:t>
      </w:r>
    </w:p>
    <w:p w14:paraId="4FA2FABE" w14:textId="77777777" w:rsidR="003C310D" w:rsidRDefault="003C310D" w:rsidP="003C310D">
      <w:pPr>
        <w:rPr>
          <w:color w:val="000000" w:themeColor="text1"/>
        </w:rPr>
      </w:pPr>
    </w:p>
    <w:p w14:paraId="3A7A2144" w14:textId="237394A0" w:rsidR="003C310D" w:rsidRDefault="00A4053D" w:rsidP="003C310D">
      <w:pPr>
        <w:keepNext/>
        <w:autoSpaceDE w:val="0"/>
        <w:autoSpaceDN w:val="0"/>
        <w:adjustRightInd w:val="0"/>
        <w:rPr>
          <w:rFonts w:cs="Times New Roman"/>
          <w:b/>
          <w:bCs/>
          <w:lang w:val="en-GB"/>
        </w:rPr>
      </w:pPr>
      <w:r>
        <w:rPr>
          <w:rFonts w:cs="Times New Roman"/>
          <w:b/>
          <w:bCs/>
          <w:lang w:val="en-GB"/>
        </w:rPr>
        <w:lastRenderedPageBreak/>
        <w:t xml:space="preserve">Supplementary Figure </w:t>
      </w:r>
      <w:r w:rsidR="00F561AC">
        <w:rPr>
          <w:rFonts w:cs="Times New Roman"/>
          <w:b/>
          <w:bCs/>
          <w:lang w:val="en-GB"/>
        </w:rPr>
        <w:t>N</w:t>
      </w:r>
      <w:r>
        <w:rPr>
          <w:rFonts w:cs="Times New Roman"/>
          <w:b/>
          <w:bCs/>
          <w:lang w:val="en-GB"/>
        </w:rPr>
        <w:t>1</w:t>
      </w:r>
      <w:r w:rsidR="003C310D" w:rsidRPr="00C36523">
        <w:rPr>
          <w:rFonts w:cs="Times New Roman"/>
          <w:b/>
          <w:bCs/>
          <w:lang w:val="en-GB"/>
        </w:rPr>
        <w:t>:</w:t>
      </w:r>
      <w:r w:rsidR="003C310D" w:rsidRPr="00901ED9">
        <w:rPr>
          <w:rFonts w:cs="Times New Roman"/>
          <w:b/>
          <w:bCs/>
          <w:lang w:val="en-GB"/>
        </w:rPr>
        <w:t xml:space="preserve"> IV Second Stage Results - Alternative Outage Definitions</w:t>
      </w:r>
    </w:p>
    <w:p w14:paraId="7A5B0A29" w14:textId="77777777" w:rsidR="003C310D" w:rsidRDefault="003C310D" w:rsidP="003C310D">
      <w:pPr>
        <w:keepNext/>
        <w:autoSpaceDE w:val="0"/>
        <w:autoSpaceDN w:val="0"/>
        <w:adjustRightInd w:val="0"/>
        <w:rPr>
          <w:rFonts w:cs="Times New Roman"/>
          <w:b/>
          <w:bCs/>
        </w:rPr>
      </w:pPr>
      <w:r>
        <w:rPr>
          <w:rFonts w:cs="Times New Roman" w:hint="eastAsia"/>
          <w:b/>
          <w:bCs/>
          <w:noProof/>
        </w:rPr>
        <w:drawing>
          <wp:inline distT="0" distB="0" distL="0" distR="0" wp14:anchorId="06DBD049" wp14:editId="39D23FFC">
            <wp:extent cx="4377055" cy="2791838"/>
            <wp:effectExtent l="0" t="0" r="4445" b="2540"/>
            <wp:docPr id="688587532" name="Picture 2"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87532" name="Picture 2" descr="A graph with numbers and symbols&#10;&#10;AI-generated content may be incorrect."/>
                    <pic:cNvPicPr/>
                  </pic:nvPicPr>
                  <pic:blipFill rotWithShape="1">
                    <a:blip r:embed="rId12"/>
                    <a:srcRect b="8878"/>
                    <a:stretch>
                      <a:fillRect/>
                    </a:stretch>
                  </pic:blipFill>
                  <pic:spPr bwMode="auto">
                    <a:xfrm>
                      <a:off x="0" y="0"/>
                      <a:ext cx="4393014" cy="2802017"/>
                    </a:xfrm>
                    <a:prstGeom prst="rect">
                      <a:avLst/>
                    </a:prstGeom>
                    <a:ln>
                      <a:noFill/>
                    </a:ln>
                    <a:extLst>
                      <a:ext uri="{53640926-AAD7-44D8-BBD7-CCE9431645EC}">
                        <a14:shadowObscured xmlns:a14="http://schemas.microsoft.com/office/drawing/2010/main"/>
                      </a:ext>
                    </a:extLst>
                  </pic:spPr>
                </pic:pic>
              </a:graphicData>
            </a:graphic>
          </wp:inline>
        </w:drawing>
      </w:r>
    </w:p>
    <w:p w14:paraId="11A1CCA5" w14:textId="77777777" w:rsidR="003C310D" w:rsidRPr="00340FFB" w:rsidRDefault="003C310D" w:rsidP="003C310D">
      <w:pPr>
        <w:keepNext/>
        <w:autoSpaceDE w:val="0"/>
        <w:autoSpaceDN w:val="0"/>
        <w:adjustRightInd w:val="0"/>
        <w:rPr>
          <w:sz w:val="18"/>
          <w:szCs w:val="18"/>
        </w:rPr>
      </w:pPr>
      <w:r w:rsidRPr="00340FFB">
        <w:rPr>
          <w:sz w:val="18"/>
          <w:szCs w:val="18"/>
        </w:rPr>
        <w:t xml:space="preserve">Notes: Second-stage coefficients from IV Poisson GMM with 95% confidence intervals. Standard errors clustered at ZIP code level. IV includes transformer density, transmission line density, and substation density. First-stage F-statistics: 19.76 (≥1hr P75), 17.12 (≥2hr P75), 16.59 (≥3hr P50), 14.23 (≥4hr P50), 11.19 (≥5hr P50), 8.95 (≥6hr P50), 7.89 (≥8hr P50). All Hansen J overidentification tests pass (p-values range from 0.40 to 0.95). All outage measures are log-transformed as </w:t>
      </w:r>
      <w:proofErr w:type="gramStart"/>
      <w:r w:rsidRPr="00340FFB">
        <w:rPr>
          <w:sz w:val="18"/>
          <w:szCs w:val="18"/>
        </w:rPr>
        <w:t>ln(</w:t>
      </w:r>
      <w:proofErr w:type="gramEnd"/>
      <w:r w:rsidRPr="00340FFB">
        <w:rPr>
          <w:sz w:val="18"/>
          <w:szCs w:val="18"/>
        </w:rPr>
        <w:t>measure + 1). Outage definitions: "≥</w:t>
      </w:r>
      <w:proofErr w:type="spellStart"/>
      <w:r w:rsidRPr="00340FFB">
        <w:rPr>
          <w:sz w:val="18"/>
          <w:szCs w:val="18"/>
        </w:rPr>
        <w:t>Xhr</w:t>
      </w:r>
      <w:proofErr w:type="spellEnd"/>
      <w:r w:rsidRPr="00340FFB">
        <w:rPr>
          <w:sz w:val="18"/>
          <w:szCs w:val="18"/>
        </w:rPr>
        <w:t xml:space="preserve"> episodes (P50/P75)" indicates the number of outage episodes lasting at least X hours with severity above the 50th or 75th percentile within each ZIP code-quarter. All models include year fixed effects and controls for extreme heat days, psychoses prevalence, alcohol use disorder prevalence, poverty rate, percent male, median income, psychiatrist supply, comorbidity indices, racial composition, and insurance coverage. * p &lt; 0.10, ** p &lt; 0.05, *** p &lt; 0.01</w:t>
      </w:r>
    </w:p>
    <w:p w14:paraId="07349243" w14:textId="77777777" w:rsidR="003C310D" w:rsidRDefault="003C310D" w:rsidP="003C310D">
      <w:pPr>
        <w:rPr>
          <w:color w:val="000000" w:themeColor="text1"/>
        </w:rPr>
      </w:pPr>
    </w:p>
    <w:p w14:paraId="0312E812" w14:textId="77777777" w:rsidR="003C310D" w:rsidRDefault="003C310D" w:rsidP="000E3987">
      <w:pPr>
        <w:jc w:val="left"/>
        <w:rPr>
          <w:rFonts w:cs="Times New Roman"/>
          <w:b/>
          <w:bCs/>
        </w:rPr>
      </w:pPr>
    </w:p>
    <w:p w14:paraId="66363C64" w14:textId="77777777" w:rsidR="00197C0F" w:rsidRDefault="00197C0F" w:rsidP="000E3987">
      <w:pPr>
        <w:jc w:val="left"/>
        <w:rPr>
          <w:rFonts w:cs="Times New Roman"/>
          <w:b/>
          <w:bCs/>
        </w:rPr>
      </w:pPr>
    </w:p>
    <w:p w14:paraId="2A0AE14A" w14:textId="77777777" w:rsidR="00197C0F" w:rsidRDefault="00197C0F" w:rsidP="000E3987">
      <w:pPr>
        <w:jc w:val="left"/>
        <w:rPr>
          <w:rFonts w:cs="Times New Roman"/>
          <w:b/>
          <w:bCs/>
        </w:rPr>
      </w:pPr>
    </w:p>
    <w:p w14:paraId="79AF8BA8" w14:textId="77777777" w:rsidR="00197C0F" w:rsidRDefault="00197C0F" w:rsidP="000E3987">
      <w:pPr>
        <w:jc w:val="left"/>
        <w:rPr>
          <w:rFonts w:cs="Times New Roman"/>
          <w:b/>
          <w:bCs/>
        </w:rPr>
      </w:pPr>
    </w:p>
    <w:p w14:paraId="409C9E83" w14:textId="77777777" w:rsidR="00197C0F" w:rsidRDefault="00197C0F" w:rsidP="000E3987">
      <w:pPr>
        <w:jc w:val="left"/>
        <w:rPr>
          <w:rFonts w:cs="Times New Roman"/>
          <w:b/>
          <w:bCs/>
        </w:rPr>
      </w:pPr>
    </w:p>
    <w:p w14:paraId="42D25635" w14:textId="77777777" w:rsidR="00197C0F" w:rsidRDefault="00197C0F" w:rsidP="000E3987">
      <w:pPr>
        <w:jc w:val="left"/>
        <w:rPr>
          <w:rFonts w:cs="Times New Roman"/>
          <w:b/>
          <w:bCs/>
        </w:rPr>
      </w:pPr>
    </w:p>
    <w:p w14:paraId="72D3CA58" w14:textId="77777777" w:rsidR="00197C0F" w:rsidRDefault="00197C0F" w:rsidP="000E3987">
      <w:pPr>
        <w:jc w:val="left"/>
        <w:rPr>
          <w:rFonts w:cs="Times New Roman"/>
          <w:b/>
          <w:bCs/>
        </w:rPr>
      </w:pPr>
    </w:p>
    <w:p w14:paraId="70BDBEB5" w14:textId="77777777" w:rsidR="00197C0F" w:rsidRDefault="00197C0F" w:rsidP="000E3987">
      <w:pPr>
        <w:jc w:val="left"/>
        <w:rPr>
          <w:rFonts w:cs="Times New Roman"/>
          <w:b/>
          <w:bCs/>
        </w:rPr>
      </w:pPr>
    </w:p>
    <w:p w14:paraId="15FDCE7A" w14:textId="77777777" w:rsidR="00197C0F" w:rsidRDefault="00197C0F" w:rsidP="000E3987">
      <w:pPr>
        <w:jc w:val="left"/>
        <w:rPr>
          <w:rFonts w:cs="Times New Roman"/>
          <w:b/>
          <w:bCs/>
        </w:rPr>
      </w:pPr>
    </w:p>
    <w:p w14:paraId="32EF1309" w14:textId="77777777" w:rsidR="00197C0F" w:rsidRDefault="00197C0F" w:rsidP="000E3987">
      <w:pPr>
        <w:jc w:val="left"/>
        <w:rPr>
          <w:rFonts w:cs="Times New Roman"/>
          <w:b/>
          <w:bCs/>
        </w:rPr>
      </w:pPr>
    </w:p>
    <w:p w14:paraId="4C52F9FF" w14:textId="77777777" w:rsidR="00197C0F" w:rsidRDefault="00197C0F" w:rsidP="000E3987">
      <w:pPr>
        <w:jc w:val="left"/>
        <w:rPr>
          <w:rFonts w:cs="Times New Roman"/>
          <w:b/>
          <w:bCs/>
        </w:rPr>
      </w:pPr>
    </w:p>
    <w:p w14:paraId="4480B378" w14:textId="77777777" w:rsidR="00197C0F" w:rsidRDefault="00197C0F" w:rsidP="000E3987">
      <w:pPr>
        <w:jc w:val="left"/>
        <w:rPr>
          <w:rFonts w:cs="Times New Roman"/>
          <w:b/>
          <w:bCs/>
        </w:rPr>
      </w:pPr>
    </w:p>
    <w:p w14:paraId="3D69512C" w14:textId="77777777" w:rsidR="00197C0F" w:rsidRDefault="00197C0F" w:rsidP="000E3987">
      <w:pPr>
        <w:jc w:val="left"/>
        <w:rPr>
          <w:rFonts w:cs="Times New Roman"/>
          <w:b/>
          <w:bCs/>
        </w:rPr>
      </w:pPr>
    </w:p>
    <w:p w14:paraId="73B789E2" w14:textId="77777777" w:rsidR="00197C0F" w:rsidRDefault="00197C0F" w:rsidP="000E3987">
      <w:pPr>
        <w:jc w:val="left"/>
        <w:rPr>
          <w:rFonts w:cs="Times New Roman"/>
          <w:b/>
          <w:bCs/>
        </w:rPr>
      </w:pPr>
    </w:p>
    <w:p w14:paraId="636D71DA" w14:textId="77777777" w:rsidR="00197C0F" w:rsidRDefault="00197C0F" w:rsidP="000E3987">
      <w:pPr>
        <w:jc w:val="left"/>
        <w:rPr>
          <w:rFonts w:cs="Times New Roman"/>
          <w:b/>
          <w:bCs/>
        </w:rPr>
      </w:pPr>
    </w:p>
    <w:p w14:paraId="5D9673B8" w14:textId="77777777" w:rsidR="00197C0F" w:rsidRDefault="00197C0F" w:rsidP="000E3987">
      <w:pPr>
        <w:jc w:val="left"/>
        <w:rPr>
          <w:rFonts w:cs="Times New Roman"/>
          <w:b/>
          <w:bCs/>
        </w:rPr>
      </w:pPr>
    </w:p>
    <w:p w14:paraId="1524944A" w14:textId="77777777" w:rsidR="00197C0F" w:rsidRDefault="00197C0F" w:rsidP="000E3987">
      <w:pPr>
        <w:jc w:val="left"/>
        <w:rPr>
          <w:rFonts w:cs="Times New Roman"/>
          <w:b/>
          <w:bCs/>
        </w:rPr>
      </w:pPr>
    </w:p>
    <w:p w14:paraId="32F020FE" w14:textId="77777777" w:rsidR="00B075D8" w:rsidRDefault="00197C0F" w:rsidP="000E3987">
      <w:pPr>
        <w:jc w:val="left"/>
        <w:rPr>
          <w:rFonts w:cs="Times New Roman"/>
          <w:b/>
          <w:bCs/>
        </w:rPr>
      </w:pPr>
      <w:r>
        <w:rPr>
          <w:rFonts w:cs="Times New Roman"/>
          <w:b/>
          <w:bCs/>
        </w:rPr>
        <w:lastRenderedPageBreak/>
        <w:t xml:space="preserve">Supplementary Information N3: Instrumental Variable Strategy </w:t>
      </w:r>
    </w:p>
    <w:p w14:paraId="4545248F" w14:textId="25E99A20" w:rsidR="00972EB8" w:rsidRDefault="00972EB8" w:rsidP="007623ED">
      <w:pPr>
        <w:pStyle w:val="NormalWeb"/>
        <w:rPr>
          <w:rFonts w:ascii="Times New Roman" w:hAnsi="Times New Roman" w:cs="Times New Roman"/>
        </w:rPr>
      </w:pPr>
      <w:r w:rsidRPr="00972EB8">
        <w:rPr>
          <w:rFonts w:ascii="Times New Roman" w:hAnsi="Times New Roman" w:cs="Times New Roman"/>
        </w:rPr>
        <w:t xml:space="preserve">The electric power grid operates as a hierarchical system connecting generation facilities to end users through distinct network layers </w:t>
      </w:r>
      <w:r w:rsidR="00F561AC">
        <w:rPr>
          <w:rFonts w:ascii="Times New Roman" w:hAnsi="Times New Roman" w:cs="Times New Roman"/>
        </w:rPr>
        <w:fldChar w:fldCharType="begin"/>
      </w:r>
      <w:r w:rsidR="00F561AC">
        <w:rPr>
          <w:rFonts w:ascii="Times New Roman" w:hAnsi="Times New Roman" w:cs="Times New Roman"/>
        </w:rPr>
        <w:instrText xml:space="preserve"> ADDIN ZOTERO_ITEM CSL_CITATION {"citationID":"tFHPn0RK","properties":{"unsorted":false,"formattedCitation":"(Sovacool et al., 2024)","plainCitation":"(Sovacool et al., 2024)","noteIndex":0},"citationItems":[{"id":5378,"uris":["http://zotero.org/users/12445093/items/84J6UUJG"],"itemData":{"id":5378,"type":"article-journal","abstract":"This Perspective applies a multidimensional, whole-systems energy justice lens to the electrical power grid, conceived of as the national electricity transmission and distribution network in the United States. The electrical power grid exists primarily to provide reliable and safe energy services to anyone and everyone, and at any time of the day. It represents a massive system of physical infrastructure that most scholars treat as agnostic and inherently void of equity dimensions. But underlying the poles and wires are a complicated set of challenges that have equity implications. For example, better power lines are installed in wealthier neighborhoods; lowerincome neighborhoods experience blackouts significantly more often than higher-income neighborhoods; and the siting of transmission infrastructure infringes on local communities and ecosystems. In this Perspective, we discuss the philosophical underpinnings of justice and equity, define energy justice, and discuss how the grid can cause and perpetuate four different types of inequity: demographic within social groups and communities, spatial across urban and rural locations, temporal across time, and interspecies in terms of damaging the environment. We chart these four dimensions with twelve distinct examples and provide recommendations to create a more equitable and just future grid.","container-title":"Energy Research &amp; Social Science","DOI":"10.1016/j.erss.2024.1034</w:instrText>
      </w:r>
      <w:r w:rsidR="00F561AC">
        <w:rPr>
          <w:rFonts w:ascii="Times New Roman" w:hAnsi="Times New Roman" w:cs="Times New Roman" w:hint="eastAsia"/>
        </w:rPr>
        <w:instrText>74","ISSN":"22146296","journalAbbreviation":"Energy Research &amp; Social Science","language":"en","note":"titleTranslation: [</w:instrText>
      </w:r>
      <w:r w:rsidR="00F561AC">
        <w:rPr>
          <w:rFonts w:ascii="Times New Roman" w:hAnsi="Times New Roman" w:cs="Times New Roman" w:hint="eastAsia"/>
        </w:rPr>
        <w:instrText>请求错误</w:instrText>
      </w:r>
      <w:r w:rsidR="00F561AC">
        <w:rPr>
          <w:rFonts w:ascii="Times New Roman" w:hAnsi="Times New Roman" w:cs="Times New Roman" w:hint="eastAsia"/>
        </w:rPr>
        <w:instrText>]\n</w:instrText>
      </w:r>
      <w:r w:rsidR="00F561AC">
        <w:rPr>
          <w:rFonts w:ascii="Times New Roman" w:hAnsi="Times New Roman" w:cs="Times New Roman" w:hint="eastAsia"/>
        </w:rPr>
        <w:instrText>此翻译服务不可用，可能是密钥错误，也可能是请求过快。</w:instrText>
      </w:r>
      <w:r w:rsidR="00F561AC">
        <w:rPr>
          <w:rFonts w:ascii="Times New Roman" w:hAnsi="Times New Roman" w:cs="Times New Roman" w:hint="eastAsia"/>
        </w:rPr>
        <w:instrText>\n</w:instrText>
      </w:r>
      <w:r w:rsidR="00F561AC">
        <w:rPr>
          <w:rFonts w:ascii="Times New Roman" w:hAnsi="Times New Roman" w:cs="Times New Roman" w:hint="eastAsia"/>
        </w:rPr>
        <w:instrText>可以尝试其他翻译服务，或者来此查看相关回答：</w:instrText>
      </w:r>
      <w:r w:rsidR="00F561AC">
        <w:rPr>
          <w:rFonts w:ascii="Times New Roman" w:hAnsi="Times New Roman" w:cs="Times New Roman" w:hint="eastAsia"/>
        </w:rPr>
        <w:instrText>\nhttps://zotero.yuque.com/staff-gkhviy/pdf-trans/age09f\n\n</w:instrText>
      </w:r>
      <w:r w:rsidR="00F561AC">
        <w:rPr>
          <w:rFonts w:ascii="Times New Roman" w:hAnsi="Times New Roman" w:cs="Times New Roman" w:hint="eastAsia"/>
        </w:rPr>
        <w:instrText>请注意，这些错误与</w:instrText>
      </w:r>
      <w:r w:rsidR="00F561AC">
        <w:rPr>
          <w:rFonts w:ascii="Times New Roman" w:hAnsi="Times New Roman" w:cs="Times New Roman" w:hint="eastAsia"/>
        </w:rPr>
        <w:instrText xml:space="preserve"> Zotero </w:instrText>
      </w:r>
      <w:r w:rsidR="00F561AC">
        <w:rPr>
          <w:rFonts w:ascii="Times New Roman" w:hAnsi="Times New Roman" w:cs="Times New Roman" w:hint="eastAsia"/>
        </w:rPr>
        <w:instrText>和本翻译插件无关，由该翻译服务引起：</w:instrText>
      </w:r>
      <w:r w:rsidR="00F561AC">
        <w:rPr>
          <w:rFonts w:ascii="Times New Roman" w:hAnsi="Times New Roman" w:cs="Times New Roman" w:hint="eastAsia"/>
        </w:rPr>
        <w:instrText xml:space="preserve"> DeepLX(API)\n\nError: HTTP POST https://api.deeplx.org/y-cS26zcyRdzQVtXTjNhBWk5TQOXCjem9HBtsjut7EM/translate failed with status code 401","page":"103474","source":"DOI.org (Crossref)","title":"Energy justice beyond the wire: Exploring </w:instrText>
      </w:r>
      <w:r w:rsidR="00F561AC">
        <w:rPr>
          <w:rFonts w:ascii="Times New Roman" w:hAnsi="Times New Roman" w:cs="Times New Roman"/>
        </w:rPr>
        <w:instrText xml:space="preserve">the multidimensional inequities of the electrical power grid in the United States","title-short":"Energy justice beyond the wire","volume":"111","author":[{"family":"Sovacool","given":"Benjamin K."},{"family":"Carley","given":"Sanya"},{"family":"Kiesling","given":"Lynne"}],"issued":{"date-parts":[["2024",5]]}}}],"schema":"https://github.com/citation-style-language/schema/raw/master/csl-citation.json"} </w:instrText>
      </w:r>
      <w:r w:rsidR="00F561AC">
        <w:rPr>
          <w:rFonts w:ascii="Times New Roman" w:hAnsi="Times New Roman" w:cs="Times New Roman"/>
        </w:rPr>
        <w:fldChar w:fldCharType="separate"/>
      </w:r>
      <w:r w:rsidR="00F561AC">
        <w:rPr>
          <w:rFonts w:ascii="Times New Roman" w:hAnsi="Times New Roman" w:cs="Times New Roman"/>
          <w:noProof/>
        </w:rPr>
        <w:t>(Sovacool et al., 2024)</w:t>
      </w:r>
      <w:r w:rsidR="00F561AC">
        <w:rPr>
          <w:rFonts w:ascii="Times New Roman" w:hAnsi="Times New Roman" w:cs="Times New Roman"/>
        </w:rPr>
        <w:fldChar w:fldCharType="end"/>
      </w:r>
      <w:r w:rsidRPr="00972EB8">
        <w:rPr>
          <w:rFonts w:ascii="Times New Roman" w:hAnsi="Times New Roman" w:cs="Times New Roman"/>
        </w:rPr>
        <w:t xml:space="preserve">. As illustrated </w:t>
      </w:r>
      <w:r w:rsidRPr="00972EB8">
        <w:rPr>
          <w:rFonts w:ascii="Times New Roman" w:hAnsi="Times New Roman" w:cs="Times New Roman"/>
          <w:color w:val="000000" w:themeColor="text1"/>
        </w:rPr>
        <w:t xml:space="preserve">in </w:t>
      </w:r>
      <w:r w:rsidR="00F561AC">
        <w:rPr>
          <w:rFonts w:ascii="Times New Roman" w:hAnsi="Times New Roman" w:cs="Times New Roman"/>
          <w:color w:val="000000" w:themeColor="text1"/>
        </w:rPr>
        <w:t>Supplementary Figure N2</w:t>
      </w:r>
      <w:r w:rsidRPr="00972EB8">
        <w:rPr>
          <w:rFonts w:ascii="Times New Roman" w:hAnsi="Times New Roman" w:cs="Times New Roman"/>
          <w:color w:val="000000" w:themeColor="text1"/>
        </w:rPr>
        <w:t xml:space="preserve">, electricity flows </w:t>
      </w:r>
      <w:r w:rsidRPr="00972EB8">
        <w:rPr>
          <w:rFonts w:ascii="Times New Roman" w:hAnsi="Times New Roman" w:cs="Times New Roman"/>
        </w:rPr>
        <w:t xml:space="preserve">from generation stations (approximately 20kV) through step-up transformers to high-voltage transmissions lines (69-765kV), then through substations and step-down transformers to distribution networks. The distribution system consists of primary lines (5-35kV) and secondary lines (115/230V) that </w:t>
      </w:r>
      <w:r w:rsidRPr="00972EB8">
        <w:rPr>
          <w:rFonts w:ascii="Times New Roman" w:hAnsi="Times New Roman" w:cs="Times New Roman"/>
          <w:color w:val="000000" w:themeColor="text1"/>
        </w:rPr>
        <w:t xml:space="preserve">deliver power to </w:t>
      </w:r>
      <w:r w:rsidRPr="00972EB8">
        <w:rPr>
          <w:rFonts w:ascii="Times New Roman" w:hAnsi="Times New Roman" w:cs="Times New Roman"/>
        </w:rPr>
        <w:t xml:space="preserve">individual meters and circuit breakers at end-user premises. </w:t>
      </w:r>
    </w:p>
    <w:p w14:paraId="104F1930" w14:textId="77777777" w:rsidR="009F787B" w:rsidRDefault="009F787B" w:rsidP="007623ED">
      <w:pPr>
        <w:pStyle w:val="NormalWeb"/>
        <w:rPr>
          <w:rFonts w:ascii="Times New Roman" w:hAnsi="Times New Roman" w:cs="Times New Roman"/>
        </w:rPr>
      </w:pPr>
    </w:p>
    <w:p w14:paraId="41CD9B42" w14:textId="6FD6417D" w:rsidR="009F787B" w:rsidRPr="00EC0696" w:rsidRDefault="00F561AC" w:rsidP="007623ED">
      <w:pPr>
        <w:rPr>
          <w:rFonts w:eastAsia="Times New Roman" w:cs="Times New Roman"/>
          <w:b/>
          <w:bCs/>
          <w:szCs w:val="24"/>
          <w:lang w:val="en-HK"/>
        </w:rPr>
      </w:pPr>
      <w:r>
        <w:rPr>
          <w:rFonts w:eastAsia="Times New Roman" w:cs="Times New Roman"/>
          <w:b/>
          <w:bCs/>
          <w:szCs w:val="24"/>
          <w:lang w:val="en-HK"/>
        </w:rPr>
        <w:t xml:space="preserve">Supplementary </w:t>
      </w:r>
      <w:r w:rsidR="009F787B" w:rsidRPr="00EC0696">
        <w:rPr>
          <w:rFonts w:eastAsia="Times New Roman" w:cs="Times New Roman"/>
          <w:b/>
          <w:bCs/>
          <w:szCs w:val="24"/>
          <w:lang w:val="en-HK"/>
        </w:rPr>
        <w:t xml:space="preserve">Figure </w:t>
      </w:r>
      <w:r>
        <w:rPr>
          <w:rFonts w:eastAsia="Times New Roman" w:cs="Times New Roman"/>
          <w:b/>
          <w:bCs/>
          <w:szCs w:val="24"/>
          <w:lang w:val="en-HK"/>
        </w:rPr>
        <w:t>N2</w:t>
      </w:r>
      <w:r w:rsidR="009F787B" w:rsidRPr="00EC0696">
        <w:rPr>
          <w:rFonts w:eastAsia="Times New Roman" w:cs="Times New Roman"/>
          <w:b/>
          <w:bCs/>
          <w:szCs w:val="24"/>
          <w:lang w:val="en-HK"/>
        </w:rPr>
        <w:t>: Schematic representation of the electrical power grid</w:t>
      </w:r>
    </w:p>
    <w:p w14:paraId="07C9F79D" w14:textId="77777777" w:rsidR="009F787B" w:rsidRPr="00B11BCB" w:rsidRDefault="009F787B" w:rsidP="007623ED"/>
    <w:p w14:paraId="6A2D0432" w14:textId="77777777" w:rsidR="009F787B" w:rsidRDefault="009F787B" w:rsidP="007623ED">
      <w:pPr>
        <w:pStyle w:val="NormalWeb"/>
      </w:pPr>
      <w:r w:rsidRPr="00331A41">
        <w:rPr>
          <w:rFonts w:hint="eastAsia"/>
          <w:noProof/>
        </w:rPr>
        <w:drawing>
          <wp:inline distT="0" distB="0" distL="0" distR="0" wp14:anchorId="0E091A4D" wp14:editId="0E42C6E8">
            <wp:extent cx="5434076" cy="2918298"/>
            <wp:effectExtent l="0" t="0" r="1905" b="3175"/>
            <wp:docPr id="1028730533" name="Picture 1" descr="A diagram of power lines and power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88036" name="Picture 1" descr="A diagram of power lines and power cables&#10;&#10;AI-generated content may be incorrect."/>
                    <pic:cNvPicPr/>
                  </pic:nvPicPr>
                  <pic:blipFill rotWithShape="1">
                    <a:blip r:embed="rId13" cstate="print">
                      <a:extLst>
                        <a:ext uri="{28A0092B-C50C-407E-A947-70E740481C1C}">
                          <a14:useLocalDpi xmlns:a14="http://schemas.microsoft.com/office/drawing/2010/main" val="0"/>
                        </a:ext>
                      </a:extLst>
                    </a:blip>
                    <a:srcRect r="1350" b="11001"/>
                    <a:stretch>
                      <a:fillRect/>
                    </a:stretch>
                  </pic:blipFill>
                  <pic:spPr bwMode="auto">
                    <a:xfrm>
                      <a:off x="0" y="0"/>
                      <a:ext cx="5537572" cy="2973879"/>
                    </a:xfrm>
                    <a:prstGeom prst="rect">
                      <a:avLst/>
                    </a:prstGeom>
                    <a:ln>
                      <a:noFill/>
                    </a:ln>
                    <a:extLst>
                      <a:ext uri="{53640926-AAD7-44D8-BBD7-CCE9431645EC}">
                        <a14:shadowObscured xmlns:a14="http://schemas.microsoft.com/office/drawing/2010/main"/>
                      </a:ext>
                    </a:extLst>
                  </pic:spPr>
                </pic:pic>
              </a:graphicData>
            </a:graphic>
          </wp:inline>
        </w:drawing>
      </w:r>
    </w:p>
    <w:p w14:paraId="5C06DAEA" w14:textId="6FD2C082" w:rsidR="009F787B" w:rsidRPr="00B81272" w:rsidRDefault="009F787B" w:rsidP="007623ED">
      <w:pPr>
        <w:pStyle w:val="NormalWeb"/>
        <w:rPr>
          <w:sz w:val="18"/>
          <w:szCs w:val="18"/>
        </w:rPr>
      </w:pPr>
      <w:r w:rsidRPr="00F561AC">
        <w:rPr>
          <w:rFonts w:ascii="Times New Roman" w:hAnsi="Times New Roman" w:cs="Times New Roman"/>
          <w:sz w:val="18"/>
          <w:szCs w:val="18"/>
        </w:rPr>
        <w:t xml:space="preserve">Note: Illustration generated by the author using Gemini, adapted from </w:t>
      </w:r>
      <w:r w:rsidR="00F561AC">
        <w:rPr>
          <w:rFonts w:ascii="Times New Roman" w:hAnsi="Times New Roman" w:cs="Times New Roman"/>
          <w:sz w:val="18"/>
          <w:szCs w:val="18"/>
        </w:rPr>
        <w:fldChar w:fldCharType="begin"/>
      </w:r>
      <w:r w:rsidR="00F561AC">
        <w:rPr>
          <w:rFonts w:ascii="Times New Roman" w:hAnsi="Times New Roman" w:cs="Times New Roman"/>
          <w:sz w:val="18"/>
          <w:szCs w:val="18"/>
        </w:rPr>
        <w:instrText xml:space="preserve"> ADDIN ZOTERO_ITEM CSL_CITATION {"citationID":"h3cnyyY1","properties":{"unsorted":false,"formattedCitation":"(Sovacool et al., 2024)","plainCitation":"(Sovacool et al., 2024)","noteIndex":0},"citationItems":[{"id":5378,"uris":["http://zotero.org/users/12445093/items/84J6UUJG"],"itemData":{"id":5378,"type":"article-journal","abstract":"This Perspective applies a multidimensional, whole-systems energy justice lens to the electrical power grid, conceived of as the national electricity transmission and distribution network in the United States. The electrical power grid exists primarily to provide reliable and safe energy services to anyone and everyone, and at any time of the day. It represents a massive system of physical infrastructure that most scholars treat as agnostic and inherently void of equity dimensions. But underlying the poles and wires are a complicated set of challenges that have equity implications. For example, better power lines are installed in wealthier neighborhoods; lowerincome neighborhoods experience blackouts significantly more often than higher-income neighborhoods; and the siting of transmission infrastructure infringes on local communities and ecosystems. In this Perspective, we discuss the philosophical underpinnings of justice and equity, define energy justice, and discuss how the grid can cause and perpetuate four different types of inequity: demographic within social groups and communities, spatial across urban and rural locations, temporal across time, and interspecies in terms of damaging the environment. We chart these four dimensions with twelve distinct examples and provide recommendations to create a more equitable and just future grid.","container-title":"Energy Research &amp; Social Science","DOI":"10.1016/j.erss.2024.1034</w:instrText>
      </w:r>
      <w:r w:rsidR="00F561AC">
        <w:rPr>
          <w:rFonts w:ascii="Times New Roman" w:hAnsi="Times New Roman" w:cs="Times New Roman" w:hint="eastAsia"/>
          <w:sz w:val="18"/>
          <w:szCs w:val="18"/>
        </w:rPr>
        <w:instrText>74","ISSN":"22146296","journalAbbreviation":"Energy Research &amp; Social Science","language":"en","note":"titleTranslation: [</w:instrText>
      </w:r>
      <w:r w:rsidR="00F561AC">
        <w:rPr>
          <w:rFonts w:ascii="Times New Roman" w:hAnsi="Times New Roman" w:cs="Times New Roman" w:hint="eastAsia"/>
          <w:sz w:val="18"/>
          <w:szCs w:val="18"/>
        </w:rPr>
        <w:instrText>请求错误</w:instrText>
      </w:r>
      <w:r w:rsidR="00F561AC">
        <w:rPr>
          <w:rFonts w:ascii="Times New Roman" w:hAnsi="Times New Roman" w:cs="Times New Roman" w:hint="eastAsia"/>
          <w:sz w:val="18"/>
          <w:szCs w:val="18"/>
        </w:rPr>
        <w:instrText>]\n</w:instrText>
      </w:r>
      <w:r w:rsidR="00F561AC">
        <w:rPr>
          <w:rFonts w:ascii="Times New Roman" w:hAnsi="Times New Roman" w:cs="Times New Roman" w:hint="eastAsia"/>
          <w:sz w:val="18"/>
          <w:szCs w:val="18"/>
        </w:rPr>
        <w:instrText>此翻译服务不可用，可能是密钥错误，也可能是请求过快。</w:instrText>
      </w:r>
      <w:r w:rsidR="00F561AC">
        <w:rPr>
          <w:rFonts w:ascii="Times New Roman" w:hAnsi="Times New Roman" w:cs="Times New Roman" w:hint="eastAsia"/>
          <w:sz w:val="18"/>
          <w:szCs w:val="18"/>
        </w:rPr>
        <w:instrText>\n</w:instrText>
      </w:r>
      <w:r w:rsidR="00F561AC">
        <w:rPr>
          <w:rFonts w:ascii="Times New Roman" w:hAnsi="Times New Roman" w:cs="Times New Roman" w:hint="eastAsia"/>
          <w:sz w:val="18"/>
          <w:szCs w:val="18"/>
        </w:rPr>
        <w:instrText>可以尝试其他翻译服务，或者来此查看相关回答：</w:instrText>
      </w:r>
      <w:r w:rsidR="00F561AC">
        <w:rPr>
          <w:rFonts w:ascii="Times New Roman" w:hAnsi="Times New Roman" w:cs="Times New Roman" w:hint="eastAsia"/>
          <w:sz w:val="18"/>
          <w:szCs w:val="18"/>
        </w:rPr>
        <w:instrText>\nhttps://zotero.yuque.com/staff-gkhviy/pdf-trans/age09f\n\n</w:instrText>
      </w:r>
      <w:r w:rsidR="00F561AC">
        <w:rPr>
          <w:rFonts w:ascii="Times New Roman" w:hAnsi="Times New Roman" w:cs="Times New Roman" w:hint="eastAsia"/>
          <w:sz w:val="18"/>
          <w:szCs w:val="18"/>
        </w:rPr>
        <w:instrText>请注意，这些错误与</w:instrText>
      </w:r>
      <w:r w:rsidR="00F561AC">
        <w:rPr>
          <w:rFonts w:ascii="Times New Roman" w:hAnsi="Times New Roman" w:cs="Times New Roman" w:hint="eastAsia"/>
          <w:sz w:val="18"/>
          <w:szCs w:val="18"/>
        </w:rPr>
        <w:instrText xml:space="preserve"> Zotero </w:instrText>
      </w:r>
      <w:r w:rsidR="00F561AC">
        <w:rPr>
          <w:rFonts w:ascii="Times New Roman" w:hAnsi="Times New Roman" w:cs="Times New Roman" w:hint="eastAsia"/>
          <w:sz w:val="18"/>
          <w:szCs w:val="18"/>
        </w:rPr>
        <w:instrText>和本翻译插件无关，由该翻译服务引起：</w:instrText>
      </w:r>
      <w:r w:rsidR="00F561AC">
        <w:rPr>
          <w:rFonts w:ascii="Times New Roman" w:hAnsi="Times New Roman" w:cs="Times New Roman" w:hint="eastAsia"/>
          <w:sz w:val="18"/>
          <w:szCs w:val="18"/>
        </w:rPr>
        <w:instrText xml:space="preserve"> DeepLX(API)\n\nError: HTTP POST https://api.deeplx.org/y-cS26zcyRdzQVtXTjNhBWk5TQOXCjem9HBtsjut7EM/translate failed with status code 401","page":"103474","source":"DOI.org (Crossref)","title":"Energy justice beyond the wire: Exploring </w:instrText>
      </w:r>
      <w:r w:rsidR="00F561AC">
        <w:rPr>
          <w:rFonts w:ascii="Times New Roman" w:hAnsi="Times New Roman" w:cs="Times New Roman"/>
          <w:sz w:val="18"/>
          <w:szCs w:val="18"/>
        </w:rPr>
        <w:instrText xml:space="preserve">the multidimensional inequities of the electrical power grid in the United States","title-short":"Energy justice beyond the wire","volume":"111","author":[{"family":"Sovacool","given":"Benjamin K."},{"family":"Carley","given":"Sanya"},{"family":"Kiesling","given":"Lynne"}],"issued":{"date-parts":[["2024",5]]}}}],"schema":"https://github.com/citation-style-language/schema/raw/master/csl-citation.json"} </w:instrText>
      </w:r>
      <w:r w:rsidR="00F561AC">
        <w:rPr>
          <w:rFonts w:ascii="Times New Roman" w:hAnsi="Times New Roman" w:cs="Times New Roman"/>
          <w:sz w:val="18"/>
          <w:szCs w:val="18"/>
        </w:rPr>
        <w:fldChar w:fldCharType="separate"/>
      </w:r>
      <w:r w:rsidR="00F561AC">
        <w:rPr>
          <w:rFonts w:ascii="Times New Roman" w:hAnsi="Times New Roman" w:cs="Times New Roman"/>
          <w:noProof/>
          <w:sz w:val="18"/>
          <w:szCs w:val="18"/>
        </w:rPr>
        <w:t>(Sovacool et al., 2024)</w:t>
      </w:r>
      <w:r w:rsidR="00F561AC">
        <w:rPr>
          <w:rFonts w:ascii="Times New Roman" w:hAnsi="Times New Roman" w:cs="Times New Roman"/>
          <w:sz w:val="18"/>
          <w:szCs w:val="18"/>
        </w:rPr>
        <w:fldChar w:fldCharType="end"/>
      </w:r>
      <w:r w:rsidR="00F561AC">
        <w:rPr>
          <w:sz w:val="18"/>
          <w:szCs w:val="18"/>
        </w:rPr>
        <w:t>.</w:t>
      </w:r>
      <w:r w:rsidR="00F561AC" w:rsidRPr="00B81272">
        <w:rPr>
          <w:sz w:val="18"/>
          <w:szCs w:val="18"/>
        </w:rPr>
        <w:t xml:space="preserve"> </w:t>
      </w:r>
    </w:p>
    <w:p w14:paraId="425DE93C" w14:textId="77777777" w:rsidR="00A86570" w:rsidRDefault="00A86570" w:rsidP="007623ED">
      <w:pPr>
        <w:rPr>
          <w:rFonts w:cs="Times New Roman"/>
          <w:b/>
          <w:bCs/>
        </w:rPr>
      </w:pPr>
    </w:p>
    <w:p w14:paraId="392C3FF3" w14:textId="77777777" w:rsidR="00A86570" w:rsidRDefault="00A86570" w:rsidP="007623ED">
      <w:pPr>
        <w:rPr>
          <w:rFonts w:eastAsia="Times New Roman" w:cs="Times New Roman"/>
          <w:szCs w:val="24"/>
          <w:lang w:val="en-HK"/>
        </w:rPr>
      </w:pPr>
      <w:r>
        <w:rPr>
          <w:rFonts w:eastAsia="Times New Roman" w:cs="Times New Roman"/>
          <w:szCs w:val="24"/>
          <w:lang w:val="en-HK"/>
        </w:rPr>
        <w:t xml:space="preserve">We construct instrument capturing vulnerabilities at different grid layers: </w:t>
      </w:r>
    </w:p>
    <w:p w14:paraId="4B569BB3" w14:textId="77777777" w:rsidR="008A364F" w:rsidRDefault="00A86570" w:rsidP="007623ED">
      <w:pPr>
        <w:pStyle w:val="ListParagraph"/>
        <w:numPr>
          <w:ilvl w:val="1"/>
          <w:numId w:val="15"/>
        </w:numPr>
        <w:ind w:left="0" w:firstLine="0"/>
        <w:rPr>
          <w:rFonts w:eastAsia="Times New Roman" w:cs="Times New Roman"/>
          <w:szCs w:val="24"/>
          <w:lang w:val="en-HK"/>
        </w:rPr>
      </w:pPr>
      <w:r w:rsidRPr="00457B2C">
        <w:rPr>
          <w:rFonts w:eastAsia="Times New Roman" w:cs="Times New Roman"/>
          <w:szCs w:val="24"/>
          <w:lang w:val="en-HK"/>
        </w:rPr>
        <w:t>Transformer density (local distribution infrastructure)</w:t>
      </w:r>
    </w:p>
    <w:p w14:paraId="4B82BC2B" w14:textId="650D53D9" w:rsidR="008A364F" w:rsidRDefault="008A364F" w:rsidP="007623ED">
      <w:pPr>
        <w:rPr>
          <w:rFonts w:eastAsia="Times New Roman" w:cs="Times New Roman"/>
          <w:szCs w:val="24"/>
          <w:lang w:val="en-HK"/>
        </w:rPr>
      </w:pPr>
      <w:r w:rsidRPr="008A364F">
        <w:rPr>
          <w:rFonts w:eastAsia="Times New Roman" w:cs="Times New Roman"/>
          <w:szCs w:val="24"/>
          <w:lang w:val="en-HK"/>
        </w:rPr>
        <w:t>We use transformer density as an instrument capturing the structure of the local, lower-voltage distribution network that delivers electricity directly to end users. Areas with higher transformer density typically have more robust and redundant distribution networks, which reduces the likelihood and duration of service interruptions. Conversely, areas with sparse transformer coverage may experience more frequent outages due to limited redundancy and longer repair distances. Consistent with this mechanism, the first-stage results show a negative relationship between transformer density and outage exposure.</w:t>
      </w:r>
    </w:p>
    <w:p w14:paraId="18C6ADD0" w14:textId="77777777" w:rsidR="007623ED" w:rsidRPr="008A364F" w:rsidRDefault="007623ED" w:rsidP="007623ED">
      <w:pPr>
        <w:rPr>
          <w:rFonts w:eastAsia="Times New Roman" w:cs="Times New Roman"/>
          <w:szCs w:val="24"/>
          <w:lang w:val="en-HK"/>
        </w:rPr>
      </w:pPr>
    </w:p>
    <w:p w14:paraId="569B33F3" w14:textId="11F76961" w:rsidR="00A86570" w:rsidRDefault="008A364F" w:rsidP="007623ED">
      <w:pPr>
        <w:rPr>
          <w:rFonts w:eastAsia="Times New Roman" w:cs="Times New Roman"/>
          <w:szCs w:val="24"/>
          <w:lang w:val="en-HK"/>
        </w:rPr>
      </w:pPr>
      <w:r w:rsidRPr="008A364F">
        <w:rPr>
          <w:rFonts w:eastAsia="Times New Roman" w:cs="Times New Roman"/>
          <w:szCs w:val="24"/>
          <w:lang w:val="en-HK"/>
        </w:rPr>
        <w:t xml:space="preserve">The exclusion restriction requires that transformer density affects mental health outcomes only through its effect on power outages. This assumption is plausible because the placement and density of transformers are primarily determined by long-term infrastructure planning decisions, engineering requirements related to load </w:t>
      </w:r>
      <w:r w:rsidRPr="008A364F">
        <w:rPr>
          <w:rFonts w:eastAsia="Times New Roman" w:cs="Times New Roman"/>
          <w:szCs w:val="24"/>
          <w:lang w:val="en-HK"/>
        </w:rPr>
        <w:lastRenderedPageBreak/>
        <w:t>demand, and geographic considerations, rather than by short-run neighbourhood socioeconomic conditions or health status. To further mitigate potential confounding, our empirical models control for a rich set of demographic, socioeconomic, and health-related covariates.</w:t>
      </w:r>
    </w:p>
    <w:p w14:paraId="068A69EE" w14:textId="77777777" w:rsidR="007623ED" w:rsidRPr="008A364F" w:rsidRDefault="007623ED" w:rsidP="007623ED">
      <w:pPr>
        <w:rPr>
          <w:rFonts w:eastAsia="Times New Roman" w:cs="Times New Roman"/>
          <w:szCs w:val="24"/>
          <w:lang w:val="en-HK"/>
        </w:rPr>
      </w:pPr>
    </w:p>
    <w:p w14:paraId="0C20A21D" w14:textId="77777777" w:rsidR="008A364F" w:rsidRDefault="00A86570" w:rsidP="007623ED">
      <w:pPr>
        <w:pStyle w:val="NormalWeb"/>
        <w:numPr>
          <w:ilvl w:val="0"/>
          <w:numId w:val="16"/>
        </w:numPr>
        <w:ind w:left="0" w:firstLine="0"/>
        <w:rPr>
          <w:rFonts w:ascii="Times New Roman" w:hAnsi="Times New Roman" w:cs="Times New Roman"/>
        </w:rPr>
      </w:pPr>
      <w:r w:rsidRPr="008A364F">
        <w:rPr>
          <w:rFonts w:ascii="Times New Roman" w:hAnsi="Times New Roman" w:cs="Times New Roman"/>
        </w:rPr>
        <w:t xml:space="preserve">Upstream transmission infrastructure (system-level exposure) </w:t>
      </w:r>
    </w:p>
    <w:p w14:paraId="60C794B4" w14:textId="26C91B14" w:rsidR="008A364F" w:rsidRDefault="008A364F" w:rsidP="007623ED">
      <w:pPr>
        <w:pStyle w:val="NormalWeb"/>
        <w:rPr>
          <w:rFonts w:ascii="Times New Roman" w:eastAsia="Times New Roman" w:hAnsi="Times New Roman" w:cs="Times New Roman"/>
          <w:lang w:val="en-HK"/>
        </w:rPr>
      </w:pPr>
      <w:r w:rsidRPr="008A364F">
        <w:rPr>
          <w:rFonts w:ascii="Times New Roman" w:eastAsia="Times New Roman" w:hAnsi="Times New Roman" w:cs="Times New Roman"/>
          <w:lang w:val="en-HK"/>
        </w:rPr>
        <w:t>We also use two alternative instrumental variables capturing exposure to the upstream transmission network: substation density and high-voltage transmission line density. These variables characterize the structure of the regional bulk power system. Areas with a higher density of substations and high-voltage transmission lines tend to be more deeply integrated into the transmission network and often function as major load or transfer nodes. During extreme weather events or grid disturbances, failures in such highly interconnected systems are more likely to propagate across large geographic areas, generating widespread and prolonged outages. The spatial configuration of transmission infrastructure is largely determined by long-term engineering requirements, geographic constraints, and regulatory planning rather than by short-run local health conditions.</w:t>
      </w:r>
    </w:p>
    <w:p w14:paraId="20012A39" w14:textId="77777777" w:rsidR="007623ED" w:rsidRPr="008A364F" w:rsidRDefault="007623ED" w:rsidP="007623ED">
      <w:pPr>
        <w:pStyle w:val="NormalWeb"/>
        <w:rPr>
          <w:rFonts w:ascii="Times New Roman" w:hAnsi="Times New Roman" w:cs="Times New Roman"/>
        </w:rPr>
      </w:pPr>
    </w:p>
    <w:p w14:paraId="63A0B726" w14:textId="2D5CB46A" w:rsidR="008A364F" w:rsidRDefault="008A364F" w:rsidP="007623ED">
      <w:pPr>
        <w:rPr>
          <w:rFonts w:eastAsia="Times New Roman" w:cs="Times New Roman"/>
          <w:szCs w:val="24"/>
          <w:lang w:val="en-HK"/>
        </w:rPr>
      </w:pPr>
      <w:r w:rsidRPr="008A364F">
        <w:rPr>
          <w:rFonts w:eastAsia="Times New Roman" w:cs="Times New Roman"/>
          <w:szCs w:val="24"/>
          <w:lang w:val="en-HK"/>
        </w:rPr>
        <w:t xml:space="preserve">The exclusion restriction requires that grid infrastructure affects mental health hospitalizations only through its impact on outage exposure. Several features of the empirical design support this assumption. First, transmission infrastructure is highly persistent and evolves slowly over time. Substations and transmission lines are sited based on engineering requirements, rights-of-way, and long-term load forecasts, and therefore do not respond to short-run fluctuations in local health outcomes </w:t>
      </w:r>
      <w:r w:rsidR="007623ED">
        <w:rPr>
          <w:rFonts w:eastAsia="Times New Roman" w:cs="Times New Roman"/>
          <w:szCs w:val="24"/>
          <w:lang w:val="en-HK"/>
        </w:rPr>
        <w:fldChar w:fldCharType="begin"/>
      </w:r>
      <w:r w:rsidR="007623ED">
        <w:rPr>
          <w:rFonts w:eastAsia="Times New Roman" w:cs="Times New Roman"/>
          <w:szCs w:val="24"/>
          <w:lang w:val="en-HK"/>
        </w:rPr>
        <w:instrText xml:space="preserve"> ADDIN ZOTERO_ITEM CSL_CITATION {"citationID":"ke50lxCP","properties":{"unsorted":false,"formattedCitation":"(Sovacool et al., 2024)","plainCitation":"(Sovacool et al., 2024)","noteIndex":0},"citationItems":[{"id":5378,"uris":["http://zotero.org/users/12445093/items/84J6UUJG"],"itemData":{"id":5378,"type":"article-journal","abstract":"This Perspective applies a multidimensional, whole-systems energy justice lens to the electrical power grid, conceived of as the national electricity transmission and distribution network in the United States. The electrical power grid exists primarily to provide reliable and safe energy services to anyone and everyone, and at any time of the day. It represents a massive system of physical infrastructure that most scholars treat as agnostic and inherently void of equity dimensions. But underlying the poles and wires are a complicated set of challenges that have equity implications. For example, better power lines are installed in wealthier neighborhoods; lowerincome neighborhoods experience blackouts significantly more often than higher-income neighborhoods; and the siting of transmission infrastructure infringes on local communities and ecosystems. In this Perspective, we discuss the philosophical underpinnings of justice and equity, define energy justice, and discuss how the grid can cause and perpetuate four different types of inequity: demographic within social groups and communities, spatial across urban and rural locations, temporal across time, and interspecies in terms of damaging the environment. We chart these four dimensions with twelve distinct examples and provide recommendations to create a more equitable and just future grid.","container-title":"Energy Research &amp; Social Science","DOI":"10.1016/j.erss.2024.103474","ISSN":"22146296","journalAbbreviation":"Energy Research &amp; Social Science","language":"en","note":"titleTranslation: [</w:instrText>
      </w:r>
      <w:r w:rsidR="007623ED">
        <w:rPr>
          <w:rFonts w:ascii="SimSun" w:eastAsia="SimSun" w:hAnsi="SimSun" w:cs="SimSun" w:hint="eastAsia"/>
          <w:szCs w:val="24"/>
          <w:lang w:val="en-HK"/>
        </w:rPr>
        <w:instrText>请求错误</w:instrText>
      </w:r>
      <w:r w:rsidR="007623ED">
        <w:rPr>
          <w:rFonts w:eastAsia="Times New Roman" w:cs="Times New Roman"/>
          <w:szCs w:val="24"/>
          <w:lang w:val="en-HK"/>
        </w:rPr>
        <w:instrText>]\n</w:instrText>
      </w:r>
      <w:r w:rsidR="007623ED">
        <w:rPr>
          <w:rFonts w:ascii="SimSun" w:eastAsia="SimSun" w:hAnsi="SimSun" w:cs="SimSun" w:hint="eastAsia"/>
          <w:szCs w:val="24"/>
          <w:lang w:val="en-HK"/>
        </w:rPr>
        <w:instrText>此翻译服务不可用，可能是密钥错误，也可能是请求过快。</w:instrText>
      </w:r>
      <w:r w:rsidR="007623ED">
        <w:rPr>
          <w:rFonts w:eastAsia="Times New Roman" w:cs="Times New Roman"/>
          <w:szCs w:val="24"/>
          <w:lang w:val="en-HK"/>
        </w:rPr>
        <w:instrText>\n</w:instrText>
      </w:r>
      <w:r w:rsidR="007623ED">
        <w:rPr>
          <w:rFonts w:ascii="SimSun" w:eastAsia="SimSun" w:hAnsi="SimSun" w:cs="SimSun" w:hint="eastAsia"/>
          <w:szCs w:val="24"/>
          <w:lang w:val="en-HK"/>
        </w:rPr>
        <w:instrText>可以尝试其他翻译服务，或者来此查看相关回答：</w:instrText>
      </w:r>
      <w:r w:rsidR="007623ED">
        <w:rPr>
          <w:rFonts w:eastAsia="Times New Roman" w:cs="Times New Roman"/>
          <w:szCs w:val="24"/>
          <w:lang w:val="en-HK"/>
        </w:rPr>
        <w:instrText>\nhttps://zotero.yuque.com/staff-gkhviy/pdf-trans/age09f\n\n</w:instrText>
      </w:r>
      <w:r w:rsidR="007623ED">
        <w:rPr>
          <w:rFonts w:ascii="SimSun" w:eastAsia="SimSun" w:hAnsi="SimSun" w:cs="SimSun" w:hint="eastAsia"/>
          <w:szCs w:val="24"/>
          <w:lang w:val="en-HK"/>
        </w:rPr>
        <w:instrText>请注意，这些错误与</w:instrText>
      </w:r>
      <w:r w:rsidR="007623ED">
        <w:rPr>
          <w:rFonts w:eastAsia="Times New Roman" w:cs="Times New Roman"/>
          <w:szCs w:val="24"/>
          <w:lang w:val="en-HK"/>
        </w:rPr>
        <w:instrText xml:space="preserve"> Zotero </w:instrText>
      </w:r>
      <w:r w:rsidR="007623ED">
        <w:rPr>
          <w:rFonts w:ascii="SimSun" w:eastAsia="SimSun" w:hAnsi="SimSun" w:cs="SimSun" w:hint="eastAsia"/>
          <w:szCs w:val="24"/>
          <w:lang w:val="en-HK"/>
        </w:rPr>
        <w:instrText>和本翻译插件无关，由该翻译服务引起：</w:instrText>
      </w:r>
      <w:r w:rsidR="007623ED">
        <w:rPr>
          <w:rFonts w:eastAsia="Times New Roman" w:cs="Times New Roman"/>
          <w:szCs w:val="24"/>
          <w:lang w:val="en-HK"/>
        </w:rPr>
        <w:instrText xml:space="preserve"> DeepLX(API)\n\nError: HTTP POST https://api.deeplx.org/y-cS26zcyRdzQVtXTjNhBWk5TQOXCjem9HBtsjut7EM/translate failed with status code 401","page":"103474","source":"DOI.org (Crossref)","title":"Energy justice beyond the wire: Exploring the multidimensional inequities of the electrical power grid in the United States","title-short":"Energy justice beyond the wire","volume":"111","author":[{"family":"Sovacool","given":"Benjamin K."},{"family":"Carley","given":"Sanya"},{"family":"Kiesling","given":"Lynne"}],"issued":{"date-parts":[["2024",5]]}}}],"schema":"https://github.com/citation-style-language/schema/raw/master/csl-citation.json"} </w:instrText>
      </w:r>
      <w:r w:rsidR="007623ED">
        <w:rPr>
          <w:rFonts w:eastAsia="Times New Roman" w:cs="Times New Roman"/>
          <w:szCs w:val="24"/>
          <w:lang w:val="en-HK"/>
        </w:rPr>
        <w:fldChar w:fldCharType="separate"/>
      </w:r>
      <w:r w:rsidR="007623ED">
        <w:rPr>
          <w:rFonts w:eastAsia="Times New Roman" w:cs="Times New Roman"/>
          <w:noProof/>
          <w:szCs w:val="24"/>
          <w:lang w:val="en-HK"/>
        </w:rPr>
        <w:t>(Sovacool et al., 2024)</w:t>
      </w:r>
      <w:r w:rsidR="007623ED">
        <w:rPr>
          <w:rFonts w:eastAsia="Times New Roman" w:cs="Times New Roman"/>
          <w:szCs w:val="24"/>
          <w:lang w:val="en-HK"/>
        </w:rPr>
        <w:fldChar w:fldCharType="end"/>
      </w:r>
      <w:r w:rsidRPr="008A364F">
        <w:rPr>
          <w:rFonts w:eastAsia="Times New Roman" w:cs="Times New Roman"/>
          <w:szCs w:val="24"/>
          <w:lang w:val="en-HK"/>
        </w:rPr>
        <w:t>. Identification thus relies on cross-sectional variation in infrastructure interacting with time-varying shocks rather than on contemporaneous infrastructure investment.</w:t>
      </w:r>
    </w:p>
    <w:p w14:paraId="403A2CD4" w14:textId="77777777" w:rsidR="007623ED" w:rsidRPr="008A364F" w:rsidRDefault="007623ED" w:rsidP="007623ED">
      <w:pPr>
        <w:rPr>
          <w:rFonts w:eastAsia="Times New Roman" w:cs="Times New Roman"/>
          <w:szCs w:val="24"/>
          <w:lang w:val="en-HK"/>
        </w:rPr>
      </w:pPr>
    </w:p>
    <w:p w14:paraId="279F0D04" w14:textId="77777777" w:rsidR="008A364F" w:rsidRPr="008A364F" w:rsidRDefault="008A364F" w:rsidP="007623ED">
      <w:pPr>
        <w:rPr>
          <w:rFonts w:eastAsia="Times New Roman" w:cs="Times New Roman"/>
          <w:szCs w:val="24"/>
          <w:lang w:val="en-HK"/>
        </w:rPr>
      </w:pPr>
      <w:r w:rsidRPr="008A364F">
        <w:rPr>
          <w:rFonts w:eastAsia="Times New Roman" w:cs="Times New Roman"/>
          <w:szCs w:val="24"/>
          <w:lang w:val="en-HK"/>
        </w:rPr>
        <w:t>Second, the IV specifications include year-by-quarter fixed effects, which absorb time-specific shocks common to all locations, including seasonal patterns, statewide policy changes, and macroeconomic conditions. Third, the models control for a comprehensive set of time-varying local characteristics—including socioeconomic conditions, insurance coverage, healthcare supply, baseline health vulnerability indices, and extreme weather exposure—thereby reducing the possibility that infrastructure density proxies for contemporaneous changes in community vulnerability or healthcare access. Although infrastructure placement may correlate with long-run characteristics such as population density, these factors are directly controlled for in the regressions. The remaining variation therefore reflects the physical configuration of the electricity grid, which determines how outages propagate through the network but does not directly influence psychiatric hospitalization demand.</w:t>
      </w:r>
    </w:p>
    <w:p w14:paraId="51AFCF9B" w14:textId="77777777" w:rsidR="00197C0F" w:rsidRDefault="00197C0F" w:rsidP="000E3987">
      <w:pPr>
        <w:jc w:val="left"/>
        <w:rPr>
          <w:rFonts w:cs="Times New Roman"/>
          <w:b/>
          <w:bCs/>
        </w:rPr>
      </w:pPr>
      <w:r>
        <w:rPr>
          <w:rFonts w:cs="Times New Roman"/>
          <w:b/>
          <w:bCs/>
        </w:rPr>
        <w:t xml:space="preserve"> </w:t>
      </w:r>
    </w:p>
    <w:p w14:paraId="32E6B580" w14:textId="77777777" w:rsidR="00F561AC" w:rsidRDefault="00F561AC" w:rsidP="000E3987">
      <w:pPr>
        <w:jc w:val="left"/>
        <w:rPr>
          <w:rFonts w:cs="Times New Roman"/>
          <w:b/>
          <w:bCs/>
        </w:rPr>
      </w:pPr>
    </w:p>
    <w:p w14:paraId="693882E9" w14:textId="20F04F79" w:rsidR="00F561AC" w:rsidRPr="000E3987" w:rsidRDefault="00F561AC" w:rsidP="000E3987">
      <w:pPr>
        <w:jc w:val="left"/>
        <w:rPr>
          <w:rFonts w:cs="Times New Roman"/>
          <w:b/>
          <w:bCs/>
        </w:rPr>
        <w:sectPr w:rsidR="00F561AC" w:rsidRPr="000E3987">
          <w:footerReference w:type="default" r:id="rId14"/>
          <w:pgSz w:w="11906" w:h="16838"/>
          <w:pgMar w:top="1440" w:right="1800" w:bottom="1440" w:left="1800" w:header="851" w:footer="992" w:gutter="0"/>
          <w:lnNumType w:countBy="1"/>
          <w:cols w:space="425"/>
          <w:docGrid w:type="lines" w:linePitch="312"/>
        </w:sectPr>
      </w:pPr>
    </w:p>
    <w:p w14:paraId="550389B6" w14:textId="0BBB564D" w:rsidR="00512623" w:rsidRPr="004E7325" w:rsidRDefault="00512623" w:rsidP="00512623">
      <w:pPr>
        <w:spacing w:line="360" w:lineRule="auto"/>
        <w:rPr>
          <w:rFonts w:cs="Times New Roman"/>
          <w:b/>
          <w:bCs/>
        </w:rPr>
      </w:pPr>
      <w:r>
        <w:rPr>
          <w:rFonts w:cs="Times New Roman"/>
          <w:b/>
          <w:bCs/>
        </w:rPr>
        <w:lastRenderedPageBreak/>
        <w:t xml:space="preserve">Supplementary </w:t>
      </w:r>
      <w:r w:rsidRPr="004E7325">
        <w:rPr>
          <w:rFonts w:cs="Times New Roman"/>
          <w:b/>
          <w:bCs/>
        </w:rPr>
        <w:t xml:space="preserve">Table </w:t>
      </w:r>
      <w:r>
        <w:rPr>
          <w:rFonts w:cs="Times New Roman"/>
          <w:b/>
          <w:bCs/>
        </w:rPr>
        <w:t>S1</w:t>
      </w:r>
      <w:r w:rsidRPr="004E7325">
        <w:rPr>
          <w:rFonts w:cs="Times New Roman"/>
          <w:b/>
          <w:bCs/>
        </w:rPr>
        <w:t xml:space="preserve">: </w:t>
      </w:r>
      <w:r w:rsidRPr="004E7325">
        <w:rPr>
          <w:rFonts w:cs="Times New Roman"/>
          <w:b/>
          <w:bCs/>
          <w:lang w:val="en-GB"/>
        </w:rPr>
        <w:t>Summary Statistics - Full Variable List (ZIP-Quarter Level)</w:t>
      </w:r>
    </w:p>
    <w:tbl>
      <w:tblPr>
        <w:tblW w:w="13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4395"/>
        <w:gridCol w:w="1140"/>
        <w:gridCol w:w="990"/>
        <w:gridCol w:w="1170"/>
        <w:gridCol w:w="1350"/>
        <w:gridCol w:w="1350"/>
      </w:tblGrid>
      <w:tr w:rsidR="00070C1D" w:rsidRPr="004E7325" w14:paraId="6BB9210D" w14:textId="4B29A993" w:rsidTr="00070C1D">
        <w:tc>
          <w:tcPr>
            <w:tcW w:w="2938" w:type="dxa"/>
          </w:tcPr>
          <w:p w14:paraId="03C6DB5F"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Variable Names</w:t>
            </w:r>
          </w:p>
        </w:tc>
        <w:tc>
          <w:tcPr>
            <w:tcW w:w="4395" w:type="dxa"/>
          </w:tcPr>
          <w:p w14:paraId="7EDA6D3A"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Definitions</w:t>
            </w:r>
          </w:p>
        </w:tc>
        <w:tc>
          <w:tcPr>
            <w:tcW w:w="1140" w:type="dxa"/>
          </w:tcPr>
          <w:p w14:paraId="1C9D403C"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N</w:t>
            </w:r>
          </w:p>
        </w:tc>
        <w:tc>
          <w:tcPr>
            <w:tcW w:w="990" w:type="dxa"/>
          </w:tcPr>
          <w:p w14:paraId="57B60281"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Mean</w:t>
            </w:r>
          </w:p>
        </w:tc>
        <w:tc>
          <w:tcPr>
            <w:tcW w:w="1170" w:type="dxa"/>
          </w:tcPr>
          <w:p w14:paraId="7C8AFE5A"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SD</w:t>
            </w:r>
          </w:p>
        </w:tc>
        <w:tc>
          <w:tcPr>
            <w:tcW w:w="1350" w:type="dxa"/>
          </w:tcPr>
          <w:p w14:paraId="7B4CCDAF" w14:textId="12C01137" w:rsidR="00070C1D" w:rsidRPr="004E7325" w:rsidRDefault="00070C1D" w:rsidP="006E410C">
            <w:pPr>
              <w:autoSpaceDE w:val="0"/>
              <w:autoSpaceDN w:val="0"/>
              <w:adjustRightInd w:val="0"/>
              <w:rPr>
                <w:rFonts w:cs="Times New Roman"/>
                <w:lang w:val="en-GB"/>
              </w:rPr>
            </w:pPr>
            <w:r>
              <w:rPr>
                <w:rFonts w:cs="Times New Roman" w:hint="eastAsia"/>
                <w:lang w:val="en-GB"/>
              </w:rPr>
              <w:t>P25</w:t>
            </w:r>
          </w:p>
        </w:tc>
        <w:tc>
          <w:tcPr>
            <w:tcW w:w="1350" w:type="dxa"/>
          </w:tcPr>
          <w:p w14:paraId="4C7BB0AE" w14:textId="273E761A" w:rsidR="00070C1D" w:rsidRPr="004E7325" w:rsidRDefault="00070C1D" w:rsidP="006E410C">
            <w:pPr>
              <w:autoSpaceDE w:val="0"/>
              <w:autoSpaceDN w:val="0"/>
              <w:adjustRightInd w:val="0"/>
              <w:rPr>
                <w:rFonts w:cs="Times New Roman"/>
                <w:lang w:val="en-GB"/>
              </w:rPr>
            </w:pPr>
            <w:r>
              <w:rPr>
                <w:rFonts w:cs="Times New Roman" w:hint="eastAsia"/>
                <w:lang w:val="en-GB"/>
              </w:rPr>
              <w:t>P75</w:t>
            </w:r>
          </w:p>
        </w:tc>
      </w:tr>
      <w:tr w:rsidR="00070C1D" w:rsidRPr="004E7325" w14:paraId="62D92028" w14:textId="014C2292" w:rsidTr="00070C1D">
        <w:tc>
          <w:tcPr>
            <w:tcW w:w="2938" w:type="dxa"/>
          </w:tcPr>
          <w:p w14:paraId="3835D5B3"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mh_primary_cases</w:t>
            </w:r>
            <w:proofErr w:type="spellEnd"/>
          </w:p>
        </w:tc>
        <w:tc>
          <w:tcPr>
            <w:tcW w:w="4395" w:type="dxa"/>
          </w:tcPr>
          <w:p w14:paraId="0454161D"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Count of mental health-related hospitalizations per ZIP code-quarter</w:t>
            </w:r>
          </w:p>
        </w:tc>
        <w:tc>
          <w:tcPr>
            <w:tcW w:w="1140" w:type="dxa"/>
          </w:tcPr>
          <w:p w14:paraId="28E10119" w14:textId="2EF259E8"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BD4E33">
              <w:rPr>
                <w:rFonts w:cs="Times New Roman" w:hint="eastAsia"/>
                <w:lang w:val="en-GB"/>
              </w:rPr>
              <w:t>309</w:t>
            </w:r>
          </w:p>
        </w:tc>
        <w:tc>
          <w:tcPr>
            <w:tcW w:w="990" w:type="dxa"/>
          </w:tcPr>
          <w:p w14:paraId="5AF3D626" w14:textId="3BB02BA4" w:rsidR="00070C1D" w:rsidRPr="004E7325" w:rsidRDefault="00070C1D" w:rsidP="006E410C">
            <w:pPr>
              <w:autoSpaceDE w:val="0"/>
              <w:autoSpaceDN w:val="0"/>
              <w:adjustRightInd w:val="0"/>
              <w:rPr>
                <w:rFonts w:cs="Times New Roman"/>
                <w:lang w:val="en-GB"/>
              </w:rPr>
            </w:pPr>
            <w:r w:rsidRPr="004E7325">
              <w:rPr>
                <w:rFonts w:cs="Times New Roman"/>
                <w:lang w:val="en-GB"/>
              </w:rPr>
              <w:t>1</w:t>
            </w:r>
            <w:r w:rsidR="00BD4E33">
              <w:rPr>
                <w:rFonts w:cs="Times New Roman" w:hint="eastAsia"/>
                <w:lang w:val="en-GB"/>
              </w:rPr>
              <w:t>7.01</w:t>
            </w:r>
          </w:p>
        </w:tc>
        <w:tc>
          <w:tcPr>
            <w:tcW w:w="1170" w:type="dxa"/>
          </w:tcPr>
          <w:p w14:paraId="576B673D"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29.07</w:t>
            </w:r>
          </w:p>
        </w:tc>
        <w:tc>
          <w:tcPr>
            <w:tcW w:w="1350" w:type="dxa"/>
          </w:tcPr>
          <w:p w14:paraId="4E647D87" w14:textId="7087157B" w:rsidR="00070C1D" w:rsidRPr="004E7325" w:rsidRDefault="00BD4E33" w:rsidP="006E410C">
            <w:pPr>
              <w:autoSpaceDE w:val="0"/>
              <w:autoSpaceDN w:val="0"/>
              <w:adjustRightInd w:val="0"/>
              <w:rPr>
                <w:rFonts w:cs="Times New Roman"/>
                <w:lang w:val="en-GB"/>
              </w:rPr>
            </w:pPr>
            <w:r>
              <w:rPr>
                <w:rFonts w:cs="Times New Roman" w:hint="eastAsia"/>
                <w:lang w:val="en-GB"/>
              </w:rPr>
              <w:t>1</w:t>
            </w:r>
          </w:p>
        </w:tc>
        <w:tc>
          <w:tcPr>
            <w:tcW w:w="1350" w:type="dxa"/>
          </w:tcPr>
          <w:p w14:paraId="0030933E" w14:textId="5E2558BB" w:rsidR="00070C1D" w:rsidRPr="004E7325" w:rsidRDefault="00BD4E33" w:rsidP="006E410C">
            <w:pPr>
              <w:autoSpaceDE w:val="0"/>
              <w:autoSpaceDN w:val="0"/>
              <w:adjustRightInd w:val="0"/>
              <w:rPr>
                <w:rFonts w:cs="Times New Roman"/>
                <w:lang w:val="en-GB"/>
              </w:rPr>
            </w:pPr>
            <w:r>
              <w:rPr>
                <w:rFonts w:cs="Times New Roman" w:hint="eastAsia"/>
                <w:lang w:val="en-GB"/>
              </w:rPr>
              <w:t>21</w:t>
            </w:r>
          </w:p>
        </w:tc>
      </w:tr>
      <w:tr w:rsidR="00070C1D" w:rsidRPr="004E7325" w14:paraId="552B07CE" w14:textId="2E8686C7" w:rsidTr="00070C1D">
        <w:tc>
          <w:tcPr>
            <w:tcW w:w="2938" w:type="dxa"/>
          </w:tcPr>
          <w:p w14:paraId="3EB39930"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new_1hr_episodes_p75</w:t>
            </w:r>
          </w:p>
        </w:tc>
        <w:tc>
          <w:tcPr>
            <w:tcW w:w="4395" w:type="dxa"/>
          </w:tcPr>
          <w:p w14:paraId="0B08AD8B"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Number of power outage episodes lasting ≥1 hour at 75th percentile intensity threshold</w:t>
            </w:r>
          </w:p>
        </w:tc>
        <w:tc>
          <w:tcPr>
            <w:tcW w:w="1140" w:type="dxa"/>
          </w:tcPr>
          <w:p w14:paraId="66F65E92" w14:textId="393B3F5F" w:rsidR="00070C1D" w:rsidRPr="004E7325" w:rsidRDefault="00070C1D" w:rsidP="006E410C">
            <w:pPr>
              <w:autoSpaceDE w:val="0"/>
              <w:autoSpaceDN w:val="0"/>
              <w:adjustRightInd w:val="0"/>
              <w:rPr>
                <w:rFonts w:cs="Times New Roman"/>
                <w:lang w:val="en-GB"/>
              </w:rPr>
            </w:pPr>
            <w:r w:rsidRPr="004E7325">
              <w:rPr>
                <w:rFonts w:cs="Times New Roman"/>
                <w:lang w:val="en-GB"/>
              </w:rPr>
              <w:t>9</w:t>
            </w:r>
            <w:r w:rsidR="00BD4E33">
              <w:rPr>
                <w:rFonts w:cs="Times New Roman" w:hint="eastAsia"/>
                <w:lang w:val="en-GB"/>
              </w:rPr>
              <w:t>228</w:t>
            </w:r>
          </w:p>
        </w:tc>
        <w:tc>
          <w:tcPr>
            <w:tcW w:w="990" w:type="dxa"/>
          </w:tcPr>
          <w:p w14:paraId="14970645" w14:textId="0808337A" w:rsidR="00070C1D" w:rsidRPr="004E7325" w:rsidRDefault="00070C1D" w:rsidP="006E410C">
            <w:pPr>
              <w:autoSpaceDE w:val="0"/>
              <w:autoSpaceDN w:val="0"/>
              <w:adjustRightInd w:val="0"/>
              <w:rPr>
                <w:rFonts w:cs="Times New Roman"/>
                <w:lang w:val="en-GB"/>
              </w:rPr>
            </w:pPr>
            <w:r w:rsidRPr="004E7325">
              <w:rPr>
                <w:rFonts w:cs="Times New Roman"/>
                <w:lang w:val="en-GB"/>
              </w:rPr>
              <w:t>5.</w:t>
            </w:r>
            <w:r w:rsidR="00BD4E33">
              <w:rPr>
                <w:rFonts w:cs="Times New Roman" w:hint="eastAsia"/>
                <w:lang w:val="en-GB"/>
              </w:rPr>
              <w:t>80</w:t>
            </w:r>
          </w:p>
        </w:tc>
        <w:tc>
          <w:tcPr>
            <w:tcW w:w="1170" w:type="dxa"/>
          </w:tcPr>
          <w:p w14:paraId="00D848E1" w14:textId="774163BA" w:rsidR="00070C1D" w:rsidRPr="004E7325" w:rsidRDefault="00070C1D" w:rsidP="006E410C">
            <w:pPr>
              <w:autoSpaceDE w:val="0"/>
              <w:autoSpaceDN w:val="0"/>
              <w:adjustRightInd w:val="0"/>
              <w:rPr>
                <w:rFonts w:cs="Times New Roman"/>
                <w:lang w:val="en-GB"/>
              </w:rPr>
            </w:pPr>
            <w:r w:rsidRPr="004E7325">
              <w:rPr>
                <w:rFonts w:cs="Times New Roman"/>
                <w:lang w:val="en-GB"/>
              </w:rPr>
              <w:t>5.3</w:t>
            </w:r>
            <w:r w:rsidR="00BD4E33">
              <w:rPr>
                <w:rFonts w:cs="Times New Roman" w:hint="eastAsia"/>
                <w:lang w:val="en-GB"/>
              </w:rPr>
              <w:t>3</w:t>
            </w:r>
          </w:p>
        </w:tc>
        <w:tc>
          <w:tcPr>
            <w:tcW w:w="1350" w:type="dxa"/>
          </w:tcPr>
          <w:p w14:paraId="0470A1FB" w14:textId="01AEEDCF" w:rsidR="00070C1D" w:rsidRPr="004E7325" w:rsidRDefault="00BD4E33" w:rsidP="006E410C">
            <w:pPr>
              <w:autoSpaceDE w:val="0"/>
              <w:autoSpaceDN w:val="0"/>
              <w:adjustRightInd w:val="0"/>
              <w:rPr>
                <w:rFonts w:cs="Times New Roman"/>
                <w:lang w:val="en-GB"/>
              </w:rPr>
            </w:pPr>
            <w:r>
              <w:rPr>
                <w:rFonts w:cs="Times New Roman" w:hint="eastAsia"/>
                <w:lang w:val="en-GB"/>
              </w:rPr>
              <w:t>2</w:t>
            </w:r>
          </w:p>
        </w:tc>
        <w:tc>
          <w:tcPr>
            <w:tcW w:w="1350" w:type="dxa"/>
          </w:tcPr>
          <w:p w14:paraId="7002BD2C" w14:textId="2EE5C2EA" w:rsidR="00070C1D" w:rsidRPr="004E7325" w:rsidRDefault="00BD4E33" w:rsidP="006E410C">
            <w:pPr>
              <w:autoSpaceDE w:val="0"/>
              <w:autoSpaceDN w:val="0"/>
              <w:adjustRightInd w:val="0"/>
              <w:rPr>
                <w:rFonts w:cs="Times New Roman"/>
                <w:lang w:val="en-GB"/>
              </w:rPr>
            </w:pPr>
            <w:r>
              <w:rPr>
                <w:rFonts w:cs="Times New Roman" w:hint="eastAsia"/>
                <w:lang w:val="en-GB"/>
              </w:rPr>
              <w:t>8</w:t>
            </w:r>
          </w:p>
        </w:tc>
      </w:tr>
      <w:tr w:rsidR="00070C1D" w:rsidRPr="004E7325" w14:paraId="0DB12AD1" w14:textId="1EDEBC19" w:rsidTr="00070C1D">
        <w:tc>
          <w:tcPr>
            <w:tcW w:w="2938" w:type="dxa"/>
          </w:tcPr>
          <w:p w14:paraId="6ED74971"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ln_outage_1hr_p75</w:t>
            </w:r>
          </w:p>
        </w:tc>
        <w:tc>
          <w:tcPr>
            <w:tcW w:w="4395" w:type="dxa"/>
          </w:tcPr>
          <w:p w14:paraId="54296B8F"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 xml:space="preserve">Natural log of power outage episodes lasting ≥1 hour at 75th percentile threshold, </w:t>
            </w:r>
            <w:proofErr w:type="gramStart"/>
            <w:r w:rsidRPr="004E7325">
              <w:rPr>
                <w:rFonts w:cs="Times New Roman"/>
              </w:rPr>
              <w:t>ln(</w:t>
            </w:r>
            <w:proofErr w:type="gramEnd"/>
            <w:r w:rsidRPr="004E7325">
              <w:rPr>
                <w:rFonts w:cs="Times New Roman"/>
              </w:rPr>
              <w:t>new_1hr_episodes_p75 + 1)</w:t>
            </w:r>
          </w:p>
        </w:tc>
        <w:tc>
          <w:tcPr>
            <w:tcW w:w="1140" w:type="dxa"/>
          </w:tcPr>
          <w:p w14:paraId="5410425C" w14:textId="7FC4B922" w:rsidR="00070C1D" w:rsidRPr="004E7325" w:rsidRDefault="00070C1D" w:rsidP="006E410C">
            <w:pPr>
              <w:autoSpaceDE w:val="0"/>
              <w:autoSpaceDN w:val="0"/>
              <w:adjustRightInd w:val="0"/>
              <w:rPr>
                <w:rFonts w:cs="Times New Roman"/>
                <w:lang w:val="en-GB"/>
              </w:rPr>
            </w:pPr>
            <w:r w:rsidRPr="004E7325">
              <w:rPr>
                <w:rFonts w:cs="Times New Roman"/>
                <w:lang w:val="en-GB"/>
              </w:rPr>
              <w:t>9</w:t>
            </w:r>
            <w:r w:rsidR="00BD4E33">
              <w:rPr>
                <w:rFonts w:cs="Times New Roman" w:hint="eastAsia"/>
                <w:lang w:val="en-GB"/>
              </w:rPr>
              <w:t>228</w:t>
            </w:r>
          </w:p>
        </w:tc>
        <w:tc>
          <w:tcPr>
            <w:tcW w:w="990" w:type="dxa"/>
          </w:tcPr>
          <w:p w14:paraId="0ECEB577" w14:textId="32B43056" w:rsidR="00070C1D" w:rsidRPr="004E7325" w:rsidRDefault="00070C1D" w:rsidP="006E410C">
            <w:pPr>
              <w:autoSpaceDE w:val="0"/>
              <w:autoSpaceDN w:val="0"/>
              <w:adjustRightInd w:val="0"/>
              <w:rPr>
                <w:rFonts w:cs="Times New Roman"/>
                <w:lang w:val="en-GB"/>
              </w:rPr>
            </w:pPr>
            <w:r w:rsidRPr="004E7325">
              <w:rPr>
                <w:rFonts w:cs="Times New Roman"/>
                <w:lang w:val="en-GB"/>
              </w:rPr>
              <w:t>1.6</w:t>
            </w:r>
            <w:r w:rsidR="00BD4E33">
              <w:rPr>
                <w:rFonts w:cs="Times New Roman" w:hint="eastAsia"/>
                <w:lang w:val="en-GB"/>
              </w:rPr>
              <w:t>3</w:t>
            </w:r>
          </w:p>
        </w:tc>
        <w:tc>
          <w:tcPr>
            <w:tcW w:w="1170" w:type="dxa"/>
          </w:tcPr>
          <w:p w14:paraId="2B145B3E"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0.79</w:t>
            </w:r>
          </w:p>
        </w:tc>
        <w:tc>
          <w:tcPr>
            <w:tcW w:w="1350" w:type="dxa"/>
          </w:tcPr>
          <w:p w14:paraId="46FD182A" w14:textId="2B3FE43A" w:rsidR="00070C1D" w:rsidRPr="004E7325" w:rsidRDefault="00BD4E33" w:rsidP="006E410C">
            <w:pPr>
              <w:autoSpaceDE w:val="0"/>
              <w:autoSpaceDN w:val="0"/>
              <w:adjustRightInd w:val="0"/>
              <w:rPr>
                <w:rFonts w:cs="Times New Roman"/>
                <w:lang w:val="en-GB"/>
              </w:rPr>
            </w:pPr>
            <w:r>
              <w:rPr>
                <w:rFonts w:cs="Times New Roman" w:hint="eastAsia"/>
                <w:lang w:val="en-GB"/>
              </w:rPr>
              <w:t>1.1</w:t>
            </w:r>
          </w:p>
        </w:tc>
        <w:tc>
          <w:tcPr>
            <w:tcW w:w="1350" w:type="dxa"/>
          </w:tcPr>
          <w:p w14:paraId="7694D766" w14:textId="49B0660C" w:rsidR="00070C1D" w:rsidRPr="004E7325" w:rsidRDefault="00BD4E33" w:rsidP="006E410C">
            <w:pPr>
              <w:autoSpaceDE w:val="0"/>
              <w:autoSpaceDN w:val="0"/>
              <w:adjustRightInd w:val="0"/>
              <w:rPr>
                <w:rFonts w:cs="Times New Roman"/>
                <w:lang w:val="en-GB"/>
              </w:rPr>
            </w:pPr>
            <w:r>
              <w:rPr>
                <w:rFonts w:cs="Times New Roman" w:hint="eastAsia"/>
                <w:lang w:val="en-GB"/>
              </w:rPr>
              <w:t>2.2</w:t>
            </w:r>
          </w:p>
        </w:tc>
      </w:tr>
      <w:tr w:rsidR="00070C1D" w:rsidRPr="004E7325" w14:paraId="0130EEDB" w14:textId="5652DBFA" w:rsidTr="00070C1D">
        <w:tc>
          <w:tcPr>
            <w:tcW w:w="2938" w:type="dxa"/>
          </w:tcPr>
          <w:p w14:paraId="60C445AD" w14:textId="0FA138AC" w:rsidR="00070C1D" w:rsidRPr="00EA3AF4" w:rsidRDefault="00070C1D" w:rsidP="006E410C">
            <w:pPr>
              <w:autoSpaceDE w:val="0"/>
              <w:autoSpaceDN w:val="0"/>
              <w:adjustRightInd w:val="0"/>
              <w:rPr>
                <w:rFonts w:cs="Times New Roman"/>
              </w:rPr>
            </w:pPr>
            <w:r w:rsidRPr="004E7325">
              <w:rPr>
                <w:rFonts w:cs="Times New Roman"/>
                <w:lang w:val="en-GB"/>
              </w:rPr>
              <w:t>extreme_heat_days_p9</w:t>
            </w:r>
            <w:r>
              <w:rPr>
                <w:rFonts w:cs="Times New Roman" w:hint="eastAsia"/>
                <w:lang w:val="en-GB"/>
              </w:rPr>
              <w:t>0</w:t>
            </w:r>
          </w:p>
        </w:tc>
        <w:tc>
          <w:tcPr>
            <w:tcW w:w="4395" w:type="dxa"/>
          </w:tcPr>
          <w:p w14:paraId="64B1EF10" w14:textId="06F87393" w:rsidR="00070C1D" w:rsidRPr="004E7325" w:rsidRDefault="00070C1D" w:rsidP="001A433C">
            <w:pPr>
              <w:autoSpaceDE w:val="0"/>
              <w:autoSpaceDN w:val="0"/>
              <w:adjustRightInd w:val="0"/>
              <w:jc w:val="left"/>
              <w:rPr>
                <w:rFonts w:cs="Times New Roman"/>
                <w:lang w:val="en-GB"/>
              </w:rPr>
            </w:pPr>
            <w:r w:rsidRPr="004E7325">
              <w:rPr>
                <w:rFonts w:cs="Times New Roman"/>
              </w:rPr>
              <w:t xml:space="preserve">Number of days with maximum </w:t>
            </w:r>
            <w:r w:rsidRPr="00D8519F">
              <w:rPr>
                <w:rFonts w:cs="Times New Roman"/>
              </w:rPr>
              <w:t>temperature above 9</w:t>
            </w:r>
            <w:r w:rsidRPr="00D8519F">
              <w:rPr>
                <w:rFonts w:cs="Times New Roman" w:hint="eastAsia"/>
              </w:rPr>
              <w:t>0</w:t>
            </w:r>
            <w:r w:rsidRPr="00D8519F">
              <w:rPr>
                <w:rFonts w:cs="Times New Roman"/>
              </w:rPr>
              <w:t>th percentile (&gt;</w:t>
            </w:r>
            <w:r w:rsidRPr="00D8519F">
              <w:rPr>
                <w:rFonts w:cs="Times New Roman" w:hint="eastAsia"/>
              </w:rPr>
              <w:t>88.24</w:t>
            </w:r>
            <w:r w:rsidRPr="00D8519F">
              <w:rPr>
                <w:rFonts w:cs="Times New Roman"/>
              </w:rPr>
              <w:t>°F)</w:t>
            </w:r>
          </w:p>
        </w:tc>
        <w:tc>
          <w:tcPr>
            <w:tcW w:w="1140" w:type="dxa"/>
          </w:tcPr>
          <w:p w14:paraId="192D2443"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9091</w:t>
            </w:r>
          </w:p>
        </w:tc>
        <w:tc>
          <w:tcPr>
            <w:tcW w:w="990" w:type="dxa"/>
          </w:tcPr>
          <w:p w14:paraId="73D4E3F2" w14:textId="0A7D22DA" w:rsidR="00070C1D" w:rsidRPr="004E7325" w:rsidRDefault="00070C1D" w:rsidP="006E410C">
            <w:pPr>
              <w:autoSpaceDE w:val="0"/>
              <w:autoSpaceDN w:val="0"/>
              <w:adjustRightInd w:val="0"/>
              <w:rPr>
                <w:rFonts w:cs="Times New Roman"/>
                <w:lang w:val="en-GB"/>
              </w:rPr>
            </w:pPr>
            <w:r>
              <w:rPr>
                <w:rFonts w:cs="Times New Roman" w:hint="eastAsia"/>
                <w:lang w:val="en-GB"/>
              </w:rPr>
              <w:t>8.48</w:t>
            </w:r>
          </w:p>
        </w:tc>
        <w:tc>
          <w:tcPr>
            <w:tcW w:w="1170" w:type="dxa"/>
          </w:tcPr>
          <w:p w14:paraId="4939B14D" w14:textId="791B1A43" w:rsidR="00070C1D" w:rsidRPr="004E7325" w:rsidRDefault="00070C1D" w:rsidP="006E410C">
            <w:pPr>
              <w:autoSpaceDE w:val="0"/>
              <w:autoSpaceDN w:val="0"/>
              <w:adjustRightInd w:val="0"/>
              <w:rPr>
                <w:rFonts w:cs="Times New Roman"/>
                <w:lang w:val="en-GB"/>
              </w:rPr>
            </w:pPr>
            <w:r>
              <w:rPr>
                <w:rFonts w:cs="Times New Roman" w:hint="eastAsia"/>
                <w:lang w:val="en-GB"/>
              </w:rPr>
              <w:t>12.78</w:t>
            </w:r>
          </w:p>
        </w:tc>
        <w:tc>
          <w:tcPr>
            <w:tcW w:w="1350" w:type="dxa"/>
          </w:tcPr>
          <w:p w14:paraId="4553B083" w14:textId="396D5A46" w:rsidR="00070C1D" w:rsidRPr="004E7325" w:rsidRDefault="00BD4E33" w:rsidP="006E410C">
            <w:pPr>
              <w:autoSpaceDE w:val="0"/>
              <w:autoSpaceDN w:val="0"/>
              <w:adjustRightInd w:val="0"/>
              <w:rPr>
                <w:rFonts w:cs="Times New Roman"/>
                <w:lang w:val="en-GB"/>
              </w:rPr>
            </w:pPr>
            <w:r>
              <w:rPr>
                <w:rFonts w:cs="Times New Roman" w:hint="eastAsia"/>
                <w:lang w:val="en-GB"/>
              </w:rPr>
              <w:t>0</w:t>
            </w:r>
          </w:p>
        </w:tc>
        <w:tc>
          <w:tcPr>
            <w:tcW w:w="1350" w:type="dxa"/>
          </w:tcPr>
          <w:p w14:paraId="36A76DC1" w14:textId="629B444C" w:rsidR="00070C1D" w:rsidRPr="004E7325" w:rsidRDefault="00BD4E33" w:rsidP="006E410C">
            <w:pPr>
              <w:autoSpaceDE w:val="0"/>
              <w:autoSpaceDN w:val="0"/>
              <w:adjustRightInd w:val="0"/>
              <w:rPr>
                <w:rFonts w:cs="Times New Roman"/>
                <w:lang w:val="en-GB"/>
              </w:rPr>
            </w:pPr>
            <w:r>
              <w:rPr>
                <w:rFonts w:cs="Times New Roman" w:hint="eastAsia"/>
                <w:lang w:val="en-GB"/>
              </w:rPr>
              <w:t>11</w:t>
            </w:r>
          </w:p>
        </w:tc>
      </w:tr>
      <w:tr w:rsidR="00070C1D" w:rsidRPr="004E7325" w14:paraId="30A714B8" w14:textId="4E548DAF" w:rsidTr="00070C1D">
        <w:tc>
          <w:tcPr>
            <w:tcW w:w="2938" w:type="dxa"/>
          </w:tcPr>
          <w:p w14:paraId="4D47FB09"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avg_cmr_clean</w:t>
            </w:r>
            <w:proofErr w:type="spellEnd"/>
          </w:p>
        </w:tc>
        <w:tc>
          <w:tcPr>
            <w:tcW w:w="4395" w:type="dxa"/>
          </w:tcPr>
          <w:p w14:paraId="5D7659F1"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 xml:space="preserve">Mean </w:t>
            </w:r>
            <w:proofErr w:type="spellStart"/>
            <w:r w:rsidRPr="004E7325">
              <w:rPr>
                <w:rFonts w:cs="Times New Roman"/>
              </w:rPr>
              <w:t>Elixhauser</w:t>
            </w:r>
            <w:proofErr w:type="spellEnd"/>
            <w:r w:rsidRPr="004E7325">
              <w:rPr>
                <w:rFonts w:cs="Times New Roman"/>
              </w:rPr>
              <w:t xml:space="preserve"> Comorbidity Index for readmission risk</w:t>
            </w:r>
          </w:p>
        </w:tc>
        <w:tc>
          <w:tcPr>
            <w:tcW w:w="1140" w:type="dxa"/>
          </w:tcPr>
          <w:p w14:paraId="20655768" w14:textId="2F27E748"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4D7329">
              <w:rPr>
                <w:rFonts w:cs="Times New Roman" w:hint="eastAsia"/>
                <w:lang w:val="en-GB"/>
              </w:rPr>
              <w:t>273</w:t>
            </w:r>
          </w:p>
        </w:tc>
        <w:tc>
          <w:tcPr>
            <w:tcW w:w="990" w:type="dxa"/>
          </w:tcPr>
          <w:p w14:paraId="6AD6F6FD" w14:textId="3706F579" w:rsidR="00070C1D" w:rsidRPr="004E7325" w:rsidRDefault="00070C1D" w:rsidP="006E410C">
            <w:pPr>
              <w:autoSpaceDE w:val="0"/>
              <w:autoSpaceDN w:val="0"/>
              <w:adjustRightInd w:val="0"/>
              <w:rPr>
                <w:rFonts w:cs="Times New Roman"/>
                <w:lang w:val="en-GB"/>
              </w:rPr>
            </w:pPr>
            <w:r w:rsidRPr="004E7325">
              <w:rPr>
                <w:rFonts w:cs="Times New Roman"/>
                <w:lang w:val="en-GB"/>
              </w:rPr>
              <w:t>7.</w:t>
            </w:r>
            <w:r w:rsidR="004D7329">
              <w:rPr>
                <w:rFonts w:cs="Times New Roman" w:hint="eastAsia"/>
                <w:lang w:val="en-GB"/>
              </w:rPr>
              <w:t>38</w:t>
            </w:r>
          </w:p>
        </w:tc>
        <w:tc>
          <w:tcPr>
            <w:tcW w:w="1170" w:type="dxa"/>
          </w:tcPr>
          <w:p w14:paraId="53CE2951" w14:textId="39B75445" w:rsidR="00070C1D" w:rsidRPr="004E7325" w:rsidRDefault="004D7329" w:rsidP="006E410C">
            <w:pPr>
              <w:autoSpaceDE w:val="0"/>
              <w:autoSpaceDN w:val="0"/>
              <w:adjustRightInd w:val="0"/>
              <w:rPr>
                <w:rFonts w:cs="Times New Roman"/>
                <w:lang w:val="en-GB"/>
              </w:rPr>
            </w:pPr>
            <w:r>
              <w:rPr>
                <w:rFonts w:cs="Times New Roman" w:hint="eastAsia"/>
                <w:lang w:val="en-GB"/>
              </w:rPr>
              <w:t>2.94</w:t>
            </w:r>
          </w:p>
        </w:tc>
        <w:tc>
          <w:tcPr>
            <w:tcW w:w="1350" w:type="dxa"/>
          </w:tcPr>
          <w:p w14:paraId="2713E75D" w14:textId="3843EA61" w:rsidR="00070C1D" w:rsidRPr="004E7325" w:rsidRDefault="00BD4E33" w:rsidP="006E410C">
            <w:pPr>
              <w:autoSpaceDE w:val="0"/>
              <w:autoSpaceDN w:val="0"/>
              <w:adjustRightInd w:val="0"/>
              <w:rPr>
                <w:rFonts w:cs="Times New Roman"/>
                <w:lang w:val="en-GB"/>
              </w:rPr>
            </w:pPr>
            <w:r>
              <w:rPr>
                <w:rFonts w:cs="Times New Roman"/>
                <w:lang w:val="en-GB"/>
              </w:rPr>
              <w:t>5.9</w:t>
            </w:r>
            <w:r w:rsidR="004D7329">
              <w:rPr>
                <w:rFonts w:cs="Times New Roman" w:hint="eastAsia"/>
                <w:lang w:val="en-GB"/>
              </w:rPr>
              <w:t>0</w:t>
            </w:r>
          </w:p>
        </w:tc>
        <w:tc>
          <w:tcPr>
            <w:tcW w:w="1350" w:type="dxa"/>
          </w:tcPr>
          <w:p w14:paraId="419F9395" w14:textId="6FDA9EAA" w:rsidR="00070C1D" w:rsidRPr="004E7325" w:rsidRDefault="00BD4E33" w:rsidP="006E410C">
            <w:pPr>
              <w:autoSpaceDE w:val="0"/>
              <w:autoSpaceDN w:val="0"/>
              <w:adjustRightInd w:val="0"/>
              <w:rPr>
                <w:rFonts w:cs="Times New Roman"/>
                <w:lang w:val="en-GB"/>
              </w:rPr>
            </w:pPr>
            <w:r>
              <w:rPr>
                <w:rFonts w:cs="Times New Roman"/>
                <w:lang w:val="en-GB"/>
              </w:rPr>
              <w:t>8.</w:t>
            </w:r>
            <w:r w:rsidR="004D7329">
              <w:rPr>
                <w:rFonts w:cs="Times New Roman" w:hint="eastAsia"/>
                <w:lang w:val="en-GB"/>
              </w:rPr>
              <w:t>57</w:t>
            </w:r>
          </w:p>
        </w:tc>
      </w:tr>
      <w:tr w:rsidR="00070C1D" w:rsidRPr="004E7325" w14:paraId="00A4BC79" w14:textId="65098B43" w:rsidTr="00070C1D">
        <w:tc>
          <w:tcPr>
            <w:tcW w:w="2938" w:type="dxa"/>
          </w:tcPr>
          <w:p w14:paraId="14D2994F"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avg_cmr_mortality_clean</w:t>
            </w:r>
            <w:proofErr w:type="spellEnd"/>
          </w:p>
        </w:tc>
        <w:tc>
          <w:tcPr>
            <w:tcW w:w="4395" w:type="dxa"/>
          </w:tcPr>
          <w:p w14:paraId="6E502398"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 xml:space="preserve">Mean </w:t>
            </w:r>
            <w:proofErr w:type="spellStart"/>
            <w:r w:rsidRPr="004E7325">
              <w:rPr>
                <w:rFonts w:cs="Times New Roman"/>
              </w:rPr>
              <w:t>Elixhauser</w:t>
            </w:r>
            <w:proofErr w:type="spellEnd"/>
            <w:r w:rsidRPr="004E7325">
              <w:rPr>
                <w:rFonts w:cs="Times New Roman"/>
              </w:rPr>
              <w:t xml:space="preserve"> Comorbidity Index for mortality risk</w:t>
            </w:r>
          </w:p>
        </w:tc>
        <w:tc>
          <w:tcPr>
            <w:tcW w:w="1140" w:type="dxa"/>
          </w:tcPr>
          <w:p w14:paraId="13726B64" w14:textId="1843DDAA" w:rsidR="00070C1D" w:rsidRPr="004E7325" w:rsidRDefault="00070C1D" w:rsidP="006E410C">
            <w:pPr>
              <w:autoSpaceDE w:val="0"/>
              <w:autoSpaceDN w:val="0"/>
              <w:adjustRightInd w:val="0"/>
              <w:rPr>
                <w:rFonts w:cs="Times New Roman"/>
                <w:lang w:val="en-GB"/>
              </w:rPr>
            </w:pPr>
            <w:r w:rsidRPr="004E7325">
              <w:rPr>
                <w:rFonts w:cs="Times New Roman"/>
                <w:lang w:val="en-GB"/>
              </w:rPr>
              <w:t>10</w:t>
            </w:r>
            <w:r w:rsidR="00BD4E33">
              <w:rPr>
                <w:rFonts w:cs="Times New Roman" w:hint="eastAsia"/>
                <w:lang w:val="en-GB"/>
              </w:rPr>
              <w:t>550</w:t>
            </w:r>
          </w:p>
        </w:tc>
        <w:tc>
          <w:tcPr>
            <w:tcW w:w="990" w:type="dxa"/>
          </w:tcPr>
          <w:p w14:paraId="278EA7D5" w14:textId="1C13BBCF" w:rsidR="00070C1D" w:rsidRPr="004E7325" w:rsidRDefault="00070C1D" w:rsidP="006E410C">
            <w:pPr>
              <w:autoSpaceDE w:val="0"/>
              <w:autoSpaceDN w:val="0"/>
              <w:adjustRightInd w:val="0"/>
              <w:rPr>
                <w:rFonts w:cs="Times New Roman"/>
                <w:lang w:val="en-GB"/>
              </w:rPr>
            </w:pPr>
            <w:r w:rsidRPr="004E7325">
              <w:rPr>
                <w:rFonts w:cs="Times New Roman"/>
                <w:lang w:val="en-GB"/>
              </w:rPr>
              <w:t>5.</w:t>
            </w:r>
            <w:r w:rsidR="00BD4E33">
              <w:rPr>
                <w:rFonts w:cs="Times New Roman" w:hint="eastAsia"/>
                <w:lang w:val="en-GB"/>
              </w:rPr>
              <w:t>19</w:t>
            </w:r>
          </w:p>
        </w:tc>
        <w:tc>
          <w:tcPr>
            <w:tcW w:w="1170" w:type="dxa"/>
          </w:tcPr>
          <w:p w14:paraId="26C95B51" w14:textId="5BA8F15D" w:rsidR="00070C1D" w:rsidRPr="004E7325" w:rsidRDefault="004D7329" w:rsidP="006E410C">
            <w:pPr>
              <w:autoSpaceDE w:val="0"/>
              <w:autoSpaceDN w:val="0"/>
              <w:adjustRightInd w:val="0"/>
              <w:rPr>
                <w:rFonts w:cs="Times New Roman"/>
                <w:lang w:val="en-GB"/>
              </w:rPr>
            </w:pPr>
            <w:r>
              <w:rPr>
                <w:rFonts w:cs="Times New Roman" w:hint="eastAsia"/>
                <w:lang w:val="en-GB"/>
              </w:rPr>
              <w:t>3.77</w:t>
            </w:r>
          </w:p>
        </w:tc>
        <w:tc>
          <w:tcPr>
            <w:tcW w:w="1350" w:type="dxa"/>
          </w:tcPr>
          <w:p w14:paraId="15C0EA1A" w14:textId="33E09997" w:rsidR="00070C1D" w:rsidRPr="004E7325" w:rsidRDefault="004D7329" w:rsidP="006E410C">
            <w:pPr>
              <w:autoSpaceDE w:val="0"/>
              <w:autoSpaceDN w:val="0"/>
              <w:adjustRightInd w:val="0"/>
              <w:rPr>
                <w:rFonts w:cs="Times New Roman"/>
                <w:lang w:val="en-GB"/>
              </w:rPr>
            </w:pPr>
            <w:r>
              <w:rPr>
                <w:rFonts w:cs="Times New Roman" w:hint="eastAsia"/>
                <w:lang w:val="en-GB"/>
              </w:rPr>
              <w:t>3.25</w:t>
            </w:r>
          </w:p>
        </w:tc>
        <w:tc>
          <w:tcPr>
            <w:tcW w:w="1350" w:type="dxa"/>
          </w:tcPr>
          <w:p w14:paraId="24E19959" w14:textId="364E8F84" w:rsidR="00070C1D" w:rsidRPr="004E7325" w:rsidRDefault="004D7329" w:rsidP="006E410C">
            <w:pPr>
              <w:autoSpaceDE w:val="0"/>
              <w:autoSpaceDN w:val="0"/>
              <w:adjustRightInd w:val="0"/>
              <w:rPr>
                <w:rFonts w:cs="Times New Roman"/>
                <w:lang w:val="en-GB"/>
              </w:rPr>
            </w:pPr>
            <w:r>
              <w:rPr>
                <w:rFonts w:cs="Times New Roman" w:hint="eastAsia"/>
                <w:lang w:val="en-GB"/>
              </w:rPr>
              <w:t>6.12</w:t>
            </w:r>
          </w:p>
        </w:tc>
      </w:tr>
      <w:tr w:rsidR="00070C1D" w:rsidRPr="004E7325" w14:paraId="32918B16" w14:textId="728F715F" w:rsidTr="00070C1D">
        <w:tc>
          <w:tcPr>
            <w:tcW w:w="2938" w:type="dxa"/>
          </w:tcPr>
          <w:p w14:paraId="4ADF0DF3"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pct_psychoses</w:t>
            </w:r>
            <w:proofErr w:type="spellEnd"/>
          </w:p>
        </w:tc>
        <w:tc>
          <w:tcPr>
            <w:tcW w:w="4395" w:type="dxa"/>
          </w:tcPr>
          <w:p w14:paraId="6A27129F"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psychoses comorbidity (</w:t>
            </w:r>
            <w:proofErr w:type="spellStart"/>
            <w:r w:rsidRPr="004E7325">
              <w:rPr>
                <w:rFonts w:cs="Times New Roman"/>
              </w:rPr>
              <w:t>Elixhauser</w:t>
            </w:r>
            <w:proofErr w:type="spellEnd"/>
            <w:r w:rsidRPr="004E7325">
              <w:rPr>
                <w:rFonts w:cs="Times New Roman"/>
              </w:rPr>
              <w:t xml:space="preserve"> CM_PSYCHOSES, %)</w:t>
            </w:r>
          </w:p>
        </w:tc>
        <w:tc>
          <w:tcPr>
            <w:tcW w:w="1140" w:type="dxa"/>
          </w:tcPr>
          <w:p w14:paraId="78023FEA" w14:textId="4033509C"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4D7329">
              <w:rPr>
                <w:rFonts w:cs="Times New Roman" w:hint="eastAsia"/>
                <w:lang w:val="en-GB"/>
              </w:rPr>
              <w:t>309</w:t>
            </w:r>
          </w:p>
        </w:tc>
        <w:tc>
          <w:tcPr>
            <w:tcW w:w="990" w:type="dxa"/>
          </w:tcPr>
          <w:p w14:paraId="095AF244" w14:textId="50CC85F2" w:rsidR="00070C1D" w:rsidRPr="004E7325" w:rsidRDefault="00070C1D" w:rsidP="006E410C">
            <w:pPr>
              <w:autoSpaceDE w:val="0"/>
              <w:autoSpaceDN w:val="0"/>
              <w:adjustRightInd w:val="0"/>
              <w:rPr>
                <w:rFonts w:cs="Times New Roman"/>
                <w:lang w:val="en-GB"/>
              </w:rPr>
            </w:pPr>
            <w:r w:rsidRPr="004E7325">
              <w:rPr>
                <w:rFonts w:cs="Times New Roman"/>
                <w:lang w:val="en-GB"/>
              </w:rPr>
              <w:t>3.9</w:t>
            </w:r>
            <w:r w:rsidR="004D7329">
              <w:rPr>
                <w:rFonts w:cs="Times New Roman" w:hint="eastAsia"/>
                <w:lang w:val="en-GB"/>
              </w:rPr>
              <w:t>0</w:t>
            </w:r>
          </w:p>
        </w:tc>
        <w:tc>
          <w:tcPr>
            <w:tcW w:w="1170" w:type="dxa"/>
          </w:tcPr>
          <w:p w14:paraId="010CD0BB" w14:textId="0426B0D6" w:rsidR="00070C1D" w:rsidRPr="004E7325" w:rsidRDefault="00070C1D" w:rsidP="006E410C">
            <w:pPr>
              <w:autoSpaceDE w:val="0"/>
              <w:autoSpaceDN w:val="0"/>
              <w:adjustRightInd w:val="0"/>
              <w:rPr>
                <w:rFonts w:cs="Times New Roman"/>
                <w:lang w:val="en-GB"/>
              </w:rPr>
            </w:pPr>
            <w:r w:rsidRPr="004E7325">
              <w:rPr>
                <w:rFonts w:cs="Times New Roman"/>
                <w:lang w:val="en-GB"/>
              </w:rPr>
              <w:t>6.</w:t>
            </w:r>
            <w:r w:rsidR="00D37400">
              <w:rPr>
                <w:rFonts w:cs="Times New Roman" w:hint="eastAsia"/>
                <w:lang w:val="en-GB"/>
              </w:rPr>
              <w:t>31</w:t>
            </w:r>
          </w:p>
        </w:tc>
        <w:tc>
          <w:tcPr>
            <w:tcW w:w="1350" w:type="dxa"/>
          </w:tcPr>
          <w:p w14:paraId="63B047FC" w14:textId="513B68D5" w:rsidR="00070C1D" w:rsidRPr="004E7325" w:rsidRDefault="004D7329" w:rsidP="006E410C">
            <w:pPr>
              <w:autoSpaceDE w:val="0"/>
              <w:autoSpaceDN w:val="0"/>
              <w:adjustRightInd w:val="0"/>
              <w:rPr>
                <w:rFonts w:cs="Times New Roman"/>
                <w:lang w:val="en-GB"/>
              </w:rPr>
            </w:pPr>
            <w:r>
              <w:rPr>
                <w:rFonts w:cs="Times New Roman" w:hint="eastAsia"/>
                <w:lang w:val="en-GB"/>
              </w:rPr>
              <w:t>0</w:t>
            </w:r>
          </w:p>
        </w:tc>
        <w:tc>
          <w:tcPr>
            <w:tcW w:w="1350" w:type="dxa"/>
          </w:tcPr>
          <w:p w14:paraId="7CC67545" w14:textId="3F7B5CE4" w:rsidR="00070C1D" w:rsidRPr="004E7325" w:rsidRDefault="004D7329" w:rsidP="006E410C">
            <w:pPr>
              <w:autoSpaceDE w:val="0"/>
              <w:autoSpaceDN w:val="0"/>
              <w:adjustRightInd w:val="0"/>
              <w:rPr>
                <w:rFonts w:cs="Times New Roman"/>
                <w:lang w:val="en-GB"/>
              </w:rPr>
            </w:pPr>
            <w:r>
              <w:rPr>
                <w:rFonts w:cs="Times New Roman" w:hint="eastAsia"/>
                <w:lang w:val="en-GB"/>
              </w:rPr>
              <w:t>5.14</w:t>
            </w:r>
          </w:p>
        </w:tc>
      </w:tr>
      <w:tr w:rsidR="00070C1D" w:rsidRPr="004E7325" w14:paraId="58A0B3A5" w14:textId="27D679A9" w:rsidTr="00070C1D">
        <w:tc>
          <w:tcPr>
            <w:tcW w:w="2938" w:type="dxa"/>
          </w:tcPr>
          <w:p w14:paraId="1491A98E"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pct_alcohol</w:t>
            </w:r>
            <w:proofErr w:type="spellEnd"/>
          </w:p>
        </w:tc>
        <w:tc>
          <w:tcPr>
            <w:tcW w:w="4395" w:type="dxa"/>
          </w:tcPr>
          <w:p w14:paraId="332268E8"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alcohol abuse (</w:t>
            </w:r>
            <w:proofErr w:type="spellStart"/>
            <w:r w:rsidRPr="004E7325">
              <w:rPr>
                <w:rFonts w:cs="Times New Roman"/>
              </w:rPr>
              <w:t>Elixhauser</w:t>
            </w:r>
            <w:proofErr w:type="spellEnd"/>
            <w:r w:rsidRPr="004E7325">
              <w:rPr>
                <w:rFonts w:cs="Times New Roman"/>
              </w:rPr>
              <w:t xml:space="preserve"> CM_ALCOHOL, %)</w:t>
            </w:r>
          </w:p>
        </w:tc>
        <w:tc>
          <w:tcPr>
            <w:tcW w:w="1140" w:type="dxa"/>
          </w:tcPr>
          <w:p w14:paraId="4A1F4839" w14:textId="05EF5EB2"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D37400">
              <w:rPr>
                <w:rFonts w:cs="Times New Roman" w:hint="eastAsia"/>
                <w:lang w:val="en-GB"/>
              </w:rPr>
              <w:t>309</w:t>
            </w:r>
          </w:p>
        </w:tc>
        <w:tc>
          <w:tcPr>
            <w:tcW w:w="990" w:type="dxa"/>
          </w:tcPr>
          <w:p w14:paraId="2D229889"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4.96</w:t>
            </w:r>
          </w:p>
        </w:tc>
        <w:tc>
          <w:tcPr>
            <w:tcW w:w="1170" w:type="dxa"/>
          </w:tcPr>
          <w:p w14:paraId="234293D7" w14:textId="4F9BD122" w:rsidR="00070C1D" w:rsidRPr="004E7325" w:rsidRDefault="00D37400" w:rsidP="006E410C">
            <w:pPr>
              <w:autoSpaceDE w:val="0"/>
              <w:autoSpaceDN w:val="0"/>
              <w:adjustRightInd w:val="0"/>
              <w:rPr>
                <w:rFonts w:cs="Times New Roman"/>
                <w:lang w:val="en-GB"/>
              </w:rPr>
            </w:pPr>
            <w:r>
              <w:rPr>
                <w:rFonts w:cs="Times New Roman" w:hint="eastAsia"/>
                <w:lang w:val="en-GB"/>
              </w:rPr>
              <w:t>6.77</w:t>
            </w:r>
          </w:p>
        </w:tc>
        <w:tc>
          <w:tcPr>
            <w:tcW w:w="1350" w:type="dxa"/>
          </w:tcPr>
          <w:p w14:paraId="4C2E714D" w14:textId="674CB6DC" w:rsidR="00070C1D" w:rsidRPr="004E7325" w:rsidRDefault="00D37400" w:rsidP="006E410C">
            <w:pPr>
              <w:autoSpaceDE w:val="0"/>
              <w:autoSpaceDN w:val="0"/>
              <w:adjustRightInd w:val="0"/>
              <w:rPr>
                <w:rFonts w:cs="Times New Roman"/>
                <w:lang w:val="en-GB"/>
              </w:rPr>
            </w:pPr>
            <w:r>
              <w:rPr>
                <w:rFonts w:cs="Times New Roman" w:hint="eastAsia"/>
                <w:lang w:val="en-GB"/>
              </w:rPr>
              <w:t>1.39</w:t>
            </w:r>
          </w:p>
        </w:tc>
        <w:tc>
          <w:tcPr>
            <w:tcW w:w="1350" w:type="dxa"/>
          </w:tcPr>
          <w:p w14:paraId="2CBD7AC7" w14:textId="6470A613" w:rsidR="00070C1D" w:rsidRPr="004E7325" w:rsidRDefault="00D37400" w:rsidP="006E410C">
            <w:pPr>
              <w:autoSpaceDE w:val="0"/>
              <w:autoSpaceDN w:val="0"/>
              <w:adjustRightInd w:val="0"/>
              <w:rPr>
                <w:rFonts w:cs="Times New Roman"/>
                <w:lang w:val="en-GB"/>
              </w:rPr>
            </w:pPr>
            <w:r>
              <w:rPr>
                <w:rFonts w:cs="Times New Roman" w:hint="eastAsia"/>
                <w:lang w:val="en-GB"/>
              </w:rPr>
              <w:t>6.25</w:t>
            </w:r>
          </w:p>
        </w:tc>
      </w:tr>
      <w:tr w:rsidR="00070C1D" w:rsidRPr="004E7325" w14:paraId="336F3EEF" w14:textId="03E13D13" w:rsidTr="00070C1D">
        <w:tc>
          <w:tcPr>
            <w:tcW w:w="2938" w:type="dxa"/>
          </w:tcPr>
          <w:p w14:paraId="28189AA2"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lastRenderedPageBreak/>
              <w:t>pct_drug_abuse</w:t>
            </w:r>
            <w:proofErr w:type="spellEnd"/>
          </w:p>
        </w:tc>
        <w:tc>
          <w:tcPr>
            <w:tcW w:w="4395" w:type="dxa"/>
          </w:tcPr>
          <w:p w14:paraId="52F0FC96"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drug abuse (</w:t>
            </w:r>
            <w:proofErr w:type="spellStart"/>
            <w:r w:rsidRPr="004E7325">
              <w:rPr>
                <w:rFonts w:cs="Times New Roman"/>
              </w:rPr>
              <w:t>Elixhauser</w:t>
            </w:r>
            <w:proofErr w:type="spellEnd"/>
            <w:r w:rsidRPr="004E7325">
              <w:rPr>
                <w:rFonts w:cs="Times New Roman"/>
              </w:rPr>
              <w:t xml:space="preserve"> CM_DRUG_ABUSE, %)</w:t>
            </w:r>
          </w:p>
        </w:tc>
        <w:tc>
          <w:tcPr>
            <w:tcW w:w="1140" w:type="dxa"/>
          </w:tcPr>
          <w:p w14:paraId="0216E821" w14:textId="0B9A18C2"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D37400">
              <w:rPr>
                <w:rFonts w:cs="Times New Roman" w:hint="eastAsia"/>
                <w:lang w:val="en-GB"/>
              </w:rPr>
              <w:t>309</w:t>
            </w:r>
          </w:p>
        </w:tc>
        <w:tc>
          <w:tcPr>
            <w:tcW w:w="990" w:type="dxa"/>
          </w:tcPr>
          <w:p w14:paraId="43D3E11A" w14:textId="55FBF66D" w:rsidR="00070C1D" w:rsidRPr="004E7325" w:rsidRDefault="00070C1D" w:rsidP="006E410C">
            <w:pPr>
              <w:autoSpaceDE w:val="0"/>
              <w:autoSpaceDN w:val="0"/>
              <w:adjustRightInd w:val="0"/>
              <w:rPr>
                <w:rFonts w:cs="Times New Roman"/>
                <w:lang w:val="en-GB"/>
              </w:rPr>
            </w:pPr>
            <w:r w:rsidRPr="004E7325">
              <w:rPr>
                <w:rFonts w:cs="Times New Roman"/>
                <w:lang w:val="en-GB"/>
              </w:rPr>
              <w:t>4.</w:t>
            </w:r>
            <w:r w:rsidR="00D37400">
              <w:rPr>
                <w:rFonts w:cs="Times New Roman" w:hint="eastAsia"/>
                <w:lang w:val="en-GB"/>
              </w:rPr>
              <w:t>68</w:t>
            </w:r>
          </w:p>
        </w:tc>
        <w:tc>
          <w:tcPr>
            <w:tcW w:w="1170" w:type="dxa"/>
          </w:tcPr>
          <w:p w14:paraId="326F753F" w14:textId="73F68D3E" w:rsidR="00070C1D" w:rsidRPr="004E7325" w:rsidRDefault="00070C1D" w:rsidP="006E410C">
            <w:pPr>
              <w:autoSpaceDE w:val="0"/>
              <w:autoSpaceDN w:val="0"/>
              <w:adjustRightInd w:val="0"/>
              <w:rPr>
                <w:rFonts w:cs="Times New Roman"/>
                <w:lang w:val="en-GB"/>
              </w:rPr>
            </w:pPr>
            <w:r w:rsidRPr="004E7325">
              <w:rPr>
                <w:rFonts w:cs="Times New Roman"/>
                <w:lang w:val="en-GB"/>
              </w:rPr>
              <w:t>7.</w:t>
            </w:r>
            <w:r w:rsidR="00D37400">
              <w:rPr>
                <w:rFonts w:cs="Times New Roman" w:hint="eastAsia"/>
                <w:lang w:val="en-GB"/>
              </w:rPr>
              <w:t>47</w:t>
            </w:r>
          </w:p>
        </w:tc>
        <w:tc>
          <w:tcPr>
            <w:tcW w:w="1350" w:type="dxa"/>
          </w:tcPr>
          <w:p w14:paraId="78F1B159" w14:textId="31B474AA" w:rsidR="00070C1D" w:rsidRPr="004E7325" w:rsidRDefault="00D37400" w:rsidP="006E410C">
            <w:pPr>
              <w:autoSpaceDE w:val="0"/>
              <w:autoSpaceDN w:val="0"/>
              <w:adjustRightInd w:val="0"/>
              <w:rPr>
                <w:rFonts w:cs="Times New Roman"/>
                <w:lang w:val="en-GB"/>
              </w:rPr>
            </w:pPr>
            <w:r>
              <w:rPr>
                <w:rFonts w:cs="Times New Roman" w:hint="eastAsia"/>
                <w:lang w:val="en-GB"/>
              </w:rPr>
              <w:t>0</w:t>
            </w:r>
          </w:p>
        </w:tc>
        <w:tc>
          <w:tcPr>
            <w:tcW w:w="1350" w:type="dxa"/>
          </w:tcPr>
          <w:p w14:paraId="6B2D9DC3" w14:textId="35F6DD18" w:rsidR="00070C1D" w:rsidRPr="004E7325" w:rsidRDefault="00D37400" w:rsidP="006E410C">
            <w:pPr>
              <w:autoSpaceDE w:val="0"/>
              <w:autoSpaceDN w:val="0"/>
              <w:adjustRightInd w:val="0"/>
              <w:rPr>
                <w:rFonts w:cs="Times New Roman"/>
                <w:lang w:val="en-GB"/>
              </w:rPr>
            </w:pPr>
            <w:r>
              <w:rPr>
                <w:rFonts w:cs="Times New Roman" w:hint="eastAsia"/>
                <w:lang w:val="en-GB"/>
              </w:rPr>
              <w:t>5.71</w:t>
            </w:r>
          </w:p>
        </w:tc>
      </w:tr>
      <w:tr w:rsidR="00070C1D" w:rsidRPr="004E7325" w14:paraId="06772833" w14:textId="168DC5DF" w:rsidTr="00070C1D">
        <w:tc>
          <w:tcPr>
            <w:tcW w:w="2938" w:type="dxa"/>
          </w:tcPr>
          <w:p w14:paraId="4DCE3588"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pct_diabetes_cx</w:t>
            </w:r>
            <w:proofErr w:type="spellEnd"/>
          </w:p>
        </w:tc>
        <w:tc>
          <w:tcPr>
            <w:tcW w:w="4395" w:type="dxa"/>
          </w:tcPr>
          <w:p w14:paraId="7AE89305"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diabetes with chronic complications (</w:t>
            </w:r>
            <w:proofErr w:type="spellStart"/>
            <w:r w:rsidRPr="004E7325">
              <w:rPr>
                <w:rFonts w:cs="Times New Roman"/>
              </w:rPr>
              <w:t>Elixhauser</w:t>
            </w:r>
            <w:proofErr w:type="spellEnd"/>
            <w:r w:rsidRPr="004E7325">
              <w:rPr>
                <w:rFonts w:cs="Times New Roman"/>
              </w:rPr>
              <w:t xml:space="preserve"> CM_DIAB_CX, %)</w:t>
            </w:r>
          </w:p>
        </w:tc>
        <w:tc>
          <w:tcPr>
            <w:tcW w:w="1140" w:type="dxa"/>
          </w:tcPr>
          <w:p w14:paraId="475D273E" w14:textId="5CE725D5"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D37400">
              <w:rPr>
                <w:rFonts w:cs="Times New Roman" w:hint="eastAsia"/>
                <w:lang w:val="en-GB"/>
              </w:rPr>
              <w:t>309</w:t>
            </w:r>
          </w:p>
        </w:tc>
        <w:tc>
          <w:tcPr>
            <w:tcW w:w="990" w:type="dxa"/>
          </w:tcPr>
          <w:p w14:paraId="5BB75C19" w14:textId="799E1141" w:rsidR="00070C1D" w:rsidRPr="004E7325" w:rsidRDefault="00070C1D" w:rsidP="006E410C">
            <w:pPr>
              <w:autoSpaceDE w:val="0"/>
              <w:autoSpaceDN w:val="0"/>
              <w:adjustRightInd w:val="0"/>
              <w:rPr>
                <w:rFonts w:cs="Times New Roman"/>
                <w:lang w:val="en-GB"/>
              </w:rPr>
            </w:pPr>
            <w:r w:rsidRPr="004E7325">
              <w:rPr>
                <w:rFonts w:cs="Times New Roman"/>
                <w:lang w:val="en-GB"/>
              </w:rPr>
              <w:t>16.</w:t>
            </w:r>
            <w:r w:rsidR="00D37400">
              <w:rPr>
                <w:rFonts w:cs="Times New Roman" w:hint="eastAsia"/>
                <w:lang w:val="en-GB"/>
              </w:rPr>
              <w:t>57</w:t>
            </w:r>
          </w:p>
        </w:tc>
        <w:tc>
          <w:tcPr>
            <w:tcW w:w="1170" w:type="dxa"/>
          </w:tcPr>
          <w:p w14:paraId="24551E79" w14:textId="42A46321" w:rsidR="00070C1D" w:rsidRPr="004E7325" w:rsidRDefault="00070C1D" w:rsidP="006E410C">
            <w:pPr>
              <w:autoSpaceDE w:val="0"/>
              <w:autoSpaceDN w:val="0"/>
              <w:adjustRightInd w:val="0"/>
              <w:rPr>
                <w:rFonts w:cs="Times New Roman"/>
                <w:lang w:val="en-GB"/>
              </w:rPr>
            </w:pPr>
            <w:r w:rsidRPr="004E7325">
              <w:rPr>
                <w:rFonts w:cs="Times New Roman"/>
                <w:lang w:val="en-GB"/>
              </w:rPr>
              <w:t>12.</w:t>
            </w:r>
            <w:r w:rsidR="00D37400">
              <w:rPr>
                <w:rFonts w:cs="Times New Roman" w:hint="eastAsia"/>
                <w:lang w:val="en-GB"/>
              </w:rPr>
              <w:t>22</w:t>
            </w:r>
          </w:p>
        </w:tc>
        <w:tc>
          <w:tcPr>
            <w:tcW w:w="1350" w:type="dxa"/>
          </w:tcPr>
          <w:p w14:paraId="707ED74E" w14:textId="3C6FD723" w:rsidR="00070C1D" w:rsidRPr="004E7325" w:rsidRDefault="00D37400" w:rsidP="006E410C">
            <w:pPr>
              <w:autoSpaceDE w:val="0"/>
              <w:autoSpaceDN w:val="0"/>
              <w:adjustRightInd w:val="0"/>
              <w:rPr>
                <w:rFonts w:cs="Times New Roman"/>
                <w:lang w:val="en-GB"/>
              </w:rPr>
            </w:pPr>
            <w:r>
              <w:rPr>
                <w:rFonts w:cs="Times New Roman" w:hint="eastAsia"/>
                <w:lang w:val="en-GB"/>
              </w:rPr>
              <w:t>11.23</w:t>
            </w:r>
          </w:p>
        </w:tc>
        <w:tc>
          <w:tcPr>
            <w:tcW w:w="1350" w:type="dxa"/>
          </w:tcPr>
          <w:p w14:paraId="4D16B2E3" w14:textId="0E0C290E" w:rsidR="00070C1D" w:rsidRPr="004E7325" w:rsidRDefault="00D37400" w:rsidP="006E410C">
            <w:pPr>
              <w:autoSpaceDE w:val="0"/>
              <w:autoSpaceDN w:val="0"/>
              <w:adjustRightInd w:val="0"/>
              <w:rPr>
                <w:rFonts w:cs="Times New Roman"/>
                <w:lang w:val="en-GB"/>
              </w:rPr>
            </w:pPr>
            <w:r>
              <w:rPr>
                <w:rFonts w:cs="Times New Roman" w:hint="eastAsia"/>
                <w:lang w:val="en-GB"/>
              </w:rPr>
              <w:t>20</w:t>
            </w:r>
          </w:p>
        </w:tc>
      </w:tr>
      <w:tr w:rsidR="00070C1D" w:rsidRPr="004E7325" w14:paraId="115D1AEB" w14:textId="2F964EC1" w:rsidTr="00070C1D">
        <w:tc>
          <w:tcPr>
            <w:tcW w:w="2938" w:type="dxa"/>
          </w:tcPr>
          <w:p w14:paraId="244DF296"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pct_hypertension_cx</w:t>
            </w:r>
            <w:proofErr w:type="spellEnd"/>
          </w:p>
        </w:tc>
        <w:tc>
          <w:tcPr>
            <w:tcW w:w="4395" w:type="dxa"/>
          </w:tcPr>
          <w:p w14:paraId="5D6037F6"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complicated hypertension (</w:t>
            </w:r>
            <w:proofErr w:type="spellStart"/>
            <w:r w:rsidRPr="004E7325">
              <w:rPr>
                <w:rFonts w:cs="Times New Roman"/>
              </w:rPr>
              <w:t>Elixhauser</w:t>
            </w:r>
            <w:proofErr w:type="spellEnd"/>
            <w:r w:rsidRPr="004E7325">
              <w:rPr>
                <w:rFonts w:cs="Times New Roman"/>
              </w:rPr>
              <w:t xml:space="preserve"> CM_HTN_CX, %)</w:t>
            </w:r>
          </w:p>
        </w:tc>
        <w:tc>
          <w:tcPr>
            <w:tcW w:w="1140" w:type="dxa"/>
          </w:tcPr>
          <w:p w14:paraId="4F4FBF8B" w14:textId="4FB480AF"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D37400">
              <w:rPr>
                <w:rFonts w:cs="Times New Roman" w:hint="eastAsia"/>
                <w:lang w:val="en-GB"/>
              </w:rPr>
              <w:t>309</w:t>
            </w:r>
          </w:p>
        </w:tc>
        <w:tc>
          <w:tcPr>
            <w:tcW w:w="990" w:type="dxa"/>
          </w:tcPr>
          <w:p w14:paraId="417415E8" w14:textId="724752C0" w:rsidR="00070C1D" w:rsidRPr="004E7325" w:rsidRDefault="00070C1D" w:rsidP="006E410C">
            <w:pPr>
              <w:autoSpaceDE w:val="0"/>
              <w:autoSpaceDN w:val="0"/>
              <w:adjustRightInd w:val="0"/>
              <w:rPr>
                <w:rFonts w:cs="Times New Roman"/>
                <w:lang w:val="en-GB"/>
              </w:rPr>
            </w:pPr>
            <w:r w:rsidRPr="004E7325">
              <w:rPr>
                <w:rFonts w:cs="Times New Roman"/>
                <w:lang w:val="en-GB"/>
              </w:rPr>
              <w:t>20.</w:t>
            </w:r>
            <w:r w:rsidR="00D37400">
              <w:rPr>
                <w:rFonts w:cs="Times New Roman" w:hint="eastAsia"/>
                <w:lang w:val="en-GB"/>
              </w:rPr>
              <w:t>70</w:t>
            </w:r>
          </w:p>
        </w:tc>
        <w:tc>
          <w:tcPr>
            <w:tcW w:w="1170" w:type="dxa"/>
          </w:tcPr>
          <w:p w14:paraId="1D793A07" w14:textId="13BC18ED" w:rsidR="00070C1D" w:rsidRPr="004E7325" w:rsidRDefault="00070C1D" w:rsidP="006E410C">
            <w:pPr>
              <w:autoSpaceDE w:val="0"/>
              <w:autoSpaceDN w:val="0"/>
              <w:adjustRightInd w:val="0"/>
              <w:rPr>
                <w:rFonts w:cs="Times New Roman"/>
                <w:lang w:val="en-GB"/>
              </w:rPr>
            </w:pPr>
            <w:r w:rsidRPr="004E7325">
              <w:rPr>
                <w:rFonts w:cs="Times New Roman"/>
                <w:lang w:val="en-GB"/>
              </w:rPr>
              <w:t>1</w:t>
            </w:r>
            <w:r w:rsidR="00D37400">
              <w:rPr>
                <w:rFonts w:cs="Times New Roman" w:hint="eastAsia"/>
                <w:lang w:val="en-GB"/>
              </w:rPr>
              <w:t>3.71</w:t>
            </w:r>
          </w:p>
        </w:tc>
        <w:tc>
          <w:tcPr>
            <w:tcW w:w="1350" w:type="dxa"/>
          </w:tcPr>
          <w:p w14:paraId="4EB3E2BA" w14:textId="63B30D10" w:rsidR="00070C1D" w:rsidRPr="004E7325" w:rsidRDefault="00D37400" w:rsidP="006E410C">
            <w:pPr>
              <w:autoSpaceDE w:val="0"/>
              <w:autoSpaceDN w:val="0"/>
              <w:adjustRightInd w:val="0"/>
              <w:rPr>
                <w:rFonts w:cs="Times New Roman"/>
                <w:lang w:val="en-GB"/>
              </w:rPr>
            </w:pPr>
            <w:r>
              <w:rPr>
                <w:rFonts w:cs="Times New Roman" w:hint="eastAsia"/>
                <w:lang w:val="en-GB"/>
              </w:rPr>
              <w:t>14.5</w:t>
            </w:r>
          </w:p>
        </w:tc>
        <w:tc>
          <w:tcPr>
            <w:tcW w:w="1350" w:type="dxa"/>
          </w:tcPr>
          <w:p w14:paraId="660DDEA6" w14:textId="61C72757" w:rsidR="00070C1D" w:rsidRPr="004E7325" w:rsidRDefault="00D37400" w:rsidP="006E410C">
            <w:pPr>
              <w:autoSpaceDE w:val="0"/>
              <w:autoSpaceDN w:val="0"/>
              <w:adjustRightInd w:val="0"/>
              <w:rPr>
                <w:rFonts w:cs="Times New Roman"/>
                <w:lang w:val="en-GB"/>
              </w:rPr>
            </w:pPr>
            <w:r>
              <w:rPr>
                <w:rFonts w:cs="Times New Roman" w:hint="eastAsia"/>
                <w:lang w:val="en-GB"/>
              </w:rPr>
              <w:t>25</w:t>
            </w:r>
          </w:p>
        </w:tc>
      </w:tr>
      <w:tr w:rsidR="00070C1D" w:rsidRPr="004E7325" w14:paraId="16102C03" w14:textId="30DF4C37" w:rsidTr="00070C1D">
        <w:tc>
          <w:tcPr>
            <w:tcW w:w="2938" w:type="dxa"/>
          </w:tcPr>
          <w:p w14:paraId="3BDE6311"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pct_copd</w:t>
            </w:r>
            <w:proofErr w:type="spellEnd"/>
          </w:p>
        </w:tc>
        <w:tc>
          <w:tcPr>
            <w:tcW w:w="4395" w:type="dxa"/>
          </w:tcPr>
          <w:p w14:paraId="5D8B57C5"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chronic pulmonary disease (</w:t>
            </w:r>
            <w:proofErr w:type="spellStart"/>
            <w:r w:rsidRPr="004E7325">
              <w:rPr>
                <w:rFonts w:cs="Times New Roman"/>
              </w:rPr>
              <w:t>Elixhauser</w:t>
            </w:r>
            <w:proofErr w:type="spellEnd"/>
            <w:r w:rsidRPr="004E7325">
              <w:rPr>
                <w:rFonts w:cs="Times New Roman"/>
              </w:rPr>
              <w:t xml:space="preserve"> CM_LUNG_CHRONIC, %)</w:t>
            </w:r>
          </w:p>
        </w:tc>
        <w:tc>
          <w:tcPr>
            <w:tcW w:w="1140" w:type="dxa"/>
          </w:tcPr>
          <w:p w14:paraId="45B2FD2E" w14:textId="0741B6AF"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D37400">
              <w:rPr>
                <w:rFonts w:cs="Times New Roman" w:hint="eastAsia"/>
                <w:lang w:val="en-GB"/>
              </w:rPr>
              <w:t>309</w:t>
            </w:r>
          </w:p>
        </w:tc>
        <w:tc>
          <w:tcPr>
            <w:tcW w:w="990" w:type="dxa"/>
          </w:tcPr>
          <w:p w14:paraId="7EA794AA" w14:textId="13D185CE" w:rsidR="00070C1D" w:rsidRPr="004E7325" w:rsidRDefault="00070C1D" w:rsidP="006E410C">
            <w:pPr>
              <w:autoSpaceDE w:val="0"/>
              <w:autoSpaceDN w:val="0"/>
              <w:adjustRightInd w:val="0"/>
              <w:rPr>
                <w:rFonts w:cs="Times New Roman"/>
                <w:lang w:val="en-GB"/>
              </w:rPr>
            </w:pPr>
            <w:r w:rsidRPr="004E7325">
              <w:rPr>
                <w:rFonts w:cs="Times New Roman"/>
                <w:lang w:val="en-GB"/>
              </w:rPr>
              <w:t>19.</w:t>
            </w:r>
            <w:r w:rsidR="00D37400">
              <w:rPr>
                <w:rFonts w:cs="Times New Roman" w:hint="eastAsia"/>
                <w:lang w:val="en-GB"/>
              </w:rPr>
              <w:t>45</w:t>
            </w:r>
          </w:p>
        </w:tc>
        <w:tc>
          <w:tcPr>
            <w:tcW w:w="1170" w:type="dxa"/>
          </w:tcPr>
          <w:p w14:paraId="7DFF3E7B" w14:textId="747711BA" w:rsidR="00070C1D" w:rsidRPr="004E7325" w:rsidRDefault="00070C1D" w:rsidP="006E410C">
            <w:pPr>
              <w:autoSpaceDE w:val="0"/>
              <w:autoSpaceDN w:val="0"/>
              <w:adjustRightInd w:val="0"/>
              <w:rPr>
                <w:rFonts w:cs="Times New Roman"/>
                <w:lang w:val="en-GB"/>
              </w:rPr>
            </w:pPr>
            <w:r w:rsidRPr="004E7325">
              <w:rPr>
                <w:rFonts w:cs="Times New Roman"/>
                <w:lang w:val="en-GB"/>
              </w:rPr>
              <w:t>1</w:t>
            </w:r>
            <w:r w:rsidR="00D37400">
              <w:rPr>
                <w:rFonts w:cs="Times New Roman" w:hint="eastAsia"/>
                <w:lang w:val="en-GB"/>
              </w:rPr>
              <w:t>2.98</w:t>
            </w:r>
          </w:p>
        </w:tc>
        <w:tc>
          <w:tcPr>
            <w:tcW w:w="1350" w:type="dxa"/>
          </w:tcPr>
          <w:p w14:paraId="440CF722" w14:textId="2696EB7D" w:rsidR="00070C1D" w:rsidRPr="004E7325" w:rsidRDefault="00D37400" w:rsidP="006E410C">
            <w:pPr>
              <w:autoSpaceDE w:val="0"/>
              <w:autoSpaceDN w:val="0"/>
              <w:adjustRightInd w:val="0"/>
              <w:rPr>
                <w:rFonts w:cs="Times New Roman"/>
                <w:lang w:val="en-GB"/>
              </w:rPr>
            </w:pPr>
            <w:r>
              <w:rPr>
                <w:rFonts w:cs="Times New Roman" w:hint="eastAsia"/>
                <w:lang w:val="en-GB"/>
              </w:rPr>
              <w:t>12.7</w:t>
            </w:r>
          </w:p>
        </w:tc>
        <w:tc>
          <w:tcPr>
            <w:tcW w:w="1350" w:type="dxa"/>
          </w:tcPr>
          <w:p w14:paraId="4071B655" w14:textId="15B500C7" w:rsidR="00070C1D" w:rsidRPr="004E7325" w:rsidRDefault="00D37400" w:rsidP="006E410C">
            <w:pPr>
              <w:autoSpaceDE w:val="0"/>
              <w:autoSpaceDN w:val="0"/>
              <w:adjustRightInd w:val="0"/>
              <w:rPr>
                <w:rFonts w:cs="Times New Roman"/>
                <w:lang w:val="en-GB"/>
              </w:rPr>
            </w:pPr>
            <w:r>
              <w:rPr>
                <w:rFonts w:cs="Times New Roman" w:hint="eastAsia"/>
                <w:lang w:val="en-GB"/>
              </w:rPr>
              <w:t>24.4</w:t>
            </w:r>
          </w:p>
        </w:tc>
      </w:tr>
      <w:tr w:rsidR="00070C1D" w:rsidRPr="004E7325" w14:paraId="170AAB93" w14:textId="7DD73D30" w:rsidTr="00070C1D">
        <w:tc>
          <w:tcPr>
            <w:tcW w:w="2938" w:type="dxa"/>
          </w:tcPr>
          <w:p w14:paraId="05751E4C"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pct_renal_disease</w:t>
            </w:r>
            <w:proofErr w:type="spellEnd"/>
          </w:p>
        </w:tc>
        <w:tc>
          <w:tcPr>
            <w:tcW w:w="4395" w:type="dxa"/>
          </w:tcPr>
          <w:p w14:paraId="79180DB7"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admissions flagged with moderate renal failure (</w:t>
            </w:r>
            <w:proofErr w:type="spellStart"/>
            <w:r w:rsidRPr="004E7325">
              <w:rPr>
                <w:rFonts w:cs="Times New Roman"/>
              </w:rPr>
              <w:t>Elixhauser</w:t>
            </w:r>
            <w:proofErr w:type="spellEnd"/>
            <w:r w:rsidRPr="004E7325">
              <w:rPr>
                <w:rFonts w:cs="Times New Roman"/>
              </w:rPr>
              <w:t xml:space="preserve"> CM_RENLFL_MOD, %)</w:t>
            </w:r>
          </w:p>
        </w:tc>
        <w:tc>
          <w:tcPr>
            <w:tcW w:w="1140" w:type="dxa"/>
          </w:tcPr>
          <w:p w14:paraId="2AD329F5" w14:textId="43800A5D"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901794">
              <w:rPr>
                <w:rFonts w:cs="Times New Roman" w:hint="eastAsia"/>
                <w:lang w:val="en-GB"/>
              </w:rPr>
              <w:t>309</w:t>
            </w:r>
          </w:p>
        </w:tc>
        <w:tc>
          <w:tcPr>
            <w:tcW w:w="990" w:type="dxa"/>
          </w:tcPr>
          <w:p w14:paraId="01FD54E1" w14:textId="5E3315BE" w:rsidR="00070C1D" w:rsidRPr="004E7325" w:rsidRDefault="00070C1D" w:rsidP="006E410C">
            <w:pPr>
              <w:autoSpaceDE w:val="0"/>
              <w:autoSpaceDN w:val="0"/>
              <w:adjustRightInd w:val="0"/>
              <w:rPr>
                <w:rFonts w:cs="Times New Roman"/>
                <w:lang w:val="en-GB"/>
              </w:rPr>
            </w:pPr>
            <w:r w:rsidRPr="004E7325">
              <w:rPr>
                <w:rFonts w:cs="Times New Roman"/>
                <w:lang w:val="en-GB"/>
              </w:rPr>
              <w:t>10.</w:t>
            </w:r>
            <w:r w:rsidR="00901794">
              <w:rPr>
                <w:rFonts w:cs="Times New Roman" w:hint="eastAsia"/>
                <w:lang w:val="en-GB"/>
              </w:rPr>
              <w:t>18</w:t>
            </w:r>
          </w:p>
        </w:tc>
        <w:tc>
          <w:tcPr>
            <w:tcW w:w="1170" w:type="dxa"/>
          </w:tcPr>
          <w:p w14:paraId="6EADEA0B"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10.38</w:t>
            </w:r>
          </w:p>
        </w:tc>
        <w:tc>
          <w:tcPr>
            <w:tcW w:w="1350" w:type="dxa"/>
          </w:tcPr>
          <w:p w14:paraId="20F88B95" w14:textId="6727BE74" w:rsidR="00070C1D" w:rsidRPr="004E7325" w:rsidRDefault="00901794" w:rsidP="006E410C">
            <w:pPr>
              <w:autoSpaceDE w:val="0"/>
              <w:autoSpaceDN w:val="0"/>
              <w:adjustRightInd w:val="0"/>
              <w:rPr>
                <w:rFonts w:cs="Times New Roman"/>
                <w:lang w:val="en-GB"/>
              </w:rPr>
            </w:pPr>
            <w:r>
              <w:rPr>
                <w:rFonts w:cs="Times New Roman" w:hint="eastAsia"/>
                <w:lang w:val="en-GB"/>
              </w:rPr>
              <w:t>5.88</w:t>
            </w:r>
          </w:p>
        </w:tc>
        <w:tc>
          <w:tcPr>
            <w:tcW w:w="1350" w:type="dxa"/>
          </w:tcPr>
          <w:p w14:paraId="7A0F869A" w14:textId="6A3A0EE1" w:rsidR="00070C1D" w:rsidRPr="004E7325" w:rsidRDefault="00901794" w:rsidP="006E410C">
            <w:pPr>
              <w:autoSpaceDE w:val="0"/>
              <w:autoSpaceDN w:val="0"/>
              <w:adjustRightInd w:val="0"/>
              <w:rPr>
                <w:rFonts w:cs="Times New Roman"/>
                <w:lang w:val="en-GB"/>
              </w:rPr>
            </w:pPr>
            <w:r>
              <w:rPr>
                <w:rFonts w:cs="Times New Roman" w:hint="eastAsia"/>
                <w:lang w:val="en-GB"/>
              </w:rPr>
              <w:t>12.45</w:t>
            </w:r>
          </w:p>
        </w:tc>
      </w:tr>
      <w:tr w:rsidR="00070C1D" w:rsidRPr="004E7325" w14:paraId="79A4BA53" w14:textId="2836B4D2" w:rsidTr="00070C1D">
        <w:tc>
          <w:tcPr>
            <w:tcW w:w="2938" w:type="dxa"/>
          </w:tcPr>
          <w:p w14:paraId="73A97542"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median_income_1k</w:t>
            </w:r>
          </w:p>
        </w:tc>
        <w:tc>
          <w:tcPr>
            <w:tcW w:w="4395" w:type="dxa"/>
          </w:tcPr>
          <w:p w14:paraId="47045A50" w14:textId="77777777" w:rsidR="00070C1D" w:rsidRPr="00A274F6" w:rsidRDefault="00070C1D" w:rsidP="001A433C">
            <w:pPr>
              <w:autoSpaceDE w:val="0"/>
              <w:autoSpaceDN w:val="0"/>
              <w:adjustRightInd w:val="0"/>
              <w:jc w:val="left"/>
              <w:rPr>
                <w:rFonts w:cs="Times New Roman"/>
                <w:lang w:val="en-GB"/>
              </w:rPr>
            </w:pPr>
            <w:r w:rsidRPr="00A274F6">
              <w:rPr>
                <w:rFonts w:cs="Times New Roman"/>
              </w:rPr>
              <w:t>Median household income in ZIP code (ACS, in $1,000s)</w:t>
            </w:r>
          </w:p>
        </w:tc>
        <w:tc>
          <w:tcPr>
            <w:tcW w:w="1140" w:type="dxa"/>
          </w:tcPr>
          <w:p w14:paraId="0D099A23" w14:textId="197D8330" w:rsidR="00070C1D" w:rsidRPr="004E7325" w:rsidRDefault="00070C1D" w:rsidP="006E410C">
            <w:pPr>
              <w:autoSpaceDE w:val="0"/>
              <w:autoSpaceDN w:val="0"/>
              <w:adjustRightInd w:val="0"/>
              <w:rPr>
                <w:rFonts w:cs="Times New Roman"/>
                <w:lang w:val="en-GB"/>
              </w:rPr>
            </w:pPr>
            <w:r w:rsidRPr="004E7325">
              <w:rPr>
                <w:rFonts w:cs="Times New Roman"/>
                <w:lang w:val="en-GB"/>
              </w:rPr>
              <w:t>10</w:t>
            </w:r>
            <w:r w:rsidR="009C7B22">
              <w:rPr>
                <w:rFonts w:cs="Times New Roman" w:hint="eastAsia"/>
                <w:lang w:val="en-GB"/>
              </w:rPr>
              <w:t>465</w:t>
            </w:r>
          </w:p>
        </w:tc>
        <w:tc>
          <w:tcPr>
            <w:tcW w:w="990" w:type="dxa"/>
          </w:tcPr>
          <w:p w14:paraId="446AF9D8" w14:textId="0244EB24" w:rsidR="00070C1D" w:rsidRPr="004E7325" w:rsidRDefault="00070C1D" w:rsidP="006E410C">
            <w:pPr>
              <w:autoSpaceDE w:val="0"/>
              <w:autoSpaceDN w:val="0"/>
              <w:adjustRightInd w:val="0"/>
              <w:rPr>
                <w:rFonts w:cs="Times New Roman"/>
                <w:lang w:val="en-GB"/>
              </w:rPr>
            </w:pPr>
            <w:r w:rsidRPr="004E7325">
              <w:rPr>
                <w:rFonts w:cs="Times New Roman"/>
                <w:lang w:val="en-GB"/>
              </w:rPr>
              <w:t>9</w:t>
            </w:r>
            <w:r w:rsidR="009C7B22">
              <w:rPr>
                <w:rFonts w:cs="Times New Roman" w:hint="eastAsia"/>
                <w:lang w:val="en-GB"/>
              </w:rPr>
              <w:t>8.15</w:t>
            </w:r>
          </w:p>
        </w:tc>
        <w:tc>
          <w:tcPr>
            <w:tcW w:w="1170" w:type="dxa"/>
          </w:tcPr>
          <w:p w14:paraId="56FFB819" w14:textId="042C13A1" w:rsidR="00070C1D" w:rsidRPr="004E7325" w:rsidRDefault="00070C1D" w:rsidP="006E410C">
            <w:pPr>
              <w:autoSpaceDE w:val="0"/>
              <w:autoSpaceDN w:val="0"/>
              <w:adjustRightInd w:val="0"/>
              <w:rPr>
                <w:rFonts w:cs="Times New Roman"/>
                <w:lang w:val="en-GB"/>
              </w:rPr>
            </w:pPr>
            <w:r w:rsidRPr="004E7325">
              <w:rPr>
                <w:rFonts w:cs="Times New Roman"/>
                <w:lang w:val="en-GB"/>
              </w:rPr>
              <w:t>40.</w:t>
            </w:r>
            <w:r w:rsidR="009C7B22">
              <w:rPr>
                <w:rFonts w:cs="Times New Roman" w:hint="eastAsia"/>
                <w:lang w:val="en-GB"/>
              </w:rPr>
              <w:t>60</w:t>
            </w:r>
          </w:p>
        </w:tc>
        <w:tc>
          <w:tcPr>
            <w:tcW w:w="1350" w:type="dxa"/>
          </w:tcPr>
          <w:p w14:paraId="2B466EC0" w14:textId="7B6E9CEA" w:rsidR="00070C1D" w:rsidRPr="004E7325" w:rsidRDefault="00F04824" w:rsidP="006E410C">
            <w:pPr>
              <w:autoSpaceDE w:val="0"/>
              <w:autoSpaceDN w:val="0"/>
              <w:adjustRightInd w:val="0"/>
              <w:rPr>
                <w:rFonts w:cs="Times New Roman"/>
                <w:lang w:val="en-GB"/>
              </w:rPr>
            </w:pPr>
            <w:r>
              <w:rPr>
                <w:rFonts w:cs="Times New Roman" w:hint="eastAsia"/>
                <w:lang w:val="en-GB"/>
              </w:rPr>
              <w:t>69.6</w:t>
            </w:r>
          </w:p>
        </w:tc>
        <w:tc>
          <w:tcPr>
            <w:tcW w:w="1350" w:type="dxa"/>
          </w:tcPr>
          <w:p w14:paraId="48138328" w14:textId="4681535A" w:rsidR="00070C1D" w:rsidRPr="004E7325" w:rsidRDefault="00F04824" w:rsidP="006E410C">
            <w:pPr>
              <w:autoSpaceDE w:val="0"/>
              <w:autoSpaceDN w:val="0"/>
              <w:adjustRightInd w:val="0"/>
              <w:rPr>
                <w:rFonts w:cs="Times New Roman"/>
                <w:lang w:val="en-GB"/>
              </w:rPr>
            </w:pPr>
            <w:r>
              <w:rPr>
                <w:rFonts w:cs="Times New Roman" w:hint="eastAsia"/>
                <w:lang w:val="en-GB"/>
              </w:rPr>
              <w:t>120.3</w:t>
            </w:r>
          </w:p>
        </w:tc>
      </w:tr>
      <w:tr w:rsidR="00070C1D" w:rsidRPr="004E7325" w14:paraId="15249321" w14:textId="4F238DB0" w:rsidTr="00070C1D">
        <w:tc>
          <w:tcPr>
            <w:tcW w:w="2938" w:type="dxa"/>
          </w:tcPr>
          <w:p w14:paraId="3F8D0DAB"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poverty_rate</w:t>
            </w:r>
            <w:proofErr w:type="spellEnd"/>
          </w:p>
        </w:tc>
        <w:tc>
          <w:tcPr>
            <w:tcW w:w="4395" w:type="dxa"/>
          </w:tcPr>
          <w:p w14:paraId="21523B34" w14:textId="77777777" w:rsidR="00070C1D" w:rsidRPr="00A274F6" w:rsidRDefault="00070C1D" w:rsidP="001A433C">
            <w:pPr>
              <w:autoSpaceDE w:val="0"/>
              <w:autoSpaceDN w:val="0"/>
              <w:adjustRightInd w:val="0"/>
              <w:jc w:val="left"/>
              <w:rPr>
                <w:rFonts w:cs="Times New Roman"/>
                <w:highlight w:val="yellow"/>
                <w:lang w:val="en-GB"/>
              </w:rPr>
            </w:pPr>
            <w:r w:rsidRPr="00A274F6">
              <w:rPr>
                <w:rFonts w:cs="Times New Roman"/>
              </w:rPr>
              <w:t>Percent of individuals below the U.S. Census poverty threshold (ACS, %)</w:t>
            </w:r>
          </w:p>
        </w:tc>
        <w:tc>
          <w:tcPr>
            <w:tcW w:w="1140" w:type="dxa"/>
          </w:tcPr>
          <w:p w14:paraId="6AB60AD0" w14:textId="68665D8F"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F04824">
              <w:rPr>
                <w:rFonts w:cs="Times New Roman" w:hint="eastAsia"/>
                <w:lang w:val="en-GB"/>
              </w:rPr>
              <w:t>068</w:t>
            </w:r>
          </w:p>
        </w:tc>
        <w:tc>
          <w:tcPr>
            <w:tcW w:w="990" w:type="dxa"/>
          </w:tcPr>
          <w:p w14:paraId="64C9ADFE" w14:textId="7EC5DDCC" w:rsidR="00070C1D" w:rsidRPr="004E7325" w:rsidRDefault="00070C1D" w:rsidP="006E410C">
            <w:pPr>
              <w:autoSpaceDE w:val="0"/>
              <w:autoSpaceDN w:val="0"/>
              <w:adjustRightInd w:val="0"/>
              <w:rPr>
                <w:rFonts w:cs="Times New Roman"/>
                <w:lang w:val="en-GB"/>
              </w:rPr>
            </w:pPr>
            <w:r w:rsidRPr="004E7325">
              <w:rPr>
                <w:rFonts w:cs="Times New Roman"/>
                <w:lang w:val="en-GB"/>
              </w:rPr>
              <w:t>8.8</w:t>
            </w:r>
            <w:r w:rsidR="00F04824">
              <w:rPr>
                <w:rFonts w:cs="Times New Roman" w:hint="eastAsia"/>
                <w:lang w:val="en-GB"/>
              </w:rPr>
              <w:t>6</w:t>
            </w:r>
          </w:p>
        </w:tc>
        <w:tc>
          <w:tcPr>
            <w:tcW w:w="1170" w:type="dxa"/>
          </w:tcPr>
          <w:p w14:paraId="2824E0B6" w14:textId="7081503A" w:rsidR="00070C1D" w:rsidRPr="004E7325" w:rsidRDefault="00070C1D" w:rsidP="006E410C">
            <w:pPr>
              <w:autoSpaceDE w:val="0"/>
              <w:autoSpaceDN w:val="0"/>
              <w:adjustRightInd w:val="0"/>
              <w:rPr>
                <w:rFonts w:cs="Times New Roman"/>
                <w:lang w:val="en-GB"/>
              </w:rPr>
            </w:pPr>
            <w:r w:rsidRPr="004E7325">
              <w:rPr>
                <w:rFonts w:cs="Times New Roman"/>
                <w:lang w:val="en-GB"/>
              </w:rPr>
              <w:t>10.0</w:t>
            </w:r>
            <w:r w:rsidR="00F04824">
              <w:rPr>
                <w:rFonts w:cs="Times New Roman" w:hint="eastAsia"/>
                <w:lang w:val="en-GB"/>
              </w:rPr>
              <w:t>8</w:t>
            </w:r>
          </w:p>
        </w:tc>
        <w:tc>
          <w:tcPr>
            <w:tcW w:w="1350" w:type="dxa"/>
          </w:tcPr>
          <w:p w14:paraId="29CD6E20" w14:textId="76663D3E" w:rsidR="00070C1D" w:rsidRPr="004E7325" w:rsidRDefault="00F04824" w:rsidP="006E410C">
            <w:pPr>
              <w:autoSpaceDE w:val="0"/>
              <w:autoSpaceDN w:val="0"/>
              <w:adjustRightInd w:val="0"/>
              <w:rPr>
                <w:rFonts w:cs="Times New Roman"/>
                <w:lang w:val="en-GB"/>
              </w:rPr>
            </w:pPr>
            <w:r>
              <w:rPr>
                <w:rFonts w:cs="Times New Roman" w:hint="eastAsia"/>
                <w:lang w:val="en-GB"/>
              </w:rPr>
              <w:t>3.5</w:t>
            </w:r>
          </w:p>
        </w:tc>
        <w:tc>
          <w:tcPr>
            <w:tcW w:w="1350" w:type="dxa"/>
          </w:tcPr>
          <w:p w14:paraId="49068A74" w14:textId="48EC3E8A" w:rsidR="00070C1D" w:rsidRPr="00A105D0" w:rsidRDefault="00F04824" w:rsidP="006E410C">
            <w:pPr>
              <w:autoSpaceDE w:val="0"/>
              <w:autoSpaceDN w:val="0"/>
              <w:adjustRightInd w:val="0"/>
              <w:rPr>
                <w:rFonts w:cs="Times New Roman"/>
              </w:rPr>
            </w:pPr>
            <w:r>
              <w:rPr>
                <w:rFonts w:cs="Times New Roman" w:hint="eastAsia"/>
                <w:lang w:val="en-GB"/>
              </w:rPr>
              <w:t>11.1</w:t>
            </w:r>
          </w:p>
        </w:tc>
      </w:tr>
      <w:tr w:rsidR="00070C1D" w:rsidRPr="004E7325" w14:paraId="400C03C8" w14:textId="5FC36F63" w:rsidTr="00070C1D">
        <w:tc>
          <w:tcPr>
            <w:tcW w:w="2938" w:type="dxa"/>
          </w:tcPr>
          <w:p w14:paraId="372D1EE6"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total_population</w:t>
            </w:r>
            <w:proofErr w:type="spellEnd"/>
          </w:p>
        </w:tc>
        <w:tc>
          <w:tcPr>
            <w:tcW w:w="4395" w:type="dxa"/>
          </w:tcPr>
          <w:p w14:paraId="59072316"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Total population in ZIP code (ACS 5-year estimates)</w:t>
            </w:r>
          </w:p>
        </w:tc>
        <w:tc>
          <w:tcPr>
            <w:tcW w:w="1140" w:type="dxa"/>
          </w:tcPr>
          <w:p w14:paraId="01D9F26A" w14:textId="23F49F86"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A105D0">
              <w:rPr>
                <w:rFonts w:cs="Times New Roman"/>
                <w:lang w:val="en-GB"/>
              </w:rPr>
              <w:t>309</w:t>
            </w:r>
          </w:p>
        </w:tc>
        <w:tc>
          <w:tcPr>
            <w:tcW w:w="990" w:type="dxa"/>
          </w:tcPr>
          <w:p w14:paraId="213583CF" w14:textId="050DF0E6" w:rsidR="00070C1D" w:rsidRPr="004E7325" w:rsidRDefault="00070C1D" w:rsidP="006E410C">
            <w:pPr>
              <w:autoSpaceDE w:val="0"/>
              <w:autoSpaceDN w:val="0"/>
              <w:adjustRightInd w:val="0"/>
              <w:rPr>
                <w:rFonts w:cs="Times New Roman"/>
                <w:lang w:val="en-GB"/>
              </w:rPr>
            </w:pPr>
            <w:r w:rsidRPr="004E7325">
              <w:rPr>
                <w:rFonts w:cs="Times New Roman"/>
                <w:lang w:val="en-GB"/>
              </w:rPr>
              <w:t>13</w:t>
            </w:r>
            <w:r w:rsidR="00A105D0">
              <w:rPr>
                <w:rFonts w:cs="Times New Roman"/>
                <w:lang w:val="en-GB"/>
              </w:rPr>
              <w:t>222</w:t>
            </w:r>
          </w:p>
        </w:tc>
        <w:tc>
          <w:tcPr>
            <w:tcW w:w="1170" w:type="dxa"/>
          </w:tcPr>
          <w:p w14:paraId="1D0E51A1" w14:textId="4BB7028C" w:rsidR="00070C1D" w:rsidRPr="004E7325" w:rsidRDefault="00070C1D" w:rsidP="006E410C">
            <w:pPr>
              <w:autoSpaceDE w:val="0"/>
              <w:autoSpaceDN w:val="0"/>
              <w:adjustRightInd w:val="0"/>
              <w:rPr>
                <w:rFonts w:cs="Times New Roman"/>
                <w:lang w:val="en-GB"/>
              </w:rPr>
            </w:pPr>
            <w:r w:rsidRPr="004E7325">
              <w:rPr>
                <w:rFonts w:cs="Times New Roman"/>
                <w:lang w:val="en-GB"/>
              </w:rPr>
              <w:t>1</w:t>
            </w:r>
            <w:r w:rsidR="00A105D0">
              <w:rPr>
                <w:rFonts w:cs="Times New Roman"/>
                <w:lang w:val="en-GB"/>
              </w:rPr>
              <w:t>5992</w:t>
            </w:r>
          </w:p>
        </w:tc>
        <w:tc>
          <w:tcPr>
            <w:tcW w:w="1350" w:type="dxa"/>
          </w:tcPr>
          <w:p w14:paraId="495E4529" w14:textId="269C7CAD" w:rsidR="00070C1D" w:rsidRPr="003610A4" w:rsidRDefault="00A105D0" w:rsidP="006E410C">
            <w:pPr>
              <w:autoSpaceDE w:val="0"/>
              <w:autoSpaceDN w:val="0"/>
              <w:adjustRightInd w:val="0"/>
              <w:rPr>
                <w:rFonts w:cs="Times New Roman"/>
              </w:rPr>
            </w:pPr>
            <w:r>
              <w:rPr>
                <w:rFonts w:cs="Times New Roman"/>
              </w:rPr>
              <w:t>1046</w:t>
            </w:r>
          </w:p>
        </w:tc>
        <w:tc>
          <w:tcPr>
            <w:tcW w:w="1350" w:type="dxa"/>
          </w:tcPr>
          <w:p w14:paraId="40900E29" w14:textId="2B2AD560" w:rsidR="00070C1D" w:rsidRPr="004E7325" w:rsidRDefault="00A105D0" w:rsidP="006E410C">
            <w:pPr>
              <w:autoSpaceDE w:val="0"/>
              <w:autoSpaceDN w:val="0"/>
              <w:adjustRightInd w:val="0"/>
              <w:rPr>
                <w:rFonts w:cs="Times New Roman"/>
                <w:lang w:val="en-GB"/>
              </w:rPr>
            </w:pPr>
            <w:r>
              <w:rPr>
                <w:rFonts w:cs="Times New Roman"/>
                <w:lang w:val="en-GB"/>
              </w:rPr>
              <w:t>21974</w:t>
            </w:r>
          </w:p>
        </w:tc>
      </w:tr>
      <w:tr w:rsidR="00070C1D" w:rsidRPr="004E7325" w14:paraId="3F0761DC" w14:textId="5B937F41" w:rsidTr="00070C1D">
        <w:tc>
          <w:tcPr>
            <w:tcW w:w="2938" w:type="dxa"/>
          </w:tcPr>
          <w:p w14:paraId="27F9D604"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mean_age</w:t>
            </w:r>
            <w:proofErr w:type="spellEnd"/>
          </w:p>
        </w:tc>
        <w:tc>
          <w:tcPr>
            <w:tcW w:w="4395" w:type="dxa"/>
          </w:tcPr>
          <w:p w14:paraId="3694206F"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Mean age of patients among admissions (years)</w:t>
            </w:r>
          </w:p>
        </w:tc>
        <w:tc>
          <w:tcPr>
            <w:tcW w:w="1140" w:type="dxa"/>
          </w:tcPr>
          <w:p w14:paraId="6BAD1904" w14:textId="3BA365E0"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1E2B1E">
              <w:rPr>
                <w:rFonts w:cs="Times New Roman"/>
                <w:lang w:val="en-GB"/>
              </w:rPr>
              <w:t>309</w:t>
            </w:r>
          </w:p>
        </w:tc>
        <w:tc>
          <w:tcPr>
            <w:tcW w:w="990" w:type="dxa"/>
          </w:tcPr>
          <w:p w14:paraId="6AA58E5C" w14:textId="5906A44E" w:rsidR="00070C1D" w:rsidRPr="004E7325" w:rsidRDefault="00070C1D" w:rsidP="006E410C">
            <w:pPr>
              <w:autoSpaceDE w:val="0"/>
              <w:autoSpaceDN w:val="0"/>
              <w:adjustRightInd w:val="0"/>
              <w:rPr>
                <w:rFonts w:cs="Times New Roman"/>
                <w:lang w:val="en-GB"/>
              </w:rPr>
            </w:pPr>
            <w:r w:rsidRPr="004E7325">
              <w:rPr>
                <w:rFonts w:cs="Times New Roman"/>
                <w:lang w:val="en-GB"/>
              </w:rPr>
              <w:t>51.</w:t>
            </w:r>
            <w:r w:rsidR="001E2B1E">
              <w:rPr>
                <w:rFonts w:cs="Times New Roman"/>
                <w:lang w:val="en-GB"/>
              </w:rPr>
              <w:t>85</w:t>
            </w:r>
          </w:p>
        </w:tc>
        <w:tc>
          <w:tcPr>
            <w:tcW w:w="1170" w:type="dxa"/>
          </w:tcPr>
          <w:p w14:paraId="6C534C71" w14:textId="674E3B8D" w:rsidR="00070C1D" w:rsidRPr="004E7325" w:rsidRDefault="00070C1D" w:rsidP="006E410C">
            <w:pPr>
              <w:autoSpaceDE w:val="0"/>
              <w:autoSpaceDN w:val="0"/>
              <w:adjustRightInd w:val="0"/>
              <w:rPr>
                <w:rFonts w:cs="Times New Roman"/>
                <w:lang w:val="en-GB"/>
              </w:rPr>
            </w:pPr>
            <w:r w:rsidRPr="004E7325">
              <w:rPr>
                <w:rFonts w:cs="Times New Roman"/>
                <w:lang w:val="en-GB"/>
              </w:rPr>
              <w:t>1</w:t>
            </w:r>
            <w:r w:rsidR="001E2B1E">
              <w:rPr>
                <w:rFonts w:cs="Times New Roman"/>
                <w:lang w:val="en-GB"/>
              </w:rPr>
              <w:t>0.69</w:t>
            </w:r>
          </w:p>
        </w:tc>
        <w:tc>
          <w:tcPr>
            <w:tcW w:w="1350" w:type="dxa"/>
          </w:tcPr>
          <w:p w14:paraId="52A86FE7" w14:textId="6B96227A" w:rsidR="00070C1D" w:rsidRPr="004E7325" w:rsidRDefault="001E2B1E" w:rsidP="006E410C">
            <w:pPr>
              <w:autoSpaceDE w:val="0"/>
              <w:autoSpaceDN w:val="0"/>
              <w:adjustRightInd w:val="0"/>
              <w:rPr>
                <w:rFonts w:cs="Times New Roman"/>
              </w:rPr>
            </w:pPr>
            <w:r>
              <w:rPr>
                <w:rFonts w:cs="Times New Roman"/>
              </w:rPr>
              <w:t>46.6</w:t>
            </w:r>
          </w:p>
        </w:tc>
        <w:tc>
          <w:tcPr>
            <w:tcW w:w="1350" w:type="dxa"/>
          </w:tcPr>
          <w:p w14:paraId="22D9DD7E" w14:textId="45DE5ACF" w:rsidR="00070C1D" w:rsidRPr="004E7325" w:rsidRDefault="001E2B1E" w:rsidP="006E410C">
            <w:pPr>
              <w:autoSpaceDE w:val="0"/>
              <w:autoSpaceDN w:val="0"/>
              <w:adjustRightInd w:val="0"/>
              <w:rPr>
                <w:rFonts w:cs="Times New Roman"/>
                <w:lang w:val="en-GB"/>
              </w:rPr>
            </w:pPr>
            <w:r>
              <w:rPr>
                <w:rFonts w:cs="Times New Roman"/>
                <w:lang w:val="en-GB"/>
              </w:rPr>
              <w:t>57</w:t>
            </w:r>
          </w:p>
        </w:tc>
      </w:tr>
      <w:tr w:rsidR="00070C1D" w:rsidRPr="004E7325" w14:paraId="0D9950B6" w14:textId="5D007B43" w:rsidTr="00070C1D">
        <w:tc>
          <w:tcPr>
            <w:tcW w:w="2938" w:type="dxa"/>
          </w:tcPr>
          <w:p w14:paraId="19421415"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pct_male</w:t>
            </w:r>
            <w:proofErr w:type="spellEnd"/>
          </w:p>
        </w:tc>
        <w:tc>
          <w:tcPr>
            <w:tcW w:w="4395" w:type="dxa"/>
          </w:tcPr>
          <w:p w14:paraId="17093755"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male patients among admissions (%)</w:t>
            </w:r>
          </w:p>
        </w:tc>
        <w:tc>
          <w:tcPr>
            <w:tcW w:w="1140" w:type="dxa"/>
          </w:tcPr>
          <w:p w14:paraId="579C7937" w14:textId="4FCBC47D"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1E2B1E">
              <w:rPr>
                <w:rFonts w:cs="Times New Roman"/>
                <w:lang w:val="en-GB"/>
              </w:rPr>
              <w:t>309</w:t>
            </w:r>
          </w:p>
        </w:tc>
        <w:tc>
          <w:tcPr>
            <w:tcW w:w="990" w:type="dxa"/>
          </w:tcPr>
          <w:p w14:paraId="28E31BCF" w14:textId="676D7D4C" w:rsidR="00070C1D" w:rsidRPr="004E7325" w:rsidRDefault="00070C1D" w:rsidP="006E410C">
            <w:pPr>
              <w:autoSpaceDE w:val="0"/>
              <w:autoSpaceDN w:val="0"/>
              <w:adjustRightInd w:val="0"/>
              <w:rPr>
                <w:rFonts w:cs="Times New Roman"/>
                <w:lang w:val="en-GB"/>
              </w:rPr>
            </w:pPr>
            <w:r w:rsidRPr="004E7325">
              <w:rPr>
                <w:rFonts w:cs="Times New Roman"/>
                <w:lang w:val="en-GB"/>
              </w:rPr>
              <w:t>44.</w:t>
            </w:r>
            <w:r w:rsidR="001E2B1E">
              <w:rPr>
                <w:rFonts w:cs="Times New Roman"/>
                <w:lang w:val="en-GB"/>
              </w:rPr>
              <w:t>81</w:t>
            </w:r>
          </w:p>
        </w:tc>
        <w:tc>
          <w:tcPr>
            <w:tcW w:w="1170" w:type="dxa"/>
          </w:tcPr>
          <w:p w14:paraId="2BAE8C19" w14:textId="6F29CB37" w:rsidR="00070C1D" w:rsidRPr="004E7325" w:rsidRDefault="00070C1D" w:rsidP="006E410C">
            <w:pPr>
              <w:autoSpaceDE w:val="0"/>
              <w:autoSpaceDN w:val="0"/>
              <w:adjustRightInd w:val="0"/>
              <w:rPr>
                <w:rFonts w:cs="Times New Roman"/>
                <w:lang w:val="en-GB"/>
              </w:rPr>
            </w:pPr>
            <w:r w:rsidRPr="004E7325">
              <w:rPr>
                <w:rFonts w:cs="Times New Roman"/>
                <w:lang w:val="en-GB"/>
              </w:rPr>
              <w:t>16.</w:t>
            </w:r>
            <w:r w:rsidR="001E2B1E">
              <w:rPr>
                <w:rFonts w:cs="Times New Roman"/>
                <w:lang w:val="en-GB"/>
              </w:rPr>
              <w:t>15</w:t>
            </w:r>
          </w:p>
        </w:tc>
        <w:tc>
          <w:tcPr>
            <w:tcW w:w="1350" w:type="dxa"/>
          </w:tcPr>
          <w:p w14:paraId="624161E3" w14:textId="540EC857" w:rsidR="00070C1D" w:rsidRPr="004E7325" w:rsidRDefault="001E2B1E" w:rsidP="006E410C">
            <w:pPr>
              <w:autoSpaceDE w:val="0"/>
              <w:autoSpaceDN w:val="0"/>
              <w:adjustRightInd w:val="0"/>
              <w:rPr>
                <w:rFonts w:cs="Times New Roman"/>
                <w:lang w:val="en-GB"/>
              </w:rPr>
            </w:pPr>
            <w:r>
              <w:rPr>
                <w:rFonts w:cs="Times New Roman"/>
                <w:lang w:val="en-GB"/>
              </w:rPr>
              <w:t>39.3</w:t>
            </w:r>
          </w:p>
        </w:tc>
        <w:tc>
          <w:tcPr>
            <w:tcW w:w="1350" w:type="dxa"/>
          </w:tcPr>
          <w:p w14:paraId="01553442" w14:textId="6D8B79CC" w:rsidR="00070C1D" w:rsidRPr="004E7325" w:rsidRDefault="001E2B1E" w:rsidP="006E410C">
            <w:pPr>
              <w:autoSpaceDE w:val="0"/>
              <w:autoSpaceDN w:val="0"/>
              <w:adjustRightInd w:val="0"/>
              <w:rPr>
                <w:rFonts w:cs="Times New Roman"/>
                <w:lang w:val="en-GB"/>
              </w:rPr>
            </w:pPr>
            <w:r>
              <w:rPr>
                <w:rFonts w:cs="Times New Roman"/>
                <w:lang w:val="en-GB"/>
              </w:rPr>
              <w:t>49.1</w:t>
            </w:r>
          </w:p>
        </w:tc>
      </w:tr>
      <w:tr w:rsidR="00070C1D" w:rsidRPr="004E7325" w14:paraId="0A5A571B" w14:textId="01239295" w:rsidTr="00070C1D">
        <w:tc>
          <w:tcPr>
            <w:tcW w:w="2938" w:type="dxa"/>
          </w:tcPr>
          <w:p w14:paraId="4DBA131C"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lastRenderedPageBreak/>
              <w:t>black_pct</w:t>
            </w:r>
            <w:proofErr w:type="spellEnd"/>
          </w:p>
        </w:tc>
        <w:tc>
          <w:tcPr>
            <w:tcW w:w="4395" w:type="dxa"/>
          </w:tcPr>
          <w:p w14:paraId="767BED77"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Black population in ZIP code (ACS, %)</w:t>
            </w:r>
          </w:p>
        </w:tc>
        <w:tc>
          <w:tcPr>
            <w:tcW w:w="1140" w:type="dxa"/>
          </w:tcPr>
          <w:p w14:paraId="0B51D556" w14:textId="3E94929A" w:rsidR="00070C1D" w:rsidRPr="004E7325" w:rsidRDefault="001E2B1E" w:rsidP="006E410C">
            <w:pPr>
              <w:autoSpaceDE w:val="0"/>
              <w:autoSpaceDN w:val="0"/>
              <w:adjustRightInd w:val="0"/>
              <w:rPr>
                <w:rFonts w:cs="Times New Roman"/>
                <w:lang w:val="en-GB"/>
              </w:rPr>
            </w:pPr>
            <w:r>
              <w:rPr>
                <w:rFonts w:cs="Times New Roman"/>
                <w:lang w:val="en-GB"/>
              </w:rPr>
              <w:t>11167</w:t>
            </w:r>
          </w:p>
        </w:tc>
        <w:tc>
          <w:tcPr>
            <w:tcW w:w="990" w:type="dxa"/>
          </w:tcPr>
          <w:p w14:paraId="5D71F552" w14:textId="0EB3D63A" w:rsidR="00070C1D" w:rsidRPr="004E7325" w:rsidRDefault="00070C1D" w:rsidP="006E410C">
            <w:pPr>
              <w:autoSpaceDE w:val="0"/>
              <w:autoSpaceDN w:val="0"/>
              <w:adjustRightInd w:val="0"/>
              <w:rPr>
                <w:rFonts w:cs="Times New Roman"/>
                <w:lang w:val="en-GB"/>
              </w:rPr>
            </w:pPr>
            <w:r w:rsidRPr="004E7325">
              <w:rPr>
                <w:rFonts w:cs="Times New Roman"/>
                <w:lang w:val="en-GB"/>
              </w:rPr>
              <w:t>0.1</w:t>
            </w:r>
            <w:r w:rsidR="001E2B1E">
              <w:rPr>
                <w:rFonts w:cs="Times New Roman"/>
                <w:lang w:val="en-GB"/>
              </w:rPr>
              <w:t>7</w:t>
            </w:r>
          </w:p>
        </w:tc>
        <w:tc>
          <w:tcPr>
            <w:tcW w:w="1170" w:type="dxa"/>
          </w:tcPr>
          <w:p w14:paraId="77DD23A7"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0.22</w:t>
            </w:r>
          </w:p>
        </w:tc>
        <w:tc>
          <w:tcPr>
            <w:tcW w:w="1350" w:type="dxa"/>
          </w:tcPr>
          <w:p w14:paraId="79ADA7D7" w14:textId="03A82485" w:rsidR="00070C1D" w:rsidRPr="004E7325" w:rsidRDefault="001E2B1E" w:rsidP="006E410C">
            <w:pPr>
              <w:autoSpaceDE w:val="0"/>
              <w:autoSpaceDN w:val="0"/>
              <w:adjustRightInd w:val="0"/>
              <w:rPr>
                <w:rFonts w:cs="Times New Roman"/>
                <w:lang w:val="en-GB"/>
              </w:rPr>
            </w:pPr>
            <w:r>
              <w:rPr>
                <w:rFonts w:cs="Times New Roman"/>
                <w:lang w:val="en-GB"/>
              </w:rPr>
              <w:t>0.019</w:t>
            </w:r>
          </w:p>
        </w:tc>
        <w:tc>
          <w:tcPr>
            <w:tcW w:w="1350" w:type="dxa"/>
          </w:tcPr>
          <w:p w14:paraId="160CCBC8" w14:textId="02DC3912" w:rsidR="00070C1D" w:rsidRPr="004E7325" w:rsidRDefault="001E2B1E" w:rsidP="006E410C">
            <w:pPr>
              <w:autoSpaceDE w:val="0"/>
              <w:autoSpaceDN w:val="0"/>
              <w:adjustRightInd w:val="0"/>
              <w:rPr>
                <w:rFonts w:cs="Times New Roman"/>
                <w:lang w:val="en-GB"/>
              </w:rPr>
            </w:pPr>
            <w:r>
              <w:rPr>
                <w:rFonts w:cs="Times New Roman"/>
                <w:lang w:val="en-GB"/>
              </w:rPr>
              <w:t>0.248</w:t>
            </w:r>
          </w:p>
        </w:tc>
      </w:tr>
      <w:tr w:rsidR="00070C1D" w:rsidRPr="004E7325" w14:paraId="1C5EB628" w14:textId="3C5D9E7D" w:rsidTr="00070C1D">
        <w:tc>
          <w:tcPr>
            <w:tcW w:w="2938" w:type="dxa"/>
          </w:tcPr>
          <w:p w14:paraId="46CC6E5D"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asian_pct</w:t>
            </w:r>
            <w:proofErr w:type="spellEnd"/>
          </w:p>
        </w:tc>
        <w:tc>
          <w:tcPr>
            <w:tcW w:w="4395" w:type="dxa"/>
          </w:tcPr>
          <w:p w14:paraId="2BB2D189"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Asian population in ZIP code (ACS, %)</w:t>
            </w:r>
          </w:p>
        </w:tc>
        <w:tc>
          <w:tcPr>
            <w:tcW w:w="1140" w:type="dxa"/>
          </w:tcPr>
          <w:p w14:paraId="061D2FE4" w14:textId="4EACBB0A"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1E2B1E">
              <w:rPr>
                <w:rFonts w:cs="Times New Roman"/>
                <w:lang w:val="en-GB"/>
              </w:rPr>
              <w:t>167</w:t>
            </w:r>
          </w:p>
        </w:tc>
        <w:tc>
          <w:tcPr>
            <w:tcW w:w="990" w:type="dxa"/>
          </w:tcPr>
          <w:p w14:paraId="28C2FD5E"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0.04</w:t>
            </w:r>
          </w:p>
        </w:tc>
        <w:tc>
          <w:tcPr>
            <w:tcW w:w="1170" w:type="dxa"/>
          </w:tcPr>
          <w:p w14:paraId="5B7EDA2F" w14:textId="77777777" w:rsidR="00070C1D" w:rsidRPr="004E7325" w:rsidRDefault="00070C1D" w:rsidP="006E410C">
            <w:pPr>
              <w:autoSpaceDE w:val="0"/>
              <w:autoSpaceDN w:val="0"/>
              <w:adjustRightInd w:val="0"/>
              <w:rPr>
                <w:rFonts w:cs="Times New Roman"/>
                <w:lang w:val="en-GB"/>
              </w:rPr>
            </w:pPr>
            <w:r w:rsidRPr="004E7325">
              <w:rPr>
                <w:rFonts w:cs="Times New Roman"/>
                <w:lang w:val="en-GB"/>
              </w:rPr>
              <w:t>0.06</w:t>
            </w:r>
          </w:p>
        </w:tc>
        <w:tc>
          <w:tcPr>
            <w:tcW w:w="1350" w:type="dxa"/>
          </w:tcPr>
          <w:p w14:paraId="2C853184" w14:textId="53904014" w:rsidR="00070C1D" w:rsidRPr="004E7325" w:rsidRDefault="001E2B1E" w:rsidP="006E410C">
            <w:pPr>
              <w:autoSpaceDE w:val="0"/>
              <w:autoSpaceDN w:val="0"/>
              <w:adjustRightInd w:val="0"/>
              <w:rPr>
                <w:rFonts w:cs="Times New Roman"/>
                <w:lang w:val="en-GB"/>
              </w:rPr>
            </w:pPr>
            <w:r>
              <w:rPr>
                <w:rFonts w:cs="Times New Roman"/>
                <w:lang w:val="en-GB"/>
              </w:rPr>
              <w:t>0</w:t>
            </w:r>
          </w:p>
        </w:tc>
        <w:tc>
          <w:tcPr>
            <w:tcW w:w="1350" w:type="dxa"/>
          </w:tcPr>
          <w:p w14:paraId="0CC952C6" w14:textId="7DA8A380" w:rsidR="00070C1D" w:rsidRPr="004E7325" w:rsidRDefault="001E2B1E" w:rsidP="006E410C">
            <w:pPr>
              <w:autoSpaceDE w:val="0"/>
              <w:autoSpaceDN w:val="0"/>
              <w:adjustRightInd w:val="0"/>
              <w:rPr>
                <w:rFonts w:cs="Times New Roman"/>
                <w:lang w:val="en-GB"/>
              </w:rPr>
            </w:pPr>
            <w:r>
              <w:rPr>
                <w:rFonts w:cs="Times New Roman"/>
                <w:lang w:val="en-GB"/>
              </w:rPr>
              <w:t>0.045</w:t>
            </w:r>
          </w:p>
        </w:tc>
      </w:tr>
      <w:tr w:rsidR="00070C1D" w:rsidRPr="004E7325" w14:paraId="12049DDF" w14:textId="40DFDD4F" w:rsidTr="00070C1D">
        <w:tc>
          <w:tcPr>
            <w:tcW w:w="2938" w:type="dxa"/>
          </w:tcPr>
          <w:p w14:paraId="019024D7" w14:textId="77777777" w:rsidR="00070C1D" w:rsidRPr="004E7325" w:rsidRDefault="00070C1D" w:rsidP="006E410C">
            <w:pPr>
              <w:autoSpaceDE w:val="0"/>
              <w:autoSpaceDN w:val="0"/>
              <w:adjustRightInd w:val="0"/>
              <w:rPr>
                <w:rFonts w:cs="Times New Roman"/>
                <w:lang w:val="en-GB"/>
              </w:rPr>
            </w:pPr>
            <w:proofErr w:type="spellStart"/>
            <w:r w:rsidRPr="004E7325">
              <w:rPr>
                <w:rFonts w:cs="Times New Roman"/>
                <w:lang w:val="en-GB"/>
              </w:rPr>
              <w:t>pct_medicaid</w:t>
            </w:r>
            <w:proofErr w:type="spellEnd"/>
          </w:p>
        </w:tc>
        <w:tc>
          <w:tcPr>
            <w:tcW w:w="4395" w:type="dxa"/>
          </w:tcPr>
          <w:p w14:paraId="11E1FE9C"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hospital admissions covered by Medicaid (%)</w:t>
            </w:r>
          </w:p>
        </w:tc>
        <w:tc>
          <w:tcPr>
            <w:tcW w:w="1140" w:type="dxa"/>
          </w:tcPr>
          <w:p w14:paraId="25F16A7C" w14:textId="4C3C60CD"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1E2B1E">
              <w:rPr>
                <w:rFonts w:cs="Times New Roman"/>
                <w:lang w:val="en-GB"/>
              </w:rPr>
              <w:t>309</w:t>
            </w:r>
          </w:p>
        </w:tc>
        <w:tc>
          <w:tcPr>
            <w:tcW w:w="990" w:type="dxa"/>
          </w:tcPr>
          <w:p w14:paraId="398EE4C9" w14:textId="060E7A73" w:rsidR="00070C1D" w:rsidRPr="004E7325" w:rsidRDefault="00070C1D" w:rsidP="006E410C">
            <w:pPr>
              <w:autoSpaceDE w:val="0"/>
              <w:autoSpaceDN w:val="0"/>
              <w:adjustRightInd w:val="0"/>
              <w:rPr>
                <w:rFonts w:cs="Times New Roman"/>
                <w:lang w:val="en-GB"/>
              </w:rPr>
            </w:pPr>
            <w:r w:rsidRPr="004E7325">
              <w:rPr>
                <w:rFonts w:cs="Times New Roman"/>
                <w:lang w:val="en-GB"/>
              </w:rPr>
              <w:t>20.</w:t>
            </w:r>
            <w:r w:rsidR="001E2B1E">
              <w:rPr>
                <w:rFonts w:cs="Times New Roman"/>
                <w:lang w:val="en-GB"/>
              </w:rPr>
              <w:t>89</w:t>
            </w:r>
          </w:p>
        </w:tc>
        <w:tc>
          <w:tcPr>
            <w:tcW w:w="1170" w:type="dxa"/>
          </w:tcPr>
          <w:p w14:paraId="39EBCB06" w14:textId="78FF27C8" w:rsidR="00070C1D" w:rsidRPr="004E7325" w:rsidRDefault="00070C1D" w:rsidP="006E410C">
            <w:pPr>
              <w:autoSpaceDE w:val="0"/>
              <w:autoSpaceDN w:val="0"/>
              <w:adjustRightInd w:val="0"/>
              <w:rPr>
                <w:rFonts w:cs="Times New Roman"/>
                <w:lang w:val="en-GB"/>
              </w:rPr>
            </w:pPr>
            <w:r w:rsidRPr="004E7325">
              <w:rPr>
                <w:rFonts w:cs="Times New Roman"/>
                <w:lang w:val="en-GB"/>
              </w:rPr>
              <w:t>16.</w:t>
            </w:r>
            <w:r w:rsidR="001E2B1E">
              <w:rPr>
                <w:rFonts w:cs="Times New Roman"/>
                <w:lang w:val="en-GB"/>
              </w:rPr>
              <w:t>14</w:t>
            </w:r>
          </w:p>
        </w:tc>
        <w:tc>
          <w:tcPr>
            <w:tcW w:w="1350" w:type="dxa"/>
          </w:tcPr>
          <w:p w14:paraId="25D878CD" w14:textId="5F5E7B15" w:rsidR="00070C1D" w:rsidRPr="004E7325" w:rsidRDefault="001E2B1E" w:rsidP="006E410C">
            <w:pPr>
              <w:autoSpaceDE w:val="0"/>
              <w:autoSpaceDN w:val="0"/>
              <w:adjustRightInd w:val="0"/>
              <w:rPr>
                <w:rFonts w:cs="Times New Roman"/>
                <w:lang w:val="en-GB"/>
              </w:rPr>
            </w:pPr>
            <w:r>
              <w:rPr>
                <w:rFonts w:cs="Times New Roman"/>
                <w:lang w:val="en-GB"/>
              </w:rPr>
              <w:t>10</w:t>
            </w:r>
          </w:p>
        </w:tc>
        <w:tc>
          <w:tcPr>
            <w:tcW w:w="1350" w:type="dxa"/>
          </w:tcPr>
          <w:p w14:paraId="7C9F1F38" w14:textId="6FEB2CF0" w:rsidR="00070C1D" w:rsidRPr="004E7325" w:rsidRDefault="001E2B1E" w:rsidP="006E410C">
            <w:pPr>
              <w:autoSpaceDE w:val="0"/>
              <w:autoSpaceDN w:val="0"/>
              <w:adjustRightInd w:val="0"/>
              <w:rPr>
                <w:rFonts w:cs="Times New Roman"/>
                <w:lang w:val="en-GB"/>
              </w:rPr>
            </w:pPr>
            <w:r>
              <w:rPr>
                <w:rFonts w:cs="Times New Roman"/>
                <w:lang w:val="en-GB"/>
              </w:rPr>
              <w:t>29.0</w:t>
            </w:r>
          </w:p>
        </w:tc>
      </w:tr>
      <w:tr w:rsidR="00070C1D" w:rsidRPr="004E7325" w14:paraId="6BA5FBFD" w14:textId="4DED7368" w:rsidTr="00070C1D">
        <w:tc>
          <w:tcPr>
            <w:tcW w:w="2938" w:type="dxa"/>
          </w:tcPr>
          <w:p w14:paraId="0A65AA98" w14:textId="77777777" w:rsidR="00070C1D" w:rsidRPr="004E7325" w:rsidRDefault="00070C1D" w:rsidP="006E410C">
            <w:pPr>
              <w:autoSpaceDE w:val="0"/>
              <w:autoSpaceDN w:val="0"/>
              <w:adjustRightInd w:val="0"/>
              <w:rPr>
                <w:rFonts w:cs="Times New Roman"/>
              </w:rPr>
            </w:pPr>
            <w:proofErr w:type="spellStart"/>
            <w:r w:rsidRPr="004E7325">
              <w:rPr>
                <w:rFonts w:cs="Times New Roman"/>
                <w:lang w:val="en-GB"/>
              </w:rPr>
              <w:t>pct_uninsured</w:t>
            </w:r>
            <w:proofErr w:type="spellEnd"/>
          </w:p>
        </w:tc>
        <w:tc>
          <w:tcPr>
            <w:tcW w:w="4395" w:type="dxa"/>
          </w:tcPr>
          <w:p w14:paraId="794E36C6"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Percentage of self-pay and no-charge admissions (%)</w:t>
            </w:r>
          </w:p>
        </w:tc>
        <w:tc>
          <w:tcPr>
            <w:tcW w:w="1140" w:type="dxa"/>
          </w:tcPr>
          <w:p w14:paraId="4898348D" w14:textId="00475264"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1E2B1E">
              <w:rPr>
                <w:rFonts w:cs="Times New Roman"/>
                <w:lang w:val="en-GB"/>
              </w:rPr>
              <w:t>309</w:t>
            </w:r>
          </w:p>
        </w:tc>
        <w:tc>
          <w:tcPr>
            <w:tcW w:w="990" w:type="dxa"/>
          </w:tcPr>
          <w:p w14:paraId="1224F159" w14:textId="4EEF1DDB" w:rsidR="00070C1D" w:rsidRPr="004E7325" w:rsidRDefault="00070C1D" w:rsidP="006E410C">
            <w:pPr>
              <w:autoSpaceDE w:val="0"/>
              <w:autoSpaceDN w:val="0"/>
              <w:adjustRightInd w:val="0"/>
              <w:rPr>
                <w:rFonts w:cs="Times New Roman"/>
                <w:lang w:val="en-GB"/>
              </w:rPr>
            </w:pPr>
            <w:r w:rsidRPr="004E7325">
              <w:rPr>
                <w:rFonts w:cs="Times New Roman"/>
                <w:lang w:val="en-GB"/>
              </w:rPr>
              <w:t>1.</w:t>
            </w:r>
            <w:r w:rsidR="001E2B1E">
              <w:rPr>
                <w:rFonts w:cs="Times New Roman"/>
                <w:lang w:val="en-GB"/>
              </w:rPr>
              <w:t>30</w:t>
            </w:r>
          </w:p>
        </w:tc>
        <w:tc>
          <w:tcPr>
            <w:tcW w:w="1170" w:type="dxa"/>
          </w:tcPr>
          <w:p w14:paraId="2E4B9AEE" w14:textId="69AEA288" w:rsidR="00070C1D" w:rsidRPr="004E7325" w:rsidRDefault="00070C1D" w:rsidP="006E410C">
            <w:pPr>
              <w:autoSpaceDE w:val="0"/>
              <w:autoSpaceDN w:val="0"/>
              <w:adjustRightInd w:val="0"/>
              <w:rPr>
                <w:rFonts w:cs="Times New Roman"/>
                <w:lang w:val="en-GB"/>
              </w:rPr>
            </w:pPr>
            <w:r w:rsidRPr="004E7325">
              <w:rPr>
                <w:rFonts w:cs="Times New Roman"/>
                <w:lang w:val="en-GB"/>
              </w:rPr>
              <w:t>3.4</w:t>
            </w:r>
            <w:r w:rsidR="001E2B1E">
              <w:rPr>
                <w:rFonts w:cs="Times New Roman"/>
                <w:lang w:val="en-GB"/>
              </w:rPr>
              <w:t>7</w:t>
            </w:r>
          </w:p>
        </w:tc>
        <w:tc>
          <w:tcPr>
            <w:tcW w:w="1350" w:type="dxa"/>
          </w:tcPr>
          <w:p w14:paraId="25836DC3" w14:textId="6B9E2B1F" w:rsidR="00070C1D" w:rsidRPr="004E7325" w:rsidRDefault="001E2B1E" w:rsidP="006E410C">
            <w:pPr>
              <w:autoSpaceDE w:val="0"/>
              <w:autoSpaceDN w:val="0"/>
              <w:adjustRightInd w:val="0"/>
              <w:rPr>
                <w:rFonts w:cs="Times New Roman"/>
                <w:lang w:val="en-GB"/>
              </w:rPr>
            </w:pPr>
            <w:r>
              <w:rPr>
                <w:rFonts w:cs="Times New Roman"/>
                <w:lang w:val="en-GB"/>
              </w:rPr>
              <w:t>0</w:t>
            </w:r>
          </w:p>
        </w:tc>
        <w:tc>
          <w:tcPr>
            <w:tcW w:w="1350" w:type="dxa"/>
          </w:tcPr>
          <w:p w14:paraId="3E168863" w14:textId="40EC7880" w:rsidR="00070C1D" w:rsidRPr="004E7325" w:rsidRDefault="001E2B1E" w:rsidP="006E410C">
            <w:pPr>
              <w:autoSpaceDE w:val="0"/>
              <w:autoSpaceDN w:val="0"/>
              <w:adjustRightInd w:val="0"/>
              <w:rPr>
                <w:rFonts w:cs="Times New Roman"/>
                <w:lang w:val="en-GB"/>
              </w:rPr>
            </w:pPr>
            <w:r>
              <w:rPr>
                <w:rFonts w:cs="Times New Roman"/>
                <w:lang w:val="en-GB"/>
              </w:rPr>
              <w:t>1.66</w:t>
            </w:r>
          </w:p>
        </w:tc>
      </w:tr>
      <w:tr w:rsidR="00070C1D" w:rsidRPr="004E7325" w14:paraId="7078AA4C" w14:textId="770FC604" w:rsidTr="00070C1D">
        <w:tc>
          <w:tcPr>
            <w:tcW w:w="2938" w:type="dxa"/>
          </w:tcPr>
          <w:p w14:paraId="59C0F67F" w14:textId="77777777" w:rsidR="00070C1D" w:rsidRPr="00015C53" w:rsidRDefault="00070C1D" w:rsidP="006E410C">
            <w:pPr>
              <w:autoSpaceDE w:val="0"/>
              <w:autoSpaceDN w:val="0"/>
              <w:adjustRightInd w:val="0"/>
              <w:rPr>
                <w:rFonts w:cs="Times New Roman"/>
              </w:rPr>
            </w:pPr>
            <w:r w:rsidRPr="004E7325">
              <w:rPr>
                <w:rFonts w:cs="Times New Roman"/>
                <w:lang w:val="en-GB"/>
              </w:rPr>
              <w:t>psych_per_100k</w:t>
            </w:r>
          </w:p>
        </w:tc>
        <w:tc>
          <w:tcPr>
            <w:tcW w:w="4395" w:type="dxa"/>
          </w:tcPr>
          <w:p w14:paraId="5ABD466B" w14:textId="77777777" w:rsidR="00070C1D" w:rsidRPr="004E7325" w:rsidRDefault="00070C1D" w:rsidP="001A433C">
            <w:pPr>
              <w:autoSpaceDE w:val="0"/>
              <w:autoSpaceDN w:val="0"/>
              <w:adjustRightInd w:val="0"/>
              <w:jc w:val="left"/>
              <w:rPr>
                <w:rFonts w:cs="Times New Roman"/>
                <w:lang w:val="en-GB"/>
              </w:rPr>
            </w:pPr>
            <w:r w:rsidRPr="004E7325">
              <w:rPr>
                <w:rFonts w:cs="Times New Roman"/>
              </w:rPr>
              <w:t>Number of psychiatrists per 100,000 population (AHRF)</w:t>
            </w:r>
          </w:p>
        </w:tc>
        <w:tc>
          <w:tcPr>
            <w:tcW w:w="1140" w:type="dxa"/>
          </w:tcPr>
          <w:p w14:paraId="2A43605F" w14:textId="4C861CED" w:rsidR="00070C1D" w:rsidRPr="004E7325" w:rsidRDefault="00070C1D" w:rsidP="006E410C">
            <w:pPr>
              <w:autoSpaceDE w:val="0"/>
              <w:autoSpaceDN w:val="0"/>
              <w:adjustRightInd w:val="0"/>
              <w:rPr>
                <w:rFonts w:cs="Times New Roman"/>
                <w:lang w:val="en-GB"/>
              </w:rPr>
            </w:pPr>
            <w:r w:rsidRPr="004E7325">
              <w:rPr>
                <w:rFonts w:cs="Times New Roman"/>
                <w:lang w:val="en-GB"/>
              </w:rPr>
              <w:t>11</w:t>
            </w:r>
            <w:r w:rsidR="001E2B1E">
              <w:rPr>
                <w:rFonts w:cs="Times New Roman"/>
                <w:lang w:val="en-GB"/>
              </w:rPr>
              <w:t>254</w:t>
            </w:r>
          </w:p>
        </w:tc>
        <w:tc>
          <w:tcPr>
            <w:tcW w:w="990" w:type="dxa"/>
          </w:tcPr>
          <w:p w14:paraId="75D4ECC2" w14:textId="622DE797" w:rsidR="00070C1D" w:rsidRPr="004E7325" w:rsidRDefault="00070C1D" w:rsidP="006E410C">
            <w:pPr>
              <w:autoSpaceDE w:val="0"/>
              <w:autoSpaceDN w:val="0"/>
              <w:adjustRightInd w:val="0"/>
              <w:rPr>
                <w:rFonts w:cs="Times New Roman"/>
                <w:lang w:val="en-GB"/>
              </w:rPr>
            </w:pPr>
            <w:r>
              <w:rPr>
                <w:rFonts w:cs="Times New Roman"/>
                <w:lang w:val="en-GB"/>
              </w:rPr>
              <w:t>10.</w:t>
            </w:r>
            <w:r w:rsidR="001E2B1E">
              <w:rPr>
                <w:rFonts w:cs="Times New Roman"/>
                <w:lang w:val="en-GB"/>
              </w:rPr>
              <w:t>89</w:t>
            </w:r>
          </w:p>
        </w:tc>
        <w:tc>
          <w:tcPr>
            <w:tcW w:w="1170" w:type="dxa"/>
          </w:tcPr>
          <w:p w14:paraId="048BBCED" w14:textId="327293D6" w:rsidR="00070C1D" w:rsidRPr="004E7325" w:rsidRDefault="00070C1D" w:rsidP="006E410C">
            <w:pPr>
              <w:autoSpaceDE w:val="0"/>
              <w:autoSpaceDN w:val="0"/>
              <w:adjustRightInd w:val="0"/>
              <w:rPr>
                <w:rFonts w:cs="Times New Roman"/>
                <w:lang w:val="en-GB"/>
              </w:rPr>
            </w:pPr>
            <w:r>
              <w:rPr>
                <w:rFonts w:cs="Times New Roman"/>
                <w:lang w:val="en-GB"/>
              </w:rPr>
              <w:t>13.9</w:t>
            </w:r>
            <w:r w:rsidR="001E2B1E">
              <w:rPr>
                <w:rFonts w:cs="Times New Roman"/>
                <w:lang w:val="en-GB"/>
              </w:rPr>
              <w:t>3</w:t>
            </w:r>
          </w:p>
        </w:tc>
        <w:tc>
          <w:tcPr>
            <w:tcW w:w="1350" w:type="dxa"/>
          </w:tcPr>
          <w:p w14:paraId="7FDB7988" w14:textId="119B9787" w:rsidR="00070C1D" w:rsidRPr="004E7325" w:rsidRDefault="001E2B1E" w:rsidP="006E410C">
            <w:pPr>
              <w:autoSpaceDE w:val="0"/>
              <w:autoSpaceDN w:val="0"/>
              <w:adjustRightInd w:val="0"/>
              <w:rPr>
                <w:rFonts w:cs="Times New Roman"/>
                <w:lang w:val="en-GB"/>
              </w:rPr>
            </w:pPr>
            <w:r>
              <w:rPr>
                <w:rFonts w:cs="Times New Roman"/>
                <w:lang w:val="en-GB"/>
              </w:rPr>
              <w:t>3.24</w:t>
            </w:r>
          </w:p>
        </w:tc>
        <w:tc>
          <w:tcPr>
            <w:tcW w:w="1350" w:type="dxa"/>
          </w:tcPr>
          <w:p w14:paraId="21D24168" w14:textId="46D08303" w:rsidR="00070C1D" w:rsidRPr="004E7325" w:rsidRDefault="001E2B1E" w:rsidP="006E410C">
            <w:pPr>
              <w:autoSpaceDE w:val="0"/>
              <w:autoSpaceDN w:val="0"/>
              <w:adjustRightInd w:val="0"/>
              <w:rPr>
                <w:rFonts w:cs="Times New Roman"/>
                <w:lang w:val="en-GB"/>
              </w:rPr>
            </w:pPr>
            <w:r>
              <w:rPr>
                <w:rFonts w:cs="Times New Roman"/>
                <w:lang w:val="en-GB"/>
              </w:rPr>
              <w:t>16.4</w:t>
            </w:r>
          </w:p>
        </w:tc>
      </w:tr>
    </w:tbl>
    <w:p w14:paraId="4A4208DF" w14:textId="5ED04D97" w:rsidR="00512623" w:rsidRDefault="00512623" w:rsidP="00512623">
      <w:pPr>
        <w:pStyle w:val="NormalWeb"/>
        <w:rPr>
          <w:rFonts w:ascii="Times New Roman" w:hAnsi="Times New Roman" w:cs="Times New Roman"/>
          <w:sz w:val="18"/>
          <w:szCs w:val="18"/>
        </w:rPr>
      </w:pPr>
      <w:r w:rsidRPr="00512623">
        <w:rPr>
          <w:rStyle w:val="Emphasis"/>
          <w:rFonts w:ascii="Times New Roman" w:eastAsiaTheme="majorEastAsia" w:hAnsi="Times New Roman" w:cs="Times New Roman"/>
          <w:i w:val="0"/>
          <w:iCs/>
          <w:sz w:val="18"/>
          <w:szCs w:val="18"/>
        </w:rPr>
        <w:t>Notes:</w:t>
      </w:r>
      <w:r w:rsidRPr="00512623">
        <w:rPr>
          <w:rFonts w:ascii="Times New Roman" w:hAnsi="Times New Roman" w:cs="Times New Roman"/>
          <w:sz w:val="18"/>
          <w:szCs w:val="18"/>
        </w:rPr>
        <w:t xml:space="preserve"> </w:t>
      </w:r>
      <w:r w:rsidR="00015C53">
        <w:rPr>
          <w:rFonts w:ascii="Times New Roman" w:hAnsi="Times New Roman" w:cs="Times New Roman"/>
          <w:sz w:val="18"/>
          <w:szCs w:val="18"/>
        </w:rPr>
        <w:t>Sample includes Maryland data from 201</w:t>
      </w:r>
      <w:r w:rsidR="00D8401D">
        <w:rPr>
          <w:rFonts w:ascii="Times New Roman" w:hAnsi="Times New Roman" w:cs="Times New Roman" w:hint="eastAsia"/>
          <w:sz w:val="18"/>
          <w:szCs w:val="18"/>
        </w:rPr>
        <w:t>8</w:t>
      </w:r>
      <w:r w:rsidR="00015C53">
        <w:rPr>
          <w:rFonts w:ascii="Times New Roman" w:hAnsi="Times New Roman" w:cs="Times New Roman"/>
          <w:sz w:val="18"/>
          <w:szCs w:val="18"/>
        </w:rPr>
        <w:t xml:space="preserve">-2023. </w:t>
      </w:r>
      <w:r w:rsidRPr="00512623">
        <w:rPr>
          <w:rFonts w:ascii="Times New Roman" w:hAnsi="Times New Roman" w:cs="Times New Roman"/>
          <w:sz w:val="18"/>
          <w:szCs w:val="18"/>
        </w:rPr>
        <w:t>Patient-level variables (</w:t>
      </w:r>
      <w:proofErr w:type="spellStart"/>
      <w:r w:rsidRPr="00512623">
        <w:rPr>
          <w:rFonts w:ascii="Times New Roman" w:hAnsi="Times New Roman" w:cs="Times New Roman"/>
          <w:sz w:val="18"/>
          <w:szCs w:val="18"/>
        </w:rPr>
        <w:t>pct_male</w:t>
      </w:r>
      <w:proofErr w:type="spellEnd"/>
      <w:r w:rsidRPr="00512623">
        <w:rPr>
          <w:rFonts w:ascii="Times New Roman" w:hAnsi="Times New Roman" w:cs="Times New Roman"/>
          <w:sz w:val="18"/>
          <w:szCs w:val="18"/>
        </w:rPr>
        <w:t xml:space="preserve">, </w:t>
      </w:r>
      <w:proofErr w:type="spellStart"/>
      <w:r w:rsidRPr="00512623">
        <w:rPr>
          <w:rFonts w:ascii="Times New Roman" w:hAnsi="Times New Roman" w:cs="Times New Roman"/>
          <w:sz w:val="18"/>
          <w:szCs w:val="18"/>
        </w:rPr>
        <w:t>pct_medicaid</w:t>
      </w:r>
      <w:proofErr w:type="spellEnd"/>
      <w:r w:rsidRPr="00512623">
        <w:rPr>
          <w:rFonts w:ascii="Times New Roman" w:hAnsi="Times New Roman" w:cs="Times New Roman"/>
          <w:sz w:val="18"/>
          <w:szCs w:val="18"/>
        </w:rPr>
        <w:t xml:space="preserve">, </w:t>
      </w:r>
      <w:proofErr w:type="spellStart"/>
      <w:r w:rsidRPr="00512623">
        <w:rPr>
          <w:rFonts w:ascii="Times New Roman" w:hAnsi="Times New Roman" w:cs="Times New Roman"/>
          <w:sz w:val="18"/>
          <w:szCs w:val="18"/>
        </w:rPr>
        <w:t>mean_age</w:t>
      </w:r>
      <w:proofErr w:type="spellEnd"/>
      <w:r w:rsidRPr="00512623">
        <w:rPr>
          <w:rFonts w:ascii="Times New Roman" w:hAnsi="Times New Roman" w:cs="Times New Roman"/>
          <w:sz w:val="18"/>
          <w:szCs w:val="18"/>
        </w:rPr>
        <w:t xml:space="preserve">, </w:t>
      </w:r>
      <w:proofErr w:type="spellStart"/>
      <w:r w:rsidRPr="00512623">
        <w:rPr>
          <w:rFonts w:ascii="Times New Roman" w:hAnsi="Times New Roman" w:cs="Times New Roman"/>
          <w:sz w:val="18"/>
          <w:szCs w:val="18"/>
        </w:rPr>
        <w:t>Elixhauser</w:t>
      </w:r>
      <w:proofErr w:type="spellEnd"/>
      <w:r w:rsidRPr="00512623">
        <w:rPr>
          <w:rFonts w:ascii="Times New Roman" w:hAnsi="Times New Roman" w:cs="Times New Roman"/>
          <w:sz w:val="18"/>
          <w:szCs w:val="18"/>
        </w:rPr>
        <w:t xml:space="preserve"> comorbidities) are calculated as means across all admissions within each ZIP code-quarter. ZIP code-level variables (population, </w:t>
      </w:r>
      <w:proofErr w:type="spellStart"/>
      <w:r w:rsidRPr="00512623">
        <w:rPr>
          <w:rFonts w:ascii="Times New Roman" w:hAnsi="Times New Roman" w:cs="Times New Roman"/>
          <w:sz w:val="18"/>
          <w:szCs w:val="18"/>
        </w:rPr>
        <w:t>poverty_rate</w:t>
      </w:r>
      <w:proofErr w:type="spellEnd"/>
      <w:r w:rsidRPr="00512623">
        <w:rPr>
          <w:rFonts w:ascii="Times New Roman" w:hAnsi="Times New Roman" w:cs="Times New Roman"/>
          <w:sz w:val="18"/>
          <w:szCs w:val="18"/>
        </w:rPr>
        <w:t>, race percentages) are obtained from ACS 5-year estimates. Healthcare resource variables are from AHRF. See Appendices D-E for detailed variable construction.</w:t>
      </w:r>
    </w:p>
    <w:p w14:paraId="0086B090" w14:textId="77777777" w:rsidR="00512623" w:rsidRDefault="00512623" w:rsidP="00512623">
      <w:pPr>
        <w:rPr>
          <w:rFonts w:cs="Times New Roman"/>
          <w:b/>
          <w:bCs/>
        </w:rPr>
      </w:pPr>
    </w:p>
    <w:p w14:paraId="02E15BC8" w14:textId="77777777" w:rsidR="00FC455F" w:rsidRDefault="00FC455F" w:rsidP="00512623">
      <w:pPr>
        <w:rPr>
          <w:rFonts w:cs="Times New Roman"/>
          <w:b/>
          <w:bCs/>
        </w:rPr>
      </w:pPr>
    </w:p>
    <w:p w14:paraId="3849CB06" w14:textId="77777777" w:rsidR="00FC455F" w:rsidRDefault="00FC455F" w:rsidP="00512623">
      <w:pPr>
        <w:rPr>
          <w:rFonts w:cs="Times New Roman"/>
          <w:b/>
          <w:bCs/>
        </w:rPr>
      </w:pPr>
    </w:p>
    <w:p w14:paraId="0B1C9816" w14:textId="77777777" w:rsidR="00FC455F" w:rsidRDefault="00FC455F" w:rsidP="00512623">
      <w:pPr>
        <w:rPr>
          <w:rFonts w:cs="Times New Roman"/>
          <w:b/>
          <w:bCs/>
        </w:rPr>
      </w:pPr>
    </w:p>
    <w:p w14:paraId="1ABC23BE" w14:textId="77777777" w:rsidR="00FC455F" w:rsidRDefault="00FC455F" w:rsidP="00512623">
      <w:pPr>
        <w:rPr>
          <w:rFonts w:cs="Times New Roman"/>
          <w:b/>
          <w:bCs/>
        </w:rPr>
      </w:pPr>
    </w:p>
    <w:p w14:paraId="64EECEDC" w14:textId="77777777" w:rsidR="00FC455F" w:rsidRDefault="00FC455F" w:rsidP="00512623">
      <w:pPr>
        <w:rPr>
          <w:rFonts w:cs="Times New Roman"/>
          <w:b/>
          <w:bCs/>
        </w:rPr>
      </w:pPr>
    </w:p>
    <w:p w14:paraId="5FFBAD9D" w14:textId="77777777" w:rsidR="00FC455F" w:rsidRDefault="00FC455F" w:rsidP="00512623">
      <w:pPr>
        <w:rPr>
          <w:rFonts w:cs="Times New Roman"/>
          <w:b/>
          <w:bCs/>
        </w:rPr>
      </w:pPr>
    </w:p>
    <w:p w14:paraId="781AF855" w14:textId="77777777" w:rsidR="00FC455F" w:rsidRDefault="00FC455F" w:rsidP="00512623">
      <w:pPr>
        <w:rPr>
          <w:rFonts w:cs="Times New Roman"/>
          <w:b/>
          <w:bCs/>
        </w:rPr>
      </w:pPr>
    </w:p>
    <w:p w14:paraId="5EDB4C44" w14:textId="77777777" w:rsidR="00FC455F" w:rsidRDefault="00FC455F" w:rsidP="00512623">
      <w:pPr>
        <w:rPr>
          <w:rFonts w:cs="Times New Roman"/>
          <w:b/>
          <w:bCs/>
        </w:rPr>
      </w:pPr>
    </w:p>
    <w:p w14:paraId="5DE56F10" w14:textId="77777777" w:rsidR="00FC455F" w:rsidRDefault="00FC455F" w:rsidP="00512623">
      <w:pPr>
        <w:rPr>
          <w:rFonts w:cs="Times New Roman"/>
          <w:b/>
          <w:bCs/>
        </w:rPr>
      </w:pPr>
    </w:p>
    <w:p w14:paraId="0DF9C7BB" w14:textId="01B47B9D" w:rsidR="00512623" w:rsidRPr="00367E10" w:rsidRDefault="00512623" w:rsidP="00512623">
      <w:pPr>
        <w:keepNext/>
        <w:autoSpaceDE w:val="0"/>
        <w:autoSpaceDN w:val="0"/>
        <w:adjustRightInd w:val="0"/>
        <w:rPr>
          <w:rFonts w:cs="Times New Roman"/>
          <w:b/>
          <w:bCs/>
          <w:sz w:val="22"/>
          <w:lang w:val="en-GB"/>
        </w:rPr>
      </w:pPr>
      <w:proofErr w:type="spellStart"/>
      <w:r>
        <w:rPr>
          <w:rFonts w:cs="Times New Roman"/>
          <w:b/>
          <w:bCs/>
        </w:rPr>
        <w:lastRenderedPageBreak/>
        <w:t>Supplemntary</w:t>
      </w:r>
      <w:proofErr w:type="spellEnd"/>
      <w:r>
        <w:rPr>
          <w:rFonts w:cs="Times New Roman"/>
          <w:b/>
          <w:bCs/>
        </w:rPr>
        <w:t xml:space="preserve"> Table S</w:t>
      </w:r>
      <w:r w:rsidR="00FC455F">
        <w:rPr>
          <w:rFonts w:cs="Times New Roman"/>
          <w:b/>
          <w:bCs/>
        </w:rPr>
        <w:t>2</w:t>
      </w:r>
      <w:r w:rsidRPr="00367E10">
        <w:rPr>
          <w:rFonts w:cs="Times New Roman"/>
          <w:b/>
          <w:bCs/>
          <w:sz w:val="22"/>
          <w:lang w:val="en-GB"/>
        </w:rPr>
        <w:t xml:space="preserve">: </w:t>
      </w:r>
      <w:r w:rsidRPr="006A6832">
        <w:rPr>
          <w:rFonts w:cs="Times New Roman"/>
          <w:b/>
          <w:bCs/>
          <w:szCs w:val="24"/>
          <w:lang w:val="en-GB"/>
        </w:rPr>
        <w:t>Correlation Matrix</w:t>
      </w:r>
    </w:p>
    <w:tbl>
      <w:tblPr>
        <w:tblW w:w="13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1350"/>
        <w:gridCol w:w="1530"/>
        <w:gridCol w:w="1443"/>
        <w:gridCol w:w="1417"/>
        <w:gridCol w:w="1134"/>
        <w:gridCol w:w="1276"/>
        <w:gridCol w:w="1276"/>
        <w:gridCol w:w="1194"/>
        <w:gridCol w:w="932"/>
      </w:tblGrid>
      <w:tr w:rsidR="00512623" w:rsidRPr="00367E10" w14:paraId="547F08BB" w14:textId="77777777" w:rsidTr="008C7842">
        <w:tc>
          <w:tcPr>
            <w:tcW w:w="2443" w:type="dxa"/>
          </w:tcPr>
          <w:p w14:paraId="42700250" w14:textId="77777777" w:rsidR="00512623" w:rsidRPr="00367E10" w:rsidRDefault="00512623" w:rsidP="006E410C">
            <w:pPr>
              <w:autoSpaceDE w:val="0"/>
              <w:autoSpaceDN w:val="0"/>
              <w:adjustRightInd w:val="0"/>
              <w:rPr>
                <w:rFonts w:cs="Times New Roman"/>
                <w:sz w:val="22"/>
                <w:lang w:val="en-GB"/>
              </w:rPr>
            </w:pPr>
          </w:p>
        </w:tc>
        <w:tc>
          <w:tcPr>
            <w:tcW w:w="1350" w:type="dxa"/>
          </w:tcPr>
          <w:p w14:paraId="5E158570" w14:textId="77777777" w:rsidR="00512623" w:rsidRPr="00367E10" w:rsidRDefault="00512623" w:rsidP="006E410C">
            <w:pPr>
              <w:autoSpaceDE w:val="0"/>
              <w:autoSpaceDN w:val="0"/>
              <w:adjustRightInd w:val="0"/>
              <w:jc w:val="center"/>
              <w:rPr>
                <w:rFonts w:cs="Times New Roman"/>
                <w:sz w:val="22"/>
                <w:lang w:val="en-GB"/>
              </w:rPr>
            </w:pPr>
            <w:proofErr w:type="spellStart"/>
            <w:r w:rsidRPr="00367E10">
              <w:rPr>
                <w:rFonts w:cs="Times New Roman"/>
                <w:sz w:val="22"/>
                <w:lang w:val="en-GB"/>
              </w:rPr>
              <w:t>mh_primary_cases</w:t>
            </w:r>
            <w:proofErr w:type="spellEnd"/>
          </w:p>
        </w:tc>
        <w:tc>
          <w:tcPr>
            <w:tcW w:w="1530" w:type="dxa"/>
          </w:tcPr>
          <w:p w14:paraId="7AACF360"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ln_outage_1hr_p75</w:t>
            </w:r>
          </w:p>
        </w:tc>
        <w:tc>
          <w:tcPr>
            <w:tcW w:w="1443" w:type="dxa"/>
          </w:tcPr>
          <w:p w14:paraId="580193F9"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extreme_heat_days_p90</w:t>
            </w:r>
          </w:p>
        </w:tc>
        <w:tc>
          <w:tcPr>
            <w:tcW w:w="1417" w:type="dxa"/>
          </w:tcPr>
          <w:p w14:paraId="4F969917" w14:textId="77777777" w:rsidR="00512623" w:rsidRPr="00367E10" w:rsidRDefault="00512623" w:rsidP="006E410C">
            <w:pPr>
              <w:autoSpaceDE w:val="0"/>
              <w:autoSpaceDN w:val="0"/>
              <w:adjustRightInd w:val="0"/>
              <w:jc w:val="center"/>
              <w:rPr>
                <w:rFonts w:cs="Times New Roman"/>
                <w:sz w:val="22"/>
                <w:lang w:val="en-GB"/>
              </w:rPr>
            </w:pPr>
            <w:proofErr w:type="spellStart"/>
            <w:r w:rsidRPr="00367E10">
              <w:rPr>
                <w:rFonts w:cs="Times New Roman"/>
                <w:sz w:val="22"/>
                <w:lang w:val="en-GB"/>
              </w:rPr>
              <w:t>poverty_rate</w:t>
            </w:r>
            <w:proofErr w:type="spellEnd"/>
          </w:p>
        </w:tc>
        <w:tc>
          <w:tcPr>
            <w:tcW w:w="1134" w:type="dxa"/>
          </w:tcPr>
          <w:p w14:paraId="5F7BD4D4"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median_income_1k</w:t>
            </w:r>
          </w:p>
        </w:tc>
        <w:tc>
          <w:tcPr>
            <w:tcW w:w="1276" w:type="dxa"/>
          </w:tcPr>
          <w:p w14:paraId="2CA0C22D" w14:textId="77777777" w:rsidR="00512623" w:rsidRPr="00367E10" w:rsidRDefault="00512623" w:rsidP="006E410C">
            <w:pPr>
              <w:autoSpaceDE w:val="0"/>
              <w:autoSpaceDN w:val="0"/>
              <w:adjustRightInd w:val="0"/>
              <w:jc w:val="center"/>
              <w:rPr>
                <w:rFonts w:cs="Times New Roman"/>
                <w:sz w:val="22"/>
                <w:lang w:val="en-GB"/>
              </w:rPr>
            </w:pPr>
            <w:proofErr w:type="spellStart"/>
            <w:r w:rsidRPr="00367E10">
              <w:rPr>
                <w:rFonts w:cs="Times New Roman"/>
                <w:sz w:val="22"/>
                <w:lang w:val="en-GB"/>
              </w:rPr>
              <w:t>avg_cmr_clean</w:t>
            </w:r>
            <w:proofErr w:type="spellEnd"/>
          </w:p>
        </w:tc>
        <w:tc>
          <w:tcPr>
            <w:tcW w:w="1276" w:type="dxa"/>
          </w:tcPr>
          <w:p w14:paraId="2E46072C" w14:textId="77777777" w:rsidR="00512623" w:rsidRPr="00367E10" w:rsidRDefault="00512623" w:rsidP="006E410C">
            <w:pPr>
              <w:autoSpaceDE w:val="0"/>
              <w:autoSpaceDN w:val="0"/>
              <w:adjustRightInd w:val="0"/>
              <w:jc w:val="center"/>
              <w:rPr>
                <w:rFonts w:cs="Times New Roman"/>
                <w:sz w:val="22"/>
                <w:lang w:val="en-GB"/>
              </w:rPr>
            </w:pPr>
            <w:proofErr w:type="spellStart"/>
            <w:r w:rsidRPr="00367E10">
              <w:rPr>
                <w:rFonts w:cs="Times New Roman"/>
                <w:sz w:val="22"/>
                <w:lang w:val="en-GB"/>
              </w:rPr>
              <w:t>pct_medicaid</w:t>
            </w:r>
            <w:proofErr w:type="spellEnd"/>
          </w:p>
        </w:tc>
        <w:tc>
          <w:tcPr>
            <w:tcW w:w="1194" w:type="dxa"/>
          </w:tcPr>
          <w:p w14:paraId="4F8E001F" w14:textId="77777777" w:rsidR="00512623" w:rsidRPr="00367E10" w:rsidRDefault="00512623" w:rsidP="006E410C">
            <w:pPr>
              <w:autoSpaceDE w:val="0"/>
              <w:autoSpaceDN w:val="0"/>
              <w:adjustRightInd w:val="0"/>
              <w:jc w:val="center"/>
              <w:rPr>
                <w:rFonts w:cs="Times New Roman"/>
                <w:sz w:val="22"/>
                <w:lang w:val="en-GB"/>
              </w:rPr>
            </w:pPr>
            <w:proofErr w:type="spellStart"/>
            <w:r w:rsidRPr="00367E10">
              <w:rPr>
                <w:rFonts w:cs="Times New Roman"/>
                <w:sz w:val="22"/>
                <w:lang w:val="en-GB"/>
              </w:rPr>
              <w:t>pct_male</w:t>
            </w:r>
            <w:proofErr w:type="spellEnd"/>
          </w:p>
        </w:tc>
        <w:tc>
          <w:tcPr>
            <w:tcW w:w="932" w:type="dxa"/>
          </w:tcPr>
          <w:p w14:paraId="15A776A3"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psych_per_100k</w:t>
            </w:r>
          </w:p>
        </w:tc>
      </w:tr>
      <w:tr w:rsidR="00512623" w:rsidRPr="00367E10" w14:paraId="5A271048" w14:textId="77777777" w:rsidTr="008C7842">
        <w:tc>
          <w:tcPr>
            <w:tcW w:w="2443" w:type="dxa"/>
          </w:tcPr>
          <w:p w14:paraId="287ECCA5" w14:textId="77777777" w:rsidR="00512623" w:rsidRPr="00367E10" w:rsidRDefault="00512623" w:rsidP="006E410C">
            <w:pPr>
              <w:autoSpaceDE w:val="0"/>
              <w:autoSpaceDN w:val="0"/>
              <w:adjustRightInd w:val="0"/>
              <w:rPr>
                <w:rFonts w:cs="Times New Roman"/>
                <w:sz w:val="22"/>
                <w:lang w:val="en-GB"/>
              </w:rPr>
            </w:pPr>
            <w:proofErr w:type="spellStart"/>
            <w:r w:rsidRPr="00367E10">
              <w:rPr>
                <w:rFonts w:cs="Times New Roman"/>
                <w:sz w:val="22"/>
                <w:lang w:val="en-GB"/>
              </w:rPr>
              <w:t>mh_primary_cases</w:t>
            </w:r>
            <w:proofErr w:type="spellEnd"/>
          </w:p>
        </w:tc>
        <w:tc>
          <w:tcPr>
            <w:tcW w:w="1350" w:type="dxa"/>
          </w:tcPr>
          <w:p w14:paraId="237DA033"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1</w:t>
            </w:r>
          </w:p>
        </w:tc>
        <w:tc>
          <w:tcPr>
            <w:tcW w:w="1530" w:type="dxa"/>
          </w:tcPr>
          <w:p w14:paraId="2577783B" w14:textId="77777777" w:rsidR="00512623" w:rsidRPr="00367E10" w:rsidRDefault="00512623" w:rsidP="006E410C">
            <w:pPr>
              <w:autoSpaceDE w:val="0"/>
              <w:autoSpaceDN w:val="0"/>
              <w:adjustRightInd w:val="0"/>
              <w:jc w:val="center"/>
              <w:rPr>
                <w:rFonts w:cs="Times New Roman"/>
                <w:sz w:val="22"/>
                <w:lang w:val="en-GB"/>
              </w:rPr>
            </w:pPr>
          </w:p>
        </w:tc>
        <w:tc>
          <w:tcPr>
            <w:tcW w:w="1443" w:type="dxa"/>
          </w:tcPr>
          <w:p w14:paraId="734C2FA5" w14:textId="77777777" w:rsidR="00512623" w:rsidRPr="00367E10" w:rsidRDefault="00512623" w:rsidP="006E410C">
            <w:pPr>
              <w:autoSpaceDE w:val="0"/>
              <w:autoSpaceDN w:val="0"/>
              <w:adjustRightInd w:val="0"/>
              <w:jc w:val="center"/>
              <w:rPr>
                <w:rFonts w:cs="Times New Roman"/>
                <w:sz w:val="22"/>
                <w:lang w:val="en-GB"/>
              </w:rPr>
            </w:pPr>
          </w:p>
        </w:tc>
        <w:tc>
          <w:tcPr>
            <w:tcW w:w="1417" w:type="dxa"/>
          </w:tcPr>
          <w:p w14:paraId="4CCCC055" w14:textId="77777777" w:rsidR="00512623" w:rsidRPr="00367E10" w:rsidRDefault="00512623" w:rsidP="006E410C">
            <w:pPr>
              <w:autoSpaceDE w:val="0"/>
              <w:autoSpaceDN w:val="0"/>
              <w:adjustRightInd w:val="0"/>
              <w:jc w:val="center"/>
              <w:rPr>
                <w:rFonts w:cs="Times New Roman"/>
                <w:sz w:val="22"/>
                <w:lang w:val="en-GB"/>
              </w:rPr>
            </w:pPr>
          </w:p>
        </w:tc>
        <w:tc>
          <w:tcPr>
            <w:tcW w:w="1134" w:type="dxa"/>
          </w:tcPr>
          <w:p w14:paraId="65FB4C3A"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74A8349E"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73F792A6" w14:textId="77777777" w:rsidR="00512623" w:rsidRPr="00367E10" w:rsidRDefault="00512623" w:rsidP="006E410C">
            <w:pPr>
              <w:autoSpaceDE w:val="0"/>
              <w:autoSpaceDN w:val="0"/>
              <w:adjustRightInd w:val="0"/>
              <w:jc w:val="center"/>
              <w:rPr>
                <w:rFonts w:cs="Times New Roman"/>
                <w:sz w:val="22"/>
                <w:lang w:val="en-GB"/>
              </w:rPr>
            </w:pPr>
          </w:p>
        </w:tc>
        <w:tc>
          <w:tcPr>
            <w:tcW w:w="1194" w:type="dxa"/>
          </w:tcPr>
          <w:p w14:paraId="7BC1D0E1" w14:textId="77777777" w:rsidR="00512623" w:rsidRPr="00367E10" w:rsidRDefault="00512623" w:rsidP="006E410C">
            <w:pPr>
              <w:autoSpaceDE w:val="0"/>
              <w:autoSpaceDN w:val="0"/>
              <w:adjustRightInd w:val="0"/>
              <w:jc w:val="center"/>
              <w:rPr>
                <w:rFonts w:cs="Times New Roman"/>
                <w:sz w:val="22"/>
                <w:lang w:val="en-GB"/>
              </w:rPr>
            </w:pPr>
          </w:p>
        </w:tc>
        <w:tc>
          <w:tcPr>
            <w:tcW w:w="932" w:type="dxa"/>
          </w:tcPr>
          <w:p w14:paraId="55773B34" w14:textId="77777777" w:rsidR="00512623" w:rsidRPr="00367E10" w:rsidRDefault="00512623" w:rsidP="006E410C">
            <w:pPr>
              <w:autoSpaceDE w:val="0"/>
              <w:autoSpaceDN w:val="0"/>
              <w:adjustRightInd w:val="0"/>
              <w:jc w:val="center"/>
              <w:rPr>
                <w:rFonts w:cs="Times New Roman"/>
                <w:sz w:val="22"/>
                <w:lang w:val="en-GB"/>
              </w:rPr>
            </w:pPr>
          </w:p>
        </w:tc>
      </w:tr>
      <w:tr w:rsidR="00512623" w:rsidRPr="00367E10" w14:paraId="0691C1CA" w14:textId="77777777" w:rsidTr="008C7842">
        <w:tc>
          <w:tcPr>
            <w:tcW w:w="2443" w:type="dxa"/>
          </w:tcPr>
          <w:p w14:paraId="27A8848E" w14:textId="77777777" w:rsidR="00512623" w:rsidRPr="00367E10" w:rsidRDefault="00512623" w:rsidP="006E410C">
            <w:pPr>
              <w:autoSpaceDE w:val="0"/>
              <w:autoSpaceDN w:val="0"/>
              <w:adjustRightInd w:val="0"/>
              <w:rPr>
                <w:rFonts w:cs="Times New Roman"/>
                <w:sz w:val="22"/>
                <w:lang w:val="en-GB"/>
              </w:rPr>
            </w:pPr>
            <w:r w:rsidRPr="00367E10">
              <w:rPr>
                <w:rFonts w:cs="Times New Roman"/>
                <w:sz w:val="22"/>
                <w:lang w:val="en-GB"/>
              </w:rPr>
              <w:t>ln_outage_1hr_p75</w:t>
            </w:r>
          </w:p>
        </w:tc>
        <w:tc>
          <w:tcPr>
            <w:tcW w:w="1350" w:type="dxa"/>
          </w:tcPr>
          <w:p w14:paraId="06F212BB" w14:textId="561450E5"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0.3</w:t>
            </w:r>
            <w:r w:rsidR="00036A58">
              <w:rPr>
                <w:rFonts w:cs="Times New Roman" w:hint="eastAsia"/>
                <w:sz w:val="22"/>
                <w:lang w:val="en-GB"/>
              </w:rPr>
              <w:t>29</w:t>
            </w:r>
            <w:r w:rsidRPr="00367E10">
              <w:rPr>
                <w:rFonts w:cs="Times New Roman"/>
                <w:sz w:val="22"/>
                <w:vertAlign w:val="superscript"/>
                <w:lang w:val="en-GB"/>
              </w:rPr>
              <w:t>***</w:t>
            </w:r>
          </w:p>
        </w:tc>
        <w:tc>
          <w:tcPr>
            <w:tcW w:w="1530" w:type="dxa"/>
          </w:tcPr>
          <w:p w14:paraId="0FC54CEE"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1</w:t>
            </w:r>
          </w:p>
        </w:tc>
        <w:tc>
          <w:tcPr>
            <w:tcW w:w="1443" w:type="dxa"/>
          </w:tcPr>
          <w:p w14:paraId="1F24F465" w14:textId="77777777" w:rsidR="00512623" w:rsidRPr="00367E10" w:rsidRDefault="00512623" w:rsidP="006E410C">
            <w:pPr>
              <w:autoSpaceDE w:val="0"/>
              <w:autoSpaceDN w:val="0"/>
              <w:adjustRightInd w:val="0"/>
              <w:jc w:val="center"/>
              <w:rPr>
                <w:rFonts w:cs="Times New Roman"/>
                <w:sz w:val="22"/>
                <w:lang w:val="en-GB"/>
              </w:rPr>
            </w:pPr>
          </w:p>
        </w:tc>
        <w:tc>
          <w:tcPr>
            <w:tcW w:w="1417" w:type="dxa"/>
          </w:tcPr>
          <w:p w14:paraId="67C0876D" w14:textId="77777777" w:rsidR="00512623" w:rsidRPr="00367E10" w:rsidRDefault="00512623" w:rsidP="006E410C">
            <w:pPr>
              <w:autoSpaceDE w:val="0"/>
              <w:autoSpaceDN w:val="0"/>
              <w:adjustRightInd w:val="0"/>
              <w:jc w:val="center"/>
              <w:rPr>
                <w:rFonts w:cs="Times New Roman"/>
                <w:sz w:val="22"/>
                <w:lang w:val="en-GB"/>
              </w:rPr>
            </w:pPr>
          </w:p>
        </w:tc>
        <w:tc>
          <w:tcPr>
            <w:tcW w:w="1134" w:type="dxa"/>
          </w:tcPr>
          <w:p w14:paraId="60185E67"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21EA6E49"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3995AA55" w14:textId="77777777" w:rsidR="00512623" w:rsidRPr="00367E10" w:rsidRDefault="00512623" w:rsidP="006E410C">
            <w:pPr>
              <w:autoSpaceDE w:val="0"/>
              <w:autoSpaceDN w:val="0"/>
              <w:adjustRightInd w:val="0"/>
              <w:jc w:val="center"/>
              <w:rPr>
                <w:rFonts w:cs="Times New Roman"/>
                <w:sz w:val="22"/>
                <w:lang w:val="en-GB"/>
              </w:rPr>
            </w:pPr>
          </w:p>
        </w:tc>
        <w:tc>
          <w:tcPr>
            <w:tcW w:w="1194" w:type="dxa"/>
          </w:tcPr>
          <w:p w14:paraId="3DB4411E" w14:textId="77777777" w:rsidR="00512623" w:rsidRPr="00367E10" w:rsidRDefault="00512623" w:rsidP="006E410C">
            <w:pPr>
              <w:autoSpaceDE w:val="0"/>
              <w:autoSpaceDN w:val="0"/>
              <w:adjustRightInd w:val="0"/>
              <w:jc w:val="center"/>
              <w:rPr>
                <w:rFonts w:cs="Times New Roman"/>
                <w:sz w:val="22"/>
                <w:lang w:val="en-GB"/>
              </w:rPr>
            </w:pPr>
          </w:p>
        </w:tc>
        <w:tc>
          <w:tcPr>
            <w:tcW w:w="932" w:type="dxa"/>
          </w:tcPr>
          <w:p w14:paraId="4732E541" w14:textId="77777777" w:rsidR="00512623" w:rsidRPr="00367E10" w:rsidRDefault="00512623" w:rsidP="006E410C">
            <w:pPr>
              <w:autoSpaceDE w:val="0"/>
              <w:autoSpaceDN w:val="0"/>
              <w:adjustRightInd w:val="0"/>
              <w:jc w:val="center"/>
              <w:rPr>
                <w:rFonts w:cs="Times New Roman"/>
                <w:sz w:val="22"/>
                <w:lang w:val="en-GB"/>
              </w:rPr>
            </w:pPr>
          </w:p>
        </w:tc>
      </w:tr>
      <w:tr w:rsidR="00512623" w:rsidRPr="00367E10" w14:paraId="3FECE5C9" w14:textId="77777777" w:rsidTr="008C7842">
        <w:tc>
          <w:tcPr>
            <w:tcW w:w="2443" w:type="dxa"/>
          </w:tcPr>
          <w:p w14:paraId="20C40753" w14:textId="77777777" w:rsidR="00512623" w:rsidRPr="00367E10" w:rsidRDefault="00512623" w:rsidP="006E410C">
            <w:pPr>
              <w:autoSpaceDE w:val="0"/>
              <w:autoSpaceDN w:val="0"/>
              <w:adjustRightInd w:val="0"/>
              <w:rPr>
                <w:rFonts w:cs="Times New Roman"/>
                <w:sz w:val="22"/>
                <w:lang w:val="en-GB"/>
              </w:rPr>
            </w:pPr>
            <w:r w:rsidRPr="00367E10">
              <w:rPr>
                <w:rFonts w:cs="Times New Roman"/>
                <w:sz w:val="22"/>
                <w:lang w:val="en-GB"/>
              </w:rPr>
              <w:t>extreme_heat_days_p90</w:t>
            </w:r>
          </w:p>
        </w:tc>
        <w:tc>
          <w:tcPr>
            <w:tcW w:w="1350" w:type="dxa"/>
          </w:tcPr>
          <w:p w14:paraId="1B59C3AF" w14:textId="04C0BB0E"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0.04</w:t>
            </w:r>
            <w:r w:rsidR="00036A58">
              <w:rPr>
                <w:rFonts w:cs="Times New Roman" w:hint="eastAsia"/>
                <w:sz w:val="22"/>
                <w:lang w:val="en-GB"/>
              </w:rPr>
              <w:t>18</w:t>
            </w:r>
            <w:r w:rsidRPr="00367E10">
              <w:rPr>
                <w:rFonts w:cs="Times New Roman"/>
                <w:sz w:val="22"/>
                <w:vertAlign w:val="superscript"/>
                <w:lang w:val="en-GB"/>
              </w:rPr>
              <w:t>***</w:t>
            </w:r>
          </w:p>
        </w:tc>
        <w:tc>
          <w:tcPr>
            <w:tcW w:w="1530" w:type="dxa"/>
          </w:tcPr>
          <w:p w14:paraId="5DB4E3D1" w14:textId="445E730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0.2</w:t>
            </w:r>
            <w:r w:rsidR="00036A58">
              <w:rPr>
                <w:rFonts w:cs="Times New Roman" w:hint="eastAsia"/>
                <w:sz w:val="22"/>
                <w:lang w:val="en-GB"/>
              </w:rPr>
              <w:t>11</w:t>
            </w:r>
            <w:r w:rsidRPr="00367E10">
              <w:rPr>
                <w:rFonts w:cs="Times New Roman"/>
                <w:sz w:val="22"/>
                <w:vertAlign w:val="superscript"/>
                <w:lang w:val="en-GB"/>
              </w:rPr>
              <w:t>***</w:t>
            </w:r>
          </w:p>
        </w:tc>
        <w:tc>
          <w:tcPr>
            <w:tcW w:w="1443" w:type="dxa"/>
          </w:tcPr>
          <w:p w14:paraId="7F94C18F"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1</w:t>
            </w:r>
          </w:p>
        </w:tc>
        <w:tc>
          <w:tcPr>
            <w:tcW w:w="1417" w:type="dxa"/>
          </w:tcPr>
          <w:p w14:paraId="08D275BA" w14:textId="77777777" w:rsidR="00512623" w:rsidRPr="00367E10" w:rsidRDefault="00512623" w:rsidP="006E410C">
            <w:pPr>
              <w:autoSpaceDE w:val="0"/>
              <w:autoSpaceDN w:val="0"/>
              <w:adjustRightInd w:val="0"/>
              <w:jc w:val="center"/>
              <w:rPr>
                <w:rFonts w:cs="Times New Roman"/>
                <w:sz w:val="22"/>
                <w:lang w:val="en-GB"/>
              </w:rPr>
            </w:pPr>
          </w:p>
        </w:tc>
        <w:tc>
          <w:tcPr>
            <w:tcW w:w="1134" w:type="dxa"/>
          </w:tcPr>
          <w:p w14:paraId="0CFB0DE8"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16512CA4"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432A3B43" w14:textId="77777777" w:rsidR="00512623" w:rsidRPr="00367E10" w:rsidRDefault="00512623" w:rsidP="006E410C">
            <w:pPr>
              <w:autoSpaceDE w:val="0"/>
              <w:autoSpaceDN w:val="0"/>
              <w:adjustRightInd w:val="0"/>
              <w:jc w:val="center"/>
              <w:rPr>
                <w:rFonts w:cs="Times New Roman"/>
                <w:sz w:val="22"/>
                <w:lang w:val="en-GB"/>
              </w:rPr>
            </w:pPr>
          </w:p>
        </w:tc>
        <w:tc>
          <w:tcPr>
            <w:tcW w:w="1194" w:type="dxa"/>
          </w:tcPr>
          <w:p w14:paraId="46304F35" w14:textId="77777777" w:rsidR="00512623" w:rsidRPr="00367E10" w:rsidRDefault="00512623" w:rsidP="006E410C">
            <w:pPr>
              <w:autoSpaceDE w:val="0"/>
              <w:autoSpaceDN w:val="0"/>
              <w:adjustRightInd w:val="0"/>
              <w:jc w:val="center"/>
              <w:rPr>
                <w:rFonts w:cs="Times New Roman"/>
                <w:sz w:val="22"/>
                <w:lang w:val="en-GB"/>
              </w:rPr>
            </w:pPr>
          </w:p>
        </w:tc>
        <w:tc>
          <w:tcPr>
            <w:tcW w:w="932" w:type="dxa"/>
          </w:tcPr>
          <w:p w14:paraId="465B843D" w14:textId="77777777" w:rsidR="00512623" w:rsidRPr="00367E10" w:rsidRDefault="00512623" w:rsidP="006E410C">
            <w:pPr>
              <w:autoSpaceDE w:val="0"/>
              <w:autoSpaceDN w:val="0"/>
              <w:adjustRightInd w:val="0"/>
              <w:jc w:val="center"/>
              <w:rPr>
                <w:rFonts w:cs="Times New Roman"/>
                <w:sz w:val="22"/>
                <w:lang w:val="en-GB"/>
              </w:rPr>
            </w:pPr>
          </w:p>
        </w:tc>
      </w:tr>
      <w:tr w:rsidR="00512623" w:rsidRPr="00367E10" w14:paraId="267C46A3" w14:textId="77777777" w:rsidTr="008C7842">
        <w:tc>
          <w:tcPr>
            <w:tcW w:w="2443" w:type="dxa"/>
          </w:tcPr>
          <w:p w14:paraId="7E3830C0" w14:textId="77777777" w:rsidR="00512623" w:rsidRPr="00367E10" w:rsidRDefault="00512623" w:rsidP="006E410C">
            <w:pPr>
              <w:autoSpaceDE w:val="0"/>
              <w:autoSpaceDN w:val="0"/>
              <w:adjustRightInd w:val="0"/>
              <w:rPr>
                <w:rFonts w:cs="Times New Roman"/>
                <w:sz w:val="22"/>
                <w:lang w:val="en-GB"/>
              </w:rPr>
            </w:pPr>
            <w:proofErr w:type="spellStart"/>
            <w:r w:rsidRPr="00367E10">
              <w:rPr>
                <w:rFonts w:cs="Times New Roman"/>
                <w:sz w:val="22"/>
                <w:lang w:val="en-GB"/>
              </w:rPr>
              <w:t>poverty_rate</w:t>
            </w:r>
            <w:proofErr w:type="spellEnd"/>
          </w:p>
        </w:tc>
        <w:tc>
          <w:tcPr>
            <w:tcW w:w="1350" w:type="dxa"/>
          </w:tcPr>
          <w:p w14:paraId="4CB322B2" w14:textId="20AF8D85"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0.</w:t>
            </w:r>
            <w:r w:rsidR="00036A58">
              <w:rPr>
                <w:rFonts w:cs="Times New Roman" w:hint="eastAsia"/>
                <w:sz w:val="22"/>
                <w:lang w:val="en-GB"/>
              </w:rPr>
              <w:t>356</w:t>
            </w:r>
            <w:r w:rsidRPr="00367E10">
              <w:rPr>
                <w:rFonts w:cs="Times New Roman"/>
                <w:sz w:val="22"/>
                <w:vertAlign w:val="superscript"/>
                <w:lang w:val="en-GB"/>
              </w:rPr>
              <w:t>***</w:t>
            </w:r>
          </w:p>
        </w:tc>
        <w:tc>
          <w:tcPr>
            <w:tcW w:w="1530" w:type="dxa"/>
          </w:tcPr>
          <w:p w14:paraId="0F46E48D" w14:textId="1D668E85"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0.</w:t>
            </w:r>
            <w:r w:rsidR="00036A58">
              <w:rPr>
                <w:rFonts w:cs="Times New Roman" w:hint="eastAsia"/>
                <w:sz w:val="22"/>
                <w:lang w:val="en-GB"/>
              </w:rPr>
              <w:t>107</w:t>
            </w:r>
            <w:r w:rsidRPr="00367E10">
              <w:rPr>
                <w:rFonts w:cs="Times New Roman"/>
                <w:sz w:val="22"/>
                <w:vertAlign w:val="superscript"/>
                <w:lang w:val="en-GB"/>
              </w:rPr>
              <w:t>***</w:t>
            </w:r>
          </w:p>
        </w:tc>
        <w:tc>
          <w:tcPr>
            <w:tcW w:w="1443" w:type="dxa"/>
          </w:tcPr>
          <w:p w14:paraId="2DBABF8E" w14:textId="52098C22"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0.00</w:t>
            </w:r>
            <w:r w:rsidR="00036A58">
              <w:rPr>
                <w:rFonts w:cs="Times New Roman" w:hint="eastAsia"/>
                <w:sz w:val="22"/>
                <w:lang w:val="en-GB"/>
              </w:rPr>
              <w:t>109</w:t>
            </w:r>
          </w:p>
        </w:tc>
        <w:tc>
          <w:tcPr>
            <w:tcW w:w="1417" w:type="dxa"/>
          </w:tcPr>
          <w:p w14:paraId="70536541" w14:textId="77777777" w:rsidR="00512623" w:rsidRPr="00367E10" w:rsidRDefault="00512623" w:rsidP="006E410C">
            <w:pPr>
              <w:autoSpaceDE w:val="0"/>
              <w:autoSpaceDN w:val="0"/>
              <w:adjustRightInd w:val="0"/>
              <w:jc w:val="center"/>
              <w:rPr>
                <w:rFonts w:cs="Times New Roman"/>
                <w:sz w:val="22"/>
                <w:lang w:val="en-GB"/>
              </w:rPr>
            </w:pPr>
            <w:r w:rsidRPr="00367E10">
              <w:rPr>
                <w:rFonts w:cs="Times New Roman"/>
                <w:sz w:val="22"/>
                <w:lang w:val="en-GB"/>
              </w:rPr>
              <w:t>1</w:t>
            </w:r>
          </w:p>
        </w:tc>
        <w:tc>
          <w:tcPr>
            <w:tcW w:w="1134" w:type="dxa"/>
          </w:tcPr>
          <w:p w14:paraId="4A605112"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6C12ECF0" w14:textId="77777777" w:rsidR="00512623" w:rsidRPr="00367E10" w:rsidRDefault="00512623" w:rsidP="006E410C">
            <w:pPr>
              <w:autoSpaceDE w:val="0"/>
              <w:autoSpaceDN w:val="0"/>
              <w:adjustRightInd w:val="0"/>
              <w:jc w:val="center"/>
              <w:rPr>
                <w:rFonts w:cs="Times New Roman"/>
                <w:sz w:val="22"/>
                <w:lang w:val="en-GB"/>
              </w:rPr>
            </w:pPr>
          </w:p>
        </w:tc>
        <w:tc>
          <w:tcPr>
            <w:tcW w:w="1276" w:type="dxa"/>
          </w:tcPr>
          <w:p w14:paraId="2D18A561" w14:textId="77777777" w:rsidR="00512623" w:rsidRPr="00367E10" w:rsidRDefault="00512623" w:rsidP="006E410C">
            <w:pPr>
              <w:autoSpaceDE w:val="0"/>
              <w:autoSpaceDN w:val="0"/>
              <w:adjustRightInd w:val="0"/>
              <w:jc w:val="center"/>
              <w:rPr>
                <w:rFonts w:cs="Times New Roman"/>
                <w:sz w:val="22"/>
                <w:lang w:val="en-GB"/>
              </w:rPr>
            </w:pPr>
          </w:p>
        </w:tc>
        <w:tc>
          <w:tcPr>
            <w:tcW w:w="1194" w:type="dxa"/>
          </w:tcPr>
          <w:p w14:paraId="258D4D30" w14:textId="77777777" w:rsidR="00512623" w:rsidRPr="00367E10" w:rsidRDefault="00512623" w:rsidP="006E410C">
            <w:pPr>
              <w:autoSpaceDE w:val="0"/>
              <w:autoSpaceDN w:val="0"/>
              <w:adjustRightInd w:val="0"/>
              <w:jc w:val="center"/>
              <w:rPr>
                <w:rFonts w:cs="Times New Roman"/>
                <w:sz w:val="22"/>
                <w:lang w:val="en-GB"/>
              </w:rPr>
            </w:pPr>
          </w:p>
        </w:tc>
        <w:tc>
          <w:tcPr>
            <w:tcW w:w="932" w:type="dxa"/>
          </w:tcPr>
          <w:p w14:paraId="38D6E0D6" w14:textId="77777777" w:rsidR="00512623" w:rsidRPr="00367E10" w:rsidRDefault="00512623" w:rsidP="006E410C">
            <w:pPr>
              <w:autoSpaceDE w:val="0"/>
              <w:autoSpaceDN w:val="0"/>
              <w:adjustRightInd w:val="0"/>
              <w:jc w:val="center"/>
              <w:rPr>
                <w:rFonts w:cs="Times New Roman"/>
                <w:sz w:val="22"/>
                <w:lang w:val="en-GB"/>
              </w:rPr>
            </w:pPr>
          </w:p>
        </w:tc>
      </w:tr>
      <w:tr w:rsidR="00512623" w:rsidRPr="00036A58" w14:paraId="7ECF07F1" w14:textId="77777777" w:rsidTr="008C7842">
        <w:tc>
          <w:tcPr>
            <w:tcW w:w="2443" w:type="dxa"/>
          </w:tcPr>
          <w:p w14:paraId="08AEAD57" w14:textId="77777777" w:rsidR="00512623" w:rsidRPr="00036A58" w:rsidRDefault="00512623" w:rsidP="006E410C">
            <w:pPr>
              <w:autoSpaceDE w:val="0"/>
              <w:autoSpaceDN w:val="0"/>
              <w:adjustRightInd w:val="0"/>
              <w:rPr>
                <w:rFonts w:cs="Times New Roman"/>
                <w:sz w:val="22"/>
                <w:lang w:val="en-GB"/>
              </w:rPr>
            </w:pPr>
            <w:r w:rsidRPr="00036A58">
              <w:rPr>
                <w:rFonts w:cs="Times New Roman"/>
                <w:sz w:val="22"/>
                <w:lang w:val="en-GB"/>
              </w:rPr>
              <w:t>median_income_1k</w:t>
            </w:r>
          </w:p>
        </w:tc>
        <w:tc>
          <w:tcPr>
            <w:tcW w:w="1350" w:type="dxa"/>
          </w:tcPr>
          <w:p w14:paraId="303C9914" w14:textId="1435D0D6"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sidRPr="00036A58">
              <w:rPr>
                <w:rFonts w:cs="Times New Roman" w:hint="eastAsia"/>
                <w:sz w:val="22"/>
                <w:lang w:val="en-GB"/>
              </w:rPr>
              <w:t>210</w:t>
            </w:r>
            <w:r w:rsidRPr="00036A58">
              <w:rPr>
                <w:rFonts w:cs="Times New Roman"/>
                <w:sz w:val="22"/>
                <w:vertAlign w:val="superscript"/>
                <w:lang w:val="en-GB"/>
              </w:rPr>
              <w:t>***</w:t>
            </w:r>
          </w:p>
        </w:tc>
        <w:tc>
          <w:tcPr>
            <w:tcW w:w="1530" w:type="dxa"/>
          </w:tcPr>
          <w:p w14:paraId="1FC97021" w14:textId="2D8236A6"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sidRPr="00036A58">
              <w:rPr>
                <w:rFonts w:cs="Times New Roman" w:hint="eastAsia"/>
                <w:sz w:val="22"/>
                <w:lang w:val="en-GB"/>
              </w:rPr>
              <w:t>0450</w:t>
            </w:r>
          </w:p>
        </w:tc>
        <w:tc>
          <w:tcPr>
            <w:tcW w:w="1443" w:type="dxa"/>
          </w:tcPr>
          <w:p w14:paraId="0DDF6FFE" w14:textId="7777777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-0.0345</w:t>
            </w:r>
            <w:r w:rsidRPr="00036A58">
              <w:rPr>
                <w:rFonts w:cs="Times New Roman"/>
                <w:sz w:val="22"/>
                <w:vertAlign w:val="superscript"/>
                <w:lang w:val="en-GB"/>
              </w:rPr>
              <w:t>**</w:t>
            </w:r>
          </w:p>
        </w:tc>
        <w:tc>
          <w:tcPr>
            <w:tcW w:w="1417" w:type="dxa"/>
          </w:tcPr>
          <w:p w14:paraId="4FD81A1F" w14:textId="4F56E64D"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-0.57</w:t>
            </w:r>
            <w:r w:rsidR="00036A58" w:rsidRPr="00036A58">
              <w:rPr>
                <w:rFonts w:cs="Times New Roman" w:hint="eastAsia"/>
                <w:sz w:val="22"/>
                <w:lang w:val="en-GB"/>
              </w:rPr>
              <w:t>3</w:t>
            </w:r>
            <w:r w:rsidRPr="00036A58">
              <w:rPr>
                <w:rFonts w:cs="Times New Roman"/>
                <w:sz w:val="22"/>
                <w:vertAlign w:val="superscript"/>
                <w:lang w:val="en-GB"/>
              </w:rPr>
              <w:t>***</w:t>
            </w:r>
          </w:p>
        </w:tc>
        <w:tc>
          <w:tcPr>
            <w:tcW w:w="1134" w:type="dxa"/>
          </w:tcPr>
          <w:p w14:paraId="306EEF9A" w14:textId="7777777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1</w:t>
            </w:r>
          </w:p>
        </w:tc>
        <w:tc>
          <w:tcPr>
            <w:tcW w:w="1276" w:type="dxa"/>
          </w:tcPr>
          <w:p w14:paraId="2AEAC6B5" w14:textId="77777777" w:rsidR="00512623" w:rsidRPr="00036A58" w:rsidRDefault="00512623" w:rsidP="006E410C">
            <w:pPr>
              <w:autoSpaceDE w:val="0"/>
              <w:autoSpaceDN w:val="0"/>
              <w:adjustRightInd w:val="0"/>
              <w:jc w:val="center"/>
              <w:rPr>
                <w:rFonts w:cs="Times New Roman"/>
                <w:sz w:val="22"/>
                <w:lang w:val="en-GB"/>
              </w:rPr>
            </w:pPr>
          </w:p>
        </w:tc>
        <w:tc>
          <w:tcPr>
            <w:tcW w:w="1276" w:type="dxa"/>
          </w:tcPr>
          <w:p w14:paraId="0BD5C67A" w14:textId="77777777" w:rsidR="00512623" w:rsidRPr="00036A58" w:rsidRDefault="00512623" w:rsidP="006E410C">
            <w:pPr>
              <w:autoSpaceDE w:val="0"/>
              <w:autoSpaceDN w:val="0"/>
              <w:adjustRightInd w:val="0"/>
              <w:jc w:val="center"/>
              <w:rPr>
                <w:rFonts w:cs="Times New Roman"/>
                <w:sz w:val="22"/>
                <w:lang w:val="en-GB"/>
              </w:rPr>
            </w:pPr>
          </w:p>
        </w:tc>
        <w:tc>
          <w:tcPr>
            <w:tcW w:w="1194" w:type="dxa"/>
          </w:tcPr>
          <w:p w14:paraId="232BFD0E" w14:textId="77777777" w:rsidR="00512623" w:rsidRPr="00036A58" w:rsidRDefault="00512623" w:rsidP="006E410C">
            <w:pPr>
              <w:autoSpaceDE w:val="0"/>
              <w:autoSpaceDN w:val="0"/>
              <w:adjustRightInd w:val="0"/>
              <w:jc w:val="center"/>
              <w:rPr>
                <w:rFonts w:cs="Times New Roman"/>
                <w:sz w:val="22"/>
                <w:lang w:val="en-GB"/>
              </w:rPr>
            </w:pPr>
          </w:p>
        </w:tc>
        <w:tc>
          <w:tcPr>
            <w:tcW w:w="932" w:type="dxa"/>
          </w:tcPr>
          <w:p w14:paraId="6997C78B" w14:textId="77777777" w:rsidR="00512623" w:rsidRPr="00036A58" w:rsidRDefault="00512623" w:rsidP="006E410C">
            <w:pPr>
              <w:autoSpaceDE w:val="0"/>
              <w:autoSpaceDN w:val="0"/>
              <w:adjustRightInd w:val="0"/>
              <w:jc w:val="center"/>
              <w:rPr>
                <w:rFonts w:cs="Times New Roman"/>
                <w:sz w:val="22"/>
                <w:lang w:val="en-GB"/>
              </w:rPr>
            </w:pPr>
          </w:p>
        </w:tc>
      </w:tr>
      <w:tr w:rsidR="00512623" w:rsidRPr="00036A58" w14:paraId="42BE5C33" w14:textId="77777777" w:rsidTr="008C7842">
        <w:tc>
          <w:tcPr>
            <w:tcW w:w="2443" w:type="dxa"/>
          </w:tcPr>
          <w:p w14:paraId="6770B0B2" w14:textId="77777777" w:rsidR="00512623" w:rsidRPr="00036A58" w:rsidRDefault="00512623" w:rsidP="006E410C">
            <w:pPr>
              <w:autoSpaceDE w:val="0"/>
              <w:autoSpaceDN w:val="0"/>
              <w:adjustRightInd w:val="0"/>
              <w:rPr>
                <w:rFonts w:cs="Times New Roman"/>
                <w:sz w:val="22"/>
                <w:lang w:val="en-GB"/>
              </w:rPr>
            </w:pPr>
            <w:proofErr w:type="spellStart"/>
            <w:r w:rsidRPr="00036A58">
              <w:rPr>
                <w:rFonts w:cs="Times New Roman"/>
                <w:sz w:val="22"/>
                <w:lang w:val="en-GB"/>
              </w:rPr>
              <w:t>avg_cmr_clean</w:t>
            </w:r>
            <w:proofErr w:type="spellEnd"/>
          </w:p>
        </w:tc>
        <w:tc>
          <w:tcPr>
            <w:tcW w:w="1350" w:type="dxa"/>
          </w:tcPr>
          <w:p w14:paraId="69377826" w14:textId="1165CF23"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sidRPr="00036A58">
              <w:rPr>
                <w:rFonts w:cs="Times New Roman" w:hint="eastAsia"/>
                <w:sz w:val="22"/>
                <w:lang w:val="en-GB"/>
              </w:rPr>
              <w:t>137</w:t>
            </w:r>
            <w:r w:rsidRPr="00036A58">
              <w:rPr>
                <w:rFonts w:cs="Times New Roman"/>
                <w:sz w:val="22"/>
                <w:vertAlign w:val="superscript"/>
                <w:lang w:val="en-GB"/>
              </w:rPr>
              <w:t>***</w:t>
            </w:r>
          </w:p>
        </w:tc>
        <w:tc>
          <w:tcPr>
            <w:tcW w:w="1530" w:type="dxa"/>
          </w:tcPr>
          <w:p w14:paraId="100941B1" w14:textId="3C74AA98"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sidRPr="00036A58">
              <w:rPr>
                <w:rFonts w:cs="Times New Roman" w:hint="eastAsia"/>
                <w:sz w:val="22"/>
                <w:lang w:val="en-GB"/>
              </w:rPr>
              <w:t>592</w:t>
            </w:r>
            <w:r w:rsidRPr="00036A58">
              <w:rPr>
                <w:rFonts w:cs="Times New Roman"/>
                <w:sz w:val="22"/>
                <w:vertAlign w:val="superscript"/>
                <w:lang w:val="en-GB"/>
              </w:rPr>
              <w:t>**</w:t>
            </w:r>
            <w:r w:rsidR="00036A58" w:rsidRPr="00036A58">
              <w:rPr>
                <w:rFonts w:cs="Times New Roman" w:hint="eastAsia"/>
                <w:sz w:val="22"/>
                <w:vertAlign w:val="superscript"/>
                <w:lang w:val="en-GB"/>
              </w:rPr>
              <w:t>*</w:t>
            </w:r>
          </w:p>
        </w:tc>
        <w:tc>
          <w:tcPr>
            <w:tcW w:w="1443" w:type="dxa"/>
          </w:tcPr>
          <w:p w14:paraId="4E29EEC1" w14:textId="5F9596B4"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-0.04</w:t>
            </w:r>
            <w:r w:rsidR="00036A58" w:rsidRPr="00036A58">
              <w:rPr>
                <w:rFonts w:cs="Times New Roman" w:hint="eastAsia"/>
                <w:sz w:val="22"/>
                <w:lang w:val="en-GB"/>
              </w:rPr>
              <w:t>62</w:t>
            </w:r>
            <w:r w:rsidRPr="00036A58">
              <w:rPr>
                <w:rFonts w:cs="Times New Roman"/>
                <w:sz w:val="22"/>
                <w:vertAlign w:val="superscript"/>
                <w:lang w:val="en-GB"/>
              </w:rPr>
              <w:t>***</w:t>
            </w:r>
          </w:p>
        </w:tc>
        <w:tc>
          <w:tcPr>
            <w:tcW w:w="1417" w:type="dxa"/>
          </w:tcPr>
          <w:p w14:paraId="39B93895" w14:textId="0E540744"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0.1</w:t>
            </w:r>
            <w:r w:rsidR="00036A58" w:rsidRPr="00036A58">
              <w:rPr>
                <w:rFonts w:cs="Times New Roman" w:hint="eastAsia"/>
                <w:sz w:val="22"/>
                <w:lang w:val="en-GB"/>
              </w:rPr>
              <w:t>94</w:t>
            </w:r>
            <w:r w:rsidRPr="00036A58">
              <w:rPr>
                <w:rFonts w:cs="Times New Roman"/>
                <w:sz w:val="22"/>
                <w:vertAlign w:val="superscript"/>
                <w:lang w:val="en-GB"/>
              </w:rPr>
              <w:t>***</w:t>
            </w:r>
          </w:p>
        </w:tc>
        <w:tc>
          <w:tcPr>
            <w:tcW w:w="1134" w:type="dxa"/>
          </w:tcPr>
          <w:p w14:paraId="11BC7723" w14:textId="0B87E339"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-0.1</w:t>
            </w:r>
            <w:r w:rsidR="00036A58">
              <w:rPr>
                <w:rFonts w:cs="Times New Roman" w:hint="eastAsia"/>
                <w:sz w:val="22"/>
                <w:lang w:val="en-GB"/>
              </w:rPr>
              <w:t>61</w:t>
            </w:r>
            <w:r w:rsidRPr="00036A58">
              <w:rPr>
                <w:rFonts w:cs="Times New Roman"/>
                <w:sz w:val="22"/>
                <w:vertAlign w:val="superscript"/>
                <w:lang w:val="en-GB"/>
              </w:rPr>
              <w:t>***</w:t>
            </w:r>
          </w:p>
        </w:tc>
        <w:tc>
          <w:tcPr>
            <w:tcW w:w="1276" w:type="dxa"/>
          </w:tcPr>
          <w:p w14:paraId="06332660" w14:textId="7777777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1</w:t>
            </w:r>
          </w:p>
        </w:tc>
        <w:tc>
          <w:tcPr>
            <w:tcW w:w="1276" w:type="dxa"/>
          </w:tcPr>
          <w:p w14:paraId="7353EE3D" w14:textId="77777777" w:rsidR="00512623" w:rsidRPr="00036A58" w:rsidRDefault="00512623" w:rsidP="006E410C">
            <w:pPr>
              <w:autoSpaceDE w:val="0"/>
              <w:autoSpaceDN w:val="0"/>
              <w:adjustRightInd w:val="0"/>
              <w:jc w:val="center"/>
              <w:rPr>
                <w:rFonts w:cs="Times New Roman"/>
                <w:sz w:val="22"/>
                <w:lang w:val="en-GB"/>
              </w:rPr>
            </w:pPr>
          </w:p>
        </w:tc>
        <w:tc>
          <w:tcPr>
            <w:tcW w:w="1194" w:type="dxa"/>
          </w:tcPr>
          <w:p w14:paraId="75E7914B" w14:textId="77777777" w:rsidR="00512623" w:rsidRPr="00036A58" w:rsidRDefault="00512623" w:rsidP="006E410C">
            <w:pPr>
              <w:autoSpaceDE w:val="0"/>
              <w:autoSpaceDN w:val="0"/>
              <w:adjustRightInd w:val="0"/>
              <w:jc w:val="center"/>
              <w:rPr>
                <w:rFonts w:cs="Times New Roman"/>
                <w:sz w:val="22"/>
                <w:lang w:val="en-GB"/>
              </w:rPr>
            </w:pPr>
          </w:p>
        </w:tc>
        <w:tc>
          <w:tcPr>
            <w:tcW w:w="932" w:type="dxa"/>
          </w:tcPr>
          <w:p w14:paraId="4FBDE31B" w14:textId="77777777" w:rsidR="00512623" w:rsidRPr="00036A58" w:rsidRDefault="00512623" w:rsidP="006E410C">
            <w:pPr>
              <w:autoSpaceDE w:val="0"/>
              <w:autoSpaceDN w:val="0"/>
              <w:adjustRightInd w:val="0"/>
              <w:jc w:val="center"/>
              <w:rPr>
                <w:rFonts w:cs="Times New Roman"/>
                <w:sz w:val="22"/>
                <w:lang w:val="en-GB"/>
              </w:rPr>
            </w:pPr>
          </w:p>
        </w:tc>
      </w:tr>
      <w:tr w:rsidR="00512623" w:rsidRPr="00036A58" w14:paraId="3D638198" w14:textId="77777777" w:rsidTr="008C7842">
        <w:tc>
          <w:tcPr>
            <w:tcW w:w="2443" w:type="dxa"/>
          </w:tcPr>
          <w:p w14:paraId="1BE3DEC1" w14:textId="77777777" w:rsidR="00512623" w:rsidRPr="00036A58" w:rsidRDefault="00512623" w:rsidP="006E410C">
            <w:pPr>
              <w:autoSpaceDE w:val="0"/>
              <w:autoSpaceDN w:val="0"/>
              <w:adjustRightInd w:val="0"/>
              <w:rPr>
                <w:rFonts w:cs="Times New Roman"/>
                <w:sz w:val="22"/>
                <w:lang w:val="en-GB"/>
              </w:rPr>
            </w:pPr>
            <w:proofErr w:type="spellStart"/>
            <w:r w:rsidRPr="00036A58">
              <w:rPr>
                <w:rFonts w:cs="Times New Roman"/>
                <w:sz w:val="22"/>
                <w:lang w:val="en-GB"/>
              </w:rPr>
              <w:t>pct_medicaid</w:t>
            </w:r>
            <w:proofErr w:type="spellEnd"/>
          </w:p>
        </w:tc>
        <w:tc>
          <w:tcPr>
            <w:tcW w:w="1350" w:type="dxa"/>
          </w:tcPr>
          <w:p w14:paraId="0FE55DDE" w14:textId="1783D015"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sidRPr="00036A58">
              <w:rPr>
                <w:rFonts w:cs="Times New Roman" w:hint="eastAsia"/>
                <w:sz w:val="22"/>
                <w:lang w:val="en-GB"/>
              </w:rPr>
              <w:t>300</w:t>
            </w:r>
            <w:r w:rsidRPr="00036A58">
              <w:rPr>
                <w:rFonts w:cs="Times New Roman"/>
                <w:sz w:val="22"/>
                <w:vertAlign w:val="superscript"/>
                <w:lang w:val="en-GB"/>
              </w:rPr>
              <w:t>***</w:t>
            </w:r>
          </w:p>
        </w:tc>
        <w:tc>
          <w:tcPr>
            <w:tcW w:w="1530" w:type="dxa"/>
          </w:tcPr>
          <w:p w14:paraId="6D4ED9A0" w14:textId="6819B485"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sidRPr="00036A58">
              <w:rPr>
                <w:rFonts w:cs="Times New Roman" w:hint="eastAsia"/>
                <w:sz w:val="22"/>
                <w:lang w:val="en-GB"/>
              </w:rPr>
              <w:t>611</w:t>
            </w:r>
            <w:r w:rsidRPr="00036A58">
              <w:rPr>
                <w:rFonts w:cs="Times New Roman"/>
                <w:sz w:val="22"/>
                <w:vertAlign w:val="superscript"/>
                <w:lang w:val="en-GB"/>
              </w:rPr>
              <w:t>***</w:t>
            </w:r>
          </w:p>
        </w:tc>
        <w:tc>
          <w:tcPr>
            <w:tcW w:w="1443" w:type="dxa"/>
          </w:tcPr>
          <w:p w14:paraId="04FFB003" w14:textId="3007ED92"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sidRPr="00036A58">
              <w:rPr>
                <w:rFonts w:cs="Times New Roman" w:hint="eastAsia"/>
                <w:sz w:val="22"/>
                <w:lang w:val="en-GB"/>
              </w:rPr>
              <w:t>505</w:t>
            </w:r>
            <w:r w:rsidRPr="00036A58">
              <w:rPr>
                <w:rFonts w:cs="Times New Roman"/>
                <w:sz w:val="22"/>
                <w:vertAlign w:val="superscript"/>
                <w:lang w:val="en-GB"/>
              </w:rPr>
              <w:t>***</w:t>
            </w:r>
          </w:p>
        </w:tc>
        <w:tc>
          <w:tcPr>
            <w:tcW w:w="1417" w:type="dxa"/>
          </w:tcPr>
          <w:p w14:paraId="60101152" w14:textId="21B2164E"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sidRPr="00036A58">
              <w:rPr>
                <w:rFonts w:cs="Times New Roman" w:hint="eastAsia"/>
                <w:sz w:val="22"/>
                <w:lang w:val="en-GB"/>
              </w:rPr>
              <w:t>458</w:t>
            </w:r>
            <w:r w:rsidRPr="00036A58">
              <w:rPr>
                <w:rFonts w:cs="Times New Roman"/>
                <w:sz w:val="22"/>
                <w:vertAlign w:val="superscript"/>
                <w:lang w:val="en-GB"/>
              </w:rPr>
              <w:t>***</w:t>
            </w:r>
          </w:p>
        </w:tc>
        <w:tc>
          <w:tcPr>
            <w:tcW w:w="1134" w:type="dxa"/>
          </w:tcPr>
          <w:p w14:paraId="63755366" w14:textId="5321252A"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Pr>
                <w:rFonts w:cs="Times New Roman" w:hint="eastAsia"/>
                <w:sz w:val="22"/>
                <w:lang w:val="en-GB"/>
              </w:rPr>
              <w:t>472</w:t>
            </w:r>
            <w:r w:rsidRPr="00036A58">
              <w:rPr>
                <w:rFonts w:cs="Times New Roman"/>
                <w:sz w:val="22"/>
                <w:vertAlign w:val="superscript"/>
                <w:lang w:val="en-GB"/>
              </w:rPr>
              <w:t>***</w:t>
            </w:r>
          </w:p>
        </w:tc>
        <w:tc>
          <w:tcPr>
            <w:tcW w:w="1276" w:type="dxa"/>
          </w:tcPr>
          <w:p w14:paraId="270D5D60" w14:textId="02BD452F"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Pr>
                <w:rFonts w:cs="Times New Roman" w:hint="eastAsia"/>
                <w:sz w:val="22"/>
                <w:lang w:val="en-GB"/>
              </w:rPr>
              <w:t>168</w:t>
            </w:r>
          </w:p>
        </w:tc>
        <w:tc>
          <w:tcPr>
            <w:tcW w:w="1276" w:type="dxa"/>
          </w:tcPr>
          <w:p w14:paraId="46C4063D" w14:textId="7777777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1</w:t>
            </w:r>
          </w:p>
        </w:tc>
        <w:tc>
          <w:tcPr>
            <w:tcW w:w="1194" w:type="dxa"/>
          </w:tcPr>
          <w:p w14:paraId="69302E3F" w14:textId="77777777" w:rsidR="00512623" w:rsidRPr="00036A58" w:rsidRDefault="00512623" w:rsidP="006E410C">
            <w:pPr>
              <w:autoSpaceDE w:val="0"/>
              <w:autoSpaceDN w:val="0"/>
              <w:adjustRightInd w:val="0"/>
              <w:jc w:val="center"/>
              <w:rPr>
                <w:rFonts w:cs="Times New Roman"/>
                <w:sz w:val="22"/>
                <w:lang w:val="en-GB"/>
              </w:rPr>
            </w:pPr>
          </w:p>
        </w:tc>
        <w:tc>
          <w:tcPr>
            <w:tcW w:w="932" w:type="dxa"/>
          </w:tcPr>
          <w:p w14:paraId="786B09CA" w14:textId="77777777" w:rsidR="00512623" w:rsidRPr="00036A58" w:rsidRDefault="00512623" w:rsidP="006E410C">
            <w:pPr>
              <w:autoSpaceDE w:val="0"/>
              <w:autoSpaceDN w:val="0"/>
              <w:adjustRightInd w:val="0"/>
              <w:jc w:val="center"/>
              <w:rPr>
                <w:rFonts w:cs="Times New Roman"/>
                <w:sz w:val="22"/>
                <w:lang w:val="en-GB"/>
              </w:rPr>
            </w:pPr>
          </w:p>
        </w:tc>
      </w:tr>
      <w:tr w:rsidR="00512623" w:rsidRPr="00036A58" w14:paraId="4920D7F7" w14:textId="77777777" w:rsidTr="008C7842">
        <w:tc>
          <w:tcPr>
            <w:tcW w:w="2443" w:type="dxa"/>
          </w:tcPr>
          <w:p w14:paraId="2D6F7DC2" w14:textId="77777777" w:rsidR="00512623" w:rsidRPr="00036A58" w:rsidRDefault="00512623" w:rsidP="006E410C">
            <w:pPr>
              <w:autoSpaceDE w:val="0"/>
              <w:autoSpaceDN w:val="0"/>
              <w:adjustRightInd w:val="0"/>
              <w:rPr>
                <w:rFonts w:cs="Times New Roman"/>
                <w:sz w:val="22"/>
                <w:lang w:val="en-GB"/>
              </w:rPr>
            </w:pPr>
            <w:proofErr w:type="spellStart"/>
            <w:r w:rsidRPr="00036A58">
              <w:rPr>
                <w:rFonts w:cs="Times New Roman"/>
                <w:sz w:val="22"/>
                <w:lang w:val="en-GB"/>
              </w:rPr>
              <w:t>pct_male</w:t>
            </w:r>
            <w:proofErr w:type="spellEnd"/>
          </w:p>
        </w:tc>
        <w:tc>
          <w:tcPr>
            <w:tcW w:w="1350" w:type="dxa"/>
          </w:tcPr>
          <w:p w14:paraId="293857A4" w14:textId="131E489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sidRPr="00036A58">
              <w:rPr>
                <w:rFonts w:cs="Times New Roman" w:hint="eastAsia"/>
                <w:sz w:val="22"/>
                <w:lang w:val="en-GB"/>
              </w:rPr>
              <w:t>803</w:t>
            </w:r>
            <w:r w:rsidRPr="00036A58">
              <w:rPr>
                <w:rFonts w:cs="Times New Roman"/>
                <w:sz w:val="22"/>
                <w:vertAlign w:val="superscript"/>
                <w:lang w:val="en-GB"/>
              </w:rPr>
              <w:t>***</w:t>
            </w:r>
          </w:p>
        </w:tc>
        <w:tc>
          <w:tcPr>
            <w:tcW w:w="1530" w:type="dxa"/>
          </w:tcPr>
          <w:p w14:paraId="7186F216" w14:textId="632D9E6F"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sidRPr="00036A58">
              <w:rPr>
                <w:rFonts w:cs="Times New Roman" w:hint="eastAsia"/>
                <w:sz w:val="22"/>
                <w:lang w:val="en-GB"/>
              </w:rPr>
              <w:t>179</w:t>
            </w:r>
            <w:r w:rsidRPr="00036A58">
              <w:rPr>
                <w:rFonts w:cs="Times New Roman"/>
                <w:sz w:val="22"/>
                <w:vertAlign w:val="superscript"/>
                <w:lang w:val="en-GB"/>
              </w:rPr>
              <w:t>***</w:t>
            </w:r>
          </w:p>
        </w:tc>
        <w:tc>
          <w:tcPr>
            <w:tcW w:w="1443" w:type="dxa"/>
          </w:tcPr>
          <w:p w14:paraId="61022915" w14:textId="0DBCAFFD"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-0.00</w:t>
            </w:r>
            <w:r w:rsidR="00036A58" w:rsidRPr="00036A58">
              <w:rPr>
                <w:rFonts w:cs="Times New Roman" w:hint="eastAsia"/>
                <w:sz w:val="22"/>
                <w:lang w:val="en-GB"/>
              </w:rPr>
              <w:t>408</w:t>
            </w:r>
          </w:p>
        </w:tc>
        <w:tc>
          <w:tcPr>
            <w:tcW w:w="1417" w:type="dxa"/>
          </w:tcPr>
          <w:p w14:paraId="2AEEE478" w14:textId="6F34E768" w:rsidR="00512623" w:rsidRPr="00036A58" w:rsidRDefault="00036A58" w:rsidP="006E410C">
            <w:pPr>
              <w:autoSpaceDE w:val="0"/>
              <w:autoSpaceDN w:val="0"/>
              <w:adjustRightInd w:val="0"/>
              <w:jc w:val="center"/>
              <w:rPr>
                <w:rFonts w:cs="Times New Roman"/>
                <w:sz w:val="22"/>
                <w:lang w:val="en-GB"/>
              </w:rPr>
            </w:pPr>
            <w:r w:rsidRPr="00036A58">
              <w:rPr>
                <w:rFonts w:eastAsia="SimSun" w:cs="Times New Roman"/>
                <w:sz w:val="22"/>
              </w:rPr>
              <w:t>-0.0334</w:t>
            </w:r>
            <w:r w:rsidRPr="00036A58">
              <w:rPr>
                <w:rFonts w:eastAsia="SimSun" w:cs="Times New Roman"/>
                <w:sz w:val="22"/>
                <w:vertAlign w:val="superscript"/>
              </w:rPr>
              <w:t>**</w:t>
            </w:r>
          </w:p>
        </w:tc>
        <w:tc>
          <w:tcPr>
            <w:tcW w:w="1134" w:type="dxa"/>
          </w:tcPr>
          <w:p w14:paraId="29BFA144" w14:textId="228EFB19"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0.024</w:t>
            </w:r>
            <w:r w:rsidR="00036A58">
              <w:rPr>
                <w:rFonts w:cs="Times New Roman" w:hint="eastAsia"/>
                <w:sz w:val="22"/>
                <w:lang w:val="en-GB"/>
              </w:rPr>
              <w:t>0</w:t>
            </w:r>
            <w:r w:rsidRPr="00036A58">
              <w:rPr>
                <w:rFonts w:cs="Times New Roman"/>
                <w:sz w:val="22"/>
                <w:vertAlign w:val="superscript"/>
                <w:lang w:val="en-GB"/>
              </w:rPr>
              <w:t>*</w:t>
            </w:r>
          </w:p>
        </w:tc>
        <w:tc>
          <w:tcPr>
            <w:tcW w:w="1276" w:type="dxa"/>
          </w:tcPr>
          <w:p w14:paraId="379A8718" w14:textId="4F03DB0C"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Pr>
                <w:rFonts w:cs="Times New Roman" w:hint="eastAsia"/>
                <w:sz w:val="22"/>
                <w:lang w:val="en-GB"/>
              </w:rPr>
              <w:t>237</w:t>
            </w:r>
            <w:r w:rsidRPr="00036A58">
              <w:rPr>
                <w:rFonts w:cs="Times New Roman"/>
                <w:sz w:val="22"/>
                <w:vertAlign w:val="superscript"/>
                <w:lang w:val="en-GB"/>
              </w:rPr>
              <w:t>**</w:t>
            </w:r>
            <w:r w:rsidR="00036A58">
              <w:rPr>
                <w:rFonts w:cs="Times New Roman" w:hint="eastAsia"/>
                <w:sz w:val="22"/>
                <w:vertAlign w:val="superscript"/>
                <w:lang w:val="en-GB"/>
              </w:rPr>
              <w:t>*</w:t>
            </w:r>
          </w:p>
        </w:tc>
        <w:tc>
          <w:tcPr>
            <w:tcW w:w="1276" w:type="dxa"/>
          </w:tcPr>
          <w:p w14:paraId="3E3D71F2" w14:textId="4C52ED88"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w:t>
            </w:r>
            <w:r w:rsidR="00036A58">
              <w:rPr>
                <w:rFonts w:cs="Times New Roman" w:hint="eastAsia"/>
                <w:sz w:val="22"/>
                <w:lang w:val="en-GB"/>
              </w:rPr>
              <w:t>125</w:t>
            </w:r>
            <w:r w:rsidRPr="00036A58">
              <w:rPr>
                <w:rFonts w:cs="Times New Roman"/>
                <w:sz w:val="22"/>
                <w:vertAlign w:val="superscript"/>
                <w:lang w:val="en-GB"/>
              </w:rPr>
              <w:t>***</w:t>
            </w:r>
          </w:p>
        </w:tc>
        <w:tc>
          <w:tcPr>
            <w:tcW w:w="1194" w:type="dxa"/>
          </w:tcPr>
          <w:p w14:paraId="56491CAA" w14:textId="7777777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1</w:t>
            </w:r>
          </w:p>
        </w:tc>
        <w:tc>
          <w:tcPr>
            <w:tcW w:w="932" w:type="dxa"/>
          </w:tcPr>
          <w:p w14:paraId="4DDD9819" w14:textId="77777777" w:rsidR="00512623" w:rsidRPr="00036A58" w:rsidRDefault="00512623" w:rsidP="006E410C">
            <w:pPr>
              <w:autoSpaceDE w:val="0"/>
              <w:autoSpaceDN w:val="0"/>
              <w:adjustRightInd w:val="0"/>
              <w:jc w:val="center"/>
              <w:rPr>
                <w:rFonts w:cs="Times New Roman"/>
                <w:sz w:val="22"/>
                <w:lang w:val="en-GB"/>
              </w:rPr>
            </w:pPr>
          </w:p>
        </w:tc>
      </w:tr>
      <w:tr w:rsidR="00512623" w:rsidRPr="00036A58" w14:paraId="591F2548" w14:textId="77777777" w:rsidTr="008C7842">
        <w:tc>
          <w:tcPr>
            <w:tcW w:w="2443" w:type="dxa"/>
          </w:tcPr>
          <w:p w14:paraId="0C09F341" w14:textId="2F435D85" w:rsidR="00512623" w:rsidRPr="00036A58" w:rsidRDefault="00512623" w:rsidP="006E410C">
            <w:pPr>
              <w:autoSpaceDE w:val="0"/>
              <w:autoSpaceDN w:val="0"/>
              <w:adjustRightInd w:val="0"/>
              <w:rPr>
                <w:rFonts w:cs="Times New Roman"/>
                <w:sz w:val="22"/>
                <w:lang w:val="en-GB"/>
              </w:rPr>
            </w:pPr>
            <w:r w:rsidRPr="00036A58">
              <w:rPr>
                <w:rFonts w:cs="Times New Roman"/>
                <w:sz w:val="22"/>
                <w:lang w:val="en-GB"/>
              </w:rPr>
              <w:t>psych_per_</w:t>
            </w:r>
            <w:r w:rsidR="001D61C3">
              <w:rPr>
                <w:rFonts w:cs="Times New Roman" w:hint="eastAsia"/>
                <w:sz w:val="22"/>
                <w:lang w:val="en-GB"/>
              </w:rPr>
              <w:t>100k</w:t>
            </w:r>
          </w:p>
        </w:tc>
        <w:tc>
          <w:tcPr>
            <w:tcW w:w="1350" w:type="dxa"/>
          </w:tcPr>
          <w:p w14:paraId="74C5B3E4" w14:textId="776A8451" w:rsidR="00512623" w:rsidRPr="00036A58" w:rsidRDefault="008B299E" w:rsidP="006E410C">
            <w:pPr>
              <w:autoSpaceDE w:val="0"/>
              <w:autoSpaceDN w:val="0"/>
              <w:adjustRightInd w:val="0"/>
              <w:jc w:val="center"/>
              <w:rPr>
                <w:rFonts w:cs="Times New Roman"/>
                <w:sz w:val="22"/>
                <w:lang w:val="en-GB"/>
              </w:rPr>
            </w:pPr>
            <w:r w:rsidRPr="00036A58">
              <w:rPr>
                <w:rFonts w:cs="Times New Roman"/>
                <w:sz w:val="22"/>
                <w:lang w:val="en-GB"/>
              </w:rPr>
              <w:t>0.</w:t>
            </w:r>
            <w:r w:rsidR="00036A58" w:rsidRPr="00036A58">
              <w:rPr>
                <w:rFonts w:cs="Times New Roman" w:hint="eastAsia"/>
                <w:sz w:val="22"/>
                <w:lang w:val="en-GB"/>
              </w:rPr>
              <w:t>2</w:t>
            </w:r>
            <w:r w:rsidR="001D61C3">
              <w:rPr>
                <w:rFonts w:cs="Times New Roman" w:hint="eastAsia"/>
                <w:sz w:val="22"/>
                <w:lang w:val="en-GB"/>
              </w:rPr>
              <w:t>20</w:t>
            </w:r>
            <w:r w:rsidR="00512623" w:rsidRPr="00036A58">
              <w:rPr>
                <w:rFonts w:cs="Times New Roman"/>
                <w:sz w:val="22"/>
                <w:vertAlign w:val="superscript"/>
                <w:lang w:val="en-GB"/>
              </w:rPr>
              <w:t>*</w:t>
            </w:r>
            <w:r w:rsidRPr="00036A58">
              <w:rPr>
                <w:rFonts w:cs="Times New Roman"/>
                <w:sz w:val="22"/>
                <w:vertAlign w:val="superscript"/>
                <w:lang w:val="en-GB"/>
              </w:rPr>
              <w:t>**</w:t>
            </w:r>
          </w:p>
        </w:tc>
        <w:tc>
          <w:tcPr>
            <w:tcW w:w="1530" w:type="dxa"/>
          </w:tcPr>
          <w:p w14:paraId="5F932345" w14:textId="22566111" w:rsidR="00512623" w:rsidRPr="00036A58" w:rsidRDefault="00512623" w:rsidP="006E410C">
            <w:pPr>
              <w:autoSpaceDE w:val="0"/>
              <w:autoSpaceDN w:val="0"/>
              <w:adjustRightInd w:val="0"/>
              <w:jc w:val="center"/>
              <w:rPr>
                <w:rFonts w:cs="Times New Roman"/>
                <w:sz w:val="22"/>
              </w:rPr>
            </w:pPr>
            <w:r w:rsidRPr="00036A58">
              <w:rPr>
                <w:rFonts w:cs="Times New Roman"/>
                <w:sz w:val="22"/>
                <w:lang w:val="en-GB"/>
              </w:rPr>
              <w:t>0.</w:t>
            </w:r>
            <w:r w:rsidR="008B299E" w:rsidRPr="00036A58">
              <w:rPr>
                <w:rFonts w:cs="Times New Roman"/>
                <w:sz w:val="22"/>
                <w:lang w:val="en-GB"/>
              </w:rPr>
              <w:t>0</w:t>
            </w:r>
            <w:r w:rsidR="001D61C3">
              <w:rPr>
                <w:rFonts w:cs="Times New Roman" w:hint="eastAsia"/>
                <w:sz w:val="22"/>
                <w:lang w:val="en-GB"/>
              </w:rPr>
              <w:t>431</w:t>
            </w:r>
            <w:r w:rsidR="008B299E" w:rsidRPr="00036A58">
              <w:rPr>
                <w:rFonts w:cs="Times New Roman"/>
                <w:sz w:val="22"/>
                <w:vertAlign w:val="superscript"/>
                <w:lang w:val="en-GB"/>
              </w:rPr>
              <w:t>**</w:t>
            </w:r>
            <w:r w:rsidR="001D61C3">
              <w:rPr>
                <w:rFonts w:cs="Times New Roman" w:hint="eastAsia"/>
                <w:sz w:val="22"/>
                <w:vertAlign w:val="superscript"/>
                <w:lang w:val="en-GB"/>
              </w:rPr>
              <w:t>*</w:t>
            </w:r>
          </w:p>
        </w:tc>
        <w:tc>
          <w:tcPr>
            <w:tcW w:w="1443" w:type="dxa"/>
          </w:tcPr>
          <w:p w14:paraId="2ABCE80F" w14:textId="19332ECD"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0.02</w:t>
            </w:r>
            <w:r w:rsidR="001D61C3">
              <w:rPr>
                <w:rFonts w:cs="Times New Roman" w:hint="eastAsia"/>
                <w:sz w:val="22"/>
                <w:lang w:val="en-GB"/>
              </w:rPr>
              <w:t>85</w:t>
            </w:r>
            <w:r w:rsidRPr="00036A58">
              <w:rPr>
                <w:rFonts w:cs="Times New Roman"/>
                <w:sz w:val="22"/>
                <w:vertAlign w:val="superscript"/>
                <w:lang w:val="en-GB"/>
              </w:rPr>
              <w:t>*</w:t>
            </w:r>
            <w:r w:rsidR="001D61C3">
              <w:rPr>
                <w:rFonts w:cs="Times New Roman" w:hint="eastAsia"/>
                <w:sz w:val="22"/>
                <w:vertAlign w:val="superscript"/>
                <w:lang w:val="en-GB"/>
              </w:rPr>
              <w:t>*</w:t>
            </w:r>
          </w:p>
        </w:tc>
        <w:tc>
          <w:tcPr>
            <w:tcW w:w="1417" w:type="dxa"/>
          </w:tcPr>
          <w:p w14:paraId="2C1F40B2" w14:textId="3FDA1E25" w:rsidR="00512623" w:rsidRPr="00036A58" w:rsidRDefault="00036A58" w:rsidP="006E410C">
            <w:pPr>
              <w:autoSpaceDE w:val="0"/>
              <w:autoSpaceDN w:val="0"/>
              <w:adjustRightInd w:val="0"/>
              <w:jc w:val="center"/>
              <w:rPr>
                <w:rFonts w:cs="Times New Roman"/>
                <w:sz w:val="22"/>
                <w:lang w:val="en-GB"/>
              </w:rPr>
            </w:pPr>
            <w:r w:rsidRPr="00036A58">
              <w:rPr>
                <w:rFonts w:eastAsia="SimSun" w:cs="Times New Roman"/>
                <w:sz w:val="22"/>
              </w:rPr>
              <w:t>0.0</w:t>
            </w:r>
            <w:r w:rsidR="001D61C3">
              <w:rPr>
                <w:rFonts w:eastAsia="SimSun" w:cs="Times New Roman" w:hint="eastAsia"/>
                <w:sz w:val="22"/>
              </w:rPr>
              <w:t>518</w:t>
            </w:r>
            <w:r w:rsidRPr="00036A58">
              <w:rPr>
                <w:rFonts w:eastAsia="SimSun" w:cs="Times New Roman"/>
                <w:sz w:val="22"/>
                <w:vertAlign w:val="superscript"/>
              </w:rPr>
              <w:t>***</w:t>
            </w:r>
          </w:p>
        </w:tc>
        <w:tc>
          <w:tcPr>
            <w:tcW w:w="1134" w:type="dxa"/>
          </w:tcPr>
          <w:p w14:paraId="4601BDD0" w14:textId="49C24075"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0.1</w:t>
            </w:r>
            <w:r w:rsidR="001D61C3">
              <w:rPr>
                <w:rFonts w:cs="Times New Roman" w:hint="eastAsia"/>
                <w:sz w:val="22"/>
                <w:lang w:val="en-GB"/>
              </w:rPr>
              <w:t>60</w:t>
            </w:r>
            <w:r w:rsidRPr="00036A58">
              <w:rPr>
                <w:rFonts w:cs="Times New Roman"/>
                <w:sz w:val="22"/>
                <w:vertAlign w:val="superscript"/>
                <w:lang w:val="en-GB"/>
              </w:rPr>
              <w:t>***</w:t>
            </w:r>
          </w:p>
        </w:tc>
        <w:tc>
          <w:tcPr>
            <w:tcW w:w="1276" w:type="dxa"/>
          </w:tcPr>
          <w:p w14:paraId="4BDBA389" w14:textId="5179BC2A"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0.0</w:t>
            </w:r>
            <w:r w:rsidR="00036A58">
              <w:rPr>
                <w:rFonts w:cs="Times New Roman" w:hint="eastAsia"/>
                <w:sz w:val="22"/>
                <w:lang w:val="en-GB"/>
              </w:rPr>
              <w:t>6</w:t>
            </w:r>
            <w:r w:rsidR="001D61C3">
              <w:rPr>
                <w:rFonts w:cs="Times New Roman" w:hint="eastAsia"/>
                <w:sz w:val="22"/>
                <w:lang w:val="en-GB"/>
              </w:rPr>
              <w:t>13</w:t>
            </w:r>
            <w:r w:rsidRPr="00036A58">
              <w:rPr>
                <w:rFonts w:cs="Times New Roman"/>
                <w:sz w:val="22"/>
                <w:vertAlign w:val="superscript"/>
                <w:lang w:val="en-GB"/>
              </w:rPr>
              <w:t>***</w:t>
            </w:r>
          </w:p>
        </w:tc>
        <w:tc>
          <w:tcPr>
            <w:tcW w:w="1276" w:type="dxa"/>
          </w:tcPr>
          <w:p w14:paraId="441DA9D8" w14:textId="5EBD3450" w:rsidR="00512623" w:rsidRPr="00036A58" w:rsidRDefault="008B299E" w:rsidP="006E410C">
            <w:pPr>
              <w:autoSpaceDE w:val="0"/>
              <w:autoSpaceDN w:val="0"/>
              <w:adjustRightInd w:val="0"/>
              <w:jc w:val="center"/>
              <w:rPr>
                <w:rFonts w:cs="Times New Roman"/>
                <w:sz w:val="22"/>
              </w:rPr>
            </w:pPr>
            <w:r w:rsidRPr="00036A58">
              <w:rPr>
                <w:rFonts w:cs="Times New Roman"/>
                <w:sz w:val="22"/>
                <w:lang w:val="en-GB"/>
              </w:rPr>
              <w:t>0.0</w:t>
            </w:r>
            <w:r w:rsidR="00036A58">
              <w:rPr>
                <w:rFonts w:cs="Times New Roman" w:hint="eastAsia"/>
                <w:sz w:val="22"/>
                <w:lang w:val="en-GB"/>
              </w:rPr>
              <w:t>1</w:t>
            </w:r>
            <w:r w:rsidR="001D61C3">
              <w:rPr>
                <w:rFonts w:cs="Times New Roman" w:hint="eastAsia"/>
                <w:sz w:val="22"/>
                <w:lang w:val="en-GB"/>
              </w:rPr>
              <w:t>49</w:t>
            </w:r>
          </w:p>
        </w:tc>
        <w:tc>
          <w:tcPr>
            <w:tcW w:w="1194" w:type="dxa"/>
          </w:tcPr>
          <w:p w14:paraId="41098C99" w14:textId="175B1B71" w:rsidR="00512623" w:rsidRPr="00036A58" w:rsidRDefault="00512623" w:rsidP="006E410C">
            <w:pPr>
              <w:autoSpaceDE w:val="0"/>
              <w:autoSpaceDN w:val="0"/>
              <w:adjustRightInd w:val="0"/>
              <w:jc w:val="center"/>
              <w:rPr>
                <w:rFonts w:cs="Times New Roman"/>
                <w:sz w:val="22"/>
              </w:rPr>
            </w:pPr>
            <w:r w:rsidRPr="00036A58">
              <w:rPr>
                <w:rFonts w:cs="Times New Roman"/>
                <w:sz w:val="22"/>
                <w:lang w:val="en-GB"/>
              </w:rPr>
              <w:t>0.0</w:t>
            </w:r>
            <w:r w:rsidR="00036A58">
              <w:rPr>
                <w:rFonts w:cs="Times New Roman" w:hint="eastAsia"/>
                <w:sz w:val="22"/>
                <w:lang w:val="en-GB"/>
              </w:rPr>
              <w:t>6</w:t>
            </w:r>
            <w:r w:rsidR="001D61C3">
              <w:rPr>
                <w:rFonts w:cs="Times New Roman" w:hint="eastAsia"/>
                <w:sz w:val="22"/>
                <w:lang w:val="en-GB"/>
              </w:rPr>
              <w:t>15</w:t>
            </w:r>
            <w:r w:rsidR="008B299E" w:rsidRPr="00036A58">
              <w:rPr>
                <w:rFonts w:cs="Times New Roman"/>
                <w:sz w:val="22"/>
                <w:vertAlign w:val="superscript"/>
                <w:lang w:val="en-GB"/>
              </w:rPr>
              <w:t>*</w:t>
            </w:r>
            <w:r w:rsidR="00036A58">
              <w:rPr>
                <w:rFonts w:cs="Times New Roman" w:hint="eastAsia"/>
                <w:sz w:val="22"/>
                <w:vertAlign w:val="superscript"/>
                <w:lang w:val="en-GB"/>
              </w:rPr>
              <w:t>*</w:t>
            </w:r>
            <w:r w:rsidR="008B299E" w:rsidRPr="00036A58">
              <w:rPr>
                <w:rFonts w:cs="Times New Roman"/>
                <w:sz w:val="22"/>
                <w:vertAlign w:val="superscript"/>
                <w:lang w:val="en-GB"/>
              </w:rPr>
              <w:t>*</w:t>
            </w:r>
          </w:p>
        </w:tc>
        <w:tc>
          <w:tcPr>
            <w:tcW w:w="932" w:type="dxa"/>
          </w:tcPr>
          <w:p w14:paraId="2663AE36" w14:textId="77777777" w:rsidR="00512623" w:rsidRPr="00036A58" w:rsidRDefault="00512623" w:rsidP="006E410C">
            <w:pPr>
              <w:autoSpaceDE w:val="0"/>
              <w:autoSpaceDN w:val="0"/>
              <w:adjustRightInd w:val="0"/>
              <w:jc w:val="center"/>
              <w:rPr>
                <w:rFonts w:cs="Times New Roman"/>
                <w:sz w:val="22"/>
                <w:lang w:val="en-GB"/>
              </w:rPr>
            </w:pPr>
            <w:r w:rsidRPr="00036A58">
              <w:rPr>
                <w:rFonts w:cs="Times New Roman"/>
                <w:sz w:val="22"/>
                <w:lang w:val="en-GB"/>
              </w:rPr>
              <w:t>1</w:t>
            </w:r>
          </w:p>
        </w:tc>
      </w:tr>
    </w:tbl>
    <w:p w14:paraId="1AE628EE" w14:textId="77777777" w:rsidR="00512623" w:rsidRPr="00036A58" w:rsidRDefault="00512623" w:rsidP="00512623">
      <w:pPr>
        <w:autoSpaceDE w:val="0"/>
        <w:autoSpaceDN w:val="0"/>
        <w:adjustRightInd w:val="0"/>
        <w:rPr>
          <w:rFonts w:cs="Times New Roman"/>
          <w:sz w:val="22"/>
        </w:rPr>
      </w:pPr>
      <w:r w:rsidRPr="00036A58">
        <w:rPr>
          <w:rFonts w:cs="Times New Roman"/>
          <w:sz w:val="22"/>
          <w:vertAlign w:val="superscript"/>
          <w:lang w:val="en-GB"/>
        </w:rPr>
        <w:t>*</w:t>
      </w:r>
      <w:r w:rsidRPr="00036A58">
        <w:rPr>
          <w:rFonts w:cs="Times New Roman"/>
          <w:sz w:val="22"/>
          <w:lang w:val="en-GB"/>
        </w:rPr>
        <w:t xml:space="preserve"> </w:t>
      </w:r>
      <w:r w:rsidRPr="00036A58">
        <w:rPr>
          <w:rFonts w:cs="Times New Roman"/>
          <w:i/>
          <w:iCs/>
          <w:sz w:val="22"/>
          <w:lang w:val="en-GB"/>
        </w:rPr>
        <w:t>p</w:t>
      </w:r>
      <w:r w:rsidRPr="00036A58">
        <w:rPr>
          <w:rFonts w:cs="Times New Roman"/>
          <w:sz w:val="22"/>
          <w:lang w:val="en-GB"/>
        </w:rPr>
        <w:t xml:space="preserve"> &lt; 0.05, </w:t>
      </w:r>
      <w:r w:rsidRPr="00036A58">
        <w:rPr>
          <w:rFonts w:cs="Times New Roman"/>
          <w:sz w:val="22"/>
          <w:vertAlign w:val="superscript"/>
          <w:lang w:val="en-GB"/>
        </w:rPr>
        <w:t>**</w:t>
      </w:r>
      <w:r w:rsidRPr="00036A58">
        <w:rPr>
          <w:rFonts w:cs="Times New Roman"/>
          <w:sz w:val="22"/>
          <w:lang w:val="en-GB"/>
        </w:rPr>
        <w:t xml:space="preserve"> </w:t>
      </w:r>
      <w:r w:rsidRPr="00036A58">
        <w:rPr>
          <w:rFonts w:cs="Times New Roman"/>
          <w:i/>
          <w:iCs/>
          <w:sz w:val="22"/>
          <w:lang w:val="en-GB"/>
        </w:rPr>
        <w:t>p</w:t>
      </w:r>
      <w:r w:rsidRPr="00036A58">
        <w:rPr>
          <w:rFonts w:cs="Times New Roman"/>
          <w:sz w:val="22"/>
          <w:lang w:val="en-GB"/>
        </w:rPr>
        <w:t xml:space="preserve"> &lt; 0.01, </w:t>
      </w:r>
      <w:r w:rsidRPr="00036A58">
        <w:rPr>
          <w:rFonts w:cs="Times New Roman"/>
          <w:sz w:val="22"/>
          <w:vertAlign w:val="superscript"/>
          <w:lang w:val="en-GB"/>
        </w:rPr>
        <w:t>***</w:t>
      </w:r>
      <w:r w:rsidRPr="00036A58">
        <w:rPr>
          <w:rFonts w:cs="Times New Roman"/>
          <w:sz w:val="22"/>
          <w:lang w:val="en-GB"/>
        </w:rPr>
        <w:t xml:space="preserve"> </w:t>
      </w:r>
      <w:r w:rsidRPr="00036A58">
        <w:rPr>
          <w:rFonts w:cs="Times New Roman"/>
          <w:i/>
          <w:iCs/>
          <w:sz w:val="22"/>
          <w:lang w:val="en-GB"/>
        </w:rPr>
        <w:t>p</w:t>
      </w:r>
      <w:r w:rsidRPr="00036A58">
        <w:rPr>
          <w:rFonts w:cs="Times New Roman"/>
          <w:sz w:val="22"/>
          <w:lang w:val="en-GB"/>
        </w:rPr>
        <w:t xml:space="preserve"> &lt; 0.001</w:t>
      </w:r>
    </w:p>
    <w:p w14:paraId="0ABCE9E9" w14:textId="77777777" w:rsidR="00512623" w:rsidRDefault="00512623" w:rsidP="00512623">
      <w:pPr>
        <w:rPr>
          <w:rFonts w:cs="Times New Roman"/>
          <w:b/>
          <w:bCs/>
          <w:sz w:val="22"/>
        </w:rPr>
      </w:pPr>
    </w:p>
    <w:p w14:paraId="0C665302" w14:textId="7DD9A3CC" w:rsidR="00512623" w:rsidRDefault="00512623" w:rsidP="00512623">
      <w:pPr>
        <w:rPr>
          <w:rFonts w:cs="Times New Roman"/>
          <w:b/>
          <w:bCs/>
          <w:sz w:val="22"/>
        </w:rPr>
      </w:pPr>
      <w:proofErr w:type="spellStart"/>
      <w:r>
        <w:rPr>
          <w:rFonts w:cs="Times New Roman"/>
          <w:b/>
          <w:bCs/>
        </w:rPr>
        <w:t>Supplemntary</w:t>
      </w:r>
      <w:proofErr w:type="spellEnd"/>
      <w:r>
        <w:rPr>
          <w:rFonts w:cs="Times New Roman"/>
          <w:b/>
          <w:bCs/>
        </w:rPr>
        <w:t xml:space="preserve"> Table S</w:t>
      </w:r>
      <w:r w:rsidR="00FC455F">
        <w:rPr>
          <w:rFonts w:cs="Times New Roman"/>
          <w:b/>
          <w:bCs/>
        </w:rPr>
        <w:t>3</w:t>
      </w:r>
      <w:r>
        <w:rPr>
          <w:rFonts w:cs="Times New Roman"/>
          <w:b/>
          <w:bCs/>
          <w:sz w:val="22"/>
        </w:rPr>
        <w:t xml:space="preserve">: </w:t>
      </w:r>
      <w:r w:rsidRPr="006A6832">
        <w:rPr>
          <w:rFonts w:cs="Times New Roman"/>
          <w:b/>
          <w:bCs/>
          <w:szCs w:val="24"/>
        </w:rPr>
        <w:t>Correlation Matrix for instrumental variables</w:t>
      </w:r>
    </w:p>
    <w:tbl>
      <w:tblPr>
        <w:tblStyle w:val="TableGrid"/>
        <w:tblW w:w="0" w:type="auto"/>
        <w:tblLook w:val="04A0" w:firstRow="1" w:lastRow="0" w:firstColumn="1" w:lastColumn="0" w:noHBand="0" w:noVBand="1"/>
      </w:tblPr>
      <w:tblGrid>
        <w:gridCol w:w="2324"/>
        <w:gridCol w:w="2324"/>
        <w:gridCol w:w="2325"/>
        <w:gridCol w:w="2325"/>
        <w:gridCol w:w="2325"/>
      </w:tblGrid>
      <w:tr w:rsidR="008B299E" w:rsidRPr="000425DD" w14:paraId="0ACBDD8A" w14:textId="77777777" w:rsidTr="006E410C">
        <w:tc>
          <w:tcPr>
            <w:tcW w:w="2324" w:type="dxa"/>
          </w:tcPr>
          <w:p w14:paraId="4C8B3284" w14:textId="77777777" w:rsidR="008B299E" w:rsidRPr="000425DD" w:rsidRDefault="008B299E" w:rsidP="006E410C">
            <w:pPr>
              <w:rPr>
                <w:rFonts w:cs="Times New Roman"/>
                <w:sz w:val="22"/>
              </w:rPr>
            </w:pPr>
          </w:p>
        </w:tc>
        <w:tc>
          <w:tcPr>
            <w:tcW w:w="2324" w:type="dxa"/>
          </w:tcPr>
          <w:p w14:paraId="131DD40A" w14:textId="77777777" w:rsidR="008B299E" w:rsidRPr="000425DD" w:rsidRDefault="008B299E" w:rsidP="006E410C">
            <w:pPr>
              <w:rPr>
                <w:rFonts w:cs="Times New Roman"/>
                <w:sz w:val="22"/>
              </w:rPr>
            </w:pPr>
            <w:r w:rsidRPr="000425DD">
              <w:rPr>
                <w:rFonts w:cs="Times New Roman"/>
                <w:sz w:val="22"/>
              </w:rPr>
              <w:t>ln_outage_1hr_p75</w:t>
            </w:r>
          </w:p>
        </w:tc>
        <w:tc>
          <w:tcPr>
            <w:tcW w:w="2325" w:type="dxa"/>
          </w:tcPr>
          <w:p w14:paraId="7A5C2E30" w14:textId="77777777" w:rsidR="008B299E" w:rsidRPr="000425DD" w:rsidRDefault="008B299E" w:rsidP="006E410C">
            <w:pPr>
              <w:rPr>
                <w:rFonts w:cs="Times New Roman"/>
                <w:sz w:val="22"/>
              </w:rPr>
            </w:pPr>
            <w:proofErr w:type="spellStart"/>
            <w:r w:rsidRPr="000425DD">
              <w:rPr>
                <w:rFonts w:cs="Times New Roman"/>
                <w:sz w:val="22"/>
              </w:rPr>
              <w:t>dens_substation</w:t>
            </w:r>
            <w:proofErr w:type="spellEnd"/>
          </w:p>
        </w:tc>
        <w:tc>
          <w:tcPr>
            <w:tcW w:w="2325" w:type="dxa"/>
          </w:tcPr>
          <w:p w14:paraId="3D64EE3C" w14:textId="77777777" w:rsidR="008B299E" w:rsidRPr="000425DD" w:rsidRDefault="008B299E" w:rsidP="006E410C">
            <w:pPr>
              <w:rPr>
                <w:rFonts w:cs="Times New Roman"/>
                <w:sz w:val="22"/>
              </w:rPr>
            </w:pPr>
            <w:proofErr w:type="spellStart"/>
            <w:r w:rsidRPr="000425DD">
              <w:rPr>
                <w:rFonts w:cs="Times New Roman"/>
                <w:sz w:val="22"/>
              </w:rPr>
              <w:t>dens_transmission_line</w:t>
            </w:r>
            <w:proofErr w:type="spellEnd"/>
          </w:p>
        </w:tc>
        <w:tc>
          <w:tcPr>
            <w:tcW w:w="2325" w:type="dxa"/>
          </w:tcPr>
          <w:p w14:paraId="641444F1" w14:textId="77777777" w:rsidR="008B299E" w:rsidRPr="000425DD" w:rsidRDefault="008B299E" w:rsidP="006E410C">
            <w:pPr>
              <w:rPr>
                <w:rFonts w:cs="Times New Roman"/>
                <w:sz w:val="22"/>
              </w:rPr>
            </w:pPr>
            <w:proofErr w:type="spellStart"/>
            <w:r w:rsidRPr="000425DD">
              <w:rPr>
                <w:rFonts w:cs="Times New Roman"/>
                <w:sz w:val="22"/>
              </w:rPr>
              <w:t>dens_transformer</w:t>
            </w:r>
            <w:proofErr w:type="spellEnd"/>
          </w:p>
        </w:tc>
      </w:tr>
      <w:tr w:rsidR="008B299E" w:rsidRPr="000425DD" w14:paraId="30DE1E46" w14:textId="77777777" w:rsidTr="006E410C">
        <w:tc>
          <w:tcPr>
            <w:tcW w:w="2324" w:type="dxa"/>
          </w:tcPr>
          <w:p w14:paraId="49FEC056" w14:textId="77777777" w:rsidR="008B299E" w:rsidRPr="000425DD" w:rsidRDefault="008B299E" w:rsidP="006E410C">
            <w:pPr>
              <w:rPr>
                <w:rFonts w:cs="Times New Roman"/>
                <w:sz w:val="22"/>
              </w:rPr>
            </w:pPr>
            <w:r w:rsidRPr="000425DD">
              <w:rPr>
                <w:rFonts w:cs="Times New Roman"/>
                <w:sz w:val="22"/>
              </w:rPr>
              <w:t>ln_outage_1hr_p75</w:t>
            </w:r>
          </w:p>
        </w:tc>
        <w:tc>
          <w:tcPr>
            <w:tcW w:w="2324" w:type="dxa"/>
          </w:tcPr>
          <w:p w14:paraId="4D258ED7" w14:textId="77777777" w:rsidR="008B299E" w:rsidRPr="000425DD" w:rsidRDefault="008B299E" w:rsidP="006E410C">
            <w:pPr>
              <w:rPr>
                <w:rFonts w:cs="Times New Roman"/>
                <w:sz w:val="22"/>
              </w:rPr>
            </w:pPr>
            <w:r w:rsidRPr="000425DD">
              <w:rPr>
                <w:rFonts w:cs="Times New Roman"/>
                <w:sz w:val="22"/>
              </w:rPr>
              <w:t>1.00</w:t>
            </w:r>
            <w:r>
              <w:rPr>
                <w:rFonts w:cs="Times New Roman"/>
                <w:sz w:val="22"/>
              </w:rPr>
              <w:t>00</w:t>
            </w:r>
          </w:p>
        </w:tc>
        <w:tc>
          <w:tcPr>
            <w:tcW w:w="2325" w:type="dxa"/>
          </w:tcPr>
          <w:p w14:paraId="34E5A1A7" w14:textId="77777777" w:rsidR="008B299E" w:rsidRPr="000425DD" w:rsidRDefault="008B299E" w:rsidP="006E410C">
            <w:pPr>
              <w:rPr>
                <w:rFonts w:cs="Times New Roman"/>
                <w:sz w:val="22"/>
              </w:rPr>
            </w:pPr>
          </w:p>
        </w:tc>
        <w:tc>
          <w:tcPr>
            <w:tcW w:w="2325" w:type="dxa"/>
          </w:tcPr>
          <w:p w14:paraId="68774B72" w14:textId="77777777" w:rsidR="008B299E" w:rsidRPr="000425DD" w:rsidRDefault="008B299E" w:rsidP="006E410C">
            <w:pPr>
              <w:rPr>
                <w:rFonts w:cs="Times New Roman"/>
                <w:sz w:val="22"/>
              </w:rPr>
            </w:pPr>
          </w:p>
        </w:tc>
        <w:tc>
          <w:tcPr>
            <w:tcW w:w="2325" w:type="dxa"/>
          </w:tcPr>
          <w:p w14:paraId="43965511" w14:textId="77777777" w:rsidR="008B299E" w:rsidRPr="000425DD" w:rsidRDefault="008B299E" w:rsidP="006E410C">
            <w:pPr>
              <w:rPr>
                <w:rFonts w:cs="Times New Roman"/>
                <w:sz w:val="22"/>
              </w:rPr>
            </w:pPr>
          </w:p>
        </w:tc>
      </w:tr>
      <w:tr w:rsidR="008B299E" w:rsidRPr="000425DD" w14:paraId="0A4900D6" w14:textId="77777777" w:rsidTr="006E410C">
        <w:tc>
          <w:tcPr>
            <w:tcW w:w="2324" w:type="dxa"/>
          </w:tcPr>
          <w:p w14:paraId="543C33FA" w14:textId="77777777" w:rsidR="008B299E" w:rsidRPr="000425DD" w:rsidRDefault="008B299E" w:rsidP="006E410C">
            <w:pPr>
              <w:rPr>
                <w:rFonts w:cs="Times New Roman"/>
                <w:sz w:val="22"/>
              </w:rPr>
            </w:pPr>
            <w:proofErr w:type="spellStart"/>
            <w:r w:rsidRPr="000425DD">
              <w:rPr>
                <w:rFonts w:cs="Times New Roman"/>
                <w:sz w:val="22"/>
              </w:rPr>
              <w:t>dens_substation</w:t>
            </w:r>
            <w:proofErr w:type="spellEnd"/>
          </w:p>
        </w:tc>
        <w:tc>
          <w:tcPr>
            <w:tcW w:w="2324" w:type="dxa"/>
          </w:tcPr>
          <w:p w14:paraId="24A2E1C7" w14:textId="2F0FEC08" w:rsidR="008B299E" w:rsidRPr="000425DD" w:rsidRDefault="008B299E" w:rsidP="006E410C">
            <w:pPr>
              <w:rPr>
                <w:rFonts w:cs="Times New Roman"/>
                <w:sz w:val="22"/>
              </w:rPr>
            </w:pPr>
            <w:r w:rsidRPr="000425DD">
              <w:rPr>
                <w:rFonts w:cs="Times New Roman"/>
                <w:sz w:val="22"/>
              </w:rPr>
              <w:t>0.2</w:t>
            </w:r>
            <w:r w:rsidR="008C7842">
              <w:rPr>
                <w:rFonts w:cs="Times New Roman" w:hint="eastAsia"/>
                <w:sz w:val="22"/>
              </w:rPr>
              <w:t>13</w:t>
            </w:r>
            <w:r w:rsidR="008C7842" w:rsidRPr="00036A58">
              <w:rPr>
                <w:rFonts w:cs="Times New Roman"/>
                <w:sz w:val="22"/>
                <w:vertAlign w:val="superscript"/>
                <w:lang w:val="en-GB"/>
              </w:rPr>
              <w:t>***</w:t>
            </w:r>
          </w:p>
        </w:tc>
        <w:tc>
          <w:tcPr>
            <w:tcW w:w="2325" w:type="dxa"/>
          </w:tcPr>
          <w:p w14:paraId="17BC4E9C" w14:textId="77777777" w:rsidR="008B299E" w:rsidRPr="000425DD" w:rsidRDefault="008B299E" w:rsidP="006E410C">
            <w:pPr>
              <w:rPr>
                <w:rFonts w:cs="Times New Roman"/>
                <w:sz w:val="22"/>
              </w:rPr>
            </w:pPr>
            <w:r w:rsidRPr="000425DD">
              <w:rPr>
                <w:rFonts w:cs="Times New Roman"/>
                <w:sz w:val="22"/>
              </w:rPr>
              <w:t>1.00</w:t>
            </w:r>
            <w:r>
              <w:rPr>
                <w:rFonts w:cs="Times New Roman"/>
                <w:sz w:val="22"/>
              </w:rPr>
              <w:t>00</w:t>
            </w:r>
          </w:p>
        </w:tc>
        <w:tc>
          <w:tcPr>
            <w:tcW w:w="2325" w:type="dxa"/>
          </w:tcPr>
          <w:p w14:paraId="2E207CCE" w14:textId="77777777" w:rsidR="008B299E" w:rsidRPr="000425DD" w:rsidRDefault="008B299E" w:rsidP="006E410C">
            <w:pPr>
              <w:rPr>
                <w:rFonts w:cs="Times New Roman"/>
                <w:sz w:val="22"/>
              </w:rPr>
            </w:pPr>
          </w:p>
        </w:tc>
        <w:tc>
          <w:tcPr>
            <w:tcW w:w="2325" w:type="dxa"/>
          </w:tcPr>
          <w:p w14:paraId="2F60C547" w14:textId="77777777" w:rsidR="008B299E" w:rsidRPr="000425DD" w:rsidRDefault="008B299E" w:rsidP="006E410C">
            <w:pPr>
              <w:rPr>
                <w:rFonts w:cs="Times New Roman"/>
                <w:sz w:val="22"/>
              </w:rPr>
            </w:pPr>
          </w:p>
        </w:tc>
      </w:tr>
      <w:tr w:rsidR="008B299E" w:rsidRPr="000425DD" w14:paraId="5E327906" w14:textId="77777777" w:rsidTr="006E410C">
        <w:tc>
          <w:tcPr>
            <w:tcW w:w="2324" w:type="dxa"/>
          </w:tcPr>
          <w:p w14:paraId="2DB1BC9A" w14:textId="77777777" w:rsidR="008B299E" w:rsidRPr="000425DD" w:rsidRDefault="008B299E" w:rsidP="006E410C">
            <w:pPr>
              <w:rPr>
                <w:rFonts w:cs="Times New Roman"/>
                <w:sz w:val="22"/>
              </w:rPr>
            </w:pPr>
            <w:proofErr w:type="spellStart"/>
            <w:r w:rsidRPr="000425DD">
              <w:rPr>
                <w:rFonts w:cs="Times New Roman"/>
                <w:sz w:val="22"/>
              </w:rPr>
              <w:t>dens_transmission_line</w:t>
            </w:r>
            <w:proofErr w:type="spellEnd"/>
          </w:p>
        </w:tc>
        <w:tc>
          <w:tcPr>
            <w:tcW w:w="2324" w:type="dxa"/>
          </w:tcPr>
          <w:p w14:paraId="169D35E4" w14:textId="52689AC5" w:rsidR="008B299E" w:rsidRPr="000425DD" w:rsidRDefault="008B299E" w:rsidP="006E410C">
            <w:pPr>
              <w:rPr>
                <w:rFonts w:cs="Times New Roman"/>
                <w:sz w:val="22"/>
              </w:rPr>
            </w:pPr>
            <w:r w:rsidRPr="000425DD">
              <w:rPr>
                <w:rFonts w:cs="Times New Roman"/>
                <w:sz w:val="22"/>
              </w:rPr>
              <w:t>0.1</w:t>
            </w:r>
            <w:r w:rsidR="008C7842">
              <w:rPr>
                <w:rFonts w:cs="Times New Roman" w:hint="eastAsia"/>
                <w:sz w:val="22"/>
              </w:rPr>
              <w:t>92</w:t>
            </w:r>
            <w:r w:rsidR="008C7842" w:rsidRPr="00036A58">
              <w:rPr>
                <w:rFonts w:cs="Times New Roman"/>
                <w:sz w:val="22"/>
                <w:vertAlign w:val="superscript"/>
                <w:lang w:val="en-GB"/>
              </w:rPr>
              <w:t>***</w:t>
            </w:r>
          </w:p>
        </w:tc>
        <w:tc>
          <w:tcPr>
            <w:tcW w:w="2325" w:type="dxa"/>
          </w:tcPr>
          <w:p w14:paraId="28292C6B" w14:textId="17880E07" w:rsidR="008B299E" w:rsidRPr="000425DD" w:rsidRDefault="008B299E" w:rsidP="006E410C">
            <w:pPr>
              <w:rPr>
                <w:rFonts w:cs="Times New Roman"/>
                <w:sz w:val="22"/>
              </w:rPr>
            </w:pPr>
            <w:r w:rsidRPr="000425DD">
              <w:rPr>
                <w:rFonts w:cs="Times New Roman"/>
                <w:sz w:val="22"/>
              </w:rPr>
              <w:t>0.57</w:t>
            </w:r>
            <w:r w:rsidR="008C7842">
              <w:rPr>
                <w:rFonts w:cs="Times New Roman" w:hint="eastAsia"/>
                <w:sz w:val="22"/>
              </w:rPr>
              <w:t>7</w:t>
            </w:r>
            <w:r w:rsidR="008C7842" w:rsidRPr="00036A58">
              <w:rPr>
                <w:rFonts w:cs="Times New Roman"/>
                <w:sz w:val="22"/>
                <w:vertAlign w:val="superscript"/>
                <w:lang w:val="en-GB"/>
              </w:rPr>
              <w:t>***</w:t>
            </w:r>
          </w:p>
        </w:tc>
        <w:tc>
          <w:tcPr>
            <w:tcW w:w="2325" w:type="dxa"/>
          </w:tcPr>
          <w:p w14:paraId="4E99CE60" w14:textId="77777777" w:rsidR="008B299E" w:rsidRPr="000425DD" w:rsidRDefault="008B299E" w:rsidP="006E410C">
            <w:pPr>
              <w:rPr>
                <w:rFonts w:cs="Times New Roman"/>
                <w:sz w:val="22"/>
              </w:rPr>
            </w:pPr>
            <w:r w:rsidRPr="000425DD">
              <w:rPr>
                <w:rFonts w:cs="Times New Roman"/>
                <w:sz w:val="22"/>
              </w:rPr>
              <w:t>1.00</w:t>
            </w:r>
            <w:r>
              <w:rPr>
                <w:rFonts w:cs="Times New Roman"/>
                <w:sz w:val="22"/>
              </w:rPr>
              <w:t>00</w:t>
            </w:r>
          </w:p>
        </w:tc>
        <w:tc>
          <w:tcPr>
            <w:tcW w:w="2325" w:type="dxa"/>
          </w:tcPr>
          <w:p w14:paraId="7D8F19FB" w14:textId="77777777" w:rsidR="008B299E" w:rsidRPr="000425DD" w:rsidRDefault="008B299E" w:rsidP="006E410C">
            <w:pPr>
              <w:rPr>
                <w:rFonts w:cs="Times New Roman"/>
                <w:sz w:val="22"/>
              </w:rPr>
            </w:pPr>
          </w:p>
        </w:tc>
      </w:tr>
      <w:tr w:rsidR="008B299E" w:rsidRPr="000425DD" w14:paraId="65ED576D" w14:textId="77777777" w:rsidTr="006E410C">
        <w:tc>
          <w:tcPr>
            <w:tcW w:w="2324" w:type="dxa"/>
          </w:tcPr>
          <w:p w14:paraId="5159D4CA" w14:textId="77777777" w:rsidR="008B299E" w:rsidRPr="000425DD" w:rsidRDefault="008B299E" w:rsidP="006E410C">
            <w:pPr>
              <w:rPr>
                <w:rFonts w:cs="Times New Roman"/>
                <w:sz w:val="22"/>
              </w:rPr>
            </w:pPr>
            <w:proofErr w:type="spellStart"/>
            <w:r w:rsidRPr="000425DD">
              <w:rPr>
                <w:rFonts w:cs="Times New Roman"/>
                <w:sz w:val="22"/>
              </w:rPr>
              <w:t>dens_transformer</w:t>
            </w:r>
            <w:proofErr w:type="spellEnd"/>
          </w:p>
        </w:tc>
        <w:tc>
          <w:tcPr>
            <w:tcW w:w="2324" w:type="dxa"/>
          </w:tcPr>
          <w:p w14:paraId="7E451BA7" w14:textId="71E30097" w:rsidR="008B299E" w:rsidRPr="000425DD" w:rsidRDefault="008B299E" w:rsidP="006E410C">
            <w:pPr>
              <w:rPr>
                <w:rFonts w:cs="Times New Roman"/>
                <w:sz w:val="22"/>
              </w:rPr>
            </w:pPr>
            <w:r w:rsidRPr="000425DD">
              <w:rPr>
                <w:rFonts w:cs="Times New Roman"/>
                <w:sz w:val="22"/>
              </w:rPr>
              <w:t>-0.1</w:t>
            </w:r>
            <w:r w:rsidR="008C7842">
              <w:rPr>
                <w:rFonts w:cs="Times New Roman" w:hint="eastAsia"/>
                <w:sz w:val="22"/>
              </w:rPr>
              <w:t>20</w:t>
            </w:r>
            <w:r w:rsidR="008C7842" w:rsidRPr="00036A58">
              <w:rPr>
                <w:rFonts w:cs="Times New Roman"/>
                <w:sz w:val="22"/>
                <w:vertAlign w:val="superscript"/>
                <w:lang w:val="en-GB"/>
              </w:rPr>
              <w:t>***</w:t>
            </w:r>
          </w:p>
        </w:tc>
        <w:tc>
          <w:tcPr>
            <w:tcW w:w="2325" w:type="dxa"/>
          </w:tcPr>
          <w:p w14:paraId="3C42C071" w14:textId="26E983B2" w:rsidR="008B299E" w:rsidRPr="000425DD" w:rsidRDefault="008B299E" w:rsidP="006E410C">
            <w:pPr>
              <w:rPr>
                <w:rFonts w:cs="Times New Roman"/>
                <w:sz w:val="22"/>
              </w:rPr>
            </w:pPr>
            <w:r w:rsidRPr="000425DD">
              <w:rPr>
                <w:rFonts w:cs="Times New Roman"/>
                <w:sz w:val="22"/>
              </w:rPr>
              <w:t>-0.114</w:t>
            </w:r>
            <w:r w:rsidR="008C7842" w:rsidRPr="00036A58">
              <w:rPr>
                <w:rFonts w:cs="Times New Roman"/>
                <w:sz w:val="22"/>
                <w:vertAlign w:val="superscript"/>
                <w:lang w:val="en-GB"/>
              </w:rPr>
              <w:t>***</w:t>
            </w:r>
          </w:p>
        </w:tc>
        <w:tc>
          <w:tcPr>
            <w:tcW w:w="2325" w:type="dxa"/>
          </w:tcPr>
          <w:p w14:paraId="67DD82BE" w14:textId="7384AF07" w:rsidR="008B299E" w:rsidRPr="000425DD" w:rsidRDefault="008B299E" w:rsidP="006E410C">
            <w:pPr>
              <w:rPr>
                <w:rFonts w:cs="Times New Roman"/>
                <w:sz w:val="22"/>
              </w:rPr>
            </w:pPr>
            <w:r w:rsidRPr="000425DD">
              <w:rPr>
                <w:rFonts w:cs="Times New Roman"/>
                <w:sz w:val="22"/>
              </w:rPr>
              <w:t>-0.140</w:t>
            </w:r>
            <w:r w:rsidR="008C7842" w:rsidRPr="00036A58">
              <w:rPr>
                <w:rFonts w:cs="Times New Roman"/>
                <w:sz w:val="22"/>
                <w:vertAlign w:val="superscript"/>
                <w:lang w:val="en-GB"/>
              </w:rPr>
              <w:t>***</w:t>
            </w:r>
          </w:p>
        </w:tc>
        <w:tc>
          <w:tcPr>
            <w:tcW w:w="2325" w:type="dxa"/>
          </w:tcPr>
          <w:p w14:paraId="37EDAF1B" w14:textId="77777777" w:rsidR="008B299E" w:rsidRPr="000425DD" w:rsidRDefault="008B299E" w:rsidP="006E410C">
            <w:pPr>
              <w:rPr>
                <w:rFonts w:cs="Times New Roman"/>
                <w:sz w:val="22"/>
              </w:rPr>
            </w:pPr>
            <w:r w:rsidRPr="000425DD">
              <w:rPr>
                <w:rFonts w:cs="Times New Roman"/>
                <w:sz w:val="22"/>
              </w:rPr>
              <w:t>1.00</w:t>
            </w:r>
            <w:r>
              <w:rPr>
                <w:rFonts w:cs="Times New Roman"/>
                <w:sz w:val="22"/>
              </w:rPr>
              <w:t>00</w:t>
            </w:r>
          </w:p>
        </w:tc>
      </w:tr>
    </w:tbl>
    <w:p w14:paraId="613CEC89" w14:textId="77777777" w:rsidR="00D94E25" w:rsidRPr="00036A58" w:rsidRDefault="00D94E25" w:rsidP="00D94E25">
      <w:pPr>
        <w:autoSpaceDE w:val="0"/>
        <w:autoSpaceDN w:val="0"/>
        <w:adjustRightInd w:val="0"/>
        <w:rPr>
          <w:rFonts w:cs="Times New Roman"/>
          <w:sz w:val="22"/>
        </w:rPr>
      </w:pPr>
      <w:r w:rsidRPr="00036A58">
        <w:rPr>
          <w:rFonts w:cs="Times New Roman"/>
          <w:sz w:val="22"/>
          <w:vertAlign w:val="superscript"/>
          <w:lang w:val="en-GB"/>
        </w:rPr>
        <w:t>*</w:t>
      </w:r>
      <w:r w:rsidRPr="00036A58">
        <w:rPr>
          <w:rFonts w:cs="Times New Roman"/>
          <w:sz w:val="22"/>
          <w:lang w:val="en-GB"/>
        </w:rPr>
        <w:t xml:space="preserve"> </w:t>
      </w:r>
      <w:r w:rsidRPr="00036A58">
        <w:rPr>
          <w:rFonts w:cs="Times New Roman"/>
          <w:i/>
          <w:iCs/>
          <w:sz w:val="22"/>
          <w:lang w:val="en-GB"/>
        </w:rPr>
        <w:t>p</w:t>
      </w:r>
      <w:r w:rsidRPr="00036A58">
        <w:rPr>
          <w:rFonts w:cs="Times New Roman"/>
          <w:sz w:val="22"/>
          <w:lang w:val="en-GB"/>
        </w:rPr>
        <w:t xml:space="preserve"> &lt; 0.05, </w:t>
      </w:r>
      <w:r w:rsidRPr="00036A58">
        <w:rPr>
          <w:rFonts w:cs="Times New Roman"/>
          <w:sz w:val="22"/>
          <w:vertAlign w:val="superscript"/>
          <w:lang w:val="en-GB"/>
        </w:rPr>
        <w:t>**</w:t>
      </w:r>
      <w:r w:rsidRPr="00036A58">
        <w:rPr>
          <w:rFonts w:cs="Times New Roman"/>
          <w:sz w:val="22"/>
          <w:lang w:val="en-GB"/>
        </w:rPr>
        <w:t xml:space="preserve"> </w:t>
      </w:r>
      <w:r w:rsidRPr="00036A58">
        <w:rPr>
          <w:rFonts w:cs="Times New Roman"/>
          <w:i/>
          <w:iCs/>
          <w:sz w:val="22"/>
          <w:lang w:val="en-GB"/>
        </w:rPr>
        <w:t>p</w:t>
      </w:r>
      <w:r w:rsidRPr="00036A58">
        <w:rPr>
          <w:rFonts w:cs="Times New Roman"/>
          <w:sz w:val="22"/>
          <w:lang w:val="en-GB"/>
        </w:rPr>
        <w:t xml:space="preserve"> &lt; 0.01, </w:t>
      </w:r>
      <w:r w:rsidRPr="00036A58">
        <w:rPr>
          <w:rFonts w:cs="Times New Roman"/>
          <w:sz w:val="22"/>
          <w:vertAlign w:val="superscript"/>
          <w:lang w:val="en-GB"/>
        </w:rPr>
        <w:t>***</w:t>
      </w:r>
      <w:r w:rsidRPr="00036A58">
        <w:rPr>
          <w:rFonts w:cs="Times New Roman"/>
          <w:sz w:val="22"/>
          <w:lang w:val="en-GB"/>
        </w:rPr>
        <w:t xml:space="preserve"> </w:t>
      </w:r>
      <w:r w:rsidRPr="00036A58">
        <w:rPr>
          <w:rFonts w:cs="Times New Roman"/>
          <w:i/>
          <w:iCs/>
          <w:sz w:val="22"/>
          <w:lang w:val="en-GB"/>
        </w:rPr>
        <w:t>p</w:t>
      </w:r>
      <w:r w:rsidRPr="00036A58">
        <w:rPr>
          <w:rFonts w:cs="Times New Roman"/>
          <w:sz w:val="22"/>
          <w:lang w:val="en-GB"/>
        </w:rPr>
        <w:t xml:space="preserve"> &lt; 0.001</w:t>
      </w:r>
    </w:p>
    <w:p w14:paraId="1AADB74C" w14:textId="77777777" w:rsidR="00D94E25" w:rsidRDefault="00D94E25" w:rsidP="00512623">
      <w:pPr>
        <w:rPr>
          <w:rFonts w:cs="Times New Roman"/>
          <w:b/>
          <w:bCs/>
          <w:sz w:val="22"/>
        </w:rPr>
      </w:pPr>
    </w:p>
    <w:p w14:paraId="19D5B1BA" w14:textId="77777777" w:rsidR="00FC455F" w:rsidRDefault="00FC455F" w:rsidP="00512623">
      <w:pPr>
        <w:rPr>
          <w:rFonts w:cs="Times New Roman"/>
          <w:b/>
          <w:bCs/>
          <w:sz w:val="22"/>
        </w:rPr>
      </w:pPr>
    </w:p>
    <w:p w14:paraId="6561485C" w14:textId="77777777" w:rsidR="00FC455F" w:rsidRPr="00367E10" w:rsidRDefault="00FC455F" w:rsidP="00512623">
      <w:pPr>
        <w:rPr>
          <w:rFonts w:cs="Times New Roman"/>
          <w:b/>
          <w:bCs/>
          <w:sz w:val="22"/>
        </w:rPr>
      </w:pPr>
    </w:p>
    <w:p w14:paraId="52A941CB" w14:textId="7AD88161" w:rsidR="00512623" w:rsidRPr="00367E10" w:rsidRDefault="00512623" w:rsidP="00512623">
      <w:pPr>
        <w:rPr>
          <w:rFonts w:cs="Times New Roman"/>
          <w:b/>
          <w:bCs/>
          <w:sz w:val="22"/>
        </w:rPr>
      </w:pPr>
      <w:proofErr w:type="spellStart"/>
      <w:r>
        <w:rPr>
          <w:rFonts w:cs="Times New Roman"/>
          <w:b/>
          <w:bCs/>
        </w:rPr>
        <w:lastRenderedPageBreak/>
        <w:t>Supplemntary</w:t>
      </w:r>
      <w:proofErr w:type="spellEnd"/>
      <w:r>
        <w:rPr>
          <w:rFonts w:cs="Times New Roman"/>
          <w:b/>
          <w:bCs/>
        </w:rPr>
        <w:t xml:space="preserve"> Table S</w:t>
      </w:r>
      <w:r w:rsidR="00FC455F">
        <w:rPr>
          <w:rFonts w:cs="Times New Roman"/>
          <w:b/>
          <w:bCs/>
        </w:rPr>
        <w:t>4</w:t>
      </w:r>
      <w:r w:rsidRPr="00367E10">
        <w:rPr>
          <w:rFonts w:cs="Times New Roman"/>
          <w:b/>
          <w:bCs/>
          <w:sz w:val="22"/>
        </w:rPr>
        <w:t>: VIF</w:t>
      </w:r>
      <w:r>
        <w:rPr>
          <w:rFonts w:cs="Times New Roman"/>
          <w:b/>
          <w:bCs/>
          <w:sz w:val="22"/>
        </w:rPr>
        <w:t xml:space="preserve"> </w:t>
      </w:r>
      <w:r w:rsidRPr="00367E10">
        <w:rPr>
          <w:rFonts w:cs="Times New Roman"/>
          <w:b/>
          <w:bCs/>
          <w:sz w:val="22"/>
        </w:rPr>
        <w:t xml:space="preserve">Test </w:t>
      </w:r>
    </w:p>
    <w:tbl>
      <w:tblPr>
        <w:tblStyle w:val="TableGrid"/>
        <w:tblW w:w="0" w:type="auto"/>
        <w:tblLook w:val="04A0" w:firstRow="1" w:lastRow="0" w:firstColumn="1" w:lastColumn="0" w:noHBand="0" w:noVBand="1"/>
      </w:tblPr>
      <w:tblGrid>
        <w:gridCol w:w="2842"/>
        <w:gridCol w:w="2268"/>
      </w:tblGrid>
      <w:tr w:rsidR="00512623" w:rsidRPr="00367E10" w14:paraId="1A66F752" w14:textId="77777777" w:rsidTr="006E410C">
        <w:tc>
          <w:tcPr>
            <w:tcW w:w="2842" w:type="dxa"/>
          </w:tcPr>
          <w:p w14:paraId="424DDE04" w14:textId="77777777" w:rsidR="00512623" w:rsidRPr="00367E10" w:rsidRDefault="00512623" w:rsidP="006E410C">
            <w:pPr>
              <w:rPr>
                <w:rFonts w:cs="Times New Roman"/>
                <w:b/>
                <w:bCs/>
                <w:sz w:val="22"/>
              </w:rPr>
            </w:pPr>
            <w:r w:rsidRPr="00367E10">
              <w:rPr>
                <w:rFonts w:cs="Times New Roman"/>
                <w:b/>
                <w:bCs/>
                <w:sz w:val="22"/>
              </w:rPr>
              <w:t>Variable</w:t>
            </w:r>
          </w:p>
        </w:tc>
        <w:tc>
          <w:tcPr>
            <w:tcW w:w="2268" w:type="dxa"/>
          </w:tcPr>
          <w:p w14:paraId="404B0E0E" w14:textId="77777777" w:rsidR="00512623" w:rsidRPr="00367E10" w:rsidRDefault="00512623" w:rsidP="006E410C">
            <w:pPr>
              <w:rPr>
                <w:rFonts w:cs="Times New Roman"/>
                <w:b/>
                <w:bCs/>
                <w:sz w:val="22"/>
              </w:rPr>
            </w:pPr>
            <w:r w:rsidRPr="00367E10">
              <w:rPr>
                <w:rFonts w:cs="Times New Roman"/>
                <w:b/>
                <w:bCs/>
                <w:sz w:val="22"/>
              </w:rPr>
              <w:t>VIF</w:t>
            </w:r>
          </w:p>
        </w:tc>
      </w:tr>
      <w:tr w:rsidR="00512623" w:rsidRPr="00367E10" w14:paraId="4972F094" w14:textId="77777777" w:rsidTr="006E410C">
        <w:tc>
          <w:tcPr>
            <w:tcW w:w="2842" w:type="dxa"/>
          </w:tcPr>
          <w:p w14:paraId="7B2ABC28" w14:textId="77777777" w:rsidR="00512623" w:rsidRPr="00367E10" w:rsidRDefault="00512623" w:rsidP="006E410C">
            <w:pPr>
              <w:rPr>
                <w:rFonts w:cs="Times New Roman"/>
                <w:sz w:val="22"/>
              </w:rPr>
            </w:pPr>
            <w:r w:rsidRPr="00367E10">
              <w:rPr>
                <w:rFonts w:cs="Times New Roman"/>
                <w:sz w:val="22"/>
              </w:rPr>
              <w:t>ln_outage_1hr_p75</w:t>
            </w:r>
          </w:p>
        </w:tc>
        <w:tc>
          <w:tcPr>
            <w:tcW w:w="2268" w:type="dxa"/>
          </w:tcPr>
          <w:p w14:paraId="318153A7" w14:textId="0A082321" w:rsidR="00512623" w:rsidRPr="00367E10" w:rsidRDefault="00512623" w:rsidP="006E410C">
            <w:pPr>
              <w:rPr>
                <w:rFonts w:cs="Times New Roman"/>
                <w:sz w:val="22"/>
              </w:rPr>
            </w:pPr>
            <w:r w:rsidRPr="00367E10">
              <w:rPr>
                <w:rFonts w:cs="Times New Roman"/>
                <w:sz w:val="22"/>
              </w:rPr>
              <w:t>1.1</w:t>
            </w:r>
            <w:r w:rsidR="00EA5FAF">
              <w:rPr>
                <w:rFonts w:cs="Times New Roman"/>
                <w:sz w:val="22"/>
              </w:rPr>
              <w:t>1</w:t>
            </w:r>
          </w:p>
        </w:tc>
      </w:tr>
      <w:tr w:rsidR="00512623" w:rsidRPr="00367E10" w14:paraId="7A381317" w14:textId="77777777" w:rsidTr="006E410C">
        <w:tc>
          <w:tcPr>
            <w:tcW w:w="2842" w:type="dxa"/>
          </w:tcPr>
          <w:p w14:paraId="59843F79" w14:textId="0FBB81D6" w:rsidR="00512623" w:rsidRPr="00367E10" w:rsidRDefault="00512623" w:rsidP="006E410C">
            <w:pPr>
              <w:rPr>
                <w:rFonts w:cs="Times New Roman"/>
                <w:sz w:val="22"/>
              </w:rPr>
            </w:pPr>
            <w:r w:rsidRPr="00367E10">
              <w:rPr>
                <w:rFonts w:cs="Times New Roman"/>
                <w:sz w:val="22"/>
              </w:rPr>
              <w:t>extreme_heat_days_p9</w:t>
            </w:r>
            <w:r w:rsidR="00EA5FAF">
              <w:rPr>
                <w:rFonts w:cs="Times New Roman"/>
                <w:sz w:val="22"/>
              </w:rPr>
              <w:t>0</w:t>
            </w:r>
          </w:p>
        </w:tc>
        <w:tc>
          <w:tcPr>
            <w:tcW w:w="2268" w:type="dxa"/>
          </w:tcPr>
          <w:p w14:paraId="4183D967" w14:textId="77777777" w:rsidR="00512623" w:rsidRPr="00367E10" w:rsidRDefault="00512623" w:rsidP="006E410C">
            <w:pPr>
              <w:rPr>
                <w:rFonts w:cs="Times New Roman"/>
                <w:sz w:val="22"/>
              </w:rPr>
            </w:pPr>
            <w:r w:rsidRPr="00367E10">
              <w:rPr>
                <w:rFonts w:cs="Times New Roman"/>
                <w:sz w:val="22"/>
              </w:rPr>
              <w:t>1.06</w:t>
            </w:r>
          </w:p>
        </w:tc>
      </w:tr>
      <w:tr w:rsidR="00512623" w:rsidRPr="00367E10" w14:paraId="2DE7948D" w14:textId="77777777" w:rsidTr="006E410C">
        <w:tc>
          <w:tcPr>
            <w:tcW w:w="2842" w:type="dxa"/>
          </w:tcPr>
          <w:p w14:paraId="54414EEB" w14:textId="77777777" w:rsidR="00512623" w:rsidRPr="00367E10" w:rsidRDefault="00512623" w:rsidP="006E410C">
            <w:pPr>
              <w:rPr>
                <w:rFonts w:cs="Times New Roman"/>
                <w:sz w:val="22"/>
              </w:rPr>
            </w:pPr>
            <w:proofErr w:type="spellStart"/>
            <w:r w:rsidRPr="00367E10">
              <w:rPr>
                <w:rFonts w:cs="Times New Roman"/>
                <w:sz w:val="22"/>
              </w:rPr>
              <w:t>avg_cmr_clean</w:t>
            </w:r>
            <w:proofErr w:type="spellEnd"/>
          </w:p>
        </w:tc>
        <w:tc>
          <w:tcPr>
            <w:tcW w:w="2268" w:type="dxa"/>
          </w:tcPr>
          <w:p w14:paraId="687D670F" w14:textId="7DBF3AC9" w:rsidR="00512623" w:rsidRPr="00367E10" w:rsidRDefault="00512623" w:rsidP="006E410C">
            <w:pPr>
              <w:rPr>
                <w:rFonts w:cs="Times New Roman"/>
                <w:sz w:val="22"/>
              </w:rPr>
            </w:pPr>
            <w:r w:rsidRPr="00367E10">
              <w:rPr>
                <w:rFonts w:cs="Times New Roman"/>
                <w:sz w:val="22"/>
              </w:rPr>
              <w:t>2.</w:t>
            </w:r>
            <w:r w:rsidR="00EA5FAF">
              <w:rPr>
                <w:rFonts w:cs="Times New Roman"/>
                <w:sz w:val="22"/>
              </w:rPr>
              <w:t>10</w:t>
            </w:r>
          </w:p>
        </w:tc>
      </w:tr>
      <w:tr w:rsidR="00512623" w:rsidRPr="00367E10" w14:paraId="67BA9D0B" w14:textId="77777777" w:rsidTr="006E410C">
        <w:tc>
          <w:tcPr>
            <w:tcW w:w="2842" w:type="dxa"/>
          </w:tcPr>
          <w:p w14:paraId="283AA07E" w14:textId="77777777" w:rsidR="00512623" w:rsidRPr="00367E10" w:rsidRDefault="00512623" w:rsidP="006E410C">
            <w:pPr>
              <w:rPr>
                <w:rFonts w:cs="Times New Roman"/>
                <w:sz w:val="22"/>
              </w:rPr>
            </w:pPr>
            <w:proofErr w:type="spellStart"/>
            <w:r w:rsidRPr="00367E10">
              <w:rPr>
                <w:rFonts w:cs="Times New Roman"/>
                <w:sz w:val="22"/>
              </w:rPr>
              <w:t>avg_cmr_mortality_clean</w:t>
            </w:r>
            <w:proofErr w:type="spellEnd"/>
          </w:p>
        </w:tc>
        <w:tc>
          <w:tcPr>
            <w:tcW w:w="2268" w:type="dxa"/>
          </w:tcPr>
          <w:p w14:paraId="6C2BCF3F" w14:textId="77777777" w:rsidR="00512623" w:rsidRPr="00367E10" w:rsidRDefault="00512623" w:rsidP="006E410C">
            <w:pPr>
              <w:rPr>
                <w:rFonts w:cs="Times New Roman"/>
                <w:sz w:val="22"/>
              </w:rPr>
            </w:pPr>
            <w:r w:rsidRPr="00367E10">
              <w:rPr>
                <w:rFonts w:cs="Times New Roman"/>
                <w:sz w:val="22"/>
              </w:rPr>
              <w:t>1.93</w:t>
            </w:r>
          </w:p>
        </w:tc>
      </w:tr>
      <w:tr w:rsidR="00512623" w:rsidRPr="00367E10" w14:paraId="383A5EE1" w14:textId="77777777" w:rsidTr="006E410C">
        <w:tc>
          <w:tcPr>
            <w:tcW w:w="2842" w:type="dxa"/>
          </w:tcPr>
          <w:p w14:paraId="7D27A441" w14:textId="77777777" w:rsidR="00512623" w:rsidRPr="00367E10" w:rsidRDefault="00512623" w:rsidP="006E410C">
            <w:pPr>
              <w:rPr>
                <w:rFonts w:cs="Times New Roman"/>
                <w:sz w:val="22"/>
              </w:rPr>
            </w:pPr>
            <w:proofErr w:type="spellStart"/>
            <w:r w:rsidRPr="00367E10">
              <w:rPr>
                <w:rFonts w:cs="Times New Roman"/>
                <w:sz w:val="22"/>
              </w:rPr>
              <w:t>poverty_rate</w:t>
            </w:r>
            <w:proofErr w:type="spellEnd"/>
          </w:p>
        </w:tc>
        <w:tc>
          <w:tcPr>
            <w:tcW w:w="2268" w:type="dxa"/>
          </w:tcPr>
          <w:p w14:paraId="74D55C14" w14:textId="77777777" w:rsidR="00512623" w:rsidRPr="00367E10" w:rsidRDefault="00512623" w:rsidP="006E410C">
            <w:pPr>
              <w:rPr>
                <w:rFonts w:cs="Times New Roman"/>
                <w:sz w:val="22"/>
              </w:rPr>
            </w:pPr>
            <w:r w:rsidRPr="00367E10">
              <w:rPr>
                <w:rFonts w:cs="Times New Roman"/>
                <w:sz w:val="22"/>
              </w:rPr>
              <w:t>1.79</w:t>
            </w:r>
          </w:p>
        </w:tc>
      </w:tr>
      <w:tr w:rsidR="00512623" w:rsidRPr="00367E10" w14:paraId="0B60DCC6" w14:textId="77777777" w:rsidTr="006E410C">
        <w:tc>
          <w:tcPr>
            <w:tcW w:w="2842" w:type="dxa"/>
          </w:tcPr>
          <w:p w14:paraId="3256C212" w14:textId="77777777" w:rsidR="00512623" w:rsidRPr="00367E10" w:rsidRDefault="00512623" w:rsidP="006E410C">
            <w:pPr>
              <w:rPr>
                <w:rFonts w:cs="Times New Roman"/>
                <w:sz w:val="22"/>
              </w:rPr>
            </w:pPr>
            <w:proofErr w:type="spellStart"/>
            <w:r w:rsidRPr="00367E10">
              <w:rPr>
                <w:rFonts w:cs="Times New Roman"/>
                <w:sz w:val="22"/>
              </w:rPr>
              <w:t>pct_male</w:t>
            </w:r>
            <w:proofErr w:type="spellEnd"/>
          </w:p>
        </w:tc>
        <w:tc>
          <w:tcPr>
            <w:tcW w:w="2268" w:type="dxa"/>
          </w:tcPr>
          <w:p w14:paraId="455FE855" w14:textId="77777777" w:rsidR="00512623" w:rsidRPr="00367E10" w:rsidRDefault="00512623" w:rsidP="006E410C">
            <w:pPr>
              <w:rPr>
                <w:rFonts w:cs="Times New Roman"/>
                <w:sz w:val="22"/>
              </w:rPr>
            </w:pPr>
            <w:r w:rsidRPr="00367E10">
              <w:rPr>
                <w:rFonts w:cs="Times New Roman"/>
                <w:sz w:val="22"/>
              </w:rPr>
              <w:t>1.11</w:t>
            </w:r>
          </w:p>
        </w:tc>
      </w:tr>
      <w:tr w:rsidR="00512623" w:rsidRPr="00367E10" w14:paraId="18F92FED" w14:textId="77777777" w:rsidTr="006E410C">
        <w:tc>
          <w:tcPr>
            <w:tcW w:w="2842" w:type="dxa"/>
          </w:tcPr>
          <w:p w14:paraId="1E024DE1" w14:textId="77777777" w:rsidR="00512623" w:rsidRPr="00367E10" w:rsidRDefault="00512623" w:rsidP="006E410C">
            <w:pPr>
              <w:rPr>
                <w:rFonts w:cs="Times New Roman"/>
                <w:sz w:val="22"/>
              </w:rPr>
            </w:pPr>
            <w:r w:rsidRPr="00367E10">
              <w:rPr>
                <w:rFonts w:cs="Times New Roman"/>
                <w:sz w:val="22"/>
              </w:rPr>
              <w:t>median_income_1k</w:t>
            </w:r>
          </w:p>
        </w:tc>
        <w:tc>
          <w:tcPr>
            <w:tcW w:w="2268" w:type="dxa"/>
          </w:tcPr>
          <w:p w14:paraId="5972822F" w14:textId="77777777" w:rsidR="00512623" w:rsidRPr="00367E10" w:rsidRDefault="00512623" w:rsidP="006E410C">
            <w:pPr>
              <w:rPr>
                <w:rFonts w:cs="Times New Roman"/>
                <w:sz w:val="22"/>
              </w:rPr>
            </w:pPr>
            <w:r w:rsidRPr="00367E10">
              <w:rPr>
                <w:rFonts w:cs="Times New Roman"/>
                <w:sz w:val="22"/>
              </w:rPr>
              <w:t>2.15</w:t>
            </w:r>
          </w:p>
        </w:tc>
      </w:tr>
      <w:tr w:rsidR="00512623" w:rsidRPr="00367E10" w14:paraId="52BAC433" w14:textId="77777777" w:rsidTr="006E410C">
        <w:tc>
          <w:tcPr>
            <w:tcW w:w="2842" w:type="dxa"/>
          </w:tcPr>
          <w:p w14:paraId="2AB04B53" w14:textId="77777777" w:rsidR="00512623" w:rsidRPr="00367E10" w:rsidRDefault="00512623" w:rsidP="006E410C">
            <w:pPr>
              <w:rPr>
                <w:rFonts w:cs="Times New Roman"/>
                <w:sz w:val="22"/>
              </w:rPr>
            </w:pPr>
            <w:proofErr w:type="spellStart"/>
            <w:r w:rsidRPr="00367E10">
              <w:rPr>
                <w:rFonts w:cs="Times New Roman"/>
                <w:sz w:val="22"/>
              </w:rPr>
              <w:t>black_pct</w:t>
            </w:r>
            <w:proofErr w:type="spellEnd"/>
            <w:r w:rsidRPr="00367E10">
              <w:rPr>
                <w:rFonts w:cs="Times New Roman"/>
                <w:sz w:val="22"/>
              </w:rPr>
              <w:t xml:space="preserve"> </w:t>
            </w:r>
          </w:p>
        </w:tc>
        <w:tc>
          <w:tcPr>
            <w:tcW w:w="2268" w:type="dxa"/>
          </w:tcPr>
          <w:p w14:paraId="484679C8" w14:textId="77777777" w:rsidR="00512623" w:rsidRPr="00367E10" w:rsidRDefault="00512623" w:rsidP="006E410C">
            <w:pPr>
              <w:rPr>
                <w:rFonts w:cs="Times New Roman"/>
                <w:sz w:val="22"/>
              </w:rPr>
            </w:pPr>
            <w:r w:rsidRPr="00367E10">
              <w:rPr>
                <w:rFonts w:cs="Times New Roman"/>
                <w:sz w:val="22"/>
              </w:rPr>
              <w:t>1.29</w:t>
            </w:r>
          </w:p>
        </w:tc>
      </w:tr>
      <w:tr w:rsidR="00512623" w:rsidRPr="00367E10" w14:paraId="303D9029" w14:textId="77777777" w:rsidTr="006E410C">
        <w:tc>
          <w:tcPr>
            <w:tcW w:w="2842" w:type="dxa"/>
          </w:tcPr>
          <w:p w14:paraId="6205AA7F" w14:textId="77777777" w:rsidR="00512623" w:rsidRPr="00367E10" w:rsidRDefault="00512623" w:rsidP="006E410C">
            <w:pPr>
              <w:rPr>
                <w:rFonts w:cs="Times New Roman"/>
                <w:sz w:val="22"/>
              </w:rPr>
            </w:pPr>
            <w:proofErr w:type="spellStart"/>
            <w:r w:rsidRPr="00367E10">
              <w:rPr>
                <w:rFonts w:cs="Times New Roman"/>
                <w:sz w:val="22"/>
              </w:rPr>
              <w:t>asian_pct</w:t>
            </w:r>
            <w:proofErr w:type="spellEnd"/>
          </w:p>
        </w:tc>
        <w:tc>
          <w:tcPr>
            <w:tcW w:w="2268" w:type="dxa"/>
          </w:tcPr>
          <w:p w14:paraId="0E6ABF67" w14:textId="361B0886" w:rsidR="00512623" w:rsidRPr="00367E10" w:rsidRDefault="00512623" w:rsidP="006E410C">
            <w:pPr>
              <w:rPr>
                <w:rFonts w:cs="Times New Roman"/>
                <w:sz w:val="22"/>
              </w:rPr>
            </w:pPr>
            <w:r w:rsidRPr="00367E10">
              <w:rPr>
                <w:rFonts w:cs="Times New Roman"/>
                <w:sz w:val="22"/>
              </w:rPr>
              <w:t>1.4</w:t>
            </w:r>
            <w:r w:rsidR="008C7842">
              <w:rPr>
                <w:rFonts w:cs="Times New Roman" w:hint="eastAsia"/>
                <w:sz w:val="22"/>
              </w:rPr>
              <w:t>7</w:t>
            </w:r>
          </w:p>
        </w:tc>
      </w:tr>
      <w:tr w:rsidR="00512623" w:rsidRPr="00367E10" w14:paraId="3391ACDA" w14:textId="77777777" w:rsidTr="006E410C">
        <w:tc>
          <w:tcPr>
            <w:tcW w:w="2842" w:type="dxa"/>
          </w:tcPr>
          <w:p w14:paraId="44D04225" w14:textId="77777777" w:rsidR="00512623" w:rsidRPr="00367E10" w:rsidRDefault="00512623" w:rsidP="006E410C">
            <w:pPr>
              <w:rPr>
                <w:rFonts w:cs="Times New Roman"/>
                <w:sz w:val="22"/>
              </w:rPr>
            </w:pPr>
            <w:proofErr w:type="spellStart"/>
            <w:r w:rsidRPr="00367E10">
              <w:rPr>
                <w:rFonts w:cs="Times New Roman"/>
                <w:sz w:val="22"/>
              </w:rPr>
              <w:t>pct_medicaid</w:t>
            </w:r>
            <w:proofErr w:type="spellEnd"/>
          </w:p>
        </w:tc>
        <w:tc>
          <w:tcPr>
            <w:tcW w:w="2268" w:type="dxa"/>
          </w:tcPr>
          <w:p w14:paraId="048669B3" w14:textId="77777777" w:rsidR="00512623" w:rsidRPr="00367E10" w:rsidRDefault="00512623" w:rsidP="006E410C">
            <w:pPr>
              <w:rPr>
                <w:rFonts w:cs="Times New Roman"/>
                <w:sz w:val="22"/>
              </w:rPr>
            </w:pPr>
            <w:r w:rsidRPr="00367E10">
              <w:rPr>
                <w:rFonts w:cs="Times New Roman"/>
                <w:sz w:val="22"/>
              </w:rPr>
              <w:t>1.64</w:t>
            </w:r>
          </w:p>
        </w:tc>
      </w:tr>
      <w:tr w:rsidR="00512623" w:rsidRPr="00367E10" w14:paraId="48B300D8" w14:textId="77777777" w:rsidTr="006E410C">
        <w:tc>
          <w:tcPr>
            <w:tcW w:w="2842" w:type="dxa"/>
          </w:tcPr>
          <w:p w14:paraId="76A10334" w14:textId="77777777" w:rsidR="00512623" w:rsidRPr="00367E10" w:rsidRDefault="00512623" w:rsidP="006E410C">
            <w:pPr>
              <w:rPr>
                <w:rFonts w:cs="Times New Roman"/>
                <w:sz w:val="22"/>
              </w:rPr>
            </w:pPr>
            <w:proofErr w:type="spellStart"/>
            <w:r w:rsidRPr="00367E10">
              <w:rPr>
                <w:rFonts w:cs="Times New Roman"/>
                <w:sz w:val="22"/>
              </w:rPr>
              <w:t>pct_uninsured</w:t>
            </w:r>
            <w:proofErr w:type="spellEnd"/>
          </w:p>
        </w:tc>
        <w:tc>
          <w:tcPr>
            <w:tcW w:w="2268" w:type="dxa"/>
          </w:tcPr>
          <w:p w14:paraId="1A04E432" w14:textId="77777777" w:rsidR="00512623" w:rsidRPr="00367E10" w:rsidRDefault="00512623" w:rsidP="006E410C">
            <w:pPr>
              <w:rPr>
                <w:rFonts w:cs="Times New Roman"/>
                <w:sz w:val="22"/>
              </w:rPr>
            </w:pPr>
            <w:r w:rsidRPr="00367E10">
              <w:rPr>
                <w:rFonts w:cs="Times New Roman"/>
                <w:sz w:val="22"/>
              </w:rPr>
              <w:t>1.07</w:t>
            </w:r>
          </w:p>
        </w:tc>
      </w:tr>
      <w:tr w:rsidR="00512623" w:rsidRPr="00367E10" w14:paraId="400B0DF9" w14:textId="77777777" w:rsidTr="006E410C">
        <w:tc>
          <w:tcPr>
            <w:tcW w:w="2842" w:type="dxa"/>
          </w:tcPr>
          <w:p w14:paraId="16343E88" w14:textId="77777777" w:rsidR="00512623" w:rsidRPr="00367E10" w:rsidRDefault="00512623" w:rsidP="006E410C">
            <w:pPr>
              <w:rPr>
                <w:rFonts w:cs="Times New Roman"/>
                <w:sz w:val="22"/>
              </w:rPr>
            </w:pPr>
            <w:r w:rsidRPr="00367E10">
              <w:rPr>
                <w:rFonts w:cs="Times New Roman"/>
                <w:sz w:val="22"/>
              </w:rPr>
              <w:t>psych_per_100k</w:t>
            </w:r>
          </w:p>
          <w:p w14:paraId="6D4F95A2" w14:textId="77777777" w:rsidR="00512623" w:rsidRPr="00367E10" w:rsidRDefault="00512623" w:rsidP="006E410C">
            <w:pPr>
              <w:rPr>
                <w:rFonts w:cs="Times New Roman"/>
                <w:sz w:val="22"/>
              </w:rPr>
            </w:pPr>
          </w:p>
        </w:tc>
        <w:tc>
          <w:tcPr>
            <w:tcW w:w="2268" w:type="dxa"/>
          </w:tcPr>
          <w:p w14:paraId="212C6AD4" w14:textId="01811025" w:rsidR="00512623" w:rsidRPr="00367E10" w:rsidRDefault="00512623" w:rsidP="006E410C">
            <w:pPr>
              <w:rPr>
                <w:rFonts w:cs="Times New Roman"/>
                <w:sz w:val="22"/>
              </w:rPr>
            </w:pPr>
            <w:r w:rsidRPr="00367E10">
              <w:rPr>
                <w:rFonts w:cs="Times New Roman"/>
                <w:sz w:val="22"/>
              </w:rPr>
              <w:t>1.2</w:t>
            </w:r>
            <w:r w:rsidR="00EA5FAF">
              <w:rPr>
                <w:rFonts w:cs="Times New Roman"/>
                <w:sz w:val="22"/>
              </w:rPr>
              <w:t>2</w:t>
            </w:r>
          </w:p>
        </w:tc>
      </w:tr>
      <w:tr w:rsidR="00512623" w:rsidRPr="00367E10" w14:paraId="617204C8" w14:textId="77777777" w:rsidTr="006E410C">
        <w:tc>
          <w:tcPr>
            <w:tcW w:w="2842" w:type="dxa"/>
          </w:tcPr>
          <w:p w14:paraId="0323E3D3" w14:textId="77777777" w:rsidR="00512623" w:rsidRPr="00367E10" w:rsidRDefault="00512623" w:rsidP="006E410C">
            <w:pPr>
              <w:rPr>
                <w:rFonts w:cs="Times New Roman"/>
                <w:b/>
                <w:bCs/>
                <w:sz w:val="22"/>
              </w:rPr>
            </w:pPr>
            <w:r w:rsidRPr="00367E10">
              <w:rPr>
                <w:rFonts w:cs="Times New Roman"/>
                <w:b/>
                <w:bCs/>
                <w:sz w:val="22"/>
              </w:rPr>
              <w:t>Mean IVF</w:t>
            </w:r>
          </w:p>
        </w:tc>
        <w:tc>
          <w:tcPr>
            <w:tcW w:w="2268" w:type="dxa"/>
          </w:tcPr>
          <w:p w14:paraId="12E7CB61" w14:textId="77777777" w:rsidR="00512623" w:rsidRPr="00367E10" w:rsidRDefault="00512623" w:rsidP="006E410C">
            <w:pPr>
              <w:rPr>
                <w:rFonts w:cs="Times New Roman"/>
                <w:b/>
                <w:bCs/>
                <w:sz w:val="22"/>
              </w:rPr>
            </w:pPr>
            <w:r w:rsidRPr="00367E10">
              <w:rPr>
                <w:rFonts w:cs="Times New Roman"/>
                <w:b/>
                <w:bCs/>
                <w:sz w:val="22"/>
              </w:rPr>
              <w:t>1.49</w:t>
            </w:r>
          </w:p>
        </w:tc>
      </w:tr>
    </w:tbl>
    <w:p w14:paraId="3A3FF8A7" w14:textId="77777777" w:rsidR="00512623" w:rsidRPr="00512623" w:rsidRDefault="00512623" w:rsidP="00512623">
      <w:pPr>
        <w:pStyle w:val="NormalWeb"/>
        <w:rPr>
          <w:rFonts w:ascii="Times New Roman" w:hAnsi="Times New Roman" w:cs="Times New Roman"/>
          <w:sz w:val="18"/>
          <w:szCs w:val="18"/>
        </w:rPr>
      </w:pPr>
    </w:p>
    <w:p w14:paraId="0F1AB5F6" w14:textId="77777777" w:rsidR="00512623" w:rsidRDefault="00512623" w:rsidP="00840340">
      <w:pPr>
        <w:rPr>
          <w:rFonts w:cs="Times New Roman"/>
          <w:b/>
          <w:bCs/>
        </w:rPr>
        <w:sectPr w:rsidR="00512623" w:rsidSect="00512623">
          <w:pgSz w:w="16838" w:h="11906" w:orient="landscape"/>
          <w:pgMar w:top="1800" w:right="1440" w:bottom="1800" w:left="1440" w:header="851" w:footer="992" w:gutter="0"/>
          <w:lnNumType w:countBy="1"/>
          <w:cols w:space="425"/>
          <w:docGrid w:type="lines" w:linePitch="326"/>
        </w:sectPr>
      </w:pPr>
    </w:p>
    <w:p w14:paraId="4E68894D" w14:textId="51D839B1" w:rsidR="00D41B10" w:rsidRDefault="00A7473D" w:rsidP="00D41B10">
      <w:pPr>
        <w:rPr>
          <w:rFonts w:cs="Times New Roman"/>
          <w:lang w:val="en-GB"/>
        </w:rPr>
      </w:pPr>
      <w:r w:rsidRPr="00BE0223">
        <w:rPr>
          <w:b/>
          <w:color w:val="000000"/>
          <w:szCs w:val="24"/>
        </w:rPr>
        <w:lastRenderedPageBreak/>
        <w:t xml:space="preserve">Supplementary </w:t>
      </w:r>
      <w:r w:rsidR="008413E5" w:rsidRPr="00BE0223">
        <w:rPr>
          <w:b/>
          <w:color w:val="000000"/>
          <w:szCs w:val="24"/>
        </w:rPr>
        <w:t>Table S1</w:t>
      </w:r>
      <w:r w:rsidRPr="00BE0223">
        <w:rPr>
          <w:b/>
          <w:color w:val="000000"/>
          <w:szCs w:val="24"/>
        </w:rPr>
        <w:t>4</w:t>
      </w:r>
      <w:r w:rsidR="008413E5" w:rsidRPr="00BE0223">
        <w:rPr>
          <w:b/>
          <w:color w:val="000000"/>
          <w:szCs w:val="24"/>
        </w:rPr>
        <w:t xml:space="preserve">: </w:t>
      </w:r>
      <w:r w:rsidR="00D41B10">
        <w:rPr>
          <w:rFonts w:cs="Times New Roman"/>
          <w:lang w:val="en-GB"/>
        </w:rPr>
        <w:t>PPML Results - Mental Health Hospitalizations and Power Outages</w:t>
      </w:r>
    </w:p>
    <w:tbl>
      <w:tblPr>
        <w:tblW w:w="11451" w:type="dxa"/>
        <w:jc w:val="center"/>
        <w:tblLayout w:type="fixed"/>
        <w:tblCellMar>
          <w:left w:w="75" w:type="dxa"/>
          <w:right w:w="75" w:type="dxa"/>
        </w:tblCellMar>
        <w:tblLook w:val="0000" w:firstRow="0" w:lastRow="0" w:firstColumn="0" w:lastColumn="0" w:noHBand="0" w:noVBand="0"/>
      </w:tblPr>
      <w:tblGrid>
        <w:gridCol w:w="3531"/>
        <w:gridCol w:w="1584"/>
        <w:gridCol w:w="1584"/>
        <w:gridCol w:w="1584"/>
        <w:gridCol w:w="1584"/>
        <w:gridCol w:w="1584"/>
      </w:tblGrid>
      <w:tr w:rsidR="00C63F2C" w14:paraId="54055DB4" w14:textId="77777777" w:rsidTr="00C63F2C">
        <w:trPr>
          <w:jc w:val="center"/>
        </w:trPr>
        <w:tc>
          <w:tcPr>
            <w:tcW w:w="3531" w:type="dxa"/>
            <w:tcBorders>
              <w:top w:val="single" w:sz="6" w:space="0" w:color="auto"/>
              <w:left w:val="nil"/>
              <w:bottom w:val="nil"/>
              <w:right w:val="nil"/>
            </w:tcBorders>
          </w:tcPr>
          <w:p w14:paraId="675FBA3E" w14:textId="153F43C9" w:rsidR="00C63F2C" w:rsidRDefault="00C63F2C" w:rsidP="006E410C">
            <w:pPr>
              <w:widowControl w:val="0"/>
              <w:autoSpaceDE w:val="0"/>
              <w:autoSpaceDN w:val="0"/>
              <w:adjustRightInd w:val="0"/>
              <w:rPr>
                <w:rFonts w:cs="Times New Roman"/>
                <w:lang w:val="en-GB"/>
              </w:rPr>
            </w:pPr>
            <w:r>
              <w:rPr>
                <w:rFonts w:cs="Times New Roman"/>
                <w:lang w:val="en-GB"/>
              </w:rPr>
              <w:t>Model</w:t>
            </w:r>
          </w:p>
        </w:tc>
        <w:tc>
          <w:tcPr>
            <w:tcW w:w="1584" w:type="dxa"/>
            <w:tcBorders>
              <w:top w:val="single" w:sz="6" w:space="0" w:color="auto"/>
              <w:left w:val="nil"/>
              <w:bottom w:val="nil"/>
              <w:right w:val="nil"/>
            </w:tcBorders>
          </w:tcPr>
          <w:p w14:paraId="5E78B9E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w:t>
            </w:r>
          </w:p>
        </w:tc>
        <w:tc>
          <w:tcPr>
            <w:tcW w:w="1584" w:type="dxa"/>
            <w:tcBorders>
              <w:top w:val="single" w:sz="6" w:space="0" w:color="auto"/>
              <w:left w:val="nil"/>
              <w:bottom w:val="nil"/>
              <w:right w:val="nil"/>
            </w:tcBorders>
          </w:tcPr>
          <w:p w14:paraId="587FF96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(2)</w:t>
            </w:r>
          </w:p>
        </w:tc>
        <w:tc>
          <w:tcPr>
            <w:tcW w:w="1584" w:type="dxa"/>
            <w:tcBorders>
              <w:top w:val="single" w:sz="6" w:space="0" w:color="auto"/>
              <w:left w:val="nil"/>
              <w:bottom w:val="nil"/>
              <w:right w:val="nil"/>
            </w:tcBorders>
          </w:tcPr>
          <w:p w14:paraId="408ED5C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(3)</w:t>
            </w:r>
          </w:p>
        </w:tc>
        <w:tc>
          <w:tcPr>
            <w:tcW w:w="1584" w:type="dxa"/>
            <w:tcBorders>
              <w:top w:val="single" w:sz="6" w:space="0" w:color="auto"/>
              <w:left w:val="nil"/>
              <w:bottom w:val="nil"/>
              <w:right w:val="nil"/>
            </w:tcBorders>
          </w:tcPr>
          <w:p w14:paraId="42AB2CF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(4)</w:t>
            </w:r>
          </w:p>
        </w:tc>
        <w:tc>
          <w:tcPr>
            <w:tcW w:w="1584" w:type="dxa"/>
            <w:tcBorders>
              <w:top w:val="single" w:sz="6" w:space="0" w:color="auto"/>
              <w:left w:val="nil"/>
              <w:bottom w:val="nil"/>
              <w:right w:val="nil"/>
            </w:tcBorders>
          </w:tcPr>
          <w:p w14:paraId="3BE825F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(5)</w:t>
            </w:r>
          </w:p>
        </w:tc>
      </w:tr>
      <w:tr w:rsidR="00C63F2C" w14:paraId="4D9DF738" w14:textId="77777777" w:rsidTr="00C63F2C">
        <w:trPr>
          <w:jc w:val="center"/>
        </w:trPr>
        <w:tc>
          <w:tcPr>
            <w:tcW w:w="3531" w:type="dxa"/>
            <w:tcBorders>
              <w:top w:val="nil"/>
              <w:left w:val="nil"/>
              <w:bottom w:val="nil"/>
              <w:right w:val="nil"/>
            </w:tcBorders>
          </w:tcPr>
          <w:p w14:paraId="6CE8AE96"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357E956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Basic</w:t>
            </w:r>
          </w:p>
        </w:tc>
        <w:tc>
          <w:tcPr>
            <w:tcW w:w="1584" w:type="dxa"/>
            <w:tcBorders>
              <w:top w:val="nil"/>
              <w:left w:val="nil"/>
              <w:bottom w:val="nil"/>
              <w:right w:val="nil"/>
            </w:tcBorders>
          </w:tcPr>
          <w:p w14:paraId="54371D7C" w14:textId="7EFE2D66" w:rsidR="00C63F2C" w:rsidRDefault="00C63F2C" w:rsidP="006E410C">
            <w:pPr>
              <w:widowControl w:val="0"/>
              <w:autoSpaceDE w:val="0"/>
              <w:autoSpaceDN w:val="0"/>
              <w:adjustRightInd w:val="0"/>
              <w:jc w:val="center"/>
              <w:rPr>
                <w:rFonts w:cs="Times New Roman"/>
                <w:lang w:val="en-GB"/>
              </w:rPr>
            </w:pPr>
            <w:r>
              <w:rPr>
                <w:rFonts w:cs="Times New Roman"/>
                <w:lang w:val="en-GB"/>
              </w:rPr>
              <w:t>Weather</w:t>
            </w:r>
          </w:p>
        </w:tc>
        <w:tc>
          <w:tcPr>
            <w:tcW w:w="1584" w:type="dxa"/>
            <w:tcBorders>
              <w:top w:val="nil"/>
              <w:left w:val="nil"/>
              <w:bottom w:val="nil"/>
              <w:right w:val="nil"/>
            </w:tcBorders>
          </w:tcPr>
          <w:p w14:paraId="6173024D" w14:textId="2A111213" w:rsidR="00C63F2C" w:rsidRDefault="00C63F2C" w:rsidP="006E410C">
            <w:pPr>
              <w:widowControl w:val="0"/>
              <w:autoSpaceDE w:val="0"/>
              <w:autoSpaceDN w:val="0"/>
              <w:adjustRightInd w:val="0"/>
              <w:jc w:val="center"/>
              <w:rPr>
                <w:rFonts w:cs="Times New Roman"/>
                <w:lang w:val="en-GB"/>
              </w:rPr>
            </w:pPr>
            <w:r>
              <w:rPr>
                <w:rFonts w:cs="Times New Roman"/>
                <w:lang w:val="en-GB"/>
              </w:rPr>
              <w:t>Main</w:t>
            </w:r>
          </w:p>
        </w:tc>
        <w:tc>
          <w:tcPr>
            <w:tcW w:w="1584" w:type="dxa"/>
            <w:tcBorders>
              <w:top w:val="nil"/>
              <w:left w:val="nil"/>
              <w:bottom w:val="nil"/>
              <w:right w:val="nil"/>
            </w:tcBorders>
          </w:tcPr>
          <w:p w14:paraId="142C1F2A" w14:textId="7E9A7807" w:rsidR="00C63F2C" w:rsidRDefault="00C63F2C" w:rsidP="006E410C">
            <w:pPr>
              <w:widowControl w:val="0"/>
              <w:autoSpaceDE w:val="0"/>
              <w:autoSpaceDN w:val="0"/>
              <w:adjustRightInd w:val="0"/>
              <w:jc w:val="center"/>
              <w:rPr>
                <w:rFonts w:cs="Times New Roman"/>
                <w:lang w:val="en-GB"/>
              </w:rPr>
            </w:pPr>
            <w:r>
              <w:rPr>
                <w:rFonts w:cs="Times New Roman"/>
                <w:lang w:val="en-GB"/>
              </w:rPr>
              <w:t>Alternative weather</w:t>
            </w:r>
          </w:p>
        </w:tc>
        <w:tc>
          <w:tcPr>
            <w:tcW w:w="1584" w:type="dxa"/>
            <w:tcBorders>
              <w:top w:val="nil"/>
              <w:left w:val="nil"/>
              <w:bottom w:val="nil"/>
              <w:right w:val="nil"/>
            </w:tcBorders>
          </w:tcPr>
          <w:p w14:paraId="7BB443E7" w14:textId="423EC803" w:rsidR="00C63F2C" w:rsidRDefault="00C63F2C" w:rsidP="006E410C">
            <w:pPr>
              <w:widowControl w:val="0"/>
              <w:autoSpaceDE w:val="0"/>
              <w:autoSpaceDN w:val="0"/>
              <w:adjustRightInd w:val="0"/>
              <w:jc w:val="center"/>
              <w:rPr>
                <w:rFonts w:cs="Times New Roman"/>
                <w:lang w:val="en-GB"/>
              </w:rPr>
            </w:pPr>
            <w:r>
              <w:rPr>
                <w:rFonts w:cs="Times New Roman"/>
                <w:lang w:val="en-GB"/>
              </w:rPr>
              <w:t>All control variables</w:t>
            </w:r>
          </w:p>
        </w:tc>
      </w:tr>
      <w:tr w:rsidR="00C63F2C" w14:paraId="67F5E943" w14:textId="77777777" w:rsidTr="00C63F2C">
        <w:trPr>
          <w:jc w:val="center"/>
        </w:trPr>
        <w:tc>
          <w:tcPr>
            <w:tcW w:w="3531" w:type="dxa"/>
            <w:tcBorders>
              <w:top w:val="nil"/>
              <w:left w:val="nil"/>
              <w:bottom w:val="single" w:sz="6" w:space="0" w:color="auto"/>
              <w:right w:val="nil"/>
            </w:tcBorders>
          </w:tcPr>
          <w:p w14:paraId="066F8FBC" w14:textId="601B6F98" w:rsidR="00C63F2C" w:rsidRPr="00C63F2C" w:rsidRDefault="00C63F2C" w:rsidP="006E410C">
            <w:pPr>
              <w:widowControl w:val="0"/>
              <w:autoSpaceDE w:val="0"/>
              <w:autoSpaceDN w:val="0"/>
              <w:adjustRightInd w:val="0"/>
              <w:rPr>
                <w:rFonts w:cs="Times New Roman"/>
              </w:rPr>
            </w:pPr>
            <w:r>
              <w:rPr>
                <w:rFonts w:cs="Times New Roman" w:hint="eastAsia"/>
                <w:lang w:val="en-GB"/>
              </w:rPr>
              <w:t>Dep</w:t>
            </w:r>
            <w:proofErr w:type="spellStart"/>
            <w:r>
              <w:rPr>
                <w:rFonts w:cs="Times New Roman"/>
              </w:rPr>
              <w:t>endent</w:t>
            </w:r>
            <w:proofErr w:type="spellEnd"/>
            <w:r>
              <w:rPr>
                <w:rFonts w:cs="Times New Roman"/>
              </w:rPr>
              <w:t xml:space="preserve"> Variables</w:t>
            </w:r>
          </w:p>
        </w:tc>
        <w:tc>
          <w:tcPr>
            <w:tcW w:w="1584" w:type="dxa"/>
            <w:tcBorders>
              <w:top w:val="nil"/>
              <w:left w:val="nil"/>
              <w:bottom w:val="single" w:sz="6" w:space="0" w:color="auto"/>
              <w:right w:val="nil"/>
            </w:tcBorders>
          </w:tcPr>
          <w:p w14:paraId="00E9DAF2"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single" w:sz="6" w:space="0" w:color="auto"/>
              <w:right w:val="nil"/>
            </w:tcBorders>
          </w:tcPr>
          <w:p w14:paraId="26811982"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single" w:sz="6" w:space="0" w:color="auto"/>
              <w:right w:val="nil"/>
            </w:tcBorders>
          </w:tcPr>
          <w:p w14:paraId="41BC4E6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single" w:sz="6" w:space="0" w:color="auto"/>
              <w:right w:val="nil"/>
            </w:tcBorders>
          </w:tcPr>
          <w:p w14:paraId="70193B1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single" w:sz="6" w:space="0" w:color="auto"/>
              <w:right w:val="nil"/>
            </w:tcBorders>
          </w:tcPr>
          <w:p w14:paraId="12FBFBC1" w14:textId="77777777" w:rsidR="00C63F2C" w:rsidRDefault="00C63F2C" w:rsidP="006E410C">
            <w:pPr>
              <w:widowControl w:val="0"/>
              <w:autoSpaceDE w:val="0"/>
              <w:autoSpaceDN w:val="0"/>
              <w:adjustRightInd w:val="0"/>
              <w:jc w:val="center"/>
              <w:rPr>
                <w:rFonts w:cs="Times New Roman"/>
                <w:lang w:val="en-GB"/>
              </w:rPr>
            </w:pPr>
          </w:p>
        </w:tc>
      </w:tr>
      <w:tr w:rsidR="00C63F2C" w14:paraId="1827316C" w14:textId="77777777" w:rsidTr="00C63F2C">
        <w:trPr>
          <w:jc w:val="center"/>
        </w:trPr>
        <w:tc>
          <w:tcPr>
            <w:tcW w:w="3531" w:type="dxa"/>
            <w:tcBorders>
              <w:top w:val="single" w:sz="6" w:space="0" w:color="auto"/>
              <w:left w:val="nil"/>
              <w:bottom w:val="nil"/>
              <w:right w:val="nil"/>
            </w:tcBorders>
          </w:tcPr>
          <w:p w14:paraId="60029A7C" w14:textId="77777777" w:rsidR="00C63F2C" w:rsidRDefault="00C63F2C" w:rsidP="006E410C">
            <w:pPr>
              <w:widowControl w:val="0"/>
              <w:autoSpaceDE w:val="0"/>
              <w:autoSpaceDN w:val="0"/>
              <w:adjustRightInd w:val="0"/>
              <w:rPr>
                <w:rFonts w:cs="Times New Roman"/>
                <w:lang w:val="en-GB"/>
              </w:rPr>
            </w:pPr>
            <w:r>
              <w:rPr>
                <w:rFonts w:cs="Times New Roman"/>
                <w:lang w:val="en-GB"/>
              </w:rPr>
              <w:t>ln_outage_1hr_p75</w:t>
            </w:r>
          </w:p>
        </w:tc>
        <w:tc>
          <w:tcPr>
            <w:tcW w:w="1584" w:type="dxa"/>
            <w:tcBorders>
              <w:top w:val="single" w:sz="6" w:space="0" w:color="auto"/>
              <w:left w:val="nil"/>
              <w:bottom w:val="nil"/>
              <w:right w:val="nil"/>
            </w:tcBorders>
          </w:tcPr>
          <w:p w14:paraId="5EED7D82" w14:textId="78CB6B85" w:rsidR="00C63F2C" w:rsidRDefault="00C63F2C" w:rsidP="006E410C">
            <w:pPr>
              <w:widowControl w:val="0"/>
              <w:autoSpaceDE w:val="0"/>
              <w:autoSpaceDN w:val="0"/>
              <w:adjustRightInd w:val="0"/>
              <w:jc w:val="center"/>
              <w:rPr>
                <w:rFonts w:cs="Times New Roman"/>
                <w:lang w:val="en-GB"/>
              </w:rPr>
            </w:pPr>
            <w:r>
              <w:rPr>
                <w:rFonts w:cs="Times New Roman"/>
                <w:lang w:val="en-GB"/>
              </w:rPr>
              <w:t>1.01</w:t>
            </w:r>
            <w:r w:rsidR="00CE1817">
              <w:rPr>
                <w:rFonts w:cs="Times New Roman"/>
                <w:lang w:val="en-GB"/>
              </w:rPr>
              <w:t>8</w:t>
            </w:r>
            <w:r>
              <w:rPr>
                <w:rFonts w:cs="Times New Roman"/>
                <w:lang w:val="en-GB"/>
              </w:rPr>
              <w:t>**</w:t>
            </w:r>
          </w:p>
        </w:tc>
        <w:tc>
          <w:tcPr>
            <w:tcW w:w="1584" w:type="dxa"/>
            <w:tcBorders>
              <w:top w:val="single" w:sz="6" w:space="0" w:color="auto"/>
              <w:left w:val="nil"/>
              <w:bottom w:val="nil"/>
              <w:right w:val="nil"/>
            </w:tcBorders>
          </w:tcPr>
          <w:p w14:paraId="57F4C4B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1.017**</w:t>
            </w:r>
          </w:p>
        </w:tc>
        <w:tc>
          <w:tcPr>
            <w:tcW w:w="1584" w:type="dxa"/>
            <w:tcBorders>
              <w:top w:val="single" w:sz="6" w:space="0" w:color="auto"/>
              <w:left w:val="nil"/>
              <w:bottom w:val="nil"/>
              <w:right w:val="nil"/>
            </w:tcBorders>
          </w:tcPr>
          <w:p w14:paraId="642C3856"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1.015**</w:t>
            </w:r>
          </w:p>
        </w:tc>
        <w:tc>
          <w:tcPr>
            <w:tcW w:w="1584" w:type="dxa"/>
            <w:tcBorders>
              <w:top w:val="single" w:sz="6" w:space="0" w:color="auto"/>
              <w:left w:val="nil"/>
              <w:bottom w:val="nil"/>
              <w:right w:val="nil"/>
            </w:tcBorders>
          </w:tcPr>
          <w:p w14:paraId="0F7A257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1.016**</w:t>
            </w:r>
          </w:p>
        </w:tc>
        <w:tc>
          <w:tcPr>
            <w:tcW w:w="1584" w:type="dxa"/>
            <w:tcBorders>
              <w:top w:val="single" w:sz="6" w:space="0" w:color="auto"/>
              <w:left w:val="nil"/>
              <w:bottom w:val="nil"/>
              <w:right w:val="nil"/>
            </w:tcBorders>
          </w:tcPr>
          <w:p w14:paraId="5BFD1BFA"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1.013*</w:t>
            </w:r>
          </w:p>
        </w:tc>
      </w:tr>
      <w:tr w:rsidR="00C63F2C" w14:paraId="4AEE040B" w14:textId="77777777" w:rsidTr="00C63F2C">
        <w:trPr>
          <w:jc w:val="center"/>
        </w:trPr>
        <w:tc>
          <w:tcPr>
            <w:tcW w:w="3531" w:type="dxa"/>
            <w:tcBorders>
              <w:top w:val="nil"/>
              <w:left w:val="nil"/>
              <w:bottom w:val="nil"/>
              <w:right w:val="nil"/>
            </w:tcBorders>
          </w:tcPr>
          <w:p w14:paraId="329FA96B"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323335A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719E21F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5A89891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695E5149"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6261545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(0.007)</w:t>
            </w:r>
          </w:p>
        </w:tc>
      </w:tr>
      <w:tr w:rsidR="00C63F2C" w14:paraId="0B4F990C" w14:textId="77777777" w:rsidTr="00C63F2C">
        <w:trPr>
          <w:jc w:val="center"/>
        </w:trPr>
        <w:tc>
          <w:tcPr>
            <w:tcW w:w="3531" w:type="dxa"/>
            <w:tcBorders>
              <w:top w:val="nil"/>
              <w:left w:val="nil"/>
              <w:bottom w:val="nil"/>
              <w:right w:val="nil"/>
            </w:tcBorders>
          </w:tcPr>
          <w:p w14:paraId="281E03CC" w14:textId="77777777" w:rsidR="00C63F2C" w:rsidRDefault="00C63F2C" w:rsidP="006E410C">
            <w:pPr>
              <w:widowControl w:val="0"/>
              <w:autoSpaceDE w:val="0"/>
              <w:autoSpaceDN w:val="0"/>
              <w:adjustRightInd w:val="0"/>
              <w:rPr>
                <w:rFonts w:cs="Times New Roman"/>
                <w:lang w:val="en-GB"/>
              </w:rPr>
            </w:pPr>
            <w:r>
              <w:rPr>
                <w:rFonts w:cs="Times New Roman"/>
                <w:lang w:val="en-GB"/>
              </w:rPr>
              <w:t>extreme_heat_days_p90</w:t>
            </w:r>
          </w:p>
        </w:tc>
        <w:tc>
          <w:tcPr>
            <w:tcW w:w="1584" w:type="dxa"/>
            <w:tcBorders>
              <w:top w:val="nil"/>
              <w:left w:val="nil"/>
              <w:bottom w:val="nil"/>
              <w:right w:val="nil"/>
            </w:tcBorders>
          </w:tcPr>
          <w:p w14:paraId="22846ED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D9E189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1.003***</w:t>
            </w:r>
          </w:p>
        </w:tc>
        <w:tc>
          <w:tcPr>
            <w:tcW w:w="1584" w:type="dxa"/>
            <w:tcBorders>
              <w:top w:val="nil"/>
              <w:left w:val="nil"/>
              <w:bottom w:val="nil"/>
              <w:right w:val="nil"/>
            </w:tcBorders>
          </w:tcPr>
          <w:p w14:paraId="4522E9F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1.002**</w:t>
            </w:r>
          </w:p>
        </w:tc>
        <w:tc>
          <w:tcPr>
            <w:tcW w:w="1584" w:type="dxa"/>
            <w:tcBorders>
              <w:top w:val="nil"/>
              <w:left w:val="nil"/>
              <w:bottom w:val="nil"/>
              <w:right w:val="nil"/>
            </w:tcBorders>
          </w:tcPr>
          <w:p w14:paraId="6776AC0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EB18531" w14:textId="77777777" w:rsidR="00C63F2C" w:rsidRDefault="00C63F2C" w:rsidP="006E410C">
            <w:pPr>
              <w:widowControl w:val="0"/>
              <w:autoSpaceDE w:val="0"/>
              <w:autoSpaceDN w:val="0"/>
              <w:adjustRightInd w:val="0"/>
              <w:jc w:val="center"/>
              <w:rPr>
                <w:rFonts w:cs="Times New Roman"/>
                <w:lang w:val="en-GB"/>
              </w:rPr>
            </w:pPr>
          </w:p>
        </w:tc>
      </w:tr>
      <w:tr w:rsidR="00C63F2C" w14:paraId="121578DF" w14:textId="77777777" w:rsidTr="00C63F2C">
        <w:trPr>
          <w:jc w:val="center"/>
        </w:trPr>
        <w:tc>
          <w:tcPr>
            <w:tcW w:w="3531" w:type="dxa"/>
            <w:tcBorders>
              <w:top w:val="nil"/>
              <w:left w:val="nil"/>
              <w:bottom w:val="nil"/>
              <w:right w:val="nil"/>
            </w:tcBorders>
          </w:tcPr>
          <w:p w14:paraId="07AF1896"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34EE0F2"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418956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1E297DE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38D07BD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12C7872" w14:textId="77777777" w:rsidR="00C63F2C" w:rsidRDefault="00C63F2C" w:rsidP="006E410C">
            <w:pPr>
              <w:widowControl w:val="0"/>
              <w:autoSpaceDE w:val="0"/>
              <w:autoSpaceDN w:val="0"/>
              <w:adjustRightInd w:val="0"/>
              <w:jc w:val="center"/>
              <w:rPr>
                <w:rFonts w:cs="Times New Roman"/>
                <w:lang w:val="en-GB"/>
              </w:rPr>
            </w:pPr>
          </w:p>
        </w:tc>
      </w:tr>
      <w:tr w:rsidR="00C63F2C" w14:paraId="382FA381" w14:textId="77777777" w:rsidTr="00C63F2C">
        <w:trPr>
          <w:jc w:val="center"/>
        </w:trPr>
        <w:tc>
          <w:tcPr>
            <w:tcW w:w="3531" w:type="dxa"/>
            <w:tcBorders>
              <w:top w:val="nil"/>
              <w:left w:val="nil"/>
              <w:bottom w:val="nil"/>
              <w:right w:val="nil"/>
            </w:tcBorders>
          </w:tcPr>
          <w:p w14:paraId="5CCAB31D"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avg_cmr_clean</w:t>
            </w:r>
            <w:proofErr w:type="spellEnd"/>
          </w:p>
        </w:tc>
        <w:tc>
          <w:tcPr>
            <w:tcW w:w="1584" w:type="dxa"/>
            <w:tcBorders>
              <w:top w:val="nil"/>
              <w:left w:val="nil"/>
              <w:bottom w:val="nil"/>
              <w:right w:val="nil"/>
            </w:tcBorders>
          </w:tcPr>
          <w:p w14:paraId="674650E6" w14:textId="205137FC" w:rsidR="00C63F2C" w:rsidRDefault="00C63F2C" w:rsidP="006E410C">
            <w:pPr>
              <w:widowControl w:val="0"/>
              <w:autoSpaceDE w:val="0"/>
              <w:autoSpaceDN w:val="0"/>
              <w:adjustRightInd w:val="0"/>
              <w:jc w:val="center"/>
              <w:rPr>
                <w:rFonts w:cs="Times New Roman"/>
                <w:lang w:val="en-GB"/>
              </w:rPr>
            </w:pPr>
            <w:r>
              <w:rPr>
                <w:rFonts w:cs="Times New Roman"/>
                <w:lang w:val="en-GB"/>
              </w:rPr>
              <w:t>1.0</w:t>
            </w:r>
            <w:r w:rsidR="00CE1817">
              <w:rPr>
                <w:rFonts w:cs="Times New Roman"/>
                <w:lang w:val="en-GB"/>
              </w:rPr>
              <w:t>50</w:t>
            </w:r>
            <w:r>
              <w:rPr>
                <w:rFonts w:cs="Times New Roman"/>
                <w:lang w:val="en-GB"/>
              </w:rPr>
              <w:t>***</w:t>
            </w:r>
          </w:p>
        </w:tc>
        <w:tc>
          <w:tcPr>
            <w:tcW w:w="1584" w:type="dxa"/>
            <w:tcBorders>
              <w:top w:val="nil"/>
              <w:left w:val="nil"/>
              <w:bottom w:val="nil"/>
              <w:right w:val="nil"/>
            </w:tcBorders>
          </w:tcPr>
          <w:p w14:paraId="0F9A80F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1.049***</w:t>
            </w:r>
          </w:p>
        </w:tc>
        <w:tc>
          <w:tcPr>
            <w:tcW w:w="1584" w:type="dxa"/>
            <w:tcBorders>
              <w:top w:val="nil"/>
              <w:left w:val="nil"/>
              <w:bottom w:val="nil"/>
              <w:right w:val="nil"/>
            </w:tcBorders>
          </w:tcPr>
          <w:p w14:paraId="35515AE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1.050***</w:t>
            </w:r>
          </w:p>
        </w:tc>
        <w:tc>
          <w:tcPr>
            <w:tcW w:w="1584" w:type="dxa"/>
            <w:tcBorders>
              <w:top w:val="nil"/>
              <w:left w:val="nil"/>
              <w:bottom w:val="nil"/>
              <w:right w:val="nil"/>
            </w:tcBorders>
          </w:tcPr>
          <w:p w14:paraId="0D19BA26"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1.050***</w:t>
            </w:r>
          </w:p>
        </w:tc>
        <w:tc>
          <w:tcPr>
            <w:tcW w:w="1584" w:type="dxa"/>
            <w:tcBorders>
              <w:top w:val="nil"/>
              <w:left w:val="nil"/>
              <w:bottom w:val="nil"/>
              <w:right w:val="nil"/>
            </w:tcBorders>
          </w:tcPr>
          <w:p w14:paraId="2F06EFF0" w14:textId="77777777" w:rsidR="00C63F2C" w:rsidRDefault="00C63F2C" w:rsidP="006E410C">
            <w:pPr>
              <w:widowControl w:val="0"/>
              <w:autoSpaceDE w:val="0"/>
              <w:autoSpaceDN w:val="0"/>
              <w:adjustRightInd w:val="0"/>
              <w:jc w:val="center"/>
              <w:rPr>
                <w:rFonts w:cs="Times New Roman"/>
                <w:lang w:val="en-GB"/>
              </w:rPr>
            </w:pPr>
          </w:p>
        </w:tc>
      </w:tr>
      <w:tr w:rsidR="00C63F2C" w14:paraId="3E891085" w14:textId="77777777" w:rsidTr="00C63F2C">
        <w:trPr>
          <w:jc w:val="center"/>
        </w:trPr>
        <w:tc>
          <w:tcPr>
            <w:tcW w:w="3531" w:type="dxa"/>
            <w:tcBorders>
              <w:top w:val="nil"/>
              <w:left w:val="nil"/>
              <w:bottom w:val="nil"/>
              <w:right w:val="nil"/>
            </w:tcBorders>
          </w:tcPr>
          <w:p w14:paraId="16A0531F"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1FA19C2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15EFB65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283225D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26E21F2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4BD17BD9" w14:textId="77777777" w:rsidR="00C63F2C" w:rsidRDefault="00C63F2C" w:rsidP="006E410C">
            <w:pPr>
              <w:widowControl w:val="0"/>
              <w:autoSpaceDE w:val="0"/>
              <w:autoSpaceDN w:val="0"/>
              <w:adjustRightInd w:val="0"/>
              <w:jc w:val="center"/>
              <w:rPr>
                <w:rFonts w:cs="Times New Roman"/>
                <w:lang w:val="en-GB"/>
              </w:rPr>
            </w:pPr>
          </w:p>
        </w:tc>
      </w:tr>
      <w:tr w:rsidR="00C63F2C" w14:paraId="3B03555B" w14:textId="77777777" w:rsidTr="00C63F2C">
        <w:trPr>
          <w:jc w:val="center"/>
        </w:trPr>
        <w:tc>
          <w:tcPr>
            <w:tcW w:w="3531" w:type="dxa"/>
            <w:tcBorders>
              <w:top w:val="nil"/>
              <w:left w:val="nil"/>
              <w:bottom w:val="nil"/>
              <w:right w:val="nil"/>
            </w:tcBorders>
          </w:tcPr>
          <w:p w14:paraId="2B4B8C3E"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avg_cmr_mortality_clean</w:t>
            </w:r>
            <w:proofErr w:type="spellEnd"/>
          </w:p>
        </w:tc>
        <w:tc>
          <w:tcPr>
            <w:tcW w:w="1584" w:type="dxa"/>
            <w:tcBorders>
              <w:top w:val="nil"/>
              <w:left w:val="nil"/>
              <w:bottom w:val="nil"/>
              <w:right w:val="nil"/>
            </w:tcBorders>
          </w:tcPr>
          <w:p w14:paraId="0C4FFCC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0.939***</w:t>
            </w:r>
          </w:p>
        </w:tc>
        <w:tc>
          <w:tcPr>
            <w:tcW w:w="1584" w:type="dxa"/>
            <w:tcBorders>
              <w:top w:val="nil"/>
              <w:left w:val="nil"/>
              <w:bottom w:val="nil"/>
              <w:right w:val="nil"/>
            </w:tcBorders>
          </w:tcPr>
          <w:p w14:paraId="73A0C7A9"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0.939***</w:t>
            </w:r>
          </w:p>
        </w:tc>
        <w:tc>
          <w:tcPr>
            <w:tcW w:w="1584" w:type="dxa"/>
            <w:tcBorders>
              <w:top w:val="nil"/>
              <w:left w:val="nil"/>
              <w:bottom w:val="nil"/>
              <w:right w:val="nil"/>
            </w:tcBorders>
          </w:tcPr>
          <w:p w14:paraId="7A18A42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0.943***</w:t>
            </w:r>
          </w:p>
        </w:tc>
        <w:tc>
          <w:tcPr>
            <w:tcW w:w="1584" w:type="dxa"/>
            <w:tcBorders>
              <w:top w:val="nil"/>
              <w:left w:val="nil"/>
              <w:bottom w:val="nil"/>
              <w:right w:val="nil"/>
            </w:tcBorders>
          </w:tcPr>
          <w:p w14:paraId="1E5DDBC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0.942***</w:t>
            </w:r>
          </w:p>
        </w:tc>
        <w:tc>
          <w:tcPr>
            <w:tcW w:w="1584" w:type="dxa"/>
            <w:tcBorders>
              <w:top w:val="nil"/>
              <w:left w:val="nil"/>
              <w:bottom w:val="nil"/>
              <w:right w:val="nil"/>
            </w:tcBorders>
          </w:tcPr>
          <w:p w14:paraId="11C483D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0.972***</w:t>
            </w:r>
          </w:p>
        </w:tc>
      </w:tr>
      <w:tr w:rsidR="00C63F2C" w14:paraId="6A2FFF51" w14:textId="77777777" w:rsidTr="00C63F2C">
        <w:trPr>
          <w:jc w:val="center"/>
        </w:trPr>
        <w:tc>
          <w:tcPr>
            <w:tcW w:w="3531" w:type="dxa"/>
            <w:tcBorders>
              <w:top w:val="nil"/>
              <w:left w:val="nil"/>
              <w:bottom w:val="nil"/>
              <w:right w:val="nil"/>
            </w:tcBorders>
          </w:tcPr>
          <w:p w14:paraId="09EE5403"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1719A34D"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4D9A7AE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3A69665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788774C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7F974B4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(0.004)</w:t>
            </w:r>
          </w:p>
        </w:tc>
      </w:tr>
      <w:tr w:rsidR="00C63F2C" w14:paraId="7DA49268" w14:textId="77777777" w:rsidTr="00C63F2C">
        <w:trPr>
          <w:jc w:val="center"/>
        </w:trPr>
        <w:tc>
          <w:tcPr>
            <w:tcW w:w="3531" w:type="dxa"/>
            <w:tcBorders>
              <w:top w:val="nil"/>
              <w:left w:val="nil"/>
              <w:bottom w:val="nil"/>
              <w:right w:val="nil"/>
            </w:tcBorders>
          </w:tcPr>
          <w:p w14:paraId="4E62B17F"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poverty_rate</w:t>
            </w:r>
            <w:proofErr w:type="spellEnd"/>
          </w:p>
        </w:tc>
        <w:tc>
          <w:tcPr>
            <w:tcW w:w="1584" w:type="dxa"/>
            <w:tcBorders>
              <w:top w:val="nil"/>
              <w:left w:val="nil"/>
              <w:bottom w:val="nil"/>
              <w:right w:val="nil"/>
            </w:tcBorders>
          </w:tcPr>
          <w:p w14:paraId="3B4044A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1.006*</w:t>
            </w:r>
          </w:p>
        </w:tc>
        <w:tc>
          <w:tcPr>
            <w:tcW w:w="1584" w:type="dxa"/>
            <w:tcBorders>
              <w:top w:val="nil"/>
              <w:left w:val="nil"/>
              <w:bottom w:val="nil"/>
              <w:right w:val="nil"/>
            </w:tcBorders>
          </w:tcPr>
          <w:p w14:paraId="2B95B91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1.006*</w:t>
            </w:r>
          </w:p>
        </w:tc>
        <w:tc>
          <w:tcPr>
            <w:tcW w:w="1584" w:type="dxa"/>
            <w:tcBorders>
              <w:top w:val="nil"/>
              <w:left w:val="nil"/>
              <w:bottom w:val="nil"/>
              <w:right w:val="nil"/>
            </w:tcBorders>
          </w:tcPr>
          <w:p w14:paraId="29EB8B9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1.008***</w:t>
            </w:r>
          </w:p>
        </w:tc>
        <w:tc>
          <w:tcPr>
            <w:tcW w:w="1584" w:type="dxa"/>
            <w:tcBorders>
              <w:top w:val="nil"/>
              <w:left w:val="nil"/>
              <w:bottom w:val="nil"/>
              <w:right w:val="nil"/>
            </w:tcBorders>
          </w:tcPr>
          <w:p w14:paraId="4C56011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1.008***</w:t>
            </w:r>
          </w:p>
        </w:tc>
        <w:tc>
          <w:tcPr>
            <w:tcW w:w="1584" w:type="dxa"/>
            <w:tcBorders>
              <w:top w:val="nil"/>
              <w:left w:val="nil"/>
              <w:bottom w:val="nil"/>
              <w:right w:val="nil"/>
            </w:tcBorders>
          </w:tcPr>
          <w:p w14:paraId="1A74607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1.008***</w:t>
            </w:r>
          </w:p>
        </w:tc>
      </w:tr>
      <w:tr w:rsidR="00C63F2C" w14:paraId="66782911" w14:textId="77777777" w:rsidTr="00C63F2C">
        <w:trPr>
          <w:jc w:val="center"/>
        </w:trPr>
        <w:tc>
          <w:tcPr>
            <w:tcW w:w="3531" w:type="dxa"/>
            <w:tcBorders>
              <w:top w:val="nil"/>
              <w:left w:val="nil"/>
              <w:bottom w:val="nil"/>
              <w:right w:val="nil"/>
            </w:tcBorders>
          </w:tcPr>
          <w:p w14:paraId="2D91AB4D"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486564B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74D4AB3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1DB98A2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71F55839"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6C46780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r>
      <w:tr w:rsidR="00C63F2C" w14:paraId="709B98A1" w14:textId="77777777" w:rsidTr="00C63F2C">
        <w:trPr>
          <w:jc w:val="center"/>
        </w:trPr>
        <w:tc>
          <w:tcPr>
            <w:tcW w:w="3531" w:type="dxa"/>
            <w:tcBorders>
              <w:top w:val="nil"/>
              <w:left w:val="nil"/>
              <w:bottom w:val="nil"/>
              <w:right w:val="nil"/>
            </w:tcBorders>
          </w:tcPr>
          <w:p w14:paraId="2ACC60BF"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pct_male</w:t>
            </w:r>
            <w:proofErr w:type="spellEnd"/>
          </w:p>
        </w:tc>
        <w:tc>
          <w:tcPr>
            <w:tcW w:w="1584" w:type="dxa"/>
            <w:tcBorders>
              <w:top w:val="nil"/>
              <w:left w:val="nil"/>
              <w:bottom w:val="nil"/>
              <w:right w:val="nil"/>
            </w:tcBorders>
          </w:tcPr>
          <w:p w14:paraId="7DA8449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B5D5B4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784AD8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1.006***</w:t>
            </w:r>
          </w:p>
        </w:tc>
        <w:tc>
          <w:tcPr>
            <w:tcW w:w="1584" w:type="dxa"/>
            <w:tcBorders>
              <w:top w:val="nil"/>
              <w:left w:val="nil"/>
              <w:bottom w:val="nil"/>
              <w:right w:val="nil"/>
            </w:tcBorders>
          </w:tcPr>
          <w:p w14:paraId="080301D9"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1.006***</w:t>
            </w:r>
          </w:p>
        </w:tc>
        <w:tc>
          <w:tcPr>
            <w:tcW w:w="1584" w:type="dxa"/>
            <w:tcBorders>
              <w:top w:val="nil"/>
              <w:left w:val="nil"/>
              <w:bottom w:val="nil"/>
              <w:right w:val="nil"/>
            </w:tcBorders>
          </w:tcPr>
          <w:p w14:paraId="766A8C7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1.005***</w:t>
            </w:r>
          </w:p>
        </w:tc>
      </w:tr>
      <w:tr w:rsidR="00C63F2C" w14:paraId="5C18A9DF" w14:textId="77777777" w:rsidTr="00C63F2C">
        <w:trPr>
          <w:jc w:val="center"/>
        </w:trPr>
        <w:tc>
          <w:tcPr>
            <w:tcW w:w="3531" w:type="dxa"/>
            <w:tcBorders>
              <w:top w:val="nil"/>
              <w:left w:val="nil"/>
              <w:bottom w:val="nil"/>
              <w:right w:val="nil"/>
            </w:tcBorders>
          </w:tcPr>
          <w:p w14:paraId="1C3B4BCE"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29D7E64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AAA9786"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D83C61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23528AF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30A8F05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704AED32" w14:textId="77777777" w:rsidTr="00C63F2C">
        <w:trPr>
          <w:jc w:val="center"/>
        </w:trPr>
        <w:tc>
          <w:tcPr>
            <w:tcW w:w="3531" w:type="dxa"/>
            <w:tcBorders>
              <w:top w:val="nil"/>
              <w:left w:val="nil"/>
              <w:bottom w:val="nil"/>
              <w:right w:val="nil"/>
            </w:tcBorders>
          </w:tcPr>
          <w:p w14:paraId="3939A44F" w14:textId="77777777" w:rsidR="00C63F2C" w:rsidRDefault="00C63F2C" w:rsidP="006E410C">
            <w:pPr>
              <w:widowControl w:val="0"/>
              <w:autoSpaceDE w:val="0"/>
              <w:autoSpaceDN w:val="0"/>
              <w:adjustRightInd w:val="0"/>
              <w:rPr>
                <w:rFonts w:cs="Times New Roman"/>
                <w:lang w:val="en-GB"/>
              </w:rPr>
            </w:pPr>
            <w:r>
              <w:rPr>
                <w:rFonts w:cs="Times New Roman"/>
                <w:lang w:val="en-GB"/>
              </w:rPr>
              <w:t>median_income_1k</w:t>
            </w:r>
          </w:p>
        </w:tc>
        <w:tc>
          <w:tcPr>
            <w:tcW w:w="1584" w:type="dxa"/>
            <w:tcBorders>
              <w:top w:val="nil"/>
              <w:left w:val="nil"/>
              <w:bottom w:val="nil"/>
              <w:right w:val="nil"/>
            </w:tcBorders>
          </w:tcPr>
          <w:p w14:paraId="73612B6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1.001</w:t>
            </w:r>
          </w:p>
        </w:tc>
        <w:tc>
          <w:tcPr>
            <w:tcW w:w="1584" w:type="dxa"/>
            <w:tcBorders>
              <w:top w:val="nil"/>
              <w:left w:val="nil"/>
              <w:bottom w:val="nil"/>
              <w:right w:val="nil"/>
            </w:tcBorders>
          </w:tcPr>
          <w:p w14:paraId="71CC3F2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1.001</w:t>
            </w:r>
          </w:p>
        </w:tc>
        <w:tc>
          <w:tcPr>
            <w:tcW w:w="1584" w:type="dxa"/>
            <w:tcBorders>
              <w:top w:val="nil"/>
              <w:left w:val="nil"/>
              <w:bottom w:val="nil"/>
              <w:right w:val="nil"/>
            </w:tcBorders>
          </w:tcPr>
          <w:p w14:paraId="439EADE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1.002*</w:t>
            </w:r>
          </w:p>
        </w:tc>
        <w:tc>
          <w:tcPr>
            <w:tcW w:w="1584" w:type="dxa"/>
            <w:tcBorders>
              <w:top w:val="nil"/>
              <w:left w:val="nil"/>
              <w:bottom w:val="nil"/>
              <w:right w:val="nil"/>
            </w:tcBorders>
          </w:tcPr>
          <w:p w14:paraId="39834E5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1.002*</w:t>
            </w:r>
          </w:p>
        </w:tc>
        <w:tc>
          <w:tcPr>
            <w:tcW w:w="1584" w:type="dxa"/>
            <w:tcBorders>
              <w:top w:val="nil"/>
              <w:left w:val="nil"/>
              <w:bottom w:val="nil"/>
              <w:right w:val="nil"/>
            </w:tcBorders>
          </w:tcPr>
          <w:p w14:paraId="7D603E8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1.001</w:t>
            </w:r>
          </w:p>
        </w:tc>
      </w:tr>
      <w:tr w:rsidR="00C63F2C" w14:paraId="237ADF54" w14:textId="77777777" w:rsidTr="00C63F2C">
        <w:trPr>
          <w:jc w:val="center"/>
        </w:trPr>
        <w:tc>
          <w:tcPr>
            <w:tcW w:w="3531" w:type="dxa"/>
            <w:tcBorders>
              <w:top w:val="nil"/>
              <w:left w:val="nil"/>
              <w:bottom w:val="nil"/>
              <w:right w:val="nil"/>
            </w:tcBorders>
          </w:tcPr>
          <w:p w14:paraId="057A8DA1"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499813B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6A38E5C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23D34FF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7CAFA6A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7999FC8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0BE1A94B" w14:textId="77777777" w:rsidTr="00C63F2C">
        <w:trPr>
          <w:jc w:val="center"/>
        </w:trPr>
        <w:tc>
          <w:tcPr>
            <w:tcW w:w="3531" w:type="dxa"/>
            <w:tcBorders>
              <w:top w:val="nil"/>
              <w:left w:val="nil"/>
              <w:bottom w:val="nil"/>
              <w:right w:val="nil"/>
            </w:tcBorders>
          </w:tcPr>
          <w:p w14:paraId="3BD66A37"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black_pct</w:t>
            </w:r>
            <w:proofErr w:type="spellEnd"/>
          </w:p>
        </w:tc>
        <w:tc>
          <w:tcPr>
            <w:tcW w:w="1584" w:type="dxa"/>
            <w:tcBorders>
              <w:top w:val="nil"/>
              <w:left w:val="nil"/>
              <w:bottom w:val="nil"/>
              <w:right w:val="nil"/>
            </w:tcBorders>
          </w:tcPr>
          <w:p w14:paraId="2BB58B82"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EB5D7A9"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11F5BA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0.970</w:t>
            </w:r>
          </w:p>
        </w:tc>
        <w:tc>
          <w:tcPr>
            <w:tcW w:w="1584" w:type="dxa"/>
            <w:tcBorders>
              <w:top w:val="nil"/>
              <w:left w:val="nil"/>
              <w:bottom w:val="nil"/>
              <w:right w:val="nil"/>
            </w:tcBorders>
          </w:tcPr>
          <w:p w14:paraId="3B0B75F9"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0.983</w:t>
            </w:r>
          </w:p>
        </w:tc>
        <w:tc>
          <w:tcPr>
            <w:tcW w:w="1584" w:type="dxa"/>
            <w:tcBorders>
              <w:top w:val="nil"/>
              <w:left w:val="nil"/>
              <w:bottom w:val="nil"/>
              <w:right w:val="nil"/>
            </w:tcBorders>
          </w:tcPr>
          <w:p w14:paraId="41B9B1AA" w14:textId="77777777" w:rsidR="00C63F2C" w:rsidRDefault="00C63F2C" w:rsidP="006E410C">
            <w:pPr>
              <w:widowControl w:val="0"/>
              <w:autoSpaceDE w:val="0"/>
              <w:autoSpaceDN w:val="0"/>
              <w:adjustRightInd w:val="0"/>
              <w:jc w:val="center"/>
              <w:rPr>
                <w:rFonts w:cs="Times New Roman"/>
                <w:lang w:val="en-GB"/>
              </w:rPr>
            </w:pPr>
          </w:p>
        </w:tc>
      </w:tr>
      <w:tr w:rsidR="00C63F2C" w14:paraId="4B3CC368" w14:textId="77777777" w:rsidTr="00C63F2C">
        <w:trPr>
          <w:jc w:val="center"/>
        </w:trPr>
        <w:tc>
          <w:tcPr>
            <w:tcW w:w="3531" w:type="dxa"/>
            <w:tcBorders>
              <w:top w:val="nil"/>
              <w:left w:val="nil"/>
              <w:bottom w:val="nil"/>
              <w:right w:val="nil"/>
            </w:tcBorders>
          </w:tcPr>
          <w:p w14:paraId="6B285040"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049B9553"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FBC3E2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3AA714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(0.293)</w:t>
            </w:r>
          </w:p>
        </w:tc>
        <w:tc>
          <w:tcPr>
            <w:tcW w:w="1584" w:type="dxa"/>
            <w:tcBorders>
              <w:top w:val="nil"/>
              <w:left w:val="nil"/>
              <w:bottom w:val="nil"/>
              <w:right w:val="nil"/>
            </w:tcBorders>
          </w:tcPr>
          <w:p w14:paraId="4CC8B9B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(0.297)</w:t>
            </w:r>
          </w:p>
        </w:tc>
        <w:tc>
          <w:tcPr>
            <w:tcW w:w="1584" w:type="dxa"/>
            <w:tcBorders>
              <w:top w:val="nil"/>
              <w:left w:val="nil"/>
              <w:bottom w:val="nil"/>
              <w:right w:val="nil"/>
            </w:tcBorders>
          </w:tcPr>
          <w:p w14:paraId="4B88694E" w14:textId="77777777" w:rsidR="00C63F2C" w:rsidRDefault="00C63F2C" w:rsidP="006E410C">
            <w:pPr>
              <w:widowControl w:val="0"/>
              <w:autoSpaceDE w:val="0"/>
              <w:autoSpaceDN w:val="0"/>
              <w:adjustRightInd w:val="0"/>
              <w:jc w:val="center"/>
              <w:rPr>
                <w:rFonts w:cs="Times New Roman"/>
                <w:lang w:val="en-GB"/>
              </w:rPr>
            </w:pPr>
          </w:p>
        </w:tc>
      </w:tr>
      <w:tr w:rsidR="00C63F2C" w14:paraId="3CA2A7B4" w14:textId="77777777" w:rsidTr="00C63F2C">
        <w:trPr>
          <w:jc w:val="center"/>
        </w:trPr>
        <w:tc>
          <w:tcPr>
            <w:tcW w:w="3531" w:type="dxa"/>
            <w:tcBorders>
              <w:top w:val="nil"/>
              <w:left w:val="nil"/>
              <w:bottom w:val="nil"/>
              <w:right w:val="nil"/>
            </w:tcBorders>
          </w:tcPr>
          <w:p w14:paraId="75214019"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asian_pct</w:t>
            </w:r>
            <w:proofErr w:type="spellEnd"/>
          </w:p>
        </w:tc>
        <w:tc>
          <w:tcPr>
            <w:tcW w:w="1584" w:type="dxa"/>
            <w:tcBorders>
              <w:top w:val="nil"/>
              <w:left w:val="nil"/>
              <w:bottom w:val="nil"/>
              <w:right w:val="nil"/>
            </w:tcBorders>
          </w:tcPr>
          <w:p w14:paraId="17A4FEB0"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FCB664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92072F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0.331**</w:t>
            </w:r>
          </w:p>
        </w:tc>
        <w:tc>
          <w:tcPr>
            <w:tcW w:w="1584" w:type="dxa"/>
            <w:tcBorders>
              <w:top w:val="nil"/>
              <w:left w:val="nil"/>
              <w:bottom w:val="nil"/>
              <w:right w:val="nil"/>
            </w:tcBorders>
          </w:tcPr>
          <w:p w14:paraId="5CE6284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0.340**</w:t>
            </w:r>
          </w:p>
        </w:tc>
        <w:tc>
          <w:tcPr>
            <w:tcW w:w="1584" w:type="dxa"/>
            <w:tcBorders>
              <w:top w:val="nil"/>
              <w:left w:val="nil"/>
              <w:bottom w:val="nil"/>
              <w:right w:val="nil"/>
            </w:tcBorders>
          </w:tcPr>
          <w:p w14:paraId="04A4AD8D" w14:textId="77777777" w:rsidR="00C63F2C" w:rsidRDefault="00C63F2C" w:rsidP="006E410C">
            <w:pPr>
              <w:widowControl w:val="0"/>
              <w:autoSpaceDE w:val="0"/>
              <w:autoSpaceDN w:val="0"/>
              <w:adjustRightInd w:val="0"/>
              <w:jc w:val="center"/>
              <w:rPr>
                <w:rFonts w:cs="Times New Roman"/>
                <w:lang w:val="en-GB"/>
              </w:rPr>
            </w:pPr>
          </w:p>
        </w:tc>
      </w:tr>
      <w:tr w:rsidR="00C63F2C" w14:paraId="167CA03E" w14:textId="77777777" w:rsidTr="00C63F2C">
        <w:trPr>
          <w:jc w:val="center"/>
        </w:trPr>
        <w:tc>
          <w:tcPr>
            <w:tcW w:w="3531" w:type="dxa"/>
            <w:tcBorders>
              <w:top w:val="nil"/>
              <w:left w:val="nil"/>
              <w:bottom w:val="nil"/>
              <w:right w:val="nil"/>
            </w:tcBorders>
          </w:tcPr>
          <w:p w14:paraId="4708880C"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2D57FE2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3BE67E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AA3D55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(0.157)</w:t>
            </w:r>
          </w:p>
        </w:tc>
        <w:tc>
          <w:tcPr>
            <w:tcW w:w="1584" w:type="dxa"/>
            <w:tcBorders>
              <w:top w:val="nil"/>
              <w:left w:val="nil"/>
              <w:bottom w:val="nil"/>
              <w:right w:val="nil"/>
            </w:tcBorders>
          </w:tcPr>
          <w:p w14:paraId="5A3B4F3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(0.161)</w:t>
            </w:r>
          </w:p>
        </w:tc>
        <w:tc>
          <w:tcPr>
            <w:tcW w:w="1584" w:type="dxa"/>
            <w:tcBorders>
              <w:top w:val="nil"/>
              <w:left w:val="nil"/>
              <w:bottom w:val="nil"/>
              <w:right w:val="nil"/>
            </w:tcBorders>
          </w:tcPr>
          <w:p w14:paraId="305A625F" w14:textId="77777777" w:rsidR="00C63F2C" w:rsidRDefault="00C63F2C" w:rsidP="006E410C">
            <w:pPr>
              <w:widowControl w:val="0"/>
              <w:autoSpaceDE w:val="0"/>
              <w:autoSpaceDN w:val="0"/>
              <w:adjustRightInd w:val="0"/>
              <w:jc w:val="center"/>
              <w:rPr>
                <w:rFonts w:cs="Times New Roman"/>
                <w:lang w:val="en-GB"/>
              </w:rPr>
            </w:pPr>
          </w:p>
        </w:tc>
      </w:tr>
      <w:tr w:rsidR="00C63F2C" w14:paraId="396C3052" w14:textId="77777777" w:rsidTr="00C63F2C">
        <w:trPr>
          <w:jc w:val="center"/>
        </w:trPr>
        <w:tc>
          <w:tcPr>
            <w:tcW w:w="3531" w:type="dxa"/>
            <w:tcBorders>
              <w:top w:val="nil"/>
              <w:left w:val="nil"/>
              <w:bottom w:val="nil"/>
              <w:right w:val="nil"/>
            </w:tcBorders>
          </w:tcPr>
          <w:p w14:paraId="461C3A2C"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pct_medicaid</w:t>
            </w:r>
            <w:proofErr w:type="spellEnd"/>
          </w:p>
        </w:tc>
        <w:tc>
          <w:tcPr>
            <w:tcW w:w="1584" w:type="dxa"/>
            <w:tcBorders>
              <w:top w:val="nil"/>
              <w:left w:val="nil"/>
              <w:bottom w:val="nil"/>
              <w:right w:val="nil"/>
            </w:tcBorders>
          </w:tcPr>
          <w:p w14:paraId="43F0870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D79A1C2"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E3F9DD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1.010***</w:t>
            </w:r>
          </w:p>
        </w:tc>
        <w:tc>
          <w:tcPr>
            <w:tcW w:w="1584" w:type="dxa"/>
            <w:tcBorders>
              <w:top w:val="nil"/>
              <w:left w:val="nil"/>
              <w:bottom w:val="nil"/>
              <w:right w:val="nil"/>
            </w:tcBorders>
          </w:tcPr>
          <w:p w14:paraId="29971F7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1.010***</w:t>
            </w:r>
          </w:p>
        </w:tc>
        <w:tc>
          <w:tcPr>
            <w:tcW w:w="1584" w:type="dxa"/>
            <w:tcBorders>
              <w:top w:val="nil"/>
              <w:left w:val="nil"/>
              <w:bottom w:val="nil"/>
              <w:right w:val="nil"/>
            </w:tcBorders>
          </w:tcPr>
          <w:p w14:paraId="259DFFD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1.006***</w:t>
            </w:r>
          </w:p>
        </w:tc>
      </w:tr>
      <w:tr w:rsidR="00C63F2C" w14:paraId="5C50195D" w14:textId="77777777" w:rsidTr="00C63F2C">
        <w:trPr>
          <w:jc w:val="center"/>
        </w:trPr>
        <w:tc>
          <w:tcPr>
            <w:tcW w:w="3531" w:type="dxa"/>
            <w:tcBorders>
              <w:top w:val="nil"/>
              <w:left w:val="nil"/>
              <w:bottom w:val="nil"/>
              <w:right w:val="nil"/>
            </w:tcBorders>
          </w:tcPr>
          <w:p w14:paraId="06869E7F"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757B2668"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07D4D6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2105326"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375298A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76B6C27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167A5E47" w14:textId="77777777" w:rsidTr="00C63F2C">
        <w:trPr>
          <w:jc w:val="center"/>
        </w:trPr>
        <w:tc>
          <w:tcPr>
            <w:tcW w:w="3531" w:type="dxa"/>
            <w:tcBorders>
              <w:top w:val="nil"/>
              <w:left w:val="nil"/>
              <w:bottom w:val="nil"/>
              <w:right w:val="nil"/>
            </w:tcBorders>
          </w:tcPr>
          <w:p w14:paraId="07E9EA77"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pct_uninsured</w:t>
            </w:r>
            <w:proofErr w:type="spellEnd"/>
          </w:p>
        </w:tc>
        <w:tc>
          <w:tcPr>
            <w:tcW w:w="1584" w:type="dxa"/>
            <w:tcBorders>
              <w:top w:val="nil"/>
              <w:left w:val="nil"/>
              <w:bottom w:val="nil"/>
              <w:right w:val="nil"/>
            </w:tcBorders>
          </w:tcPr>
          <w:p w14:paraId="33D49D5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EA5D338"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AA514C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1.009***</w:t>
            </w:r>
          </w:p>
        </w:tc>
        <w:tc>
          <w:tcPr>
            <w:tcW w:w="1584" w:type="dxa"/>
            <w:tcBorders>
              <w:top w:val="nil"/>
              <w:left w:val="nil"/>
              <w:bottom w:val="nil"/>
              <w:right w:val="nil"/>
            </w:tcBorders>
          </w:tcPr>
          <w:p w14:paraId="6A1A5B9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1.009***</w:t>
            </w:r>
          </w:p>
        </w:tc>
        <w:tc>
          <w:tcPr>
            <w:tcW w:w="1584" w:type="dxa"/>
            <w:tcBorders>
              <w:top w:val="nil"/>
              <w:left w:val="nil"/>
              <w:bottom w:val="nil"/>
              <w:right w:val="nil"/>
            </w:tcBorders>
          </w:tcPr>
          <w:p w14:paraId="1039DA5A"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1.005*</w:t>
            </w:r>
          </w:p>
        </w:tc>
      </w:tr>
      <w:tr w:rsidR="00C63F2C" w14:paraId="5FB78662" w14:textId="77777777" w:rsidTr="00C63F2C">
        <w:trPr>
          <w:jc w:val="center"/>
        </w:trPr>
        <w:tc>
          <w:tcPr>
            <w:tcW w:w="3531" w:type="dxa"/>
            <w:tcBorders>
              <w:top w:val="nil"/>
              <w:left w:val="nil"/>
              <w:bottom w:val="nil"/>
              <w:right w:val="nil"/>
            </w:tcBorders>
          </w:tcPr>
          <w:p w14:paraId="6F7F8A61"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0AEC9B1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2073BF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A95494D"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2C29FA7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617BA6B6"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r>
      <w:tr w:rsidR="00C63F2C" w14:paraId="1C610270" w14:textId="77777777" w:rsidTr="00C63F2C">
        <w:trPr>
          <w:jc w:val="center"/>
        </w:trPr>
        <w:tc>
          <w:tcPr>
            <w:tcW w:w="3531" w:type="dxa"/>
            <w:tcBorders>
              <w:top w:val="nil"/>
              <w:left w:val="nil"/>
              <w:bottom w:val="nil"/>
              <w:right w:val="nil"/>
            </w:tcBorders>
          </w:tcPr>
          <w:p w14:paraId="1EAB3785" w14:textId="3654074F" w:rsidR="00C63F2C" w:rsidRDefault="00C63F2C" w:rsidP="006E410C">
            <w:pPr>
              <w:widowControl w:val="0"/>
              <w:autoSpaceDE w:val="0"/>
              <w:autoSpaceDN w:val="0"/>
              <w:adjustRightInd w:val="0"/>
              <w:rPr>
                <w:rFonts w:cs="Times New Roman"/>
                <w:lang w:val="en-GB"/>
              </w:rPr>
            </w:pPr>
            <w:r>
              <w:rPr>
                <w:rFonts w:cs="Times New Roman"/>
                <w:lang w:val="en-GB"/>
              </w:rPr>
              <w:t>psych_</w:t>
            </w:r>
            <w:r w:rsidR="00402A77">
              <w:rPr>
                <w:rFonts w:cs="Times New Roman"/>
                <w:lang w:val="en-GB"/>
              </w:rPr>
              <w:t>100k</w:t>
            </w:r>
          </w:p>
        </w:tc>
        <w:tc>
          <w:tcPr>
            <w:tcW w:w="1584" w:type="dxa"/>
            <w:tcBorders>
              <w:top w:val="nil"/>
              <w:left w:val="nil"/>
              <w:bottom w:val="nil"/>
              <w:right w:val="nil"/>
            </w:tcBorders>
          </w:tcPr>
          <w:p w14:paraId="297D9B98"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2C6EB7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444E90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1.025***</w:t>
            </w:r>
          </w:p>
        </w:tc>
        <w:tc>
          <w:tcPr>
            <w:tcW w:w="1584" w:type="dxa"/>
            <w:tcBorders>
              <w:top w:val="nil"/>
              <w:left w:val="nil"/>
              <w:bottom w:val="nil"/>
              <w:right w:val="nil"/>
            </w:tcBorders>
          </w:tcPr>
          <w:p w14:paraId="52ABE05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1.025***</w:t>
            </w:r>
          </w:p>
        </w:tc>
        <w:tc>
          <w:tcPr>
            <w:tcW w:w="1584" w:type="dxa"/>
            <w:tcBorders>
              <w:top w:val="nil"/>
              <w:left w:val="nil"/>
              <w:bottom w:val="nil"/>
              <w:right w:val="nil"/>
            </w:tcBorders>
          </w:tcPr>
          <w:p w14:paraId="26C9878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1.028***</w:t>
            </w:r>
          </w:p>
        </w:tc>
      </w:tr>
      <w:tr w:rsidR="00C63F2C" w14:paraId="0EAE122B" w14:textId="77777777" w:rsidTr="00C63F2C">
        <w:trPr>
          <w:jc w:val="center"/>
        </w:trPr>
        <w:tc>
          <w:tcPr>
            <w:tcW w:w="3531" w:type="dxa"/>
            <w:tcBorders>
              <w:top w:val="nil"/>
              <w:left w:val="nil"/>
              <w:bottom w:val="nil"/>
              <w:right w:val="nil"/>
            </w:tcBorders>
          </w:tcPr>
          <w:p w14:paraId="50A74599"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3C25E04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41A4B54"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FC8A43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5F4FBB0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10C5C89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(0.005)</w:t>
            </w:r>
          </w:p>
        </w:tc>
      </w:tr>
      <w:tr w:rsidR="00C63F2C" w14:paraId="7096F2B5" w14:textId="77777777" w:rsidTr="00C63F2C">
        <w:trPr>
          <w:jc w:val="center"/>
        </w:trPr>
        <w:tc>
          <w:tcPr>
            <w:tcW w:w="3531" w:type="dxa"/>
            <w:tcBorders>
              <w:top w:val="nil"/>
              <w:left w:val="nil"/>
              <w:bottom w:val="nil"/>
              <w:right w:val="nil"/>
            </w:tcBorders>
          </w:tcPr>
          <w:p w14:paraId="46FBBB03" w14:textId="77777777" w:rsidR="00C63F2C" w:rsidRDefault="00C63F2C" w:rsidP="006E410C">
            <w:pPr>
              <w:widowControl w:val="0"/>
              <w:autoSpaceDE w:val="0"/>
              <w:autoSpaceDN w:val="0"/>
              <w:adjustRightInd w:val="0"/>
              <w:rPr>
                <w:rFonts w:cs="Times New Roman"/>
                <w:lang w:val="en-GB"/>
              </w:rPr>
            </w:pPr>
            <w:r>
              <w:rPr>
                <w:rFonts w:cs="Times New Roman"/>
                <w:lang w:val="en-GB"/>
              </w:rPr>
              <w:t>extreme_precip_days_p90</w:t>
            </w:r>
          </w:p>
        </w:tc>
        <w:tc>
          <w:tcPr>
            <w:tcW w:w="1584" w:type="dxa"/>
            <w:tcBorders>
              <w:top w:val="nil"/>
              <w:left w:val="nil"/>
              <w:bottom w:val="nil"/>
              <w:right w:val="nil"/>
            </w:tcBorders>
          </w:tcPr>
          <w:p w14:paraId="42422F3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019411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1.002</w:t>
            </w:r>
          </w:p>
        </w:tc>
        <w:tc>
          <w:tcPr>
            <w:tcW w:w="1584" w:type="dxa"/>
            <w:tcBorders>
              <w:top w:val="nil"/>
              <w:left w:val="nil"/>
              <w:bottom w:val="nil"/>
              <w:right w:val="nil"/>
            </w:tcBorders>
          </w:tcPr>
          <w:p w14:paraId="63E3FF54"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CC714C8"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C7506E9" w14:textId="77777777" w:rsidR="00C63F2C" w:rsidRDefault="00C63F2C" w:rsidP="006E410C">
            <w:pPr>
              <w:widowControl w:val="0"/>
              <w:autoSpaceDE w:val="0"/>
              <w:autoSpaceDN w:val="0"/>
              <w:adjustRightInd w:val="0"/>
              <w:jc w:val="center"/>
              <w:rPr>
                <w:rFonts w:cs="Times New Roman"/>
                <w:lang w:val="en-GB"/>
              </w:rPr>
            </w:pPr>
          </w:p>
        </w:tc>
      </w:tr>
      <w:tr w:rsidR="00C63F2C" w14:paraId="6EBB9F40" w14:textId="77777777" w:rsidTr="00C63F2C">
        <w:trPr>
          <w:jc w:val="center"/>
        </w:trPr>
        <w:tc>
          <w:tcPr>
            <w:tcW w:w="3531" w:type="dxa"/>
            <w:tcBorders>
              <w:top w:val="nil"/>
              <w:left w:val="nil"/>
              <w:bottom w:val="nil"/>
              <w:right w:val="nil"/>
            </w:tcBorders>
          </w:tcPr>
          <w:p w14:paraId="69E9F054"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4EB5B9F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CACA88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(0.002)</w:t>
            </w:r>
          </w:p>
        </w:tc>
        <w:tc>
          <w:tcPr>
            <w:tcW w:w="1584" w:type="dxa"/>
            <w:tcBorders>
              <w:top w:val="nil"/>
              <w:left w:val="nil"/>
              <w:bottom w:val="nil"/>
              <w:right w:val="nil"/>
            </w:tcBorders>
          </w:tcPr>
          <w:p w14:paraId="76C919E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BF49AB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1E08E31" w14:textId="77777777" w:rsidR="00C63F2C" w:rsidRDefault="00C63F2C" w:rsidP="006E410C">
            <w:pPr>
              <w:widowControl w:val="0"/>
              <w:autoSpaceDE w:val="0"/>
              <w:autoSpaceDN w:val="0"/>
              <w:adjustRightInd w:val="0"/>
              <w:jc w:val="center"/>
              <w:rPr>
                <w:rFonts w:cs="Times New Roman"/>
                <w:lang w:val="en-GB"/>
              </w:rPr>
            </w:pPr>
          </w:p>
        </w:tc>
      </w:tr>
      <w:tr w:rsidR="00C63F2C" w14:paraId="249EC11B" w14:textId="77777777" w:rsidTr="00C63F2C">
        <w:trPr>
          <w:jc w:val="center"/>
        </w:trPr>
        <w:tc>
          <w:tcPr>
            <w:tcW w:w="3531" w:type="dxa"/>
            <w:tcBorders>
              <w:top w:val="nil"/>
              <w:left w:val="nil"/>
              <w:bottom w:val="nil"/>
              <w:right w:val="nil"/>
            </w:tcBorders>
          </w:tcPr>
          <w:p w14:paraId="2ED955F5" w14:textId="77777777" w:rsidR="00C63F2C" w:rsidRDefault="00C63F2C" w:rsidP="006E410C">
            <w:pPr>
              <w:widowControl w:val="0"/>
              <w:autoSpaceDE w:val="0"/>
              <w:autoSpaceDN w:val="0"/>
              <w:adjustRightInd w:val="0"/>
              <w:rPr>
                <w:rFonts w:cs="Times New Roman"/>
                <w:lang w:val="en-GB"/>
              </w:rPr>
            </w:pPr>
            <w:r>
              <w:rPr>
                <w:rFonts w:cs="Times New Roman"/>
                <w:lang w:val="en-GB"/>
              </w:rPr>
              <w:t>extreme_cold_days_p90</w:t>
            </w:r>
          </w:p>
        </w:tc>
        <w:tc>
          <w:tcPr>
            <w:tcW w:w="1584" w:type="dxa"/>
            <w:tcBorders>
              <w:top w:val="nil"/>
              <w:left w:val="nil"/>
              <w:bottom w:val="nil"/>
              <w:right w:val="nil"/>
            </w:tcBorders>
          </w:tcPr>
          <w:p w14:paraId="62C36DA5"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E52446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0.998</w:t>
            </w:r>
          </w:p>
        </w:tc>
        <w:tc>
          <w:tcPr>
            <w:tcW w:w="1584" w:type="dxa"/>
            <w:tcBorders>
              <w:top w:val="nil"/>
              <w:left w:val="nil"/>
              <w:bottom w:val="nil"/>
              <w:right w:val="nil"/>
            </w:tcBorders>
          </w:tcPr>
          <w:p w14:paraId="35163D97"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145A98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885EB3F" w14:textId="77777777" w:rsidR="00C63F2C" w:rsidRDefault="00C63F2C" w:rsidP="006E410C">
            <w:pPr>
              <w:widowControl w:val="0"/>
              <w:autoSpaceDE w:val="0"/>
              <w:autoSpaceDN w:val="0"/>
              <w:adjustRightInd w:val="0"/>
              <w:jc w:val="center"/>
              <w:rPr>
                <w:rFonts w:cs="Times New Roman"/>
                <w:lang w:val="en-GB"/>
              </w:rPr>
            </w:pPr>
          </w:p>
        </w:tc>
      </w:tr>
      <w:tr w:rsidR="00C63F2C" w14:paraId="7A12F6E9" w14:textId="77777777" w:rsidTr="00C63F2C">
        <w:trPr>
          <w:jc w:val="center"/>
        </w:trPr>
        <w:tc>
          <w:tcPr>
            <w:tcW w:w="3531" w:type="dxa"/>
            <w:tcBorders>
              <w:top w:val="nil"/>
              <w:left w:val="nil"/>
              <w:bottom w:val="nil"/>
              <w:right w:val="nil"/>
            </w:tcBorders>
          </w:tcPr>
          <w:p w14:paraId="7962EDE4"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34D2FC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32F9B9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7470108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A37A2E7"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3713BE2" w14:textId="77777777" w:rsidR="00C63F2C" w:rsidRDefault="00C63F2C" w:rsidP="006E410C">
            <w:pPr>
              <w:widowControl w:val="0"/>
              <w:autoSpaceDE w:val="0"/>
              <w:autoSpaceDN w:val="0"/>
              <w:adjustRightInd w:val="0"/>
              <w:jc w:val="center"/>
              <w:rPr>
                <w:rFonts w:cs="Times New Roman"/>
                <w:lang w:val="en-GB"/>
              </w:rPr>
            </w:pPr>
          </w:p>
        </w:tc>
      </w:tr>
      <w:tr w:rsidR="00C63F2C" w14:paraId="2E2D0560" w14:textId="77777777" w:rsidTr="00C63F2C">
        <w:trPr>
          <w:jc w:val="center"/>
        </w:trPr>
        <w:tc>
          <w:tcPr>
            <w:tcW w:w="3531" w:type="dxa"/>
            <w:tcBorders>
              <w:top w:val="nil"/>
              <w:left w:val="nil"/>
              <w:bottom w:val="nil"/>
              <w:right w:val="nil"/>
            </w:tcBorders>
          </w:tcPr>
          <w:p w14:paraId="4497301F" w14:textId="77777777" w:rsidR="00C63F2C" w:rsidRDefault="00C63F2C" w:rsidP="006E410C">
            <w:pPr>
              <w:widowControl w:val="0"/>
              <w:autoSpaceDE w:val="0"/>
              <w:autoSpaceDN w:val="0"/>
              <w:adjustRightInd w:val="0"/>
              <w:rPr>
                <w:rFonts w:cs="Times New Roman"/>
                <w:lang w:val="en-GB"/>
              </w:rPr>
            </w:pPr>
            <w:r>
              <w:rPr>
                <w:rFonts w:cs="Times New Roman"/>
                <w:lang w:val="en-GB"/>
              </w:rPr>
              <w:t>unusual_heat_days_p75</w:t>
            </w:r>
          </w:p>
        </w:tc>
        <w:tc>
          <w:tcPr>
            <w:tcW w:w="1584" w:type="dxa"/>
            <w:tcBorders>
              <w:top w:val="nil"/>
              <w:left w:val="nil"/>
              <w:bottom w:val="nil"/>
              <w:right w:val="nil"/>
            </w:tcBorders>
          </w:tcPr>
          <w:p w14:paraId="771DE94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18A5434"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2CD36D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5BCC74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1.001</w:t>
            </w:r>
          </w:p>
        </w:tc>
        <w:tc>
          <w:tcPr>
            <w:tcW w:w="1584" w:type="dxa"/>
            <w:tcBorders>
              <w:top w:val="nil"/>
              <w:left w:val="nil"/>
              <w:bottom w:val="nil"/>
              <w:right w:val="nil"/>
            </w:tcBorders>
          </w:tcPr>
          <w:p w14:paraId="46365A25" w14:textId="77777777" w:rsidR="00C63F2C" w:rsidRDefault="00C63F2C" w:rsidP="006E410C">
            <w:pPr>
              <w:widowControl w:val="0"/>
              <w:autoSpaceDE w:val="0"/>
              <w:autoSpaceDN w:val="0"/>
              <w:adjustRightInd w:val="0"/>
              <w:jc w:val="center"/>
              <w:rPr>
                <w:rFonts w:cs="Times New Roman"/>
                <w:lang w:val="en-GB"/>
              </w:rPr>
            </w:pPr>
          </w:p>
        </w:tc>
      </w:tr>
      <w:tr w:rsidR="00C63F2C" w14:paraId="262FDDB1" w14:textId="77777777" w:rsidTr="00C63F2C">
        <w:trPr>
          <w:jc w:val="center"/>
        </w:trPr>
        <w:tc>
          <w:tcPr>
            <w:tcW w:w="3531" w:type="dxa"/>
            <w:tcBorders>
              <w:top w:val="nil"/>
              <w:left w:val="nil"/>
              <w:bottom w:val="nil"/>
              <w:right w:val="nil"/>
            </w:tcBorders>
          </w:tcPr>
          <w:p w14:paraId="1033F5BD"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3467208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3580F8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459374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DAAEC06"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612D695C" w14:textId="77777777" w:rsidR="00C63F2C" w:rsidRDefault="00C63F2C" w:rsidP="006E410C">
            <w:pPr>
              <w:widowControl w:val="0"/>
              <w:autoSpaceDE w:val="0"/>
              <w:autoSpaceDN w:val="0"/>
              <w:adjustRightInd w:val="0"/>
              <w:jc w:val="center"/>
              <w:rPr>
                <w:rFonts w:cs="Times New Roman"/>
                <w:lang w:val="en-GB"/>
              </w:rPr>
            </w:pPr>
          </w:p>
        </w:tc>
      </w:tr>
      <w:tr w:rsidR="00C63F2C" w14:paraId="72AB77E8" w14:textId="77777777" w:rsidTr="00C63F2C">
        <w:trPr>
          <w:jc w:val="center"/>
        </w:trPr>
        <w:tc>
          <w:tcPr>
            <w:tcW w:w="3531" w:type="dxa"/>
            <w:tcBorders>
              <w:top w:val="nil"/>
              <w:left w:val="nil"/>
              <w:bottom w:val="nil"/>
              <w:right w:val="nil"/>
            </w:tcBorders>
          </w:tcPr>
          <w:p w14:paraId="15589F07" w14:textId="77777777" w:rsidR="00C63F2C" w:rsidRDefault="00C63F2C" w:rsidP="006E410C">
            <w:pPr>
              <w:widowControl w:val="0"/>
              <w:autoSpaceDE w:val="0"/>
              <w:autoSpaceDN w:val="0"/>
              <w:adjustRightInd w:val="0"/>
              <w:rPr>
                <w:rFonts w:cs="Times New Roman"/>
                <w:lang w:val="en-GB"/>
              </w:rPr>
            </w:pPr>
            <w:r>
              <w:rPr>
                <w:rFonts w:cs="Times New Roman"/>
                <w:lang w:val="en-GB"/>
              </w:rPr>
              <w:t>extreme_heat_days_p95</w:t>
            </w:r>
          </w:p>
        </w:tc>
        <w:tc>
          <w:tcPr>
            <w:tcW w:w="1584" w:type="dxa"/>
            <w:tcBorders>
              <w:top w:val="nil"/>
              <w:left w:val="nil"/>
              <w:bottom w:val="nil"/>
              <w:right w:val="nil"/>
            </w:tcBorders>
          </w:tcPr>
          <w:p w14:paraId="03D98D37"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C0B16E6"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07A5DE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1724E46"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931B2F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1.003***</w:t>
            </w:r>
          </w:p>
        </w:tc>
      </w:tr>
      <w:tr w:rsidR="00C63F2C" w14:paraId="4AB8DA40" w14:textId="77777777" w:rsidTr="00C63F2C">
        <w:trPr>
          <w:jc w:val="center"/>
        </w:trPr>
        <w:tc>
          <w:tcPr>
            <w:tcW w:w="3531" w:type="dxa"/>
            <w:tcBorders>
              <w:top w:val="nil"/>
              <w:left w:val="nil"/>
              <w:bottom w:val="nil"/>
              <w:right w:val="nil"/>
            </w:tcBorders>
          </w:tcPr>
          <w:p w14:paraId="3723F8BE"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7A0A556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97C56F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22050A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CC3600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E46BC7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7D0BE173" w14:textId="77777777" w:rsidTr="00C63F2C">
        <w:trPr>
          <w:jc w:val="center"/>
        </w:trPr>
        <w:tc>
          <w:tcPr>
            <w:tcW w:w="3531" w:type="dxa"/>
            <w:tcBorders>
              <w:top w:val="nil"/>
              <w:left w:val="nil"/>
              <w:bottom w:val="nil"/>
              <w:right w:val="nil"/>
            </w:tcBorders>
          </w:tcPr>
          <w:p w14:paraId="3099ABDB"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pct_psychoses</w:t>
            </w:r>
            <w:proofErr w:type="spellEnd"/>
          </w:p>
        </w:tc>
        <w:tc>
          <w:tcPr>
            <w:tcW w:w="1584" w:type="dxa"/>
            <w:tcBorders>
              <w:top w:val="nil"/>
              <w:left w:val="nil"/>
              <w:bottom w:val="nil"/>
              <w:right w:val="nil"/>
            </w:tcBorders>
          </w:tcPr>
          <w:p w14:paraId="1262CBE6"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334FA23"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26D0AC6"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C4323B9"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6BE4938"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1.027***</w:t>
            </w:r>
          </w:p>
        </w:tc>
      </w:tr>
      <w:tr w:rsidR="00C63F2C" w14:paraId="13DA9942" w14:textId="77777777" w:rsidTr="00C63F2C">
        <w:trPr>
          <w:jc w:val="center"/>
        </w:trPr>
        <w:tc>
          <w:tcPr>
            <w:tcW w:w="3531" w:type="dxa"/>
            <w:tcBorders>
              <w:top w:val="nil"/>
              <w:left w:val="nil"/>
              <w:bottom w:val="nil"/>
              <w:right w:val="nil"/>
            </w:tcBorders>
          </w:tcPr>
          <w:p w14:paraId="4BD4FF93"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455D7B8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E599F33"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F3D2C3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8D6E94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7C0A08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(0.002)</w:t>
            </w:r>
          </w:p>
        </w:tc>
      </w:tr>
      <w:tr w:rsidR="00C63F2C" w14:paraId="485B98DD" w14:textId="77777777" w:rsidTr="00C63F2C">
        <w:trPr>
          <w:jc w:val="center"/>
        </w:trPr>
        <w:tc>
          <w:tcPr>
            <w:tcW w:w="3531" w:type="dxa"/>
            <w:tcBorders>
              <w:top w:val="nil"/>
              <w:left w:val="nil"/>
              <w:bottom w:val="nil"/>
              <w:right w:val="nil"/>
            </w:tcBorders>
          </w:tcPr>
          <w:p w14:paraId="44364062"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pct_alcohol</w:t>
            </w:r>
            <w:proofErr w:type="spellEnd"/>
          </w:p>
        </w:tc>
        <w:tc>
          <w:tcPr>
            <w:tcW w:w="1584" w:type="dxa"/>
            <w:tcBorders>
              <w:top w:val="nil"/>
              <w:left w:val="nil"/>
              <w:bottom w:val="nil"/>
              <w:right w:val="nil"/>
            </w:tcBorders>
          </w:tcPr>
          <w:p w14:paraId="7050CD69"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6E51ED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EDE0FE0"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813ED6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F883B67"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1.036***</w:t>
            </w:r>
          </w:p>
        </w:tc>
      </w:tr>
      <w:tr w:rsidR="00C63F2C" w14:paraId="6FAAA209" w14:textId="77777777" w:rsidTr="00C63F2C">
        <w:trPr>
          <w:jc w:val="center"/>
        </w:trPr>
        <w:tc>
          <w:tcPr>
            <w:tcW w:w="3531" w:type="dxa"/>
            <w:tcBorders>
              <w:top w:val="nil"/>
              <w:left w:val="nil"/>
              <w:bottom w:val="nil"/>
              <w:right w:val="nil"/>
            </w:tcBorders>
          </w:tcPr>
          <w:p w14:paraId="7D0423D5"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22DFA282"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86A1FE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A57CAF9"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512804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1D125FA"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(0.003)</w:t>
            </w:r>
          </w:p>
        </w:tc>
      </w:tr>
      <w:tr w:rsidR="00C63F2C" w14:paraId="57718AB4" w14:textId="77777777" w:rsidTr="00C63F2C">
        <w:trPr>
          <w:jc w:val="center"/>
        </w:trPr>
        <w:tc>
          <w:tcPr>
            <w:tcW w:w="3531" w:type="dxa"/>
            <w:tcBorders>
              <w:top w:val="nil"/>
              <w:left w:val="nil"/>
              <w:bottom w:val="nil"/>
              <w:right w:val="nil"/>
            </w:tcBorders>
          </w:tcPr>
          <w:p w14:paraId="001738A5"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pct_diabetes_cx</w:t>
            </w:r>
            <w:proofErr w:type="spellEnd"/>
          </w:p>
        </w:tc>
        <w:tc>
          <w:tcPr>
            <w:tcW w:w="1584" w:type="dxa"/>
            <w:tcBorders>
              <w:top w:val="nil"/>
              <w:left w:val="nil"/>
              <w:bottom w:val="nil"/>
              <w:right w:val="nil"/>
            </w:tcBorders>
          </w:tcPr>
          <w:p w14:paraId="15E4D1B5"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64DD657"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324709B"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800F05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712632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0.996***</w:t>
            </w:r>
          </w:p>
        </w:tc>
      </w:tr>
      <w:tr w:rsidR="00C63F2C" w14:paraId="6287A564" w14:textId="77777777" w:rsidTr="00C63F2C">
        <w:trPr>
          <w:jc w:val="center"/>
        </w:trPr>
        <w:tc>
          <w:tcPr>
            <w:tcW w:w="3531" w:type="dxa"/>
            <w:tcBorders>
              <w:top w:val="nil"/>
              <w:left w:val="nil"/>
              <w:bottom w:val="nil"/>
              <w:right w:val="nil"/>
            </w:tcBorders>
          </w:tcPr>
          <w:p w14:paraId="39E3118E"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57253938"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A1101D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9818A67"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9A74259"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0A91B4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5118C854" w14:textId="77777777" w:rsidTr="00C63F2C">
        <w:trPr>
          <w:jc w:val="center"/>
        </w:trPr>
        <w:tc>
          <w:tcPr>
            <w:tcW w:w="3531" w:type="dxa"/>
            <w:tcBorders>
              <w:top w:val="nil"/>
              <w:left w:val="nil"/>
              <w:bottom w:val="nil"/>
              <w:right w:val="nil"/>
            </w:tcBorders>
          </w:tcPr>
          <w:p w14:paraId="08E0D52F"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lastRenderedPageBreak/>
              <w:t>pct_hypertension_cx</w:t>
            </w:r>
            <w:proofErr w:type="spellEnd"/>
          </w:p>
        </w:tc>
        <w:tc>
          <w:tcPr>
            <w:tcW w:w="1584" w:type="dxa"/>
            <w:tcBorders>
              <w:top w:val="nil"/>
              <w:left w:val="nil"/>
              <w:bottom w:val="nil"/>
              <w:right w:val="nil"/>
            </w:tcBorders>
          </w:tcPr>
          <w:p w14:paraId="345F161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EE00631"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35A4D5C"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A5687C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4A4CB5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0.997**</w:t>
            </w:r>
          </w:p>
        </w:tc>
      </w:tr>
      <w:tr w:rsidR="00C63F2C" w14:paraId="5DEF3B79" w14:textId="77777777" w:rsidTr="00C63F2C">
        <w:trPr>
          <w:jc w:val="center"/>
        </w:trPr>
        <w:tc>
          <w:tcPr>
            <w:tcW w:w="3531" w:type="dxa"/>
            <w:tcBorders>
              <w:top w:val="nil"/>
              <w:left w:val="nil"/>
              <w:bottom w:val="nil"/>
              <w:right w:val="nil"/>
            </w:tcBorders>
          </w:tcPr>
          <w:p w14:paraId="3ECA198E"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A432AA9"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DC87993"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EECD09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E0C43E5"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79583D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619226E1" w14:textId="77777777" w:rsidTr="00C63F2C">
        <w:trPr>
          <w:jc w:val="center"/>
        </w:trPr>
        <w:tc>
          <w:tcPr>
            <w:tcW w:w="3531" w:type="dxa"/>
            <w:tcBorders>
              <w:top w:val="nil"/>
              <w:left w:val="nil"/>
              <w:bottom w:val="nil"/>
              <w:right w:val="nil"/>
            </w:tcBorders>
          </w:tcPr>
          <w:p w14:paraId="3DC97A88" w14:textId="77777777" w:rsidR="00C63F2C" w:rsidRDefault="00C63F2C" w:rsidP="006E410C">
            <w:pPr>
              <w:widowControl w:val="0"/>
              <w:autoSpaceDE w:val="0"/>
              <w:autoSpaceDN w:val="0"/>
              <w:adjustRightInd w:val="0"/>
              <w:rPr>
                <w:rFonts w:cs="Times New Roman"/>
                <w:lang w:val="en-GB"/>
              </w:rPr>
            </w:pPr>
            <w:proofErr w:type="spellStart"/>
            <w:r>
              <w:rPr>
                <w:rFonts w:cs="Times New Roman"/>
                <w:lang w:val="en-GB"/>
              </w:rPr>
              <w:t>pct_copd</w:t>
            </w:r>
            <w:proofErr w:type="spellEnd"/>
          </w:p>
        </w:tc>
        <w:tc>
          <w:tcPr>
            <w:tcW w:w="1584" w:type="dxa"/>
            <w:tcBorders>
              <w:top w:val="nil"/>
              <w:left w:val="nil"/>
              <w:bottom w:val="nil"/>
              <w:right w:val="nil"/>
            </w:tcBorders>
          </w:tcPr>
          <w:p w14:paraId="756E8A9F"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CC8E016"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1497C3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B301E9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3012F01C"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0.999</w:t>
            </w:r>
          </w:p>
        </w:tc>
      </w:tr>
      <w:tr w:rsidR="00C63F2C" w14:paraId="36F5F43A" w14:textId="77777777" w:rsidTr="00C63F2C">
        <w:trPr>
          <w:jc w:val="center"/>
        </w:trPr>
        <w:tc>
          <w:tcPr>
            <w:tcW w:w="3531" w:type="dxa"/>
            <w:tcBorders>
              <w:top w:val="nil"/>
              <w:left w:val="nil"/>
              <w:bottom w:val="nil"/>
              <w:right w:val="nil"/>
            </w:tcBorders>
          </w:tcPr>
          <w:p w14:paraId="3EEA753B"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43A03D10"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553667A"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1B8F4418"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234043D"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009388D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(0.001)</w:t>
            </w:r>
          </w:p>
        </w:tc>
      </w:tr>
      <w:tr w:rsidR="00C63F2C" w14:paraId="7EB20789" w14:textId="77777777" w:rsidTr="00C63F2C">
        <w:trPr>
          <w:jc w:val="center"/>
        </w:trPr>
        <w:tc>
          <w:tcPr>
            <w:tcW w:w="3531" w:type="dxa"/>
            <w:tcBorders>
              <w:top w:val="nil"/>
              <w:left w:val="nil"/>
              <w:bottom w:val="nil"/>
              <w:right w:val="nil"/>
            </w:tcBorders>
          </w:tcPr>
          <w:p w14:paraId="411A5873" w14:textId="77777777" w:rsidR="00C63F2C" w:rsidRDefault="00C63F2C" w:rsidP="006E410C">
            <w:pPr>
              <w:widowControl w:val="0"/>
              <w:autoSpaceDE w:val="0"/>
              <w:autoSpaceDN w:val="0"/>
              <w:adjustRightInd w:val="0"/>
              <w:rPr>
                <w:rFonts w:cs="Times New Roman"/>
                <w:lang w:val="en-GB"/>
              </w:rPr>
            </w:pPr>
          </w:p>
        </w:tc>
        <w:tc>
          <w:tcPr>
            <w:tcW w:w="1584" w:type="dxa"/>
            <w:tcBorders>
              <w:top w:val="nil"/>
              <w:left w:val="nil"/>
              <w:bottom w:val="nil"/>
              <w:right w:val="nil"/>
            </w:tcBorders>
          </w:tcPr>
          <w:p w14:paraId="2ABFF963"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1CF1AFE"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14B3574"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D4E58F0" w14:textId="77777777" w:rsidR="00C63F2C" w:rsidRDefault="00C63F2C" w:rsidP="006E410C">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21B6D910" w14:textId="77777777" w:rsidR="00C63F2C" w:rsidRDefault="00C63F2C" w:rsidP="006E410C">
            <w:pPr>
              <w:widowControl w:val="0"/>
              <w:autoSpaceDE w:val="0"/>
              <w:autoSpaceDN w:val="0"/>
              <w:adjustRightInd w:val="0"/>
              <w:jc w:val="center"/>
              <w:rPr>
                <w:rFonts w:cs="Times New Roman"/>
                <w:lang w:val="en-GB"/>
              </w:rPr>
            </w:pPr>
          </w:p>
        </w:tc>
      </w:tr>
      <w:tr w:rsidR="00C63F2C" w14:paraId="3E1A7578" w14:textId="77777777" w:rsidTr="00C63F2C">
        <w:trPr>
          <w:jc w:val="center"/>
        </w:trPr>
        <w:tc>
          <w:tcPr>
            <w:tcW w:w="3531" w:type="dxa"/>
            <w:tcBorders>
              <w:top w:val="nil"/>
              <w:left w:val="nil"/>
              <w:bottom w:val="nil"/>
              <w:right w:val="nil"/>
            </w:tcBorders>
          </w:tcPr>
          <w:p w14:paraId="0ED812FA" w14:textId="77777777" w:rsidR="00C63F2C" w:rsidRDefault="00C63F2C" w:rsidP="006E410C">
            <w:pPr>
              <w:widowControl w:val="0"/>
              <w:autoSpaceDE w:val="0"/>
              <w:autoSpaceDN w:val="0"/>
              <w:adjustRightInd w:val="0"/>
              <w:rPr>
                <w:rFonts w:cs="Times New Roman"/>
                <w:lang w:val="en-GB"/>
              </w:rPr>
            </w:pPr>
            <w:r>
              <w:rPr>
                <w:rFonts w:cs="Times New Roman"/>
                <w:lang w:val="en-GB"/>
              </w:rPr>
              <w:t>Observations</w:t>
            </w:r>
          </w:p>
        </w:tc>
        <w:tc>
          <w:tcPr>
            <w:tcW w:w="1584" w:type="dxa"/>
            <w:tcBorders>
              <w:top w:val="nil"/>
              <w:left w:val="nil"/>
              <w:bottom w:val="nil"/>
              <w:right w:val="nil"/>
            </w:tcBorders>
          </w:tcPr>
          <w:p w14:paraId="125CAC35" w14:textId="40D6B494" w:rsidR="00C63F2C" w:rsidRDefault="00C63F2C" w:rsidP="006E410C">
            <w:pPr>
              <w:widowControl w:val="0"/>
              <w:autoSpaceDE w:val="0"/>
              <w:autoSpaceDN w:val="0"/>
              <w:adjustRightInd w:val="0"/>
              <w:jc w:val="center"/>
              <w:rPr>
                <w:rFonts w:cs="Times New Roman"/>
                <w:lang w:val="en-GB"/>
              </w:rPr>
            </w:pPr>
            <w:r>
              <w:rPr>
                <w:rFonts w:cs="Times New Roman"/>
                <w:lang w:val="en-GB"/>
              </w:rPr>
              <w:t>8,</w:t>
            </w:r>
            <w:r w:rsidR="00CE1817">
              <w:rPr>
                <w:rFonts w:cs="Times New Roman"/>
                <w:lang w:val="en-GB"/>
              </w:rPr>
              <w:t>190</w:t>
            </w:r>
          </w:p>
        </w:tc>
        <w:tc>
          <w:tcPr>
            <w:tcW w:w="1584" w:type="dxa"/>
            <w:tcBorders>
              <w:top w:val="nil"/>
              <w:left w:val="nil"/>
              <w:bottom w:val="nil"/>
              <w:right w:val="nil"/>
            </w:tcBorders>
          </w:tcPr>
          <w:p w14:paraId="08472741"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8,152</w:t>
            </w:r>
          </w:p>
        </w:tc>
        <w:tc>
          <w:tcPr>
            <w:tcW w:w="1584" w:type="dxa"/>
            <w:tcBorders>
              <w:top w:val="nil"/>
              <w:left w:val="nil"/>
              <w:bottom w:val="nil"/>
              <w:right w:val="nil"/>
            </w:tcBorders>
          </w:tcPr>
          <w:p w14:paraId="2CB98C5B"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8,152</w:t>
            </w:r>
          </w:p>
        </w:tc>
        <w:tc>
          <w:tcPr>
            <w:tcW w:w="1584" w:type="dxa"/>
            <w:tcBorders>
              <w:top w:val="nil"/>
              <w:left w:val="nil"/>
              <w:bottom w:val="nil"/>
              <w:right w:val="nil"/>
            </w:tcBorders>
          </w:tcPr>
          <w:p w14:paraId="654A4B2F"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8,152</w:t>
            </w:r>
          </w:p>
        </w:tc>
        <w:tc>
          <w:tcPr>
            <w:tcW w:w="1584" w:type="dxa"/>
            <w:tcBorders>
              <w:top w:val="nil"/>
              <w:left w:val="nil"/>
              <w:bottom w:val="nil"/>
              <w:right w:val="nil"/>
            </w:tcBorders>
          </w:tcPr>
          <w:p w14:paraId="6E3338E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8,152</w:t>
            </w:r>
          </w:p>
        </w:tc>
      </w:tr>
      <w:tr w:rsidR="00C63F2C" w14:paraId="5A7A01DA" w14:textId="77777777" w:rsidTr="00551A46">
        <w:trPr>
          <w:jc w:val="center"/>
        </w:trPr>
        <w:tc>
          <w:tcPr>
            <w:tcW w:w="3531" w:type="dxa"/>
            <w:tcBorders>
              <w:top w:val="nil"/>
              <w:left w:val="nil"/>
              <w:right w:val="nil"/>
            </w:tcBorders>
          </w:tcPr>
          <w:p w14:paraId="181952FD" w14:textId="77777777" w:rsidR="00C63F2C" w:rsidRDefault="00C63F2C" w:rsidP="006E410C">
            <w:pPr>
              <w:widowControl w:val="0"/>
              <w:autoSpaceDE w:val="0"/>
              <w:autoSpaceDN w:val="0"/>
              <w:adjustRightInd w:val="0"/>
              <w:rPr>
                <w:rFonts w:cs="Times New Roman"/>
                <w:lang w:val="en-GB"/>
              </w:rPr>
            </w:pPr>
            <w:r>
              <w:rPr>
                <w:rFonts w:cs="Times New Roman"/>
                <w:lang w:val="en-GB"/>
              </w:rPr>
              <w:t>ZIP FE</w:t>
            </w:r>
          </w:p>
        </w:tc>
        <w:tc>
          <w:tcPr>
            <w:tcW w:w="1584" w:type="dxa"/>
            <w:tcBorders>
              <w:top w:val="nil"/>
              <w:left w:val="nil"/>
              <w:right w:val="nil"/>
            </w:tcBorders>
          </w:tcPr>
          <w:p w14:paraId="1E9177F3"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right w:val="nil"/>
            </w:tcBorders>
          </w:tcPr>
          <w:p w14:paraId="4DB3560E"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right w:val="nil"/>
            </w:tcBorders>
          </w:tcPr>
          <w:p w14:paraId="73F93A7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right w:val="nil"/>
            </w:tcBorders>
          </w:tcPr>
          <w:p w14:paraId="3B43D559"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right w:val="nil"/>
            </w:tcBorders>
          </w:tcPr>
          <w:p w14:paraId="345C7825"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r>
      <w:tr w:rsidR="00C63F2C" w14:paraId="79D7609E" w14:textId="77777777" w:rsidTr="00551A46">
        <w:trPr>
          <w:jc w:val="center"/>
        </w:trPr>
        <w:tc>
          <w:tcPr>
            <w:tcW w:w="3531" w:type="dxa"/>
            <w:tcBorders>
              <w:top w:val="nil"/>
              <w:left w:val="nil"/>
              <w:bottom w:val="single" w:sz="6" w:space="0" w:color="auto"/>
              <w:right w:val="nil"/>
            </w:tcBorders>
          </w:tcPr>
          <w:p w14:paraId="15A5DCF1" w14:textId="7B6C1BE4" w:rsidR="00C63F2C" w:rsidRDefault="00C63F2C" w:rsidP="006E410C">
            <w:pPr>
              <w:widowControl w:val="0"/>
              <w:autoSpaceDE w:val="0"/>
              <w:autoSpaceDN w:val="0"/>
              <w:adjustRightInd w:val="0"/>
              <w:rPr>
                <w:rFonts w:cs="Times New Roman"/>
                <w:lang w:val="en-GB"/>
              </w:rPr>
            </w:pPr>
            <w:r>
              <w:rPr>
                <w:rFonts w:cs="Times New Roman" w:hint="eastAsia"/>
                <w:lang w:val="en-GB"/>
              </w:rPr>
              <w:t>Yea</w:t>
            </w:r>
            <w:r w:rsidR="00033C5B">
              <w:rPr>
                <w:rFonts w:cs="Times New Roman"/>
                <w:lang w:val="en-GB"/>
              </w:rPr>
              <w:t>r*</w:t>
            </w:r>
            <w:r>
              <w:rPr>
                <w:rFonts w:cs="Times New Roman" w:hint="eastAsia"/>
                <w:lang w:val="en-GB"/>
              </w:rPr>
              <w:t>Quarter FE</w:t>
            </w:r>
          </w:p>
        </w:tc>
        <w:tc>
          <w:tcPr>
            <w:tcW w:w="1584" w:type="dxa"/>
            <w:tcBorders>
              <w:top w:val="nil"/>
              <w:left w:val="nil"/>
              <w:bottom w:val="single" w:sz="6" w:space="0" w:color="auto"/>
              <w:right w:val="nil"/>
            </w:tcBorders>
          </w:tcPr>
          <w:p w14:paraId="1719CDBD"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bottom w:val="single" w:sz="6" w:space="0" w:color="auto"/>
              <w:right w:val="nil"/>
            </w:tcBorders>
          </w:tcPr>
          <w:p w14:paraId="53F68A60"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bottom w:val="single" w:sz="6" w:space="0" w:color="auto"/>
              <w:right w:val="nil"/>
            </w:tcBorders>
          </w:tcPr>
          <w:p w14:paraId="34275FFD"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bottom w:val="single" w:sz="6" w:space="0" w:color="auto"/>
              <w:right w:val="nil"/>
            </w:tcBorders>
          </w:tcPr>
          <w:p w14:paraId="659A41F4"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bottom w:val="single" w:sz="6" w:space="0" w:color="auto"/>
              <w:right w:val="nil"/>
            </w:tcBorders>
          </w:tcPr>
          <w:p w14:paraId="69E10DB2" w14:textId="77777777" w:rsidR="00C63F2C" w:rsidRDefault="00C63F2C" w:rsidP="006E410C">
            <w:pPr>
              <w:widowControl w:val="0"/>
              <w:autoSpaceDE w:val="0"/>
              <w:autoSpaceDN w:val="0"/>
              <w:adjustRightInd w:val="0"/>
              <w:jc w:val="center"/>
              <w:rPr>
                <w:rFonts w:cs="Times New Roman"/>
                <w:lang w:val="en-GB"/>
              </w:rPr>
            </w:pPr>
            <w:r>
              <w:rPr>
                <w:rFonts w:cs="Times New Roman"/>
                <w:lang w:val="en-GB"/>
              </w:rPr>
              <w:t>YES</w:t>
            </w:r>
          </w:p>
        </w:tc>
      </w:tr>
    </w:tbl>
    <w:p w14:paraId="7A4C8D2F" w14:textId="77777777" w:rsidR="00D41B10" w:rsidRPr="00D41B10" w:rsidRDefault="00D41B10" w:rsidP="00D41B10">
      <w:pPr>
        <w:autoSpaceDE w:val="0"/>
        <w:autoSpaceDN w:val="0"/>
        <w:adjustRightInd w:val="0"/>
        <w:rPr>
          <w:rFonts w:cs="Times New Roman"/>
          <w:sz w:val="18"/>
          <w:szCs w:val="18"/>
        </w:rPr>
      </w:pPr>
      <w:r w:rsidRPr="00D41B10">
        <w:rPr>
          <w:rFonts w:cs="Times New Roman"/>
          <w:sz w:val="18"/>
          <w:szCs w:val="18"/>
        </w:rPr>
        <w:t xml:space="preserve">Notes: Robust standard errors in parentheses, clustered at ZIP code level. *** p&lt;0.01, ** p&lt;0.05, * p&lt;0.1. Fixed effects: ZIP code and </w:t>
      </w:r>
      <w:proofErr w:type="spellStart"/>
      <w:r w:rsidRPr="00D41B10">
        <w:rPr>
          <w:rFonts w:cs="Times New Roman"/>
          <w:sz w:val="18"/>
          <w:szCs w:val="18"/>
        </w:rPr>
        <w:t>Year×Quarter</w:t>
      </w:r>
      <w:proofErr w:type="spellEnd"/>
      <w:r w:rsidRPr="00D41B10">
        <w:rPr>
          <w:rFonts w:cs="Times New Roman"/>
          <w:sz w:val="18"/>
          <w:szCs w:val="18"/>
        </w:rPr>
        <w:t>. Exposure: total population.</w:t>
      </w:r>
    </w:p>
    <w:p w14:paraId="2AFBE056" w14:textId="77777777" w:rsidR="00D41B10" w:rsidRDefault="00D41B10" w:rsidP="008413E5">
      <w:pPr>
        <w:rPr>
          <w:b/>
          <w:color w:val="000000"/>
          <w:szCs w:val="24"/>
        </w:rPr>
      </w:pPr>
    </w:p>
    <w:p w14:paraId="0830EDFA" w14:textId="64717A0D" w:rsidR="0066391F" w:rsidRPr="00790838" w:rsidRDefault="0066391F" w:rsidP="0066391F">
      <w:pPr>
        <w:widowControl w:val="0"/>
        <w:autoSpaceDE w:val="0"/>
        <w:autoSpaceDN w:val="0"/>
        <w:adjustRightInd w:val="0"/>
        <w:rPr>
          <w:rFonts w:cs="Times New Roman"/>
          <w:lang w:val="en-GB"/>
        </w:rPr>
      </w:pPr>
      <w:r>
        <w:rPr>
          <w:b/>
          <w:color w:val="000000"/>
          <w:szCs w:val="24"/>
        </w:rPr>
        <w:t xml:space="preserve">Supplementary Table S15: </w:t>
      </w:r>
      <w:r w:rsidRPr="00790838">
        <w:rPr>
          <w:rFonts w:cs="Times New Roman"/>
          <w:lang w:val="en-GB"/>
        </w:rPr>
        <w:t>Robustness - Different Outage Thresholds</w:t>
      </w:r>
    </w:p>
    <w:tbl>
      <w:tblPr>
        <w:tblW w:w="9147" w:type="dxa"/>
        <w:jc w:val="center"/>
        <w:tblLayout w:type="fixed"/>
        <w:tblCellMar>
          <w:left w:w="75" w:type="dxa"/>
          <w:right w:w="75" w:type="dxa"/>
        </w:tblCellMar>
        <w:tblLook w:val="0000" w:firstRow="0" w:lastRow="0" w:firstColumn="0" w:lastColumn="0" w:noHBand="0" w:noVBand="0"/>
      </w:tblPr>
      <w:tblGrid>
        <w:gridCol w:w="3531"/>
        <w:gridCol w:w="1872"/>
        <w:gridCol w:w="1872"/>
        <w:gridCol w:w="1872"/>
      </w:tblGrid>
      <w:tr w:rsidR="00EC0753" w14:paraId="025FBE1B" w14:textId="77777777" w:rsidTr="00EC0753">
        <w:trPr>
          <w:jc w:val="center"/>
        </w:trPr>
        <w:tc>
          <w:tcPr>
            <w:tcW w:w="3531" w:type="dxa"/>
            <w:tcBorders>
              <w:top w:val="single" w:sz="6" w:space="0" w:color="auto"/>
              <w:left w:val="nil"/>
              <w:bottom w:val="nil"/>
              <w:right w:val="nil"/>
            </w:tcBorders>
          </w:tcPr>
          <w:p w14:paraId="34D7B331" w14:textId="77777777" w:rsidR="00EC0753" w:rsidRDefault="00EC0753" w:rsidP="006E410C">
            <w:pPr>
              <w:widowControl w:val="0"/>
              <w:autoSpaceDE w:val="0"/>
              <w:autoSpaceDN w:val="0"/>
              <w:adjustRightInd w:val="0"/>
              <w:rPr>
                <w:rFonts w:cs="Times New Roman"/>
                <w:lang w:val="en-GB"/>
              </w:rPr>
            </w:pPr>
          </w:p>
        </w:tc>
        <w:tc>
          <w:tcPr>
            <w:tcW w:w="1872" w:type="dxa"/>
            <w:tcBorders>
              <w:top w:val="single" w:sz="6" w:space="0" w:color="auto"/>
              <w:left w:val="nil"/>
              <w:bottom w:val="nil"/>
              <w:right w:val="nil"/>
            </w:tcBorders>
          </w:tcPr>
          <w:p w14:paraId="52023B56"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w:t>
            </w:r>
          </w:p>
        </w:tc>
        <w:tc>
          <w:tcPr>
            <w:tcW w:w="1872" w:type="dxa"/>
            <w:tcBorders>
              <w:top w:val="single" w:sz="6" w:space="0" w:color="auto"/>
              <w:left w:val="nil"/>
              <w:bottom w:val="nil"/>
              <w:right w:val="nil"/>
            </w:tcBorders>
          </w:tcPr>
          <w:p w14:paraId="3AAB3898"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(2)</w:t>
            </w:r>
          </w:p>
        </w:tc>
        <w:tc>
          <w:tcPr>
            <w:tcW w:w="1872" w:type="dxa"/>
            <w:tcBorders>
              <w:top w:val="single" w:sz="6" w:space="0" w:color="auto"/>
              <w:left w:val="nil"/>
              <w:bottom w:val="nil"/>
              <w:right w:val="nil"/>
            </w:tcBorders>
          </w:tcPr>
          <w:p w14:paraId="55A6FDB4"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(3)</w:t>
            </w:r>
          </w:p>
        </w:tc>
      </w:tr>
      <w:tr w:rsidR="00EC0753" w14:paraId="19C010B9" w14:textId="77777777" w:rsidTr="00EC0753">
        <w:trPr>
          <w:jc w:val="center"/>
        </w:trPr>
        <w:tc>
          <w:tcPr>
            <w:tcW w:w="3531" w:type="dxa"/>
            <w:tcBorders>
              <w:top w:val="nil"/>
              <w:left w:val="nil"/>
              <w:bottom w:val="nil"/>
              <w:right w:val="nil"/>
            </w:tcBorders>
          </w:tcPr>
          <w:p w14:paraId="2E0CD1E0" w14:textId="77777777" w:rsidR="00EC0753" w:rsidRDefault="00EC0753" w:rsidP="006E410C">
            <w:pPr>
              <w:widowControl w:val="0"/>
              <w:autoSpaceDE w:val="0"/>
              <w:autoSpaceDN w:val="0"/>
              <w:adjustRightInd w:val="0"/>
              <w:rPr>
                <w:rFonts w:cs="Times New Roman"/>
                <w:lang w:val="en-GB"/>
              </w:rPr>
            </w:pPr>
          </w:p>
        </w:tc>
        <w:tc>
          <w:tcPr>
            <w:tcW w:w="1872" w:type="dxa"/>
            <w:tcBorders>
              <w:top w:val="nil"/>
              <w:left w:val="nil"/>
              <w:bottom w:val="nil"/>
              <w:right w:val="nil"/>
            </w:tcBorders>
          </w:tcPr>
          <w:p w14:paraId="3CDC3D78"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P50</w:t>
            </w:r>
          </w:p>
        </w:tc>
        <w:tc>
          <w:tcPr>
            <w:tcW w:w="1872" w:type="dxa"/>
            <w:tcBorders>
              <w:top w:val="nil"/>
              <w:left w:val="nil"/>
              <w:bottom w:val="nil"/>
              <w:right w:val="nil"/>
            </w:tcBorders>
          </w:tcPr>
          <w:p w14:paraId="682EECD3"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P50</w:t>
            </w:r>
          </w:p>
        </w:tc>
        <w:tc>
          <w:tcPr>
            <w:tcW w:w="1872" w:type="dxa"/>
            <w:tcBorders>
              <w:top w:val="nil"/>
              <w:left w:val="nil"/>
              <w:bottom w:val="nil"/>
              <w:right w:val="nil"/>
            </w:tcBorders>
          </w:tcPr>
          <w:p w14:paraId="6B403863"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P50</w:t>
            </w:r>
          </w:p>
        </w:tc>
      </w:tr>
      <w:tr w:rsidR="00EC0753" w14:paraId="7D6E7086" w14:textId="77777777" w:rsidTr="00EC0753">
        <w:trPr>
          <w:jc w:val="center"/>
        </w:trPr>
        <w:tc>
          <w:tcPr>
            <w:tcW w:w="3531" w:type="dxa"/>
            <w:tcBorders>
              <w:top w:val="nil"/>
              <w:left w:val="nil"/>
              <w:bottom w:val="nil"/>
              <w:right w:val="nil"/>
            </w:tcBorders>
          </w:tcPr>
          <w:p w14:paraId="784E4C1D" w14:textId="77777777" w:rsidR="00EC0753" w:rsidRDefault="00EC0753" w:rsidP="006E410C">
            <w:pPr>
              <w:widowControl w:val="0"/>
              <w:autoSpaceDE w:val="0"/>
              <w:autoSpaceDN w:val="0"/>
              <w:adjustRightInd w:val="0"/>
              <w:rPr>
                <w:rFonts w:cs="Times New Roman"/>
                <w:lang w:val="en-GB"/>
              </w:rPr>
            </w:pPr>
          </w:p>
        </w:tc>
        <w:tc>
          <w:tcPr>
            <w:tcW w:w="1872" w:type="dxa"/>
            <w:tcBorders>
              <w:top w:val="nil"/>
              <w:left w:val="nil"/>
              <w:bottom w:val="nil"/>
              <w:right w:val="nil"/>
            </w:tcBorders>
          </w:tcPr>
          <w:p w14:paraId="6ECAFC9A"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P90</w:t>
            </w:r>
          </w:p>
        </w:tc>
        <w:tc>
          <w:tcPr>
            <w:tcW w:w="1872" w:type="dxa"/>
            <w:tcBorders>
              <w:top w:val="nil"/>
              <w:left w:val="nil"/>
              <w:bottom w:val="nil"/>
              <w:right w:val="nil"/>
            </w:tcBorders>
          </w:tcPr>
          <w:p w14:paraId="7C499AC0"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P90</w:t>
            </w:r>
          </w:p>
        </w:tc>
        <w:tc>
          <w:tcPr>
            <w:tcW w:w="1872" w:type="dxa"/>
            <w:tcBorders>
              <w:top w:val="nil"/>
              <w:left w:val="nil"/>
              <w:bottom w:val="nil"/>
              <w:right w:val="nil"/>
            </w:tcBorders>
          </w:tcPr>
          <w:p w14:paraId="2EC2ACDD"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P90</w:t>
            </w:r>
          </w:p>
        </w:tc>
      </w:tr>
      <w:tr w:rsidR="00EC0753" w14:paraId="14786B20" w14:textId="77777777" w:rsidTr="00EC0753">
        <w:trPr>
          <w:jc w:val="center"/>
        </w:trPr>
        <w:tc>
          <w:tcPr>
            <w:tcW w:w="3531" w:type="dxa"/>
            <w:tcBorders>
              <w:top w:val="nil"/>
              <w:left w:val="nil"/>
              <w:bottom w:val="single" w:sz="6" w:space="0" w:color="auto"/>
              <w:right w:val="nil"/>
            </w:tcBorders>
          </w:tcPr>
          <w:p w14:paraId="10DFC782" w14:textId="77777777" w:rsidR="00EC0753" w:rsidRDefault="00EC0753" w:rsidP="006E410C">
            <w:pPr>
              <w:widowControl w:val="0"/>
              <w:autoSpaceDE w:val="0"/>
              <w:autoSpaceDN w:val="0"/>
              <w:adjustRightInd w:val="0"/>
              <w:rPr>
                <w:rFonts w:cs="Times New Roman"/>
                <w:lang w:val="en-GB"/>
              </w:rPr>
            </w:pPr>
            <w:r>
              <w:rPr>
                <w:rFonts w:cs="Times New Roman"/>
                <w:lang w:val="en-GB"/>
              </w:rPr>
              <w:t>VARIABLES</w:t>
            </w:r>
          </w:p>
        </w:tc>
        <w:tc>
          <w:tcPr>
            <w:tcW w:w="1872" w:type="dxa"/>
            <w:tcBorders>
              <w:top w:val="nil"/>
              <w:left w:val="nil"/>
              <w:bottom w:val="single" w:sz="6" w:space="0" w:color="auto"/>
              <w:right w:val="nil"/>
            </w:tcBorders>
          </w:tcPr>
          <w:p w14:paraId="73F57F3F"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days P75</w:t>
            </w:r>
          </w:p>
        </w:tc>
        <w:tc>
          <w:tcPr>
            <w:tcW w:w="1872" w:type="dxa"/>
            <w:tcBorders>
              <w:top w:val="nil"/>
              <w:left w:val="nil"/>
              <w:bottom w:val="single" w:sz="6" w:space="0" w:color="auto"/>
              <w:right w:val="nil"/>
            </w:tcBorders>
          </w:tcPr>
          <w:p w14:paraId="2C1F767E"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days P75</w:t>
            </w:r>
          </w:p>
        </w:tc>
        <w:tc>
          <w:tcPr>
            <w:tcW w:w="1872" w:type="dxa"/>
            <w:tcBorders>
              <w:top w:val="nil"/>
              <w:left w:val="nil"/>
              <w:bottom w:val="single" w:sz="6" w:space="0" w:color="auto"/>
              <w:right w:val="nil"/>
            </w:tcBorders>
          </w:tcPr>
          <w:p w14:paraId="4E119B1C"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1hr days P75</w:t>
            </w:r>
          </w:p>
        </w:tc>
      </w:tr>
      <w:tr w:rsidR="00EC0753" w14:paraId="208A9BAB" w14:textId="77777777" w:rsidTr="00EC0753">
        <w:trPr>
          <w:jc w:val="center"/>
        </w:trPr>
        <w:tc>
          <w:tcPr>
            <w:tcW w:w="3531" w:type="dxa"/>
            <w:tcBorders>
              <w:top w:val="nil"/>
              <w:left w:val="nil"/>
              <w:bottom w:val="nil"/>
              <w:right w:val="nil"/>
            </w:tcBorders>
          </w:tcPr>
          <w:p w14:paraId="6AB257F4" w14:textId="77777777" w:rsidR="00EC0753" w:rsidRDefault="00EC0753" w:rsidP="006E410C">
            <w:pPr>
              <w:widowControl w:val="0"/>
              <w:autoSpaceDE w:val="0"/>
              <w:autoSpaceDN w:val="0"/>
              <w:adjustRightInd w:val="0"/>
              <w:rPr>
                <w:rFonts w:cs="Times New Roman"/>
                <w:lang w:val="en-GB"/>
              </w:rPr>
            </w:pPr>
          </w:p>
        </w:tc>
        <w:tc>
          <w:tcPr>
            <w:tcW w:w="1872" w:type="dxa"/>
            <w:tcBorders>
              <w:top w:val="nil"/>
              <w:left w:val="nil"/>
              <w:bottom w:val="nil"/>
              <w:right w:val="nil"/>
            </w:tcBorders>
          </w:tcPr>
          <w:p w14:paraId="56E527B9" w14:textId="77777777" w:rsidR="00EC0753" w:rsidRDefault="00EC0753" w:rsidP="006E410C">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3031B641" w14:textId="77777777" w:rsidR="00EC0753" w:rsidRDefault="00EC0753" w:rsidP="006E410C">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7E29B17A" w14:textId="77777777" w:rsidR="00EC0753" w:rsidRDefault="00EC0753" w:rsidP="006E410C">
            <w:pPr>
              <w:widowControl w:val="0"/>
              <w:autoSpaceDE w:val="0"/>
              <w:autoSpaceDN w:val="0"/>
              <w:adjustRightInd w:val="0"/>
              <w:jc w:val="center"/>
              <w:rPr>
                <w:rFonts w:cs="Times New Roman"/>
                <w:lang w:val="en-GB"/>
              </w:rPr>
            </w:pPr>
          </w:p>
        </w:tc>
      </w:tr>
      <w:tr w:rsidR="00EC0753" w14:paraId="23A64BF2" w14:textId="77777777" w:rsidTr="00EC0753">
        <w:trPr>
          <w:jc w:val="center"/>
        </w:trPr>
        <w:tc>
          <w:tcPr>
            <w:tcW w:w="3531" w:type="dxa"/>
            <w:tcBorders>
              <w:top w:val="nil"/>
              <w:left w:val="nil"/>
              <w:bottom w:val="nil"/>
              <w:right w:val="nil"/>
            </w:tcBorders>
          </w:tcPr>
          <w:p w14:paraId="0082BCD3" w14:textId="77777777" w:rsidR="00EC0753" w:rsidRDefault="00EC0753" w:rsidP="006E410C">
            <w:pPr>
              <w:widowControl w:val="0"/>
              <w:autoSpaceDE w:val="0"/>
              <w:autoSpaceDN w:val="0"/>
              <w:adjustRightInd w:val="0"/>
              <w:rPr>
                <w:rFonts w:cs="Times New Roman"/>
                <w:lang w:val="en-GB"/>
              </w:rPr>
            </w:pPr>
            <w:r>
              <w:rPr>
                <w:rFonts w:cs="Times New Roman"/>
                <w:lang w:val="en-GB"/>
              </w:rPr>
              <w:t>ln_outage_1hr_p50</w:t>
            </w:r>
          </w:p>
        </w:tc>
        <w:tc>
          <w:tcPr>
            <w:tcW w:w="1872" w:type="dxa"/>
            <w:tcBorders>
              <w:top w:val="nil"/>
              <w:left w:val="nil"/>
              <w:bottom w:val="nil"/>
              <w:right w:val="nil"/>
            </w:tcBorders>
          </w:tcPr>
          <w:p w14:paraId="3292ABFE"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1.023***</w:t>
            </w:r>
          </w:p>
        </w:tc>
        <w:tc>
          <w:tcPr>
            <w:tcW w:w="1872" w:type="dxa"/>
            <w:tcBorders>
              <w:top w:val="nil"/>
              <w:left w:val="nil"/>
              <w:bottom w:val="nil"/>
              <w:right w:val="nil"/>
            </w:tcBorders>
          </w:tcPr>
          <w:p w14:paraId="3FDCF1BD" w14:textId="77777777" w:rsidR="00EC0753" w:rsidRDefault="00EC0753" w:rsidP="006E410C">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1A32A310" w14:textId="77777777" w:rsidR="00EC0753" w:rsidRDefault="00EC0753" w:rsidP="006E410C">
            <w:pPr>
              <w:widowControl w:val="0"/>
              <w:autoSpaceDE w:val="0"/>
              <w:autoSpaceDN w:val="0"/>
              <w:adjustRightInd w:val="0"/>
              <w:jc w:val="center"/>
              <w:rPr>
                <w:rFonts w:cs="Times New Roman"/>
                <w:lang w:val="en-GB"/>
              </w:rPr>
            </w:pPr>
          </w:p>
        </w:tc>
      </w:tr>
      <w:tr w:rsidR="00EC0753" w14:paraId="766B78F0" w14:textId="77777777" w:rsidTr="00EC0753">
        <w:trPr>
          <w:jc w:val="center"/>
        </w:trPr>
        <w:tc>
          <w:tcPr>
            <w:tcW w:w="3531" w:type="dxa"/>
            <w:tcBorders>
              <w:top w:val="nil"/>
              <w:left w:val="nil"/>
              <w:bottom w:val="nil"/>
              <w:right w:val="nil"/>
            </w:tcBorders>
          </w:tcPr>
          <w:p w14:paraId="3DBC400E" w14:textId="77777777" w:rsidR="00EC0753" w:rsidRDefault="00EC0753" w:rsidP="006E410C">
            <w:pPr>
              <w:widowControl w:val="0"/>
              <w:autoSpaceDE w:val="0"/>
              <w:autoSpaceDN w:val="0"/>
              <w:adjustRightInd w:val="0"/>
              <w:rPr>
                <w:rFonts w:cs="Times New Roman"/>
                <w:lang w:val="en-GB"/>
              </w:rPr>
            </w:pPr>
          </w:p>
        </w:tc>
        <w:tc>
          <w:tcPr>
            <w:tcW w:w="1872" w:type="dxa"/>
            <w:tcBorders>
              <w:top w:val="nil"/>
              <w:left w:val="nil"/>
              <w:bottom w:val="nil"/>
              <w:right w:val="nil"/>
            </w:tcBorders>
          </w:tcPr>
          <w:p w14:paraId="79F23B50" w14:textId="77777777" w:rsidR="00EC0753" w:rsidRDefault="00EC0753" w:rsidP="006E410C">
            <w:pPr>
              <w:widowControl w:val="0"/>
              <w:autoSpaceDE w:val="0"/>
              <w:autoSpaceDN w:val="0"/>
              <w:adjustRightInd w:val="0"/>
              <w:jc w:val="center"/>
              <w:rPr>
                <w:rFonts w:cs="Times New Roman"/>
                <w:lang w:val="en-GB"/>
              </w:rPr>
            </w:pPr>
            <w:r>
              <w:rPr>
                <w:rFonts w:cs="Times New Roman"/>
                <w:lang w:val="en-GB"/>
              </w:rPr>
              <w:t>(0.009)</w:t>
            </w:r>
          </w:p>
        </w:tc>
        <w:tc>
          <w:tcPr>
            <w:tcW w:w="1872" w:type="dxa"/>
            <w:tcBorders>
              <w:top w:val="nil"/>
              <w:left w:val="nil"/>
              <w:bottom w:val="nil"/>
              <w:right w:val="nil"/>
            </w:tcBorders>
          </w:tcPr>
          <w:p w14:paraId="5CDA7149" w14:textId="77777777" w:rsidR="00EC0753" w:rsidRDefault="00EC0753" w:rsidP="006E410C">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4338D5B6" w14:textId="77777777" w:rsidR="00EC0753" w:rsidRDefault="00EC0753" w:rsidP="006E410C">
            <w:pPr>
              <w:widowControl w:val="0"/>
              <w:autoSpaceDE w:val="0"/>
              <w:autoSpaceDN w:val="0"/>
              <w:adjustRightInd w:val="0"/>
              <w:jc w:val="center"/>
              <w:rPr>
                <w:rFonts w:cs="Times New Roman"/>
                <w:lang w:val="en-GB"/>
              </w:rPr>
            </w:pPr>
          </w:p>
        </w:tc>
      </w:tr>
      <w:tr w:rsidR="000678D3" w14:paraId="33454ECE" w14:textId="77777777" w:rsidTr="00EC0753">
        <w:trPr>
          <w:jc w:val="center"/>
        </w:trPr>
        <w:tc>
          <w:tcPr>
            <w:tcW w:w="3531" w:type="dxa"/>
            <w:tcBorders>
              <w:top w:val="nil"/>
              <w:left w:val="nil"/>
              <w:bottom w:val="nil"/>
              <w:right w:val="nil"/>
            </w:tcBorders>
          </w:tcPr>
          <w:p w14:paraId="459EE3F7" w14:textId="2C38E671" w:rsidR="000678D3" w:rsidRDefault="000678D3" w:rsidP="000678D3">
            <w:pPr>
              <w:widowControl w:val="0"/>
              <w:autoSpaceDE w:val="0"/>
              <w:autoSpaceDN w:val="0"/>
              <w:adjustRightInd w:val="0"/>
              <w:rPr>
                <w:rFonts w:cs="Times New Roman"/>
                <w:lang w:val="en-GB"/>
              </w:rPr>
            </w:pPr>
            <w:r>
              <w:rPr>
                <w:rFonts w:cs="Times New Roman"/>
                <w:lang w:val="en-GB"/>
              </w:rPr>
              <w:t>ln_outage_1hr_p90</w:t>
            </w:r>
          </w:p>
        </w:tc>
        <w:tc>
          <w:tcPr>
            <w:tcW w:w="1872" w:type="dxa"/>
            <w:tcBorders>
              <w:top w:val="nil"/>
              <w:left w:val="nil"/>
              <w:bottom w:val="nil"/>
              <w:right w:val="nil"/>
            </w:tcBorders>
          </w:tcPr>
          <w:p w14:paraId="7B9C5338"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3731790A" w14:textId="1DED3EC4" w:rsidR="000678D3" w:rsidRDefault="000678D3" w:rsidP="000678D3">
            <w:pPr>
              <w:widowControl w:val="0"/>
              <w:autoSpaceDE w:val="0"/>
              <w:autoSpaceDN w:val="0"/>
              <w:adjustRightInd w:val="0"/>
              <w:jc w:val="center"/>
              <w:rPr>
                <w:rFonts w:cs="Times New Roman"/>
                <w:lang w:val="en-GB"/>
              </w:rPr>
            </w:pPr>
            <w:r>
              <w:rPr>
                <w:rFonts w:cs="Times New Roman"/>
                <w:lang w:val="en-GB"/>
              </w:rPr>
              <w:t>1.016***</w:t>
            </w:r>
          </w:p>
        </w:tc>
        <w:tc>
          <w:tcPr>
            <w:tcW w:w="1872" w:type="dxa"/>
            <w:tcBorders>
              <w:top w:val="nil"/>
              <w:left w:val="nil"/>
              <w:bottom w:val="nil"/>
              <w:right w:val="nil"/>
            </w:tcBorders>
          </w:tcPr>
          <w:p w14:paraId="7FFD4B79" w14:textId="77777777" w:rsidR="000678D3" w:rsidRDefault="000678D3" w:rsidP="000678D3">
            <w:pPr>
              <w:widowControl w:val="0"/>
              <w:autoSpaceDE w:val="0"/>
              <w:autoSpaceDN w:val="0"/>
              <w:adjustRightInd w:val="0"/>
              <w:jc w:val="center"/>
              <w:rPr>
                <w:rFonts w:cs="Times New Roman"/>
                <w:lang w:val="en-GB"/>
              </w:rPr>
            </w:pPr>
          </w:p>
        </w:tc>
      </w:tr>
      <w:tr w:rsidR="000678D3" w14:paraId="70F0FBE2" w14:textId="77777777" w:rsidTr="00EC0753">
        <w:trPr>
          <w:jc w:val="center"/>
        </w:trPr>
        <w:tc>
          <w:tcPr>
            <w:tcW w:w="3531" w:type="dxa"/>
            <w:tcBorders>
              <w:top w:val="nil"/>
              <w:left w:val="nil"/>
              <w:bottom w:val="nil"/>
              <w:right w:val="nil"/>
            </w:tcBorders>
          </w:tcPr>
          <w:p w14:paraId="04ECF341"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113CC3DB"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633267B9" w14:textId="61C2D6A8" w:rsidR="000678D3" w:rsidRDefault="000678D3" w:rsidP="000678D3">
            <w:pPr>
              <w:widowControl w:val="0"/>
              <w:autoSpaceDE w:val="0"/>
              <w:autoSpaceDN w:val="0"/>
              <w:adjustRightInd w:val="0"/>
              <w:jc w:val="center"/>
              <w:rPr>
                <w:rFonts w:cs="Times New Roman"/>
                <w:lang w:val="en-GB"/>
              </w:rPr>
            </w:pPr>
            <w:r>
              <w:rPr>
                <w:rFonts w:cs="Times New Roman"/>
                <w:lang w:val="en-GB"/>
              </w:rPr>
              <w:t>(0.006)</w:t>
            </w:r>
          </w:p>
        </w:tc>
        <w:tc>
          <w:tcPr>
            <w:tcW w:w="1872" w:type="dxa"/>
            <w:tcBorders>
              <w:top w:val="nil"/>
              <w:left w:val="nil"/>
              <w:bottom w:val="nil"/>
              <w:right w:val="nil"/>
            </w:tcBorders>
          </w:tcPr>
          <w:p w14:paraId="1FC202C5" w14:textId="77777777" w:rsidR="000678D3" w:rsidRDefault="000678D3" w:rsidP="000678D3">
            <w:pPr>
              <w:widowControl w:val="0"/>
              <w:autoSpaceDE w:val="0"/>
              <w:autoSpaceDN w:val="0"/>
              <w:adjustRightInd w:val="0"/>
              <w:jc w:val="center"/>
              <w:rPr>
                <w:rFonts w:cs="Times New Roman"/>
                <w:lang w:val="en-GB"/>
              </w:rPr>
            </w:pPr>
          </w:p>
        </w:tc>
      </w:tr>
      <w:tr w:rsidR="000678D3" w14:paraId="60C17353" w14:textId="77777777" w:rsidTr="00EC0753">
        <w:trPr>
          <w:jc w:val="center"/>
        </w:trPr>
        <w:tc>
          <w:tcPr>
            <w:tcW w:w="3531" w:type="dxa"/>
            <w:tcBorders>
              <w:top w:val="nil"/>
              <w:left w:val="nil"/>
              <w:bottom w:val="nil"/>
              <w:right w:val="nil"/>
            </w:tcBorders>
          </w:tcPr>
          <w:p w14:paraId="657F6148" w14:textId="61CB59AA" w:rsidR="000678D3" w:rsidRDefault="000678D3" w:rsidP="000678D3">
            <w:pPr>
              <w:widowControl w:val="0"/>
              <w:autoSpaceDE w:val="0"/>
              <w:autoSpaceDN w:val="0"/>
              <w:adjustRightInd w:val="0"/>
              <w:rPr>
                <w:rFonts w:cs="Times New Roman"/>
                <w:lang w:val="en-GB"/>
              </w:rPr>
            </w:pPr>
            <w:r>
              <w:rPr>
                <w:rFonts w:cs="Times New Roman"/>
                <w:lang w:val="en-GB"/>
              </w:rPr>
              <w:t>ln_outage_2hr_p50</w:t>
            </w:r>
          </w:p>
        </w:tc>
        <w:tc>
          <w:tcPr>
            <w:tcW w:w="1872" w:type="dxa"/>
            <w:tcBorders>
              <w:top w:val="nil"/>
              <w:left w:val="nil"/>
              <w:bottom w:val="nil"/>
              <w:right w:val="nil"/>
            </w:tcBorders>
          </w:tcPr>
          <w:p w14:paraId="62C3E4F7"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1033C175"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2C91644C" w14:textId="513BC525" w:rsidR="000678D3" w:rsidRDefault="000678D3" w:rsidP="000678D3">
            <w:pPr>
              <w:widowControl w:val="0"/>
              <w:autoSpaceDE w:val="0"/>
              <w:autoSpaceDN w:val="0"/>
              <w:adjustRightInd w:val="0"/>
              <w:jc w:val="center"/>
              <w:rPr>
                <w:rFonts w:cs="Times New Roman"/>
                <w:lang w:val="en-GB"/>
              </w:rPr>
            </w:pPr>
            <w:r>
              <w:rPr>
                <w:rFonts w:cs="Times New Roman"/>
                <w:lang w:val="en-GB"/>
              </w:rPr>
              <w:t>1.018**</w:t>
            </w:r>
          </w:p>
        </w:tc>
      </w:tr>
      <w:tr w:rsidR="000678D3" w14:paraId="643B69F8" w14:textId="77777777" w:rsidTr="00EC0753">
        <w:trPr>
          <w:jc w:val="center"/>
        </w:trPr>
        <w:tc>
          <w:tcPr>
            <w:tcW w:w="3531" w:type="dxa"/>
            <w:tcBorders>
              <w:top w:val="nil"/>
              <w:left w:val="nil"/>
              <w:bottom w:val="nil"/>
              <w:right w:val="nil"/>
            </w:tcBorders>
          </w:tcPr>
          <w:p w14:paraId="78722E6F"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4F6C5F1F"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0B89F96A"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4732001E" w14:textId="2F614A18" w:rsidR="000678D3" w:rsidRDefault="000678D3" w:rsidP="000678D3">
            <w:pPr>
              <w:widowControl w:val="0"/>
              <w:autoSpaceDE w:val="0"/>
              <w:autoSpaceDN w:val="0"/>
              <w:adjustRightInd w:val="0"/>
              <w:jc w:val="center"/>
              <w:rPr>
                <w:rFonts w:cs="Times New Roman"/>
                <w:lang w:val="en-GB"/>
              </w:rPr>
            </w:pPr>
            <w:r>
              <w:rPr>
                <w:rFonts w:cs="Times New Roman"/>
                <w:lang w:val="en-GB"/>
              </w:rPr>
              <w:t>(0.008)</w:t>
            </w:r>
          </w:p>
        </w:tc>
      </w:tr>
      <w:tr w:rsidR="000678D3" w14:paraId="0DAA9D0A" w14:textId="77777777" w:rsidTr="00EC0753">
        <w:trPr>
          <w:jc w:val="center"/>
        </w:trPr>
        <w:tc>
          <w:tcPr>
            <w:tcW w:w="3531" w:type="dxa"/>
            <w:tcBorders>
              <w:top w:val="nil"/>
              <w:left w:val="nil"/>
              <w:bottom w:val="nil"/>
              <w:right w:val="nil"/>
            </w:tcBorders>
          </w:tcPr>
          <w:p w14:paraId="140B7684" w14:textId="77777777" w:rsidR="000678D3" w:rsidRDefault="000678D3" w:rsidP="000678D3">
            <w:pPr>
              <w:widowControl w:val="0"/>
              <w:autoSpaceDE w:val="0"/>
              <w:autoSpaceDN w:val="0"/>
              <w:adjustRightInd w:val="0"/>
              <w:rPr>
                <w:rFonts w:cs="Times New Roman"/>
                <w:lang w:val="en-GB"/>
              </w:rPr>
            </w:pPr>
            <w:r>
              <w:rPr>
                <w:rFonts w:cs="Times New Roman"/>
                <w:lang w:val="en-GB"/>
              </w:rPr>
              <w:t>extreme_heat_days_p90</w:t>
            </w:r>
          </w:p>
        </w:tc>
        <w:tc>
          <w:tcPr>
            <w:tcW w:w="1872" w:type="dxa"/>
            <w:tcBorders>
              <w:top w:val="nil"/>
              <w:left w:val="nil"/>
              <w:bottom w:val="nil"/>
              <w:right w:val="nil"/>
            </w:tcBorders>
          </w:tcPr>
          <w:p w14:paraId="16CE6C04"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1.002**</w:t>
            </w:r>
          </w:p>
        </w:tc>
        <w:tc>
          <w:tcPr>
            <w:tcW w:w="1872" w:type="dxa"/>
            <w:tcBorders>
              <w:top w:val="nil"/>
              <w:left w:val="nil"/>
              <w:bottom w:val="nil"/>
              <w:right w:val="nil"/>
            </w:tcBorders>
          </w:tcPr>
          <w:p w14:paraId="0812829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1.002**</w:t>
            </w:r>
          </w:p>
        </w:tc>
        <w:tc>
          <w:tcPr>
            <w:tcW w:w="1872" w:type="dxa"/>
            <w:tcBorders>
              <w:top w:val="nil"/>
              <w:left w:val="nil"/>
              <w:bottom w:val="nil"/>
              <w:right w:val="nil"/>
            </w:tcBorders>
          </w:tcPr>
          <w:p w14:paraId="49278F2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1.002**</w:t>
            </w:r>
          </w:p>
        </w:tc>
      </w:tr>
      <w:tr w:rsidR="000678D3" w14:paraId="64827077" w14:textId="77777777" w:rsidTr="00EC0753">
        <w:trPr>
          <w:jc w:val="center"/>
        </w:trPr>
        <w:tc>
          <w:tcPr>
            <w:tcW w:w="3531" w:type="dxa"/>
            <w:tcBorders>
              <w:top w:val="nil"/>
              <w:left w:val="nil"/>
              <w:bottom w:val="nil"/>
              <w:right w:val="nil"/>
            </w:tcBorders>
          </w:tcPr>
          <w:p w14:paraId="65573703"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5DE658A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68E34A4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72A5FA5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r>
      <w:tr w:rsidR="000678D3" w14:paraId="5BD9D563" w14:textId="77777777" w:rsidTr="00EC0753">
        <w:trPr>
          <w:jc w:val="center"/>
        </w:trPr>
        <w:tc>
          <w:tcPr>
            <w:tcW w:w="3531" w:type="dxa"/>
            <w:tcBorders>
              <w:top w:val="nil"/>
              <w:left w:val="nil"/>
              <w:bottom w:val="nil"/>
              <w:right w:val="nil"/>
            </w:tcBorders>
          </w:tcPr>
          <w:p w14:paraId="7B21655C"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avg_cmr_clean</w:t>
            </w:r>
            <w:proofErr w:type="spellEnd"/>
          </w:p>
        </w:tc>
        <w:tc>
          <w:tcPr>
            <w:tcW w:w="1872" w:type="dxa"/>
            <w:tcBorders>
              <w:top w:val="nil"/>
              <w:left w:val="nil"/>
              <w:bottom w:val="nil"/>
              <w:right w:val="nil"/>
            </w:tcBorders>
          </w:tcPr>
          <w:p w14:paraId="4B3A7C5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1.050***</w:t>
            </w:r>
          </w:p>
        </w:tc>
        <w:tc>
          <w:tcPr>
            <w:tcW w:w="1872" w:type="dxa"/>
            <w:tcBorders>
              <w:top w:val="nil"/>
              <w:left w:val="nil"/>
              <w:bottom w:val="nil"/>
              <w:right w:val="nil"/>
            </w:tcBorders>
          </w:tcPr>
          <w:p w14:paraId="1DC13AD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1.050***</w:t>
            </w:r>
          </w:p>
        </w:tc>
        <w:tc>
          <w:tcPr>
            <w:tcW w:w="1872" w:type="dxa"/>
            <w:tcBorders>
              <w:top w:val="nil"/>
              <w:left w:val="nil"/>
              <w:bottom w:val="nil"/>
              <w:right w:val="nil"/>
            </w:tcBorders>
          </w:tcPr>
          <w:p w14:paraId="18FA77FD"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1.049***</w:t>
            </w:r>
          </w:p>
        </w:tc>
      </w:tr>
      <w:tr w:rsidR="000678D3" w14:paraId="47418866" w14:textId="77777777" w:rsidTr="00EC0753">
        <w:trPr>
          <w:jc w:val="center"/>
        </w:trPr>
        <w:tc>
          <w:tcPr>
            <w:tcW w:w="3531" w:type="dxa"/>
            <w:tcBorders>
              <w:top w:val="nil"/>
              <w:left w:val="nil"/>
              <w:bottom w:val="nil"/>
              <w:right w:val="nil"/>
            </w:tcBorders>
          </w:tcPr>
          <w:p w14:paraId="4EDC24CF"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6E7CFDF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(0.008)</w:t>
            </w:r>
          </w:p>
        </w:tc>
        <w:tc>
          <w:tcPr>
            <w:tcW w:w="1872" w:type="dxa"/>
            <w:tcBorders>
              <w:top w:val="nil"/>
              <w:left w:val="nil"/>
              <w:bottom w:val="nil"/>
              <w:right w:val="nil"/>
            </w:tcBorders>
          </w:tcPr>
          <w:p w14:paraId="4C28456C"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(0.008)</w:t>
            </w:r>
          </w:p>
        </w:tc>
        <w:tc>
          <w:tcPr>
            <w:tcW w:w="1872" w:type="dxa"/>
            <w:tcBorders>
              <w:top w:val="nil"/>
              <w:left w:val="nil"/>
              <w:bottom w:val="nil"/>
              <w:right w:val="nil"/>
            </w:tcBorders>
          </w:tcPr>
          <w:p w14:paraId="3FFC25C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(0.008)</w:t>
            </w:r>
          </w:p>
        </w:tc>
      </w:tr>
      <w:tr w:rsidR="000678D3" w14:paraId="7127FC10" w14:textId="77777777" w:rsidTr="00EC0753">
        <w:trPr>
          <w:jc w:val="center"/>
        </w:trPr>
        <w:tc>
          <w:tcPr>
            <w:tcW w:w="3531" w:type="dxa"/>
            <w:tcBorders>
              <w:top w:val="nil"/>
              <w:left w:val="nil"/>
              <w:bottom w:val="nil"/>
              <w:right w:val="nil"/>
            </w:tcBorders>
          </w:tcPr>
          <w:p w14:paraId="381A93BC"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avg_cmr_mortality_clean</w:t>
            </w:r>
            <w:proofErr w:type="spellEnd"/>
          </w:p>
        </w:tc>
        <w:tc>
          <w:tcPr>
            <w:tcW w:w="1872" w:type="dxa"/>
            <w:tcBorders>
              <w:top w:val="nil"/>
              <w:left w:val="nil"/>
              <w:bottom w:val="nil"/>
              <w:right w:val="nil"/>
            </w:tcBorders>
          </w:tcPr>
          <w:p w14:paraId="6EA2759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0.943***</w:t>
            </w:r>
          </w:p>
        </w:tc>
        <w:tc>
          <w:tcPr>
            <w:tcW w:w="1872" w:type="dxa"/>
            <w:tcBorders>
              <w:top w:val="nil"/>
              <w:left w:val="nil"/>
              <w:bottom w:val="nil"/>
              <w:right w:val="nil"/>
            </w:tcBorders>
          </w:tcPr>
          <w:p w14:paraId="69867AC5"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0.943***</w:t>
            </w:r>
          </w:p>
        </w:tc>
        <w:tc>
          <w:tcPr>
            <w:tcW w:w="1872" w:type="dxa"/>
            <w:tcBorders>
              <w:top w:val="nil"/>
              <w:left w:val="nil"/>
              <w:bottom w:val="nil"/>
              <w:right w:val="nil"/>
            </w:tcBorders>
          </w:tcPr>
          <w:p w14:paraId="6720D212"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0.943***</w:t>
            </w:r>
          </w:p>
        </w:tc>
      </w:tr>
      <w:tr w:rsidR="000678D3" w14:paraId="7BD46EF2" w14:textId="77777777" w:rsidTr="00EC0753">
        <w:trPr>
          <w:jc w:val="center"/>
        </w:trPr>
        <w:tc>
          <w:tcPr>
            <w:tcW w:w="3531" w:type="dxa"/>
            <w:tcBorders>
              <w:top w:val="nil"/>
              <w:left w:val="nil"/>
              <w:bottom w:val="nil"/>
              <w:right w:val="nil"/>
            </w:tcBorders>
          </w:tcPr>
          <w:p w14:paraId="25FDF7DC"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1B1A8B1D"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(0.005)</w:t>
            </w:r>
          </w:p>
        </w:tc>
        <w:tc>
          <w:tcPr>
            <w:tcW w:w="1872" w:type="dxa"/>
            <w:tcBorders>
              <w:top w:val="nil"/>
              <w:left w:val="nil"/>
              <w:bottom w:val="nil"/>
              <w:right w:val="nil"/>
            </w:tcBorders>
          </w:tcPr>
          <w:p w14:paraId="6457A95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(0.005)</w:t>
            </w:r>
          </w:p>
        </w:tc>
        <w:tc>
          <w:tcPr>
            <w:tcW w:w="1872" w:type="dxa"/>
            <w:tcBorders>
              <w:top w:val="nil"/>
              <w:left w:val="nil"/>
              <w:bottom w:val="nil"/>
              <w:right w:val="nil"/>
            </w:tcBorders>
          </w:tcPr>
          <w:p w14:paraId="1208EF6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(0.005)</w:t>
            </w:r>
          </w:p>
        </w:tc>
      </w:tr>
      <w:tr w:rsidR="000678D3" w14:paraId="589D63B6" w14:textId="77777777" w:rsidTr="00EC0753">
        <w:trPr>
          <w:jc w:val="center"/>
        </w:trPr>
        <w:tc>
          <w:tcPr>
            <w:tcW w:w="3531" w:type="dxa"/>
            <w:tcBorders>
              <w:top w:val="nil"/>
              <w:left w:val="nil"/>
              <w:bottom w:val="nil"/>
              <w:right w:val="nil"/>
            </w:tcBorders>
          </w:tcPr>
          <w:p w14:paraId="1FB12CC8"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poverty_rate</w:t>
            </w:r>
            <w:proofErr w:type="spellEnd"/>
          </w:p>
        </w:tc>
        <w:tc>
          <w:tcPr>
            <w:tcW w:w="1872" w:type="dxa"/>
            <w:tcBorders>
              <w:top w:val="nil"/>
              <w:left w:val="nil"/>
              <w:bottom w:val="nil"/>
              <w:right w:val="nil"/>
            </w:tcBorders>
          </w:tcPr>
          <w:p w14:paraId="6B0FB9A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1.008***</w:t>
            </w:r>
          </w:p>
        </w:tc>
        <w:tc>
          <w:tcPr>
            <w:tcW w:w="1872" w:type="dxa"/>
            <w:tcBorders>
              <w:top w:val="nil"/>
              <w:left w:val="nil"/>
              <w:bottom w:val="nil"/>
              <w:right w:val="nil"/>
            </w:tcBorders>
          </w:tcPr>
          <w:p w14:paraId="555293C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1.008***</w:t>
            </w:r>
          </w:p>
        </w:tc>
        <w:tc>
          <w:tcPr>
            <w:tcW w:w="1872" w:type="dxa"/>
            <w:tcBorders>
              <w:top w:val="nil"/>
              <w:left w:val="nil"/>
              <w:bottom w:val="nil"/>
              <w:right w:val="nil"/>
            </w:tcBorders>
          </w:tcPr>
          <w:p w14:paraId="5BFB73FC"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1.008***</w:t>
            </w:r>
          </w:p>
        </w:tc>
      </w:tr>
      <w:tr w:rsidR="000678D3" w14:paraId="4F7C3E80" w14:textId="77777777" w:rsidTr="00EC0753">
        <w:trPr>
          <w:jc w:val="center"/>
        </w:trPr>
        <w:tc>
          <w:tcPr>
            <w:tcW w:w="3531" w:type="dxa"/>
            <w:tcBorders>
              <w:top w:val="nil"/>
              <w:left w:val="nil"/>
              <w:bottom w:val="nil"/>
              <w:right w:val="nil"/>
            </w:tcBorders>
          </w:tcPr>
          <w:p w14:paraId="29071CCD"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10E8BC9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(0.003)</w:t>
            </w:r>
          </w:p>
        </w:tc>
        <w:tc>
          <w:tcPr>
            <w:tcW w:w="1872" w:type="dxa"/>
            <w:tcBorders>
              <w:top w:val="nil"/>
              <w:left w:val="nil"/>
              <w:bottom w:val="nil"/>
              <w:right w:val="nil"/>
            </w:tcBorders>
          </w:tcPr>
          <w:p w14:paraId="4B97B7B5"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(0.003)</w:t>
            </w:r>
          </w:p>
        </w:tc>
        <w:tc>
          <w:tcPr>
            <w:tcW w:w="1872" w:type="dxa"/>
            <w:tcBorders>
              <w:top w:val="nil"/>
              <w:left w:val="nil"/>
              <w:bottom w:val="nil"/>
              <w:right w:val="nil"/>
            </w:tcBorders>
          </w:tcPr>
          <w:p w14:paraId="166F8634"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(0.003)</w:t>
            </w:r>
          </w:p>
        </w:tc>
      </w:tr>
      <w:tr w:rsidR="000678D3" w14:paraId="08BBB948" w14:textId="77777777" w:rsidTr="00EC0753">
        <w:trPr>
          <w:jc w:val="center"/>
        </w:trPr>
        <w:tc>
          <w:tcPr>
            <w:tcW w:w="3531" w:type="dxa"/>
            <w:tcBorders>
              <w:top w:val="nil"/>
              <w:left w:val="nil"/>
              <w:bottom w:val="nil"/>
              <w:right w:val="nil"/>
            </w:tcBorders>
          </w:tcPr>
          <w:p w14:paraId="6C768485"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pct_male</w:t>
            </w:r>
            <w:proofErr w:type="spellEnd"/>
          </w:p>
        </w:tc>
        <w:tc>
          <w:tcPr>
            <w:tcW w:w="1872" w:type="dxa"/>
            <w:tcBorders>
              <w:top w:val="nil"/>
              <w:left w:val="nil"/>
              <w:bottom w:val="nil"/>
              <w:right w:val="nil"/>
            </w:tcBorders>
          </w:tcPr>
          <w:p w14:paraId="19C6E23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1.006***</w:t>
            </w:r>
          </w:p>
        </w:tc>
        <w:tc>
          <w:tcPr>
            <w:tcW w:w="1872" w:type="dxa"/>
            <w:tcBorders>
              <w:top w:val="nil"/>
              <w:left w:val="nil"/>
              <w:bottom w:val="nil"/>
              <w:right w:val="nil"/>
            </w:tcBorders>
          </w:tcPr>
          <w:p w14:paraId="7DE15A94"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1.006***</w:t>
            </w:r>
          </w:p>
        </w:tc>
        <w:tc>
          <w:tcPr>
            <w:tcW w:w="1872" w:type="dxa"/>
            <w:tcBorders>
              <w:top w:val="nil"/>
              <w:left w:val="nil"/>
              <w:bottom w:val="nil"/>
              <w:right w:val="nil"/>
            </w:tcBorders>
          </w:tcPr>
          <w:p w14:paraId="495CD09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1.006***</w:t>
            </w:r>
          </w:p>
        </w:tc>
      </w:tr>
      <w:tr w:rsidR="000678D3" w14:paraId="381887CD" w14:textId="77777777" w:rsidTr="00EC0753">
        <w:trPr>
          <w:jc w:val="center"/>
        </w:trPr>
        <w:tc>
          <w:tcPr>
            <w:tcW w:w="3531" w:type="dxa"/>
            <w:tcBorders>
              <w:top w:val="nil"/>
              <w:left w:val="nil"/>
              <w:bottom w:val="nil"/>
              <w:right w:val="nil"/>
            </w:tcBorders>
          </w:tcPr>
          <w:p w14:paraId="24BFB302"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694321E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4F777986"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357DD9C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r>
      <w:tr w:rsidR="000678D3" w14:paraId="5D89BC27" w14:textId="77777777" w:rsidTr="00EC0753">
        <w:trPr>
          <w:jc w:val="center"/>
        </w:trPr>
        <w:tc>
          <w:tcPr>
            <w:tcW w:w="3531" w:type="dxa"/>
            <w:tcBorders>
              <w:top w:val="nil"/>
              <w:left w:val="nil"/>
              <w:bottom w:val="nil"/>
              <w:right w:val="nil"/>
            </w:tcBorders>
          </w:tcPr>
          <w:p w14:paraId="201E9B84" w14:textId="77777777" w:rsidR="000678D3" w:rsidRDefault="000678D3" w:rsidP="000678D3">
            <w:pPr>
              <w:widowControl w:val="0"/>
              <w:autoSpaceDE w:val="0"/>
              <w:autoSpaceDN w:val="0"/>
              <w:adjustRightInd w:val="0"/>
              <w:rPr>
                <w:rFonts w:cs="Times New Roman"/>
                <w:lang w:val="en-GB"/>
              </w:rPr>
            </w:pPr>
            <w:r>
              <w:rPr>
                <w:rFonts w:cs="Times New Roman"/>
                <w:lang w:val="en-GB"/>
              </w:rPr>
              <w:t>median_income_1k</w:t>
            </w:r>
          </w:p>
        </w:tc>
        <w:tc>
          <w:tcPr>
            <w:tcW w:w="1872" w:type="dxa"/>
            <w:tcBorders>
              <w:top w:val="nil"/>
              <w:left w:val="nil"/>
              <w:bottom w:val="nil"/>
              <w:right w:val="nil"/>
            </w:tcBorders>
          </w:tcPr>
          <w:p w14:paraId="5140DAD6"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1.002*</w:t>
            </w:r>
          </w:p>
        </w:tc>
        <w:tc>
          <w:tcPr>
            <w:tcW w:w="1872" w:type="dxa"/>
            <w:tcBorders>
              <w:top w:val="nil"/>
              <w:left w:val="nil"/>
              <w:bottom w:val="nil"/>
              <w:right w:val="nil"/>
            </w:tcBorders>
          </w:tcPr>
          <w:p w14:paraId="4018335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1.002*</w:t>
            </w:r>
          </w:p>
        </w:tc>
        <w:tc>
          <w:tcPr>
            <w:tcW w:w="1872" w:type="dxa"/>
            <w:tcBorders>
              <w:top w:val="nil"/>
              <w:left w:val="nil"/>
              <w:bottom w:val="nil"/>
              <w:right w:val="nil"/>
            </w:tcBorders>
          </w:tcPr>
          <w:p w14:paraId="7B75494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1.002*</w:t>
            </w:r>
          </w:p>
        </w:tc>
      </w:tr>
      <w:tr w:rsidR="000678D3" w14:paraId="42EE50B3" w14:textId="77777777" w:rsidTr="00EC0753">
        <w:trPr>
          <w:jc w:val="center"/>
        </w:trPr>
        <w:tc>
          <w:tcPr>
            <w:tcW w:w="3531" w:type="dxa"/>
            <w:tcBorders>
              <w:top w:val="nil"/>
              <w:left w:val="nil"/>
              <w:bottom w:val="nil"/>
              <w:right w:val="nil"/>
            </w:tcBorders>
          </w:tcPr>
          <w:p w14:paraId="08041264"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1F42413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4BCCF8B4"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116DF8C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r>
      <w:tr w:rsidR="000678D3" w14:paraId="6E01CCF6" w14:textId="77777777" w:rsidTr="00EC0753">
        <w:trPr>
          <w:jc w:val="center"/>
        </w:trPr>
        <w:tc>
          <w:tcPr>
            <w:tcW w:w="3531" w:type="dxa"/>
            <w:tcBorders>
              <w:top w:val="nil"/>
              <w:left w:val="nil"/>
              <w:bottom w:val="nil"/>
              <w:right w:val="nil"/>
            </w:tcBorders>
          </w:tcPr>
          <w:p w14:paraId="4B9AAB68"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black_pct</w:t>
            </w:r>
            <w:proofErr w:type="spellEnd"/>
          </w:p>
        </w:tc>
        <w:tc>
          <w:tcPr>
            <w:tcW w:w="1872" w:type="dxa"/>
            <w:tcBorders>
              <w:top w:val="nil"/>
              <w:left w:val="nil"/>
              <w:bottom w:val="nil"/>
              <w:right w:val="nil"/>
            </w:tcBorders>
          </w:tcPr>
          <w:p w14:paraId="07AEA075"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0.988</w:t>
            </w:r>
          </w:p>
        </w:tc>
        <w:tc>
          <w:tcPr>
            <w:tcW w:w="1872" w:type="dxa"/>
            <w:tcBorders>
              <w:top w:val="nil"/>
              <w:left w:val="nil"/>
              <w:bottom w:val="nil"/>
              <w:right w:val="nil"/>
            </w:tcBorders>
          </w:tcPr>
          <w:p w14:paraId="514E5CA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0.959</w:t>
            </w:r>
          </w:p>
        </w:tc>
        <w:tc>
          <w:tcPr>
            <w:tcW w:w="1872" w:type="dxa"/>
            <w:tcBorders>
              <w:top w:val="nil"/>
              <w:left w:val="nil"/>
              <w:bottom w:val="nil"/>
              <w:right w:val="nil"/>
            </w:tcBorders>
          </w:tcPr>
          <w:p w14:paraId="46455CB1"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0.981</w:t>
            </w:r>
          </w:p>
        </w:tc>
      </w:tr>
      <w:tr w:rsidR="000678D3" w14:paraId="0B199296" w14:textId="77777777" w:rsidTr="00EC0753">
        <w:trPr>
          <w:jc w:val="center"/>
        </w:trPr>
        <w:tc>
          <w:tcPr>
            <w:tcW w:w="3531" w:type="dxa"/>
            <w:tcBorders>
              <w:top w:val="nil"/>
              <w:left w:val="nil"/>
              <w:bottom w:val="nil"/>
              <w:right w:val="nil"/>
            </w:tcBorders>
          </w:tcPr>
          <w:p w14:paraId="5620F154"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48D6F60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(0.296)</w:t>
            </w:r>
          </w:p>
        </w:tc>
        <w:tc>
          <w:tcPr>
            <w:tcW w:w="1872" w:type="dxa"/>
            <w:tcBorders>
              <w:top w:val="nil"/>
              <w:left w:val="nil"/>
              <w:bottom w:val="nil"/>
              <w:right w:val="nil"/>
            </w:tcBorders>
          </w:tcPr>
          <w:p w14:paraId="79A8AA6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(0.289)</w:t>
            </w:r>
          </w:p>
        </w:tc>
        <w:tc>
          <w:tcPr>
            <w:tcW w:w="1872" w:type="dxa"/>
            <w:tcBorders>
              <w:top w:val="nil"/>
              <w:left w:val="nil"/>
              <w:bottom w:val="nil"/>
              <w:right w:val="nil"/>
            </w:tcBorders>
          </w:tcPr>
          <w:p w14:paraId="569E1F0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(0.294)</w:t>
            </w:r>
          </w:p>
        </w:tc>
      </w:tr>
      <w:tr w:rsidR="000678D3" w14:paraId="1FC49745" w14:textId="77777777" w:rsidTr="00EC0753">
        <w:trPr>
          <w:jc w:val="center"/>
        </w:trPr>
        <w:tc>
          <w:tcPr>
            <w:tcW w:w="3531" w:type="dxa"/>
            <w:tcBorders>
              <w:top w:val="nil"/>
              <w:left w:val="nil"/>
              <w:bottom w:val="nil"/>
              <w:right w:val="nil"/>
            </w:tcBorders>
          </w:tcPr>
          <w:p w14:paraId="6F1930B3"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asian_pct</w:t>
            </w:r>
            <w:proofErr w:type="spellEnd"/>
          </w:p>
        </w:tc>
        <w:tc>
          <w:tcPr>
            <w:tcW w:w="1872" w:type="dxa"/>
            <w:tcBorders>
              <w:top w:val="nil"/>
              <w:left w:val="nil"/>
              <w:bottom w:val="nil"/>
              <w:right w:val="nil"/>
            </w:tcBorders>
          </w:tcPr>
          <w:p w14:paraId="346E235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0.323**</w:t>
            </w:r>
          </w:p>
        </w:tc>
        <w:tc>
          <w:tcPr>
            <w:tcW w:w="1872" w:type="dxa"/>
            <w:tcBorders>
              <w:top w:val="nil"/>
              <w:left w:val="nil"/>
              <w:bottom w:val="nil"/>
              <w:right w:val="nil"/>
            </w:tcBorders>
          </w:tcPr>
          <w:p w14:paraId="004D774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0.331**</w:t>
            </w:r>
          </w:p>
        </w:tc>
        <w:tc>
          <w:tcPr>
            <w:tcW w:w="1872" w:type="dxa"/>
            <w:tcBorders>
              <w:top w:val="nil"/>
              <w:left w:val="nil"/>
              <w:bottom w:val="nil"/>
              <w:right w:val="nil"/>
            </w:tcBorders>
          </w:tcPr>
          <w:p w14:paraId="36E58FA6"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0.323**</w:t>
            </w:r>
          </w:p>
        </w:tc>
      </w:tr>
      <w:tr w:rsidR="000678D3" w14:paraId="2DBAA280" w14:textId="77777777" w:rsidTr="00EC0753">
        <w:trPr>
          <w:jc w:val="center"/>
        </w:trPr>
        <w:tc>
          <w:tcPr>
            <w:tcW w:w="3531" w:type="dxa"/>
            <w:tcBorders>
              <w:top w:val="nil"/>
              <w:left w:val="nil"/>
              <w:bottom w:val="nil"/>
              <w:right w:val="nil"/>
            </w:tcBorders>
          </w:tcPr>
          <w:p w14:paraId="53EBEA43"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1C86EF06"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(0.154)</w:t>
            </w:r>
          </w:p>
        </w:tc>
        <w:tc>
          <w:tcPr>
            <w:tcW w:w="1872" w:type="dxa"/>
            <w:tcBorders>
              <w:top w:val="nil"/>
              <w:left w:val="nil"/>
              <w:bottom w:val="nil"/>
              <w:right w:val="nil"/>
            </w:tcBorders>
          </w:tcPr>
          <w:p w14:paraId="7F8C751E"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(0.157)</w:t>
            </w:r>
          </w:p>
        </w:tc>
        <w:tc>
          <w:tcPr>
            <w:tcW w:w="1872" w:type="dxa"/>
            <w:tcBorders>
              <w:top w:val="nil"/>
              <w:left w:val="nil"/>
              <w:bottom w:val="nil"/>
              <w:right w:val="nil"/>
            </w:tcBorders>
          </w:tcPr>
          <w:p w14:paraId="4A760C1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(0.154)</w:t>
            </w:r>
          </w:p>
        </w:tc>
      </w:tr>
      <w:tr w:rsidR="000678D3" w14:paraId="3A94F04C" w14:textId="77777777" w:rsidTr="00EC0753">
        <w:trPr>
          <w:jc w:val="center"/>
        </w:trPr>
        <w:tc>
          <w:tcPr>
            <w:tcW w:w="3531" w:type="dxa"/>
            <w:tcBorders>
              <w:top w:val="nil"/>
              <w:left w:val="nil"/>
              <w:bottom w:val="nil"/>
              <w:right w:val="nil"/>
            </w:tcBorders>
          </w:tcPr>
          <w:p w14:paraId="6BF8E1AA"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pct_medicaid</w:t>
            </w:r>
            <w:proofErr w:type="spellEnd"/>
          </w:p>
        </w:tc>
        <w:tc>
          <w:tcPr>
            <w:tcW w:w="1872" w:type="dxa"/>
            <w:tcBorders>
              <w:top w:val="nil"/>
              <w:left w:val="nil"/>
              <w:bottom w:val="nil"/>
              <w:right w:val="nil"/>
            </w:tcBorders>
          </w:tcPr>
          <w:p w14:paraId="45F61671"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1.010***</w:t>
            </w:r>
          </w:p>
        </w:tc>
        <w:tc>
          <w:tcPr>
            <w:tcW w:w="1872" w:type="dxa"/>
            <w:tcBorders>
              <w:top w:val="nil"/>
              <w:left w:val="nil"/>
              <w:bottom w:val="nil"/>
              <w:right w:val="nil"/>
            </w:tcBorders>
          </w:tcPr>
          <w:p w14:paraId="0CC7C53F"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1.010***</w:t>
            </w:r>
          </w:p>
        </w:tc>
        <w:tc>
          <w:tcPr>
            <w:tcW w:w="1872" w:type="dxa"/>
            <w:tcBorders>
              <w:top w:val="nil"/>
              <w:left w:val="nil"/>
              <w:bottom w:val="nil"/>
              <w:right w:val="nil"/>
            </w:tcBorders>
          </w:tcPr>
          <w:p w14:paraId="66E6AD58"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1.010***</w:t>
            </w:r>
          </w:p>
        </w:tc>
      </w:tr>
      <w:tr w:rsidR="000678D3" w14:paraId="7DA167B0" w14:textId="77777777" w:rsidTr="00EC0753">
        <w:trPr>
          <w:jc w:val="center"/>
        </w:trPr>
        <w:tc>
          <w:tcPr>
            <w:tcW w:w="3531" w:type="dxa"/>
            <w:tcBorders>
              <w:top w:val="nil"/>
              <w:left w:val="nil"/>
              <w:bottom w:val="nil"/>
              <w:right w:val="nil"/>
            </w:tcBorders>
          </w:tcPr>
          <w:p w14:paraId="7ED35997"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0D20E8B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428CC637"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c>
          <w:tcPr>
            <w:tcW w:w="1872" w:type="dxa"/>
            <w:tcBorders>
              <w:top w:val="nil"/>
              <w:left w:val="nil"/>
              <w:bottom w:val="nil"/>
              <w:right w:val="nil"/>
            </w:tcBorders>
          </w:tcPr>
          <w:p w14:paraId="2D9D10FC"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(0.001)</w:t>
            </w:r>
          </w:p>
        </w:tc>
      </w:tr>
      <w:tr w:rsidR="000678D3" w14:paraId="361110C5" w14:textId="77777777" w:rsidTr="00EC0753">
        <w:trPr>
          <w:jc w:val="center"/>
        </w:trPr>
        <w:tc>
          <w:tcPr>
            <w:tcW w:w="3531" w:type="dxa"/>
            <w:tcBorders>
              <w:top w:val="nil"/>
              <w:left w:val="nil"/>
              <w:bottom w:val="nil"/>
              <w:right w:val="nil"/>
            </w:tcBorders>
          </w:tcPr>
          <w:p w14:paraId="3413CA77" w14:textId="77777777" w:rsidR="000678D3" w:rsidRDefault="000678D3" w:rsidP="000678D3">
            <w:pPr>
              <w:widowControl w:val="0"/>
              <w:autoSpaceDE w:val="0"/>
              <w:autoSpaceDN w:val="0"/>
              <w:adjustRightInd w:val="0"/>
              <w:rPr>
                <w:rFonts w:cs="Times New Roman"/>
                <w:lang w:val="en-GB"/>
              </w:rPr>
            </w:pPr>
            <w:proofErr w:type="spellStart"/>
            <w:r>
              <w:rPr>
                <w:rFonts w:cs="Times New Roman"/>
                <w:lang w:val="en-GB"/>
              </w:rPr>
              <w:t>pct_uninsured</w:t>
            </w:r>
            <w:proofErr w:type="spellEnd"/>
          </w:p>
        </w:tc>
        <w:tc>
          <w:tcPr>
            <w:tcW w:w="1872" w:type="dxa"/>
            <w:tcBorders>
              <w:top w:val="nil"/>
              <w:left w:val="nil"/>
              <w:bottom w:val="nil"/>
              <w:right w:val="nil"/>
            </w:tcBorders>
          </w:tcPr>
          <w:p w14:paraId="764B16E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1.009***</w:t>
            </w:r>
          </w:p>
        </w:tc>
        <w:tc>
          <w:tcPr>
            <w:tcW w:w="1872" w:type="dxa"/>
            <w:tcBorders>
              <w:top w:val="nil"/>
              <w:left w:val="nil"/>
              <w:bottom w:val="nil"/>
              <w:right w:val="nil"/>
            </w:tcBorders>
          </w:tcPr>
          <w:p w14:paraId="39BAE72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1.009***</w:t>
            </w:r>
          </w:p>
        </w:tc>
        <w:tc>
          <w:tcPr>
            <w:tcW w:w="1872" w:type="dxa"/>
            <w:tcBorders>
              <w:top w:val="nil"/>
              <w:left w:val="nil"/>
              <w:bottom w:val="nil"/>
              <w:right w:val="nil"/>
            </w:tcBorders>
          </w:tcPr>
          <w:p w14:paraId="5241817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1.009***</w:t>
            </w:r>
          </w:p>
        </w:tc>
      </w:tr>
      <w:tr w:rsidR="000678D3" w14:paraId="3337B4FA" w14:textId="77777777" w:rsidTr="00EC0753">
        <w:trPr>
          <w:jc w:val="center"/>
        </w:trPr>
        <w:tc>
          <w:tcPr>
            <w:tcW w:w="3531" w:type="dxa"/>
            <w:tcBorders>
              <w:top w:val="nil"/>
              <w:left w:val="nil"/>
              <w:bottom w:val="nil"/>
              <w:right w:val="nil"/>
            </w:tcBorders>
          </w:tcPr>
          <w:p w14:paraId="47BD1B2D"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3CC85D5F"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(0.003)</w:t>
            </w:r>
          </w:p>
        </w:tc>
        <w:tc>
          <w:tcPr>
            <w:tcW w:w="1872" w:type="dxa"/>
            <w:tcBorders>
              <w:top w:val="nil"/>
              <w:left w:val="nil"/>
              <w:bottom w:val="nil"/>
              <w:right w:val="nil"/>
            </w:tcBorders>
          </w:tcPr>
          <w:p w14:paraId="6DB2DF0C"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(0.003)</w:t>
            </w:r>
          </w:p>
        </w:tc>
        <w:tc>
          <w:tcPr>
            <w:tcW w:w="1872" w:type="dxa"/>
            <w:tcBorders>
              <w:top w:val="nil"/>
              <w:left w:val="nil"/>
              <w:bottom w:val="nil"/>
              <w:right w:val="nil"/>
            </w:tcBorders>
          </w:tcPr>
          <w:p w14:paraId="0223D1E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(0.003)</w:t>
            </w:r>
          </w:p>
        </w:tc>
      </w:tr>
      <w:tr w:rsidR="000678D3" w14:paraId="6BCEC058" w14:textId="77777777" w:rsidTr="00EC0753">
        <w:trPr>
          <w:jc w:val="center"/>
        </w:trPr>
        <w:tc>
          <w:tcPr>
            <w:tcW w:w="3531" w:type="dxa"/>
            <w:tcBorders>
              <w:top w:val="nil"/>
              <w:left w:val="nil"/>
              <w:bottom w:val="nil"/>
              <w:right w:val="nil"/>
            </w:tcBorders>
          </w:tcPr>
          <w:p w14:paraId="7B26A78C" w14:textId="46D3DAC5" w:rsidR="000678D3" w:rsidRDefault="000678D3" w:rsidP="000678D3">
            <w:pPr>
              <w:widowControl w:val="0"/>
              <w:autoSpaceDE w:val="0"/>
              <w:autoSpaceDN w:val="0"/>
              <w:adjustRightInd w:val="0"/>
              <w:rPr>
                <w:rFonts w:cs="Times New Roman"/>
                <w:lang w:val="en-GB"/>
              </w:rPr>
            </w:pPr>
            <w:r>
              <w:rPr>
                <w:rFonts w:cs="Times New Roman"/>
                <w:lang w:val="en-GB"/>
              </w:rPr>
              <w:t>psych_100k</w:t>
            </w:r>
          </w:p>
        </w:tc>
        <w:tc>
          <w:tcPr>
            <w:tcW w:w="1872" w:type="dxa"/>
            <w:tcBorders>
              <w:top w:val="nil"/>
              <w:left w:val="nil"/>
              <w:bottom w:val="nil"/>
              <w:right w:val="nil"/>
            </w:tcBorders>
          </w:tcPr>
          <w:p w14:paraId="14F696B4"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1.024***</w:t>
            </w:r>
          </w:p>
        </w:tc>
        <w:tc>
          <w:tcPr>
            <w:tcW w:w="1872" w:type="dxa"/>
            <w:tcBorders>
              <w:top w:val="nil"/>
              <w:left w:val="nil"/>
              <w:bottom w:val="nil"/>
              <w:right w:val="nil"/>
            </w:tcBorders>
          </w:tcPr>
          <w:p w14:paraId="53003FFF"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1.025***</w:t>
            </w:r>
          </w:p>
        </w:tc>
        <w:tc>
          <w:tcPr>
            <w:tcW w:w="1872" w:type="dxa"/>
            <w:tcBorders>
              <w:top w:val="nil"/>
              <w:left w:val="nil"/>
              <w:bottom w:val="nil"/>
              <w:right w:val="nil"/>
            </w:tcBorders>
          </w:tcPr>
          <w:p w14:paraId="4BA3F3D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1.024***</w:t>
            </w:r>
          </w:p>
        </w:tc>
      </w:tr>
      <w:tr w:rsidR="000678D3" w14:paraId="50B919D2" w14:textId="77777777" w:rsidTr="00EC0753">
        <w:trPr>
          <w:jc w:val="center"/>
        </w:trPr>
        <w:tc>
          <w:tcPr>
            <w:tcW w:w="3531" w:type="dxa"/>
            <w:tcBorders>
              <w:top w:val="nil"/>
              <w:left w:val="nil"/>
              <w:bottom w:val="nil"/>
              <w:right w:val="nil"/>
            </w:tcBorders>
          </w:tcPr>
          <w:p w14:paraId="75B5DB1D"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5CA3DDFF"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(0.006)</w:t>
            </w:r>
          </w:p>
        </w:tc>
        <w:tc>
          <w:tcPr>
            <w:tcW w:w="1872" w:type="dxa"/>
            <w:tcBorders>
              <w:top w:val="nil"/>
              <w:left w:val="nil"/>
              <w:bottom w:val="nil"/>
              <w:right w:val="nil"/>
            </w:tcBorders>
          </w:tcPr>
          <w:p w14:paraId="15886039"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(0.005)</w:t>
            </w:r>
          </w:p>
        </w:tc>
        <w:tc>
          <w:tcPr>
            <w:tcW w:w="1872" w:type="dxa"/>
            <w:tcBorders>
              <w:top w:val="nil"/>
              <w:left w:val="nil"/>
              <w:bottom w:val="nil"/>
              <w:right w:val="nil"/>
            </w:tcBorders>
          </w:tcPr>
          <w:p w14:paraId="2BE0235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(0.006)</w:t>
            </w:r>
          </w:p>
        </w:tc>
      </w:tr>
      <w:tr w:rsidR="000678D3" w14:paraId="18FAF3EB" w14:textId="77777777" w:rsidTr="00EC0753">
        <w:trPr>
          <w:jc w:val="center"/>
        </w:trPr>
        <w:tc>
          <w:tcPr>
            <w:tcW w:w="3531" w:type="dxa"/>
            <w:tcBorders>
              <w:top w:val="nil"/>
              <w:left w:val="nil"/>
              <w:bottom w:val="nil"/>
              <w:right w:val="nil"/>
            </w:tcBorders>
          </w:tcPr>
          <w:p w14:paraId="08A34C7F" w14:textId="77777777" w:rsidR="000678D3" w:rsidRDefault="000678D3" w:rsidP="000678D3">
            <w:pPr>
              <w:widowControl w:val="0"/>
              <w:autoSpaceDE w:val="0"/>
              <w:autoSpaceDN w:val="0"/>
              <w:adjustRightInd w:val="0"/>
              <w:rPr>
                <w:rFonts w:cs="Times New Roman"/>
                <w:lang w:val="en-GB"/>
              </w:rPr>
            </w:pPr>
          </w:p>
        </w:tc>
        <w:tc>
          <w:tcPr>
            <w:tcW w:w="1872" w:type="dxa"/>
            <w:tcBorders>
              <w:top w:val="nil"/>
              <w:left w:val="nil"/>
              <w:bottom w:val="nil"/>
              <w:right w:val="nil"/>
            </w:tcBorders>
          </w:tcPr>
          <w:p w14:paraId="7BBA6745"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3918B8AE" w14:textId="77777777" w:rsidR="000678D3" w:rsidRDefault="000678D3" w:rsidP="000678D3">
            <w:pPr>
              <w:widowControl w:val="0"/>
              <w:autoSpaceDE w:val="0"/>
              <w:autoSpaceDN w:val="0"/>
              <w:adjustRightInd w:val="0"/>
              <w:jc w:val="center"/>
              <w:rPr>
                <w:rFonts w:cs="Times New Roman"/>
                <w:lang w:val="en-GB"/>
              </w:rPr>
            </w:pPr>
          </w:p>
        </w:tc>
        <w:tc>
          <w:tcPr>
            <w:tcW w:w="1872" w:type="dxa"/>
            <w:tcBorders>
              <w:top w:val="nil"/>
              <w:left w:val="nil"/>
              <w:bottom w:val="nil"/>
              <w:right w:val="nil"/>
            </w:tcBorders>
          </w:tcPr>
          <w:p w14:paraId="0471B35F" w14:textId="77777777" w:rsidR="000678D3" w:rsidRDefault="000678D3" w:rsidP="000678D3">
            <w:pPr>
              <w:widowControl w:val="0"/>
              <w:autoSpaceDE w:val="0"/>
              <w:autoSpaceDN w:val="0"/>
              <w:adjustRightInd w:val="0"/>
              <w:jc w:val="center"/>
              <w:rPr>
                <w:rFonts w:cs="Times New Roman"/>
                <w:lang w:val="en-GB"/>
              </w:rPr>
            </w:pPr>
          </w:p>
        </w:tc>
      </w:tr>
      <w:tr w:rsidR="000678D3" w14:paraId="4FA9B210" w14:textId="77777777" w:rsidTr="00EC0753">
        <w:trPr>
          <w:jc w:val="center"/>
        </w:trPr>
        <w:tc>
          <w:tcPr>
            <w:tcW w:w="3531" w:type="dxa"/>
            <w:tcBorders>
              <w:top w:val="nil"/>
              <w:left w:val="nil"/>
              <w:bottom w:val="nil"/>
              <w:right w:val="nil"/>
            </w:tcBorders>
          </w:tcPr>
          <w:p w14:paraId="6E6C3EE2" w14:textId="77777777" w:rsidR="000678D3" w:rsidRDefault="000678D3" w:rsidP="000678D3">
            <w:pPr>
              <w:widowControl w:val="0"/>
              <w:autoSpaceDE w:val="0"/>
              <w:autoSpaceDN w:val="0"/>
              <w:adjustRightInd w:val="0"/>
              <w:rPr>
                <w:rFonts w:cs="Times New Roman"/>
                <w:lang w:val="en-GB"/>
              </w:rPr>
            </w:pPr>
            <w:r>
              <w:rPr>
                <w:rFonts w:cs="Times New Roman"/>
                <w:lang w:val="en-GB"/>
              </w:rPr>
              <w:t>Observations</w:t>
            </w:r>
          </w:p>
        </w:tc>
        <w:tc>
          <w:tcPr>
            <w:tcW w:w="1872" w:type="dxa"/>
            <w:tcBorders>
              <w:top w:val="nil"/>
              <w:left w:val="nil"/>
              <w:bottom w:val="nil"/>
              <w:right w:val="nil"/>
            </w:tcBorders>
          </w:tcPr>
          <w:p w14:paraId="49B54D0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8,152</w:t>
            </w:r>
          </w:p>
        </w:tc>
        <w:tc>
          <w:tcPr>
            <w:tcW w:w="1872" w:type="dxa"/>
            <w:tcBorders>
              <w:top w:val="nil"/>
              <w:left w:val="nil"/>
              <w:bottom w:val="nil"/>
              <w:right w:val="nil"/>
            </w:tcBorders>
          </w:tcPr>
          <w:p w14:paraId="4B57DE3A"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8,152</w:t>
            </w:r>
          </w:p>
        </w:tc>
        <w:tc>
          <w:tcPr>
            <w:tcW w:w="1872" w:type="dxa"/>
            <w:tcBorders>
              <w:top w:val="nil"/>
              <w:left w:val="nil"/>
              <w:bottom w:val="nil"/>
              <w:right w:val="nil"/>
            </w:tcBorders>
          </w:tcPr>
          <w:p w14:paraId="04F5402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8,152</w:t>
            </w:r>
          </w:p>
        </w:tc>
      </w:tr>
      <w:tr w:rsidR="000678D3" w14:paraId="0E037E6F" w14:textId="77777777" w:rsidTr="00EC0753">
        <w:trPr>
          <w:jc w:val="center"/>
        </w:trPr>
        <w:tc>
          <w:tcPr>
            <w:tcW w:w="3531" w:type="dxa"/>
            <w:tcBorders>
              <w:top w:val="nil"/>
              <w:left w:val="nil"/>
              <w:bottom w:val="nil"/>
              <w:right w:val="nil"/>
            </w:tcBorders>
          </w:tcPr>
          <w:p w14:paraId="3C20F09F" w14:textId="77777777" w:rsidR="000678D3" w:rsidRDefault="000678D3" w:rsidP="000678D3">
            <w:pPr>
              <w:widowControl w:val="0"/>
              <w:autoSpaceDE w:val="0"/>
              <w:autoSpaceDN w:val="0"/>
              <w:adjustRightInd w:val="0"/>
              <w:rPr>
                <w:rFonts w:cs="Times New Roman"/>
                <w:lang w:val="en-GB"/>
              </w:rPr>
            </w:pPr>
            <w:r>
              <w:rPr>
                <w:rFonts w:cs="Times New Roman"/>
                <w:lang w:val="en-GB"/>
              </w:rPr>
              <w:t>ZIP FE</w:t>
            </w:r>
          </w:p>
        </w:tc>
        <w:tc>
          <w:tcPr>
            <w:tcW w:w="1872" w:type="dxa"/>
            <w:tcBorders>
              <w:top w:val="nil"/>
              <w:left w:val="nil"/>
              <w:bottom w:val="nil"/>
              <w:right w:val="nil"/>
            </w:tcBorders>
          </w:tcPr>
          <w:p w14:paraId="56BBD15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YES</w:t>
            </w:r>
          </w:p>
        </w:tc>
        <w:tc>
          <w:tcPr>
            <w:tcW w:w="1872" w:type="dxa"/>
            <w:tcBorders>
              <w:top w:val="nil"/>
              <w:left w:val="nil"/>
              <w:bottom w:val="nil"/>
              <w:right w:val="nil"/>
            </w:tcBorders>
          </w:tcPr>
          <w:p w14:paraId="7E59C3D3"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YES</w:t>
            </w:r>
          </w:p>
        </w:tc>
        <w:tc>
          <w:tcPr>
            <w:tcW w:w="1872" w:type="dxa"/>
            <w:tcBorders>
              <w:top w:val="nil"/>
              <w:left w:val="nil"/>
              <w:bottom w:val="nil"/>
              <w:right w:val="nil"/>
            </w:tcBorders>
          </w:tcPr>
          <w:p w14:paraId="54BA66B8"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YES</w:t>
            </w:r>
          </w:p>
        </w:tc>
      </w:tr>
      <w:tr w:rsidR="000678D3" w14:paraId="5A981E56" w14:textId="77777777" w:rsidTr="00EC0753">
        <w:trPr>
          <w:jc w:val="center"/>
        </w:trPr>
        <w:tc>
          <w:tcPr>
            <w:tcW w:w="3531" w:type="dxa"/>
            <w:tcBorders>
              <w:top w:val="nil"/>
              <w:left w:val="nil"/>
              <w:bottom w:val="nil"/>
              <w:right w:val="nil"/>
            </w:tcBorders>
          </w:tcPr>
          <w:p w14:paraId="371616C8" w14:textId="5E025B88" w:rsidR="000678D3" w:rsidRPr="00EC0753" w:rsidRDefault="000678D3" w:rsidP="000678D3">
            <w:pPr>
              <w:widowControl w:val="0"/>
              <w:autoSpaceDE w:val="0"/>
              <w:autoSpaceDN w:val="0"/>
              <w:adjustRightInd w:val="0"/>
              <w:rPr>
                <w:rFonts w:cs="Times New Roman"/>
              </w:rPr>
            </w:pPr>
            <w:r>
              <w:rPr>
                <w:rFonts w:cs="Times New Roman" w:hint="eastAsia"/>
                <w:lang w:val="en-GB"/>
              </w:rPr>
              <w:t>Year</w:t>
            </w:r>
            <w:r>
              <w:rPr>
                <w:rFonts w:cs="Times New Roman"/>
                <w:lang w:val="en-GB"/>
              </w:rPr>
              <w:t>*</w:t>
            </w:r>
            <w:r>
              <w:rPr>
                <w:rFonts w:cs="Times New Roman" w:hint="eastAsia"/>
                <w:lang w:val="en-GB"/>
              </w:rPr>
              <w:t xml:space="preserve">Quarter </w:t>
            </w:r>
          </w:p>
        </w:tc>
        <w:tc>
          <w:tcPr>
            <w:tcW w:w="1872" w:type="dxa"/>
            <w:tcBorders>
              <w:top w:val="nil"/>
              <w:left w:val="nil"/>
              <w:bottom w:val="nil"/>
              <w:right w:val="nil"/>
            </w:tcBorders>
          </w:tcPr>
          <w:p w14:paraId="6574C1CF"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YES</w:t>
            </w:r>
          </w:p>
        </w:tc>
        <w:tc>
          <w:tcPr>
            <w:tcW w:w="1872" w:type="dxa"/>
            <w:tcBorders>
              <w:top w:val="nil"/>
              <w:left w:val="nil"/>
              <w:bottom w:val="nil"/>
              <w:right w:val="nil"/>
            </w:tcBorders>
          </w:tcPr>
          <w:p w14:paraId="4B3C0328"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YES</w:t>
            </w:r>
          </w:p>
        </w:tc>
        <w:tc>
          <w:tcPr>
            <w:tcW w:w="1872" w:type="dxa"/>
            <w:tcBorders>
              <w:top w:val="nil"/>
              <w:left w:val="nil"/>
              <w:bottom w:val="nil"/>
              <w:right w:val="nil"/>
            </w:tcBorders>
          </w:tcPr>
          <w:p w14:paraId="5851F104"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YES</w:t>
            </w:r>
          </w:p>
        </w:tc>
      </w:tr>
      <w:tr w:rsidR="000678D3" w14:paraId="02741BED" w14:textId="77777777" w:rsidTr="00EC0753">
        <w:tblPrEx>
          <w:tblBorders>
            <w:bottom w:val="single" w:sz="6" w:space="0" w:color="auto"/>
          </w:tblBorders>
        </w:tblPrEx>
        <w:trPr>
          <w:jc w:val="center"/>
        </w:trPr>
        <w:tc>
          <w:tcPr>
            <w:tcW w:w="3531" w:type="dxa"/>
            <w:tcBorders>
              <w:top w:val="nil"/>
              <w:left w:val="nil"/>
              <w:bottom w:val="single" w:sz="6" w:space="0" w:color="auto"/>
              <w:right w:val="nil"/>
            </w:tcBorders>
          </w:tcPr>
          <w:p w14:paraId="18D0BB10" w14:textId="77777777" w:rsidR="000678D3" w:rsidRDefault="000678D3" w:rsidP="000678D3">
            <w:pPr>
              <w:widowControl w:val="0"/>
              <w:autoSpaceDE w:val="0"/>
              <w:autoSpaceDN w:val="0"/>
              <w:adjustRightInd w:val="0"/>
              <w:rPr>
                <w:rFonts w:cs="Times New Roman"/>
                <w:lang w:val="en-GB"/>
              </w:rPr>
            </w:pPr>
            <w:r>
              <w:rPr>
                <w:rFonts w:cs="Times New Roman"/>
                <w:lang w:val="en-GB"/>
              </w:rPr>
              <w:t>Exposure</w:t>
            </w:r>
          </w:p>
        </w:tc>
        <w:tc>
          <w:tcPr>
            <w:tcW w:w="1872" w:type="dxa"/>
            <w:tcBorders>
              <w:top w:val="nil"/>
              <w:left w:val="nil"/>
              <w:bottom w:val="single" w:sz="6" w:space="0" w:color="auto"/>
              <w:right w:val="nil"/>
            </w:tcBorders>
          </w:tcPr>
          <w:p w14:paraId="1AA504EB"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Population</w:t>
            </w:r>
          </w:p>
        </w:tc>
        <w:tc>
          <w:tcPr>
            <w:tcW w:w="1872" w:type="dxa"/>
            <w:tcBorders>
              <w:top w:val="nil"/>
              <w:left w:val="nil"/>
              <w:bottom w:val="single" w:sz="6" w:space="0" w:color="auto"/>
              <w:right w:val="nil"/>
            </w:tcBorders>
          </w:tcPr>
          <w:p w14:paraId="47BA7660"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Population</w:t>
            </w:r>
          </w:p>
        </w:tc>
        <w:tc>
          <w:tcPr>
            <w:tcW w:w="1872" w:type="dxa"/>
            <w:tcBorders>
              <w:top w:val="nil"/>
              <w:left w:val="nil"/>
              <w:bottom w:val="single" w:sz="6" w:space="0" w:color="auto"/>
              <w:right w:val="nil"/>
            </w:tcBorders>
          </w:tcPr>
          <w:p w14:paraId="575C13E5" w14:textId="77777777" w:rsidR="000678D3" w:rsidRDefault="000678D3" w:rsidP="000678D3">
            <w:pPr>
              <w:widowControl w:val="0"/>
              <w:autoSpaceDE w:val="0"/>
              <w:autoSpaceDN w:val="0"/>
              <w:adjustRightInd w:val="0"/>
              <w:jc w:val="center"/>
              <w:rPr>
                <w:rFonts w:cs="Times New Roman"/>
                <w:lang w:val="en-GB"/>
              </w:rPr>
            </w:pPr>
            <w:r>
              <w:rPr>
                <w:rFonts w:cs="Times New Roman"/>
                <w:lang w:val="en-GB"/>
              </w:rPr>
              <w:t>Population</w:t>
            </w:r>
          </w:p>
        </w:tc>
      </w:tr>
    </w:tbl>
    <w:p w14:paraId="68B0B958" w14:textId="5A4E788B" w:rsidR="00DE30F8" w:rsidRPr="00EC0753" w:rsidRDefault="00EC0753" w:rsidP="008413E5">
      <w:pPr>
        <w:rPr>
          <w:b/>
          <w:color w:val="000000"/>
          <w:sz w:val="18"/>
          <w:szCs w:val="18"/>
          <w:lang w:val="en-GB"/>
        </w:rPr>
      </w:pPr>
      <w:r w:rsidRPr="00EC0753">
        <w:rPr>
          <w:rFonts w:eastAsia="SimSun"/>
          <w:sz w:val="18"/>
          <w:szCs w:val="18"/>
        </w:rPr>
        <w:t xml:space="preserve">Note: </w:t>
      </w:r>
      <w:r w:rsidRPr="00EC0753">
        <w:rPr>
          <w:sz w:val="18"/>
          <w:szCs w:val="18"/>
        </w:rPr>
        <w:t>* p &lt; 0.10, ** p &lt; 0.05, *** p &lt; 0.01. Robust standard errors in parentheses, clustered at the ZIP code level. All models include ZIP code and Year × Quarter fixed effects.</w:t>
      </w:r>
    </w:p>
    <w:p w14:paraId="43893244" w14:textId="77777777" w:rsidR="00DE30F8" w:rsidRDefault="00DE30F8" w:rsidP="008413E5">
      <w:pPr>
        <w:rPr>
          <w:b/>
          <w:color w:val="000000"/>
          <w:szCs w:val="24"/>
        </w:rPr>
      </w:pPr>
    </w:p>
    <w:p w14:paraId="7391960B" w14:textId="5E4FDA20" w:rsidR="00EC448D" w:rsidRPr="00EC448D" w:rsidRDefault="00EC448D" w:rsidP="00EC448D">
      <w:pPr>
        <w:rPr>
          <w:b/>
          <w:color w:val="000000"/>
          <w:szCs w:val="24"/>
        </w:rPr>
      </w:pPr>
      <w:r>
        <w:rPr>
          <w:b/>
          <w:color w:val="000000"/>
          <w:szCs w:val="24"/>
        </w:rPr>
        <w:t xml:space="preserve">Supplementary Table S16: </w:t>
      </w:r>
      <w:r w:rsidRPr="005E3879">
        <w:rPr>
          <w:b/>
          <w:bCs/>
          <w:color w:val="000000" w:themeColor="text1"/>
        </w:rPr>
        <w:t>Outage Episodes by Duration Threshold (Log-transformed)</w:t>
      </w: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1417"/>
        <w:gridCol w:w="1321"/>
        <w:gridCol w:w="1656"/>
        <w:gridCol w:w="1656"/>
        <w:gridCol w:w="1656"/>
      </w:tblGrid>
      <w:tr w:rsidR="00EC448D" w:rsidRPr="0071721A" w14:paraId="01B7BB2E" w14:textId="77777777" w:rsidTr="006E410C">
        <w:tc>
          <w:tcPr>
            <w:tcW w:w="2230" w:type="dxa"/>
          </w:tcPr>
          <w:p w14:paraId="33361FDB" w14:textId="77777777" w:rsidR="00EC448D" w:rsidRPr="0071721A" w:rsidRDefault="00EC448D" w:rsidP="006E410C">
            <w:pPr>
              <w:autoSpaceDE w:val="0"/>
              <w:autoSpaceDN w:val="0"/>
              <w:adjustRightInd w:val="0"/>
              <w:rPr>
                <w:rFonts w:cs="Times New Roman"/>
                <w:b/>
                <w:bCs/>
                <w:lang w:val="en-GB"/>
              </w:rPr>
            </w:pPr>
            <w:r w:rsidRPr="0071721A">
              <w:rPr>
                <w:rFonts w:cs="Times New Roman"/>
                <w:b/>
                <w:bCs/>
                <w:lang w:val="en-GB"/>
              </w:rPr>
              <w:t>Variable Names</w:t>
            </w:r>
          </w:p>
        </w:tc>
        <w:tc>
          <w:tcPr>
            <w:tcW w:w="1417" w:type="dxa"/>
          </w:tcPr>
          <w:p w14:paraId="3E70D1C7" w14:textId="77777777" w:rsidR="00EC448D" w:rsidRPr="0071721A" w:rsidRDefault="00EC448D" w:rsidP="006E410C">
            <w:pPr>
              <w:autoSpaceDE w:val="0"/>
              <w:autoSpaceDN w:val="0"/>
              <w:adjustRightInd w:val="0"/>
              <w:jc w:val="center"/>
              <w:rPr>
                <w:rFonts w:cs="Times New Roman"/>
                <w:b/>
                <w:bCs/>
                <w:lang w:val="en-GB"/>
              </w:rPr>
            </w:pPr>
            <w:r w:rsidRPr="0071721A">
              <w:rPr>
                <w:rFonts w:cs="Times New Roman"/>
                <w:b/>
                <w:bCs/>
                <w:lang w:val="en-GB"/>
              </w:rPr>
              <w:t>Mean</w:t>
            </w:r>
          </w:p>
        </w:tc>
        <w:tc>
          <w:tcPr>
            <w:tcW w:w="1321" w:type="dxa"/>
          </w:tcPr>
          <w:p w14:paraId="092C8222" w14:textId="77777777" w:rsidR="00EC448D" w:rsidRPr="0071721A" w:rsidRDefault="00EC448D" w:rsidP="006E410C">
            <w:pPr>
              <w:autoSpaceDE w:val="0"/>
              <w:autoSpaceDN w:val="0"/>
              <w:adjustRightInd w:val="0"/>
              <w:jc w:val="center"/>
              <w:rPr>
                <w:rFonts w:cs="Times New Roman"/>
                <w:b/>
                <w:bCs/>
                <w:lang w:val="en-GB"/>
              </w:rPr>
            </w:pPr>
            <w:r w:rsidRPr="0071721A">
              <w:rPr>
                <w:rFonts w:cs="Times New Roman"/>
                <w:b/>
                <w:bCs/>
                <w:lang w:val="en-GB"/>
              </w:rPr>
              <w:t>SD</w:t>
            </w:r>
          </w:p>
        </w:tc>
        <w:tc>
          <w:tcPr>
            <w:tcW w:w="1656" w:type="dxa"/>
          </w:tcPr>
          <w:p w14:paraId="0B8906BB" w14:textId="77777777" w:rsidR="00EC448D" w:rsidRPr="0071721A" w:rsidRDefault="00EC448D" w:rsidP="006E410C">
            <w:pPr>
              <w:autoSpaceDE w:val="0"/>
              <w:autoSpaceDN w:val="0"/>
              <w:adjustRightInd w:val="0"/>
              <w:jc w:val="center"/>
              <w:rPr>
                <w:rFonts w:cs="Times New Roman"/>
                <w:b/>
                <w:bCs/>
                <w:lang w:val="en-GB"/>
              </w:rPr>
            </w:pPr>
            <w:r w:rsidRPr="0071721A">
              <w:rPr>
                <w:rFonts w:cs="Times New Roman"/>
                <w:b/>
                <w:bCs/>
                <w:lang w:val="en-GB"/>
              </w:rPr>
              <w:t>Min</w:t>
            </w:r>
          </w:p>
        </w:tc>
        <w:tc>
          <w:tcPr>
            <w:tcW w:w="1656" w:type="dxa"/>
          </w:tcPr>
          <w:p w14:paraId="22D3E623" w14:textId="77777777" w:rsidR="00EC448D" w:rsidRPr="0071721A" w:rsidRDefault="00EC448D" w:rsidP="006E410C">
            <w:pPr>
              <w:autoSpaceDE w:val="0"/>
              <w:autoSpaceDN w:val="0"/>
              <w:adjustRightInd w:val="0"/>
              <w:jc w:val="center"/>
              <w:rPr>
                <w:rFonts w:cs="Times New Roman"/>
                <w:b/>
                <w:bCs/>
                <w:lang w:val="en-GB"/>
              </w:rPr>
            </w:pPr>
            <w:r w:rsidRPr="0071721A">
              <w:rPr>
                <w:rFonts w:cs="Times New Roman"/>
                <w:b/>
                <w:bCs/>
                <w:lang w:val="en-GB"/>
              </w:rPr>
              <w:t>p50</w:t>
            </w:r>
          </w:p>
        </w:tc>
        <w:tc>
          <w:tcPr>
            <w:tcW w:w="1656" w:type="dxa"/>
          </w:tcPr>
          <w:p w14:paraId="36309B04" w14:textId="77777777" w:rsidR="00EC448D" w:rsidRPr="0071721A" w:rsidRDefault="00EC448D" w:rsidP="006E410C">
            <w:pPr>
              <w:autoSpaceDE w:val="0"/>
              <w:autoSpaceDN w:val="0"/>
              <w:adjustRightInd w:val="0"/>
              <w:jc w:val="center"/>
              <w:rPr>
                <w:rFonts w:cs="Times New Roman"/>
                <w:b/>
                <w:bCs/>
                <w:lang w:val="en-GB"/>
              </w:rPr>
            </w:pPr>
            <w:r w:rsidRPr="0071721A">
              <w:rPr>
                <w:rFonts w:cs="Times New Roman"/>
                <w:b/>
                <w:bCs/>
                <w:lang w:val="en-GB"/>
              </w:rPr>
              <w:t>Max</w:t>
            </w:r>
          </w:p>
        </w:tc>
      </w:tr>
      <w:tr w:rsidR="00EC448D" w:rsidRPr="0071721A" w14:paraId="11E7F17F" w14:textId="77777777" w:rsidTr="006E410C">
        <w:tc>
          <w:tcPr>
            <w:tcW w:w="2230" w:type="dxa"/>
          </w:tcPr>
          <w:p w14:paraId="00947535"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ln_outage_1hr_p50</w:t>
            </w:r>
          </w:p>
        </w:tc>
        <w:tc>
          <w:tcPr>
            <w:tcW w:w="1417" w:type="dxa"/>
          </w:tcPr>
          <w:p w14:paraId="5A612D26"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2.20</w:t>
            </w:r>
          </w:p>
        </w:tc>
        <w:tc>
          <w:tcPr>
            <w:tcW w:w="1321" w:type="dxa"/>
          </w:tcPr>
          <w:p w14:paraId="5D0DF2CC"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0.91</w:t>
            </w:r>
          </w:p>
        </w:tc>
        <w:tc>
          <w:tcPr>
            <w:tcW w:w="1656" w:type="dxa"/>
          </w:tcPr>
          <w:p w14:paraId="7B286DB3"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590553F4"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2.20</w:t>
            </w:r>
          </w:p>
        </w:tc>
        <w:tc>
          <w:tcPr>
            <w:tcW w:w="1656" w:type="dxa"/>
          </w:tcPr>
          <w:p w14:paraId="3C728F15"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4.76</w:t>
            </w:r>
          </w:p>
        </w:tc>
      </w:tr>
      <w:tr w:rsidR="00EC448D" w:rsidRPr="0071721A" w14:paraId="09FE5141" w14:textId="77777777" w:rsidTr="006E410C">
        <w:tc>
          <w:tcPr>
            <w:tcW w:w="2230" w:type="dxa"/>
          </w:tcPr>
          <w:p w14:paraId="0A2858F3"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ln_outage_2hr_p50</w:t>
            </w:r>
          </w:p>
        </w:tc>
        <w:tc>
          <w:tcPr>
            <w:tcW w:w="1417" w:type="dxa"/>
          </w:tcPr>
          <w:p w14:paraId="48E92484"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1.74</w:t>
            </w:r>
          </w:p>
        </w:tc>
        <w:tc>
          <w:tcPr>
            <w:tcW w:w="1321" w:type="dxa"/>
          </w:tcPr>
          <w:p w14:paraId="332AA54F"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0.93</w:t>
            </w:r>
          </w:p>
        </w:tc>
        <w:tc>
          <w:tcPr>
            <w:tcW w:w="1656" w:type="dxa"/>
          </w:tcPr>
          <w:p w14:paraId="06149AE0"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5F862850"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1.79</w:t>
            </w:r>
          </w:p>
        </w:tc>
        <w:tc>
          <w:tcPr>
            <w:tcW w:w="1656" w:type="dxa"/>
          </w:tcPr>
          <w:p w14:paraId="38C573F5"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4.57</w:t>
            </w:r>
          </w:p>
        </w:tc>
      </w:tr>
      <w:tr w:rsidR="00EC448D" w:rsidRPr="0071721A" w14:paraId="66295034" w14:textId="77777777" w:rsidTr="006E410C">
        <w:tc>
          <w:tcPr>
            <w:tcW w:w="2230" w:type="dxa"/>
          </w:tcPr>
          <w:p w14:paraId="7C7FD685"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ln_outage_3hr_p50</w:t>
            </w:r>
          </w:p>
        </w:tc>
        <w:tc>
          <w:tcPr>
            <w:tcW w:w="1417" w:type="dxa"/>
          </w:tcPr>
          <w:p w14:paraId="4F559717"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1.40</w:t>
            </w:r>
          </w:p>
        </w:tc>
        <w:tc>
          <w:tcPr>
            <w:tcW w:w="1321" w:type="dxa"/>
          </w:tcPr>
          <w:p w14:paraId="2192210D"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0.92</w:t>
            </w:r>
          </w:p>
        </w:tc>
        <w:tc>
          <w:tcPr>
            <w:tcW w:w="1656" w:type="dxa"/>
          </w:tcPr>
          <w:p w14:paraId="7E0AC570"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7E455218"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1.39</w:t>
            </w:r>
          </w:p>
        </w:tc>
        <w:tc>
          <w:tcPr>
            <w:tcW w:w="1656" w:type="dxa"/>
          </w:tcPr>
          <w:p w14:paraId="446B5F06"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4.29</w:t>
            </w:r>
          </w:p>
        </w:tc>
      </w:tr>
      <w:tr w:rsidR="00EC448D" w:rsidRPr="0071721A" w14:paraId="61481A48" w14:textId="77777777" w:rsidTr="006E410C">
        <w:tc>
          <w:tcPr>
            <w:tcW w:w="2230" w:type="dxa"/>
          </w:tcPr>
          <w:p w14:paraId="59F6D1BA"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ln_outage_4hr_p50</w:t>
            </w:r>
          </w:p>
        </w:tc>
        <w:tc>
          <w:tcPr>
            <w:tcW w:w="1417" w:type="dxa"/>
          </w:tcPr>
          <w:p w14:paraId="6CD8A98E"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1.16</w:t>
            </w:r>
          </w:p>
        </w:tc>
        <w:tc>
          <w:tcPr>
            <w:tcW w:w="1321" w:type="dxa"/>
          </w:tcPr>
          <w:p w14:paraId="4EED9662"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0.89</w:t>
            </w:r>
          </w:p>
        </w:tc>
        <w:tc>
          <w:tcPr>
            <w:tcW w:w="1656" w:type="dxa"/>
          </w:tcPr>
          <w:p w14:paraId="0BAF19BA"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577AAC2A"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1.10</w:t>
            </w:r>
          </w:p>
        </w:tc>
        <w:tc>
          <w:tcPr>
            <w:tcW w:w="1656" w:type="dxa"/>
          </w:tcPr>
          <w:p w14:paraId="182BBEEC"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4.09</w:t>
            </w:r>
          </w:p>
        </w:tc>
      </w:tr>
      <w:tr w:rsidR="00EC448D" w:rsidRPr="0071721A" w14:paraId="5DD2C0F5" w14:textId="77777777" w:rsidTr="006E410C">
        <w:tc>
          <w:tcPr>
            <w:tcW w:w="2230" w:type="dxa"/>
          </w:tcPr>
          <w:p w14:paraId="26251EFD"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ln_outage_5hr_p50</w:t>
            </w:r>
          </w:p>
        </w:tc>
        <w:tc>
          <w:tcPr>
            <w:tcW w:w="1417" w:type="dxa"/>
          </w:tcPr>
          <w:p w14:paraId="792299C9"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0.97</w:t>
            </w:r>
          </w:p>
        </w:tc>
        <w:tc>
          <w:tcPr>
            <w:tcW w:w="1321" w:type="dxa"/>
          </w:tcPr>
          <w:p w14:paraId="3F72B7F8"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0.86</w:t>
            </w:r>
          </w:p>
        </w:tc>
        <w:tc>
          <w:tcPr>
            <w:tcW w:w="1656" w:type="dxa"/>
          </w:tcPr>
          <w:p w14:paraId="2F0879FD"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733CB107"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0.69</w:t>
            </w:r>
          </w:p>
        </w:tc>
        <w:tc>
          <w:tcPr>
            <w:tcW w:w="1656" w:type="dxa"/>
          </w:tcPr>
          <w:p w14:paraId="7A605CBD"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3.89</w:t>
            </w:r>
          </w:p>
        </w:tc>
      </w:tr>
      <w:tr w:rsidR="00EC448D" w:rsidRPr="0071721A" w14:paraId="196BB28A" w14:textId="77777777" w:rsidTr="006E410C">
        <w:tc>
          <w:tcPr>
            <w:tcW w:w="2230" w:type="dxa"/>
          </w:tcPr>
          <w:p w14:paraId="79417268"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ln_outage_6hr_p50</w:t>
            </w:r>
          </w:p>
        </w:tc>
        <w:tc>
          <w:tcPr>
            <w:tcW w:w="1417" w:type="dxa"/>
          </w:tcPr>
          <w:p w14:paraId="5ECF0633"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0.81</w:t>
            </w:r>
          </w:p>
        </w:tc>
        <w:tc>
          <w:tcPr>
            <w:tcW w:w="1321" w:type="dxa"/>
          </w:tcPr>
          <w:p w14:paraId="472DCD7C"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0.82</w:t>
            </w:r>
          </w:p>
        </w:tc>
        <w:tc>
          <w:tcPr>
            <w:tcW w:w="1656" w:type="dxa"/>
          </w:tcPr>
          <w:p w14:paraId="4330EAA9"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46A71C5A"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0.69</w:t>
            </w:r>
          </w:p>
        </w:tc>
        <w:tc>
          <w:tcPr>
            <w:tcW w:w="1656" w:type="dxa"/>
          </w:tcPr>
          <w:p w14:paraId="13F78310"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3.76</w:t>
            </w:r>
          </w:p>
        </w:tc>
      </w:tr>
      <w:tr w:rsidR="00EC448D" w:rsidRPr="0071721A" w14:paraId="7602BD2B" w14:textId="77777777" w:rsidTr="006E410C">
        <w:tc>
          <w:tcPr>
            <w:tcW w:w="2230" w:type="dxa"/>
          </w:tcPr>
          <w:p w14:paraId="53AD14AD"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ln_outage_7hr_p50</w:t>
            </w:r>
          </w:p>
        </w:tc>
        <w:tc>
          <w:tcPr>
            <w:tcW w:w="1417" w:type="dxa"/>
          </w:tcPr>
          <w:p w14:paraId="31FF01B2"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0.69</w:t>
            </w:r>
          </w:p>
        </w:tc>
        <w:tc>
          <w:tcPr>
            <w:tcW w:w="1321" w:type="dxa"/>
          </w:tcPr>
          <w:p w14:paraId="1EF0E321"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0.78</w:t>
            </w:r>
          </w:p>
        </w:tc>
        <w:tc>
          <w:tcPr>
            <w:tcW w:w="1656" w:type="dxa"/>
          </w:tcPr>
          <w:p w14:paraId="1A463E2F"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13CC58B5"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0.69</w:t>
            </w:r>
          </w:p>
        </w:tc>
        <w:tc>
          <w:tcPr>
            <w:tcW w:w="1656" w:type="dxa"/>
          </w:tcPr>
          <w:p w14:paraId="2173E41C"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3.64</w:t>
            </w:r>
          </w:p>
        </w:tc>
      </w:tr>
      <w:tr w:rsidR="00EC448D" w:rsidRPr="0071721A" w14:paraId="77F49277" w14:textId="77777777" w:rsidTr="006E410C">
        <w:tc>
          <w:tcPr>
            <w:tcW w:w="2230" w:type="dxa"/>
          </w:tcPr>
          <w:p w14:paraId="622000E5" w14:textId="77777777" w:rsidR="00EC448D" w:rsidRPr="0071721A" w:rsidRDefault="00EC448D" w:rsidP="006E410C">
            <w:pPr>
              <w:autoSpaceDE w:val="0"/>
              <w:autoSpaceDN w:val="0"/>
              <w:adjustRightInd w:val="0"/>
              <w:rPr>
                <w:rFonts w:cs="Times New Roman"/>
                <w:lang w:val="en-GB"/>
              </w:rPr>
            </w:pPr>
            <w:r w:rsidRPr="0071721A">
              <w:rPr>
                <w:rFonts w:cs="Times New Roman"/>
                <w:lang w:val="en-GB"/>
              </w:rPr>
              <w:t>ln_outage_8hr_p50</w:t>
            </w:r>
          </w:p>
        </w:tc>
        <w:tc>
          <w:tcPr>
            <w:tcW w:w="1417" w:type="dxa"/>
          </w:tcPr>
          <w:p w14:paraId="00CF4F26"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0.59</w:t>
            </w:r>
          </w:p>
        </w:tc>
        <w:tc>
          <w:tcPr>
            <w:tcW w:w="1321" w:type="dxa"/>
          </w:tcPr>
          <w:p w14:paraId="2C1C253F"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0.74</w:t>
            </w:r>
          </w:p>
        </w:tc>
        <w:tc>
          <w:tcPr>
            <w:tcW w:w="1656" w:type="dxa"/>
          </w:tcPr>
          <w:p w14:paraId="4ECD9D75"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411E5FFE"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0.00</w:t>
            </w:r>
          </w:p>
        </w:tc>
        <w:tc>
          <w:tcPr>
            <w:tcW w:w="1656" w:type="dxa"/>
          </w:tcPr>
          <w:p w14:paraId="45556445"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3.58</w:t>
            </w:r>
          </w:p>
        </w:tc>
      </w:tr>
      <w:tr w:rsidR="00EC448D" w:rsidRPr="0071721A" w14:paraId="231F09CC" w14:textId="77777777" w:rsidTr="006E410C">
        <w:tc>
          <w:tcPr>
            <w:tcW w:w="2230" w:type="dxa"/>
          </w:tcPr>
          <w:p w14:paraId="7CA3D28B" w14:textId="77777777" w:rsidR="00EC448D" w:rsidRPr="0071721A" w:rsidRDefault="00EC448D" w:rsidP="006E410C">
            <w:pPr>
              <w:autoSpaceDE w:val="0"/>
              <w:autoSpaceDN w:val="0"/>
              <w:adjustRightInd w:val="0"/>
              <w:rPr>
                <w:rFonts w:cs="Times New Roman"/>
                <w:lang w:val="en-GB"/>
              </w:rPr>
            </w:pPr>
            <w:r w:rsidRPr="0071721A">
              <w:rPr>
                <w:rFonts w:cs="Times New Roman"/>
                <w:i/>
                <w:iCs/>
                <w:lang w:val="en-GB"/>
              </w:rPr>
              <w:t>N</w:t>
            </w:r>
          </w:p>
        </w:tc>
        <w:tc>
          <w:tcPr>
            <w:tcW w:w="1417" w:type="dxa"/>
          </w:tcPr>
          <w:p w14:paraId="33D10D51" w14:textId="77777777" w:rsidR="00EC448D" w:rsidRPr="0071721A" w:rsidRDefault="00EC448D" w:rsidP="006E410C">
            <w:pPr>
              <w:autoSpaceDE w:val="0"/>
              <w:autoSpaceDN w:val="0"/>
              <w:adjustRightInd w:val="0"/>
              <w:jc w:val="center"/>
              <w:rPr>
                <w:rFonts w:cs="Times New Roman"/>
                <w:lang w:val="en-GB"/>
              </w:rPr>
            </w:pPr>
            <w:r w:rsidRPr="0071721A">
              <w:rPr>
                <w:rFonts w:cs="Times New Roman"/>
                <w:lang w:val="en-GB"/>
              </w:rPr>
              <w:t>9336</w:t>
            </w:r>
          </w:p>
        </w:tc>
        <w:tc>
          <w:tcPr>
            <w:tcW w:w="1321" w:type="dxa"/>
          </w:tcPr>
          <w:p w14:paraId="75F8A8C6" w14:textId="77777777" w:rsidR="00EC448D" w:rsidRPr="0071721A" w:rsidRDefault="00EC448D" w:rsidP="006E410C">
            <w:pPr>
              <w:autoSpaceDE w:val="0"/>
              <w:autoSpaceDN w:val="0"/>
              <w:adjustRightInd w:val="0"/>
              <w:jc w:val="center"/>
              <w:rPr>
                <w:rFonts w:cs="Times New Roman"/>
                <w:lang w:val="en-GB"/>
              </w:rPr>
            </w:pPr>
          </w:p>
        </w:tc>
        <w:tc>
          <w:tcPr>
            <w:tcW w:w="1656" w:type="dxa"/>
          </w:tcPr>
          <w:p w14:paraId="5F6FB7A7" w14:textId="77777777" w:rsidR="00EC448D" w:rsidRPr="0071721A" w:rsidRDefault="00EC448D" w:rsidP="006E410C">
            <w:pPr>
              <w:autoSpaceDE w:val="0"/>
              <w:autoSpaceDN w:val="0"/>
              <w:adjustRightInd w:val="0"/>
              <w:jc w:val="center"/>
              <w:rPr>
                <w:rFonts w:cs="Times New Roman"/>
                <w:lang w:val="en-GB"/>
              </w:rPr>
            </w:pPr>
          </w:p>
        </w:tc>
        <w:tc>
          <w:tcPr>
            <w:tcW w:w="1656" w:type="dxa"/>
          </w:tcPr>
          <w:p w14:paraId="5BE567F2" w14:textId="77777777" w:rsidR="00EC448D" w:rsidRPr="0071721A" w:rsidRDefault="00EC448D" w:rsidP="006E410C">
            <w:pPr>
              <w:autoSpaceDE w:val="0"/>
              <w:autoSpaceDN w:val="0"/>
              <w:adjustRightInd w:val="0"/>
              <w:jc w:val="center"/>
              <w:rPr>
                <w:rFonts w:cs="Times New Roman"/>
                <w:lang w:val="en-GB"/>
              </w:rPr>
            </w:pPr>
          </w:p>
        </w:tc>
        <w:tc>
          <w:tcPr>
            <w:tcW w:w="1656" w:type="dxa"/>
          </w:tcPr>
          <w:p w14:paraId="0AD1866F" w14:textId="77777777" w:rsidR="00EC448D" w:rsidRPr="0071721A" w:rsidRDefault="00EC448D" w:rsidP="006E410C">
            <w:pPr>
              <w:autoSpaceDE w:val="0"/>
              <w:autoSpaceDN w:val="0"/>
              <w:adjustRightInd w:val="0"/>
              <w:jc w:val="center"/>
              <w:rPr>
                <w:rFonts w:cs="Times New Roman"/>
                <w:lang w:val="en-GB"/>
              </w:rPr>
            </w:pPr>
          </w:p>
        </w:tc>
      </w:tr>
    </w:tbl>
    <w:p w14:paraId="36C0C913" w14:textId="77777777" w:rsidR="008413E5" w:rsidRDefault="008413E5" w:rsidP="00840340">
      <w:pPr>
        <w:rPr>
          <w:rFonts w:cs="Times New Roman"/>
          <w:b/>
          <w:bCs/>
        </w:rPr>
      </w:pPr>
    </w:p>
    <w:p w14:paraId="0E949760" w14:textId="77777777" w:rsidR="008413E5" w:rsidRDefault="008413E5" w:rsidP="00840340">
      <w:pPr>
        <w:rPr>
          <w:rFonts w:cs="Times New Roman"/>
          <w:b/>
          <w:bCs/>
        </w:rPr>
      </w:pPr>
    </w:p>
    <w:p w14:paraId="55E35023" w14:textId="78EBD4C0" w:rsidR="00BE6FB8" w:rsidRPr="00BE6FB8" w:rsidRDefault="00BE6FB8" w:rsidP="00BE6FB8">
      <w:pPr>
        <w:rPr>
          <w:b/>
          <w:color w:val="000000"/>
          <w:szCs w:val="24"/>
        </w:rPr>
      </w:pPr>
      <w:r>
        <w:rPr>
          <w:b/>
          <w:color w:val="000000"/>
          <w:szCs w:val="24"/>
        </w:rPr>
        <w:t>Supplementary Table S1</w:t>
      </w:r>
      <w:r>
        <w:rPr>
          <w:rFonts w:hint="eastAsia"/>
          <w:b/>
          <w:color w:val="000000"/>
          <w:szCs w:val="24"/>
        </w:rPr>
        <w:t>7</w:t>
      </w:r>
      <w:r>
        <w:rPr>
          <w:b/>
          <w:color w:val="000000"/>
          <w:szCs w:val="24"/>
        </w:rPr>
        <w:t xml:space="preserve">: </w:t>
      </w:r>
      <w:r w:rsidRPr="000678D3">
        <w:rPr>
          <w:b/>
          <w:bCs/>
        </w:rPr>
        <w:t>PPML results at the city level (aggregation robustness check)</w:t>
      </w:r>
    </w:p>
    <w:tbl>
      <w:tblPr>
        <w:tblW w:w="0" w:type="auto"/>
        <w:jc w:val="center"/>
        <w:tblLayout w:type="fixed"/>
        <w:tblCellMar>
          <w:left w:w="75" w:type="dxa"/>
          <w:right w:w="75" w:type="dxa"/>
        </w:tblCellMar>
        <w:tblLook w:val="0000" w:firstRow="0" w:lastRow="0" w:firstColumn="0" w:lastColumn="0" w:noHBand="0" w:noVBand="0"/>
      </w:tblPr>
      <w:tblGrid>
        <w:gridCol w:w="3531"/>
        <w:gridCol w:w="4752"/>
      </w:tblGrid>
      <w:tr w:rsidR="00BE6FB8" w14:paraId="3AC2FDD0" w14:textId="77777777" w:rsidTr="00140D7B">
        <w:trPr>
          <w:jc w:val="center"/>
        </w:trPr>
        <w:tc>
          <w:tcPr>
            <w:tcW w:w="3531" w:type="dxa"/>
            <w:tcBorders>
              <w:top w:val="single" w:sz="6" w:space="0" w:color="auto"/>
              <w:left w:val="nil"/>
              <w:bottom w:val="nil"/>
              <w:right w:val="nil"/>
            </w:tcBorders>
          </w:tcPr>
          <w:p w14:paraId="0C8636A5" w14:textId="77777777" w:rsidR="00BE6FB8" w:rsidRDefault="00BE6FB8" w:rsidP="00140D7B">
            <w:pPr>
              <w:widowControl w:val="0"/>
              <w:autoSpaceDE w:val="0"/>
              <w:autoSpaceDN w:val="0"/>
              <w:adjustRightInd w:val="0"/>
              <w:rPr>
                <w:rFonts w:cs="Times New Roman"/>
                <w:lang w:val="en-GB"/>
              </w:rPr>
            </w:pPr>
          </w:p>
        </w:tc>
        <w:tc>
          <w:tcPr>
            <w:tcW w:w="4752" w:type="dxa"/>
            <w:tcBorders>
              <w:top w:val="single" w:sz="6" w:space="0" w:color="auto"/>
              <w:left w:val="nil"/>
              <w:bottom w:val="nil"/>
              <w:right w:val="nil"/>
            </w:tcBorders>
          </w:tcPr>
          <w:p w14:paraId="13EB08F3"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w:t>
            </w:r>
          </w:p>
        </w:tc>
      </w:tr>
      <w:tr w:rsidR="00BE6FB8" w14:paraId="44F4EAE0" w14:textId="77777777" w:rsidTr="00140D7B">
        <w:trPr>
          <w:jc w:val="center"/>
        </w:trPr>
        <w:tc>
          <w:tcPr>
            <w:tcW w:w="3531" w:type="dxa"/>
            <w:tcBorders>
              <w:top w:val="nil"/>
              <w:left w:val="nil"/>
              <w:bottom w:val="single" w:sz="6" w:space="0" w:color="auto"/>
              <w:right w:val="nil"/>
            </w:tcBorders>
          </w:tcPr>
          <w:p w14:paraId="658FDC7E" w14:textId="43866ED0" w:rsidR="00BE6FB8" w:rsidRDefault="000678D3" w:rsidP="00140D7B">
            <w:pPr>
              <w:widowControl w:val="0"/>
              <w:autoSpaceDE w:val="0"/>
              <w:autoSpaceDN w:val="0"/>
              <w:adjustRightInd w:val="0"/>
              <w:rPr>
                <w:rFonts w:cs="Times New Roman"/>
                <w:lang w:val="en-GB"/>
              </w:rPr>
            </w:pPr>
            <w:r>
              <w:rPr>
                <w:rFonts w:cs="Times New Roman"/>
                <w:lang w:val="en-GB"/>
              </w:rPr>
              <w:t>Dependent Variables</w:t>
            </w:r>
          </w:p>
        </w:tc>
        <w:tc>
          <w:tcPr>
            <w:tcW w:w="4752" w:type="dxa"/>
            <w:tcBorders>
              <w:top w:val="nil"/>
              <w:left w:val="nil"/>
              <w:bottom w:val="single" w:sz="6" w:space="0" w:color="auto"/>
              <w:right w:val="nil"/>
            </w:tcBorders>
          </w:tcPr>
          <w:p w14:paraId="5B0AB5FF" w14:textId="77777777" w:rsidR="00BE6FB8" w:rsidRDefault="00BE6FB8" w:rsidP="00140D7B">
            <w:pPr>
              <w:widowControl w:val="0"/>
              <w:autoSpaceDE w:val="0"/>
              <w:autoSpaceDN w:val="0"/>
              <w:adjustRightInd w:val="0"/>
              <w:jc w:val="center"/>
              <w:rPr>
                <w:rFonts w:cs="Times New Roman"/>
                <w:lang w:val="en-GB"/>
              </w:rPr>
            </w:pPr>
            <w:r>
              <w:rPr>
                <w:rFonts w:cs="Times New Roman" w:hint="eastAsia"/>
                <w:lang w:val="en-GB"/>
              </w:rPr>
              <w:t>City*Year FE + Year*Quarter FE</w:t>
            </w:r>
          </w:p>
        </w:tc>
      </w:tr>
      <w:tr w:rsidR="00BE6FB8" w14:paraId="3038D7B9" w14:textId="77777777" w:rsidTr="00140D7B">
        <w:trPr>
          <w:jc w:val="center"/>
        </w:trPr>
        <w:tc>
          <w:tcPr>
            <w:tcW w:w="3531" w:type="dxa"/>
            <w:tcBorders>
              <w:top w:val="nil"/>
              <w:left w:val="nil"/>
              <w:bottom w:val="nil"/>
              <w:right w:val="nil"/>
            </w:tcBorders>
          </w:tcPr>
          <w:p w14:paraId="02E37B28"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6BF85098" w14:textId="77777777" w:rsidR="00BE6FB8" w:rsidRDefault="00BE6FB8" w:rsidP="00140D7B">
            <w:pPr>
              <w:widowControl w:val="0"/>
              <w:autoSpaceDE w:val="0"/>
              <w:autoSpaceDN w:val="0"/>
              <w:adjustRightInd w:val="0"/>
              <w:jc w:val="center"/>
              <w:rPr>
                <w:rFonts w:cs="Times New Roman"/>
                <w:lang w:val="en-GB"/>
              </w:rPr>
            </w:pPr>
          </w:p>
        </w:tc>
      </w:tr>
      <w:tr w:rsidR="00BE6FB8" w14:paraId="193C0DF5" w14:textId="77777777" w:rsidTr="00140D7B">
        <w:trPr>
          <w:jc w:val="center"/>
        </w:trPr>
        <w:tc>
          <w:tcPr>
            <w:tcW w:w="3531" w:type="dxa"/>
            <w:tcBorders>
              <w:top w:val="nil"/>
              <w:left w:val="nil"/>
              <w:bottom w:val="nil"/>
              <w:right w:val="nil"/>
            </w:tcBorders>
          </w:tcPr>
          <w:p w14:paraId="0FB8B265" w14:textId="77777777" w:rsidR="00BE6FB8" w:rsidRDefault="00BE6FB8" w:rsidP="00140D7B">
            <w:pPr>
              <w:widowControl w:val="0"/>
              <w:autoSpaceDE w:val="0"/>
              <w:autoSpaceDN w:val="0"/>
              <w:adjustRightInd w:val="0"/>
              <w:rPr>
                <w:rFonts w:cs="Times New Roman"/>
                <w:lang w:val="en-GB"/>
              </w:rPr>
            </w:pPr>
            <w:r>
              <w:rPr>
                <w:rFonts w:cs="Times New Roman"/>
                <w:lang w:val="en-GB"/>
              </w:rPr>
              <w:t>ln_outage_1hr_p75</w:t>
            </w:r>
          </w:p>
        </w:tc>
        <w:tc>
          <w:tcPr>
            <w:tcW w:w="4752" w:type="dxa"/>
            <w:tcBorders>
              <w:top w:val="nil"/>
              <w:left w:val="nil"/>
              <w:bottom w:val="nil"/>
              <w:right w:val="nil"/>
            </w:tcBorders>
          </w:tcPr>
          <w:p w14:paraId="3BA08C88"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1.031**</w:t>
            </w:r>
          </w:p>
        </w:tc>
      </w:tr>
      <w:tr w:rsidR="00BE6FB8" w14:paraId="4A790EB0" w14:textId="77777777" w:rsidTr="00140D7B">
        <w:trPr>
          <w:jc w:val="center"/>
        </w:trPr>
        <w:tc>
          <w:tcPr>
            <w:tcW w:w="3531" w:type="dxa"/>
            <w:tcBorders>
              <w:top w:val="nil"/>
              <w:left w:val="nil"/>
              <w:bottom w:val="nil"/>
              <w:right w:val="nil"/>
            </w:tcBorders>
          </w:tcPr>
          <w:p w14:paraId="2FF02D99"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2C1205E6"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(0.012)</w:t>
            </w:r>
          </w:p>
        </w:tc>
      </w:tr>
      <w:tr w:rsidR="00BE6FB8" w14:paraId="1F426A3F" w14:textId="77777777" w:rsidTr="00140D7B">
        <w:trPr>
          <w:jc w:val="center"/>
        </w:trPr>
        <w:tc>
          <w:tcPr>
            <w:tcW w:w="3531" w:type="dxa"/>
            <w:tcBorders>
              <w:top w:val="nil"/>
              <w:left w:val="nil"/>
              <w:bottom w:val="nil"/>
              <w:right w:val="nil"/>
            </w:tcBorders>
          </w:tcPr>
          <w:p w14:paraId="21355061" w14:textId="77777777" w:rsidR="00BE6FB8" w:rsidRDefault="00BE6FB8" w:rsidP="00140D7B">
            <w:pPr>
              <w:widowControl w:val="0"/>
              <w:autoSpaceDE w:val="0"/>
              <w:autoSpaceDN w:val="0"/>
              <w:adjustRightInd w:val="0"/>
              <w:rPr>
                <w:rFonts w:cs="Times New Roman"/>
                <w:lang w:val="en-GB"/>
              </w:rPr>
            </w:pPr>
            <w:r>
              <w:rPr>
                <w:rFonts w:cs="Times New Roman"/>
                <w:lang w:val="en-GB"/>
              </w:rPr>
              <w:t>extreme_heat_days_p90</w:t>
            </w:r>
          </w:p>
        </w:tc>
        <w:tc>
          <w:tcPr>
            <w:tcW w:w="4752" w:type="dxa"/>
            <w:tcBorders>
              <w:top w:val="nil"/>
              <w:left w:val="nil"/>
              <w:bottom w:val="nil"/>
              <w:right w:val="nil"/>
            </w:tcBorders>
          </w:tcPr>
          <w:p w14:paraId="155955EF"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0.999</w:t>
            </w:r>
          </w:p>
        </w:tc>
      </w:tr>
      <w:tr w:rsidR="00BE6FB8" w14:paraId="45C10B7D" w14:textId="77777777" w:rsidTr="00140D7B">
        <w:trPr>
          <w:jc w:val="center"/>
        </w:trPr>
        <w:tc>
          <w:tcPr>
            <w:tcW w:w="3531" w:type="dxa"/>
            <w:tcBorders>
              <w:top w:val="nil"/>
              <w:left w:val="nil"/>
              <w:bottom w:val="nil"/>
              <w:right w:val="nil"/>
            </w:tcBorders>
          </w:tcPr>
          <w:p w14:paraId="51F2C41C"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695A3C1D"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(0.001)</w:t>
            </w:r>
          </w:p>
        </w:tc>
      </w:tr>
      <w:tr w:rsidR="00BE6FB8" w14:paraId="63F806F5" w14:textId="77777777" w:rsidTr="00140D7B">
        <w:trPr>
          <w:jc w:val="center"/>
        </w:trPr>
        <w:tc>
          <w:tcPr>
            <w:tcW w:w="3531" w:type="dxa"/>
            <w:tcBorders>
              <w:top w:val="nil"/>
              <w:left w:val="nil"/>
              <w:bottom w:val="nil"/>
              <w:right w:val="nil"/>
            </w:tcBorders>
          </w:tcPr>
          <w:p w14:paraId="19E283EB"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avg_cmr_clean</w:t>
            </w:r>
            <w:proofErr w:type="spellEnd"/>
          </w:p>
        </w:tc>
        <w:tc>
          <w:tcPr>
            <w:tcW w:w="4752" w:type="dxa"/>
            <w:tcBorders>
              <w:top w:val="nil"/>
              <w:left w:val="nil"/>
              <w:bottom w:val="nil"/>
              <w:right w:val="nil"/>
            </w:tcBorders>
          </w:tcPr>
          <w:p w14:paraId="21EB891E"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1.110***</w:t>
            </w:r>
          </w:p>
        </w:tc>
      </w:tr>
      <w:tr w:rsidR="00BE6FB8" w14:paraId="15693AA7" w14:textId="77777777" w:rsidTr="00140D7B">
        <w:trPr>
          <w:jc w:val="center"/>
        </w:trPr>
        <w:tc>
          <w:tcPr>
            <w:tcW w:w="3531" w:type="dxa"/>
            <w:tcBorders>
              <w:top w:val="nil"/>
              <w:left w:val="nil"/>
              <w:bottom w:val="nil"/>
              <w:right w:val="nil"/>
            </w:tcBorders>
          </w:tcPr>
          <w:p w14:paraId="3D2FD4A6"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6EFDB081"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(0.018)</w:t>
            </w:r>
          </w:p>
        </w:tc>
      </w:tr>
      <w:tr w:rsidR="00BE6FB8" w14:paraId="6DC450BF" w14:textId="77777777" w:rsidTr="00140D7B">
        <w:trPr>
          <w:jc w:val="center"/>
        </w:trPr>
        <w:tc>
          <w:tcPr>
            <w:tcW w:w="3531" w:type="dxa"/>
            <w:tcBorders>
              <w:top w:val="nil"/>
              <w:left w:val="nil"/>
              <w:bottom w:val="nil"/>
              <w:right w:val="nil"/>
            </w:tcBorders>
          </w:tcPr>
          <w:p w14:paraId="00FBE0D4"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avg_cmr_mortality_clean</w:t>
            </w:r>
            <w:proofErr w:type="spellEnd"/>
          </w:p>
        </w:tc>
        <w:tc>
          <w:tcPr>
            <w:tcW w:w="4752" w:type="dxa"/>
            <w:tcBorders>
              <w:top w:val="nil"/>
              <w:left w:val="nil"/>
              <w:bottom w:val="nil"/>
              <w:right w:val="nil"/>
            </w:tcBorders>
          </w:tcPr>
          <w:p w14:paraId="59ECD56B"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0.922***</w:t>
            </w:r>
          </w:p>
        </w:tc>
      </w:tr>
      <w:tr w:rsidR="00BE6FB8" w14:paraId="4CE16A94" w14:textId="77777777" w:rsidTr="00140D7B">
        <w:trPr>
          <w:jc w:val="center"/>
        </w:trPr>
        <w:tc>
          <w:tcPr>
            <w:tcW w:w="3531" w:type="dxa"/>
            <w:tcBorders>
              <w:top w:val="nil"/>
              <w:left w:val="nil"/>
              <w:bottom w:val="nil"/>
              <w:right w:val="nil"/>
            </w:tcBorders>
          </w:tcPr>
          <w:p w14:paraId="1F5AA3C1"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7348DA08"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(0.010)</w:t>
            </w:r>
          </w:p>
        </w:tc>
      </w:tr>
      <w:tr w:rsidR="00BE6FB8" w14:paraId="0468F3F4" w14:textId="77777777" w:rsidTr="00140D7B">
        <w:trPr>
          <w:jc w:val="center"/>
        </w:trPr>
        <w:tc>
          <w:tcPr>
            <w:tcW w:w="3531" w:type="dxa"/>
            <w:tcBorders>
              <w:top w:val="nil"/>
              <w:left w:val="nil"/>
              <w:bottom w:val="nil"/>
              <w:right w:val="nil"/>
            </w:tcBorders>
          </w:tcPr>
          <w:p w14:paraId="7EC28B66"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poverty_rate</w:t>
            </w:r>
            <w:proofErr w:type="spellEnd"/>
          </w:p>
        </w:tc>
        <w:tc>
          <w:tcPr>
            <w:tcW w:w="4752" w:type="dxa"/>
            <w:tcBorders>
              <w:top w:val="nil"/>
              <w:left w:val="nil"/>
              <w:bottom w:val="nil"/>
              <w:right w:val="nil"/>
            </w:tcBorders>
          </w:tcPr>
          <w:p w14:paraId="086ACDE1"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1.000</w:t>
            </w:r>
          </w:p>
        </w:tc>
      </w:tr>
      <w:tr w:rsidR="00BE6FB8" w14:paraId="40737341" w14:textId="77777777" w:rsidTr="00140D7B">
        <w:trPr>
          <w:jc w:val="center"/>
        </w:trPr>
        <w:tc>
          <w:tcPr>
            <w:tcW w:w="3531" w:type="dxa"/>
            <w:tcBorders>
              <w:top w:val="nil"/>
              <w:left w:val="nil"/>
              <w:bottom w:val="nil"/>
              <w:right w:val="nil"/>
            </w:tcBorders>
          </w:tcPr>
          <w:p w14:paraId="4963887E"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0A78341A"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(0.003)</w:t>
            </w:r>
          </w:p>
        </w:tc>
      </w:tr>
      <w:tr w:rsidR="00BE6FB8" w14:paraId="2F16A20E" w14:textId="77777777" w:rsidTr="00140D7B">
        <w:trPr>
          <w:jc w:val="center"/>
        </w:trPr>
        <w:tc>
          <w:tcPr>
            <w:tcW w:w="3531" w:type="dxa"/>
            <w:tcBorders>
              <w:top w:val="nil"/>
              <w:left w:val="nil"/>
              <w:bottom w:val="nil"/>
              <w:right w:val="nil"/>
            </w:tcBorders>
          </w:tcPr>
          <w:p w14:paraId="28196C17"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pct_male</w:t>
            </w:r>
            <w:proofErr w:type="spellEnd"/>
          </w:p>
        </w:tc>
        <w:tc>
          <w:tcPr>
            <w:tcW w:w="4752" w:type="dxa"/>
            <w:tcBorders>
              <w:top w:val="nil"/>
              <w:left w:val="nil"/>
              <w:bottom w:val="nil"/>
              <w:right w:val="nil"/>
            </w:tcBorders>
          </w:tcPr>
          <w:p w14:paraId="72548246"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1.008***</w:t>
            </w:r>
          </w:p>
        </w:tc>
      </w:tr>
      <w:tr w:rsidR="00BE6FB8" w14:paraId="2C079142" w14:textId="77777777" w:rsidTr="00140D7B">
        <w:trPr>
          <w:jc w:val="center"/>
        </w:trPr>
        <w:tc>
          <w:tcPr>
            <w:tcW w:w="3531" w:type="dxa"/>
            <w:tcBorders>
              <w:top w:val="nil"/>
              <w:left w:val="nil"/>
              <w:bottom w:val="nil"/>
              <w:right w:val="nil"/>
            </w:tcBorders>
          </w:tcPr>
          <w:p w14:paraId="1253B8D9"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30E7146E"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(0.002)</w:t>
            </w:r>
          </w:p>
        </w:tc>
      </w:tr>
      <w:tr w:rsidR="00BE6FB8" w14:paraId="0A76AD7E" w14:textId="77777777" w:rsidTr="00140D7B">
        <w:trPr>
          <w:jc w:val="center"/>
        </w:trPr>
        <w:tc>
          <w:tcPr>
            <w:tcW w:w="3531" w:type="dxa"/>
            <w:tcBorders>
              <w:top w:val="nil"/>
              <w:left w:val="nil"/>
              <w:bottom w:val="nil"/>
              <w:right w:val="nil"/>
            </w:tcBorders>
          </w:tcPr>
          <w:p w14:paraId="395C6DE3" w14:textId="77777777" w:rsidR="00BE6FB8" w:rsidRDefault="00BE6FB8" w:rsidP="00140D7B">
            <w:pPr>
              <w:widowControl w:val="0"/>
              <w:autoSpaceDE w:val="0"/>
              <w:autoSpaceDN w:val="0"/>
              <w:adjustRightInd w:val="0"/>
              <w:rPr>
                <w:rFonts w:cs="Times New Roman"/>
                <w:lang w:val="en-GB"/>
              </w:rPr>
            </w:pPr>
            <w:r>
              <w:rPr>
                <w:rFonts w:cs="Times New Roman"/>
                <w:lang w:val="en-GB"/>
              </w:rPr>
              <w:t>median_income_1k</w:t>
            </w:r>
          </w:p>
        </w:tc>
        <w:tc>
          <w:tcPr>
            <w:tcW w:w="4752" w:type="dxa"/>
            <w:tcBorders>
              <w:top w:val="nil"/>
              <w:left w:val="nil"/>
              <w:bottom w:val="nil"/>
              <w:right w:val="nil"/>
            </w:tcBorders>
          </w:tcPr>
          <w:p w14:paraId="29F0804C"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0.995***</w:t>
            </w:r>
          </w:p>
        </w:tc>
      </w:tr>
      <w:tr w:rsidR="00BE6FB8" w14:paraId="19CB0BA9" w14:textId="77777777" w:rsidTr="00140D7B">
        <w:trPr>
          <w:jc w:val="center"/>
        </w:trPr>
        <w:tc>
          <w:tcPr>
            <w:tcW w:w="3531" w:type="dxa"/>
            <w:tcBorders>
              <w:top w:val="nil"/>
              <w:left w:val="nil"/>
              <w:bottom w:val="nil"/>
              <w:right w:val="nil"/>
            </w:tcBorders>
          </w:tcPr>
          <w:p w14:paraId="05EA7200"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0E241875"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(0.001)</w:t>
            </w:r>
          </w:p>
        </w:tc>
      </w:tr>
      <w:tr w:rsidR="00BE6FB8" w14:paraId="53D41793" w14:textId="77777777" w:rsidTr="00140D7B">
        <w:trPr>
          <w:jc w:val="center"/>
        </w:trPr>
        <w:tc>
          <w:tcPr>
            <w:tcW w:w="3531" w:type="dxa"/>
            <w:tcBorders>
              <w:top w:val="nil"/>
              <w:left w:val="nil"/>
              <w:bottom w:val="nil"/>
              <w:right w:val="nil"/>
            </w:tcBorders>
          </w:tcPr>
          <w:p w14:paraId="1D8B0CFE"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black_pct</w:t>
            </w:r>
            <w:proofErr w:type="spellEnd"/>
          </w:p>
        </w:tc>
        <w:tc>
          <w:tcPr>
            <w:tcW w:w="4752" w:type="dxa"/>
            <w:tcBorders>
              <w:top w:val="nil"/>
              <w:left w:val="nil"/>
              <w:bottom w:val="nil"/>
              <w:right w:val="nil"/>
            </w:tcBorders>
          </w:tcPr>
          <w:p w14:paraId="7A7E2165"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1.225**</w:t>
            </w:r>
          </w:p>
        </w:tc>
      </w:tr>
      <w:tr w:rsidR="00BE6FB8" w14:paraId="49E4FC91" w14:textId="77777777" w:rsidTr="00140D7B">
        <w:trPr>
          <w:jc w:val="center"/>
        </w:trPr>
        <w:tc>
          <w:tcPr>
            <w:tcW w:w="3531" w:type="dxa"/>
            <w:tcBorders>
              <w:top w:val="nil"/>
              <w:left w:val="nil"/>
              <w:bottom w:val="nil"/>
              <w:right w:val="nil"/>
            </w:tcBorders>
          </w:tcPr>
          <w:p w14:paraId="0A995439"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3740BED0"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(0.115)</w:t>
            </w:r>
          </w:p>
        </w:tc>
      </w:tr>
      <w:tr w:rsidR="00BE6FB8" w14:paraId="656DE489" w14:textId="77777777" w:rsidTr="00140D7B">
        <w:trPr>
          <w:jc w:val="center"/>
        </w:trPr>
        <w:tc>
          <w:tcPr>
            <w:tcW w:w="3531" w:type="dxa"/>
            <w:tcBorders>
              <w:top w:val="nil"/>
              <w:left w:val="nil"/>
              <w:bottom w:val="nil"/>
              <w:right w:val="nil"/>
            </w:tcBorders>
          </w:tcPr>
          <w:p w14:paraId="70BA19B2"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lastRenderedPageBreak/>
              <w:t>asian_pct</w:t>
            </w:r>
            <w:proofErr w:type="spellEnd"/>
          </w:p>
        </w:tc>
        <w:tc>
          <w:tcPr>
            <w:tcW w:w="4752" w:type="dxa"/>
            <w:tcBorders>
              <w:top w:val="nil"/>
              <w:left w:val="nil"/>
              <w:bottom w:val="nil"/>
              <w:right w:val="nil"/>
            </w:tcBorders>
          </w:tcPr>
          <w:p w14:paraId="2E78A565"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0.734</w:t>
            </w:r>
          </w:p>
        </w:tc>
      </w:tr>
      <w:tr w:rsidR="00BE6FB8" w14:paraId="4E3786ED" w14:textId="77777777" w:rsidTr="00140D7B">
        <w:trPr>
          <w:jc w:val="center"/>
        </w:trPr>
        <w:tc>
          <w:tcPr>
            <w:tcW w:w="3531" w:type="dxa"/>
            <w:tcBorders>
              <w:top w:val="nil"/>
              <w:left w:val="nil"/>
              <w:bottom w:val="nil"/>
              <w:right w:val="nil"/>
            </w:tcBorders>
          </w:tcPr>
          <w:p w14:paraId="43E55B99"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50F7D1C6"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(0.461)</w:t>
            </w:r>
          </w:p>
        </w:tc>
      </w:tr>
      <w:tr w:rsidR="00BE6FB8" w14:paraId="7A7BA7FD" w14:textId="77777777" w:rsidTr="00140D7B">
        <w:trPr>
          <w:jc w:val="center"/>
        </w:trPr>
        <w:tc>
          <w:tcPr>
            <w:tcW w:w="3531" w:type="dxa"/>
            <w:tcBorders>
              <w:top w:val="nil"/>
              <w:left w:val="nil"/>
              <w:bottom w:val="nil"/>
              <w:right w:val="nil"/>
            </w:tcBorders>
          </w:tcPr>
          <w:p w14:paraId="433FFE73"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pct_medicaid</w:t>
            </w:r>
            <w:proofErr w:type="spellEnd"/>
          </w:p>
        </w:tc>
        <w:tc>
          <w:tcPr>
            <w:tcW w:w="4752" w:type="dxa"/>
            <w:tcBorders>
              <w:top w:val="nil"/>
              <w:left w:val="nil"/>
              <w:bottom w:val="nil"/>
              <w:right w:val="nil"/>
            </w:tcBorders>
          </w:tcPr>
          <w:p w14:paraId="09115F24"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1.006*</w:t>
            </w:r>
          </w:p>
        </w:tc>
      </w:tr>
      <w:tr w:rsidR="00BE6FB8" w14:paraId="4DA4371B" w14:textId="77777777" w:rsidTr="00140D7B">
        <w:trPr>
          <w:jc w:val="center"/>
        </w:trPr>
        <w:tc>
          <w:tcPr>
            <w:tcW w:w="3531" w:type="dxa"/>
            <w:tcBorders>
              <w:top w:val="nil"/>
              <w:left w:val="nil"/>
              <w:bottom w:val="nil"/>
              <w:right w:val="nil"/>
            </w:tcBorders>
          </w:tcPr>
          <w:p w14:paraId="74E892C9"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19542F38"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(0.003)</w:t>
            </w:r>
          </w:p>
        </w:tc>
      </w:tr>
      <w:tr w:rsidR="00BE6FB8" w14:paraId="5BCF82F4" w14:textId="77777777" w:rsidTr="00140D7B">
        <w:trPr>
          <w:jc w:val="center"/>
        </w:trPr>
        <w:tc>
          <w:tcPr>
            <w:tcW w:w="3531" w:type="dxa"/>
            <w:tcBorders>
              <w:top w:val="nil"/>
              <w:left w:val="nil"/>
              <w:bottom w:val="nil"/>
              <w:right w:val="nil"/>
            </w:tcBorders>
          </w:tcPr>
          <w:p w14:paraId="2FE2F6C1" w14:textId="77777777" w:rsidR="00BE6FB8" w:rsidRDefault="00BE6FB8" w:rsidP="00140D7B">
            <w:pPr>
              <w:widowControl w:val="0"/>
              <w:autoSpaceDE w:val="0"/>
              <w:autoSpaceDN w:val="0"/>
              <w:adjustRightInd w:val="0"/>
              <w:rPr>
                <w:rFonts w:cs="Times New Roman"/>
                <w:lang w:val="en-GB"/>
              </w:rPr>
            </w:pPr>
            <w:proofErr w:type="spellStart"/>
            <w:r>
              <w:rPr>
                <w:rFonts w:cs="Times New Roman"/>
                <w:lang w:val="en-GB"/>
              </w:rPr>
              <w:t>pct_uninsured</w:t>
            </w:r>
            <w:proofErr w:type="spellEnd"/>
          </w:p>
        </w:tc>
        <w:tc>
          <w:tcPr>
            <w:tcW w:w="4752" w:type="dxa"/>
            <w:tcBorders>
              <w:top w:val="nil"/>
              <w:left w:val="nil"/>
              <w:bottom w:val="nil"/>
              <w:right w:val="nil"/>
            </w:tcBorders>
          </w:tcPr>
          <w:p w14:paraId="31210BD4"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1.022**</w:t>
            </w:r>
          </w:p>
        </w:tc>
      </w:tr>
      <w:tr w:rsidR="00BE6FB8" w14:paraId="140AF016" w14:textId="77777777" w:rsidTr="00140D7B">
        <w:trPr>
          <w:jc w:val="center"/>
        </w:trPr>
        <w:tc>
          <w:tcPr>
            <w:tcW w:w="3531" w:type="dxa"/>
            <w:tcBorders>
              <w:top w:val="nil"/>
              <w:left w:val="nil"/>
              <w:bottom w:val="nil"/>
              <w:right w:val="nil"/>
            </w:tcBorders>
          </w:tcPr>
          <w:p w14:paraId="42DFBAA9"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1C08AE14"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(0.011)</w:t>
            </w:r>
          </w:p>
        </w:tc>
      </w:tr>
      <w:tr w:rsidR="00BE6FB8" w14:paraId="4008EB2F" w14:textId="77777777" w:rsidTr="00140D7B">
        <w:trPr>
          <w:jc w:val="center"/>
        </w:trPr>
        <w:tc>
          <w:tcPr>
            <w:tcW w:w="3531" w:type="dxa"/>
            <w:tcBorders>
              <w:top w:val="nil"/>
              <w:left w:val="nil"/>
              <w:bottom w:val="nil"/>
              <w:right w:val="nil"/>
            </w:tcBorders>
          </w:tcPr>
          <w:p w14:paraId="02A94607" w14:textId="6F6F8D08" w:rsidR="00BE6FB8" w:rsidRDefault="00BE6FB8" w:rsidP="00140D7B">
            <w:pPr>
              <w:widowControl w:val="0"/>
              <w:autoSpaceDE w:val="0"/>
              <w:autoSpaceDN w:val="0"/>
              <w:adjustRightInd w:val="0"/>
              <w:rPr>
                <w:rFonts w:cs="Times New Roman"/>
                <w:lang w:val="en-GB"/>
              </w:rPr>
            </w:pPr>
            <w:r>
              <w:rPr>
                <w:rFonts w:cs="Times New Roman"/>
                <w:lang w:val="en-GB"/>
              </w:rPr>
              <w:t>psych_</w:t>
            </w:r>
            <w:r w:rsidR="00402A77">
              <w:rPr>
                <w:rFonts w:cs="Times New Roman"/>
                <w:lang w:val="en-GB"/>
              </w:rPr>
              <w:t>100k</w:t>
            </w:r>
          </w:p>
        </w:tc>
        <w:tc>
          <w:tcPr>
            <w:tcW w:w="4752" w:type="dxa"/>
            <w:tcBorders>
              <w:top w:val="nil"/>
              <w:left w:val="nil"/>
              <w:bottom w:val="nil"/>
              <w:right w:val="nil"/>
            </w:tcBorders>
          </w:tcPr>
          <w:p w14:paraId="32F01957"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1.006</w:t>
            </w:r>
          </w:p>
        </w:tc>
      </w:tr>
      <w:tr w:rsidR="00BE6FB8" w14:paraId="2D16AE5F" w14:textId="77777777" w:rsidTr="00140D7B">
        <w:trPr>
          <w:jc w:val="center"/>
        </w:trPr>
        <w:tc>
          <w:tcPr>
            <w:tcW w:w="3531" w:type="dxa"/>
            <w:tcBorders>
              <w:top w:val="nil"/>
              <w:left w:val="nil"/>
              <w:bottom w:val="nil"/>
              <w:right w:val="nil"/>
            </w:tcBorders>
          </w:tcPr>
          <w:p w14:paraId="31334CFB"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181D0A09"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(0.003)</w:t>
            </w:r>
          </w:p>
        </w:tc>
      </w:tr>
      <w:tr w:rsidR="00BE6FB8" w14:paraId="57835477" w14:textId="77777777" w:rsidTr="00140D7B">
        <w:trPr>
          <w:jc w:val="center"/>
        </w:trPr>
        <w:tc>
          <w:tcPr>
            <w:tcW w:w="3531" w:type="dxa"/>
            <w:tcBorders>
              <w:top w:val="nil"/>
              <w:left w:val="nil"/>
              <w:bottom w:val="nil"/>
              <w:right w:val="nil"/>
            </w:tcBorders>
          </w:tcPr>
          <w:p w14:paraId="0F3763AA" w14:textId="77777777" w:rsidR="00BE6FB8" w:rsidRDefault="00BE6FB8" w:rsidP="00140D7B">
            <w:pPr>
              <w:widowControl w:val="0"/>
              <w:autoSpaceDE w:val="0"/>
              <w:autoSpaceDN w:val="0"/>
              <w:adjustRightInd w:val="0"/>
              <w:rPr>
                <w:rFonts w:cs="Times New Roman"/>
                <w:lang w:val="en-GB"/>
              </w:rPr>
            </w:pPr>
          </w:p>
        </w:tc>
        <w:tc>
          <w:tcPr>
            <w:tcW w:w="4752" w:type="dxa"/>
            <w:tcBorders>
              <w:top w:val="nil"/>
              <w:left w:val="nil"/>
              <w:bottom w:val="nil"/>
              <w:right w:val="nil"/>
            </w:tcBorders>
          </w:tcPr>
          <w:p w14:paraId="5AF72CED" w14:textId="77777777" w:rsidR="00BE6FB8" w:rsidRDefault="00BE6FB8" w:rsidP="00140D7B">
            <w:pPr>
              <w:widowControl w:val="0"/>
              <w:autoSpaceDE w:val="0"/>
              <w:autoSpaceDN w:val="0"/>
              <w:adjustRightInd w:val="0"/>
              <w:jc w:val="center"/>
              <w:rPr>
                <w:rFonts w:cs="Times New Roman"/>
                <w:lang w:val="en-GB"/>
              </w:rPr>
            </w:pPr>
          </w:p>
        </w:tc>
      </w:tr>
      <w:tr w:rsidR="00BE6FB8" w14:paraId="1A0E9E7D" w14:textId="77777777" w:rsidTr="00140D7B">
        <w:trPr>
          <w:jc w:val="center"/>
        </w:trPr>
        <w:tc>
          <w:tcPr>
            <w:tcW w:w="3531" w:type="dxa"/>
            <w:tcBorders>
              <w:top w:val="nil"/>
              <w:left w:val="nil"/>
              <w:bottom w:val="nil"/>
              <w:right w:val="nil"/>
            </w:tcBorders>
          </w:tcPr>
          <w:p w14:paraId="644C474C" w14:textId="77777777" w:rsidR="00BE6FB8" w:rsidRDefault="00BE6FB8" w:rsidP="00140D7B">
            <w:pPr>
              <w:widowControl w:val="0"/>
              <w:autoSpaceDE w:val="0"/>
              <w:autoSpaceDN w:val="0"/>
              <w:adjustRightInd w:val="0"/>
              <w:rPr>
                <w:rFonts w:cs="Times New Roman"/>
                <w:lang w:val="en-GB"/>
              </w:rPr>
            </w:pPr>
            <w:r>
              <w:rPr>
                <w:rFonts w:cs="Times New Roman"/>
                <w:lang w:val="en-GB"/>
              </w:rPr>
              <w:t>Observations</w:t>
            </w:r>
          </w:p>
        </w:tc>
        <w:tc>
          <w:tcPr>
            <w:tcW w:w="4752" w:type="dxa"/>
            <w:tcBorders>
              <w:top w:val="nil"/>
              <w:left w:val="nil"/>
              <w:bottom w:val="nil"/>
              <w:right w:val="nil"/>
            </w:tcBorders>
          </w:tcPr>
          <w:p w14:paraId="5D58284B"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7,681</w:t>
            </w:r>
          </w:p>
        </w:tc>
      </w:tr>
      <w:tr w:rsidR="00BE6FB8" w14:paraId="517F0568" w14:textId="77777777" w:rsidTr="00140D7B">
        <w:trPr>
          <w:jc w:val="center"/>
        </w:trPr>
        <w:tc>
          <w:tcPr>
            <w:tcW w:w="3531" w:type="dxa"/>
            <w:tcBorders>
              <w:top w:val="nil"/>
              <w:left w:val="nil"/>
              <w:bottom w:val="nil"/>
              <w:right w:val="nil"/>
            </w:tcBorders>
          </w:tcPr>
          <w:p w14:paraId="3DE2E1B3" w14:textId="77777777" w:rsidR="00BE6FB8" w:rsidRDefault="00BE6FB8" w:rsidP="00140D7B">
            <w:pPr>
              <w:widowControl w:val="0"/>
              <w:autoSpaceDE w:val="0"/>
              <w:autoSpaceDN w:val="0"/>
              <w:adjustRightInd w:val="0"/>
              <w:rPr>
                <w:rFonts w:cs="Times New Roman"/>
                <w:lang w:val="en-GB"/>
              </w:rPr>
            </w:pPr>
            <w:r>
              <w:rPr>
                <w:rFonts w:cs="Times New Roman" w:hint="eastAsia"/>
                <w:lang w:val="en-GB"/>
              </w:rPr>
              <w:t>City*Year FE</w:t>
            </w:r>
          </w:p>
        </w:tc>
        <w:tc>
          <w:tcPr>
            <w:tcW w:w="4752" w:type="dxa"/>
            <w:tcBorders>
              <w:top w:val="nil"/>
              <w:left w:val="nil"/>
              <w:bottom w:val="nil"/>
              <w:right w:val="nil"/>
            </w:tcBorders>
          </w:tcPr>
          <w:p w14:paraId="43F96406"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YES</w:t>
            </w:r>
          </w:p>
        </w:tc>
      </w:tr>
      <w:tr w:rsidR="00BE6FB8" w14:paraId="6E4A7028" w14:textId="77777777" w:rsidTr="00140D7B">
        <w:trPr>
          <w:jc w:val="center"/>
        </w:trPr>
        <w:tc>
          <w:tcPr>
            <w:tcW w:w="3531" w:type="dxa"/>
            <w:tcBorders>
              <w:top w:val="nil"/>
              <w:left w:val="nil"/>
              <w:bottom w:val="nil"/>
              <w:right w:val="nil"/>
            </w:tcBorders>
          </w:tcPr>
          <w:p w14:paraId="10FF4EB6" w14:textId="77777777" w:rsidR="00BE6FB8" w:rsidRDefault="00BE6FB8" w:rsidP="00140D7B">
            <w:pPr>
              <w:widowControl w:val="0"/>
              <w:autoSpaceDE w:val="0"/>
              <w:autoSpaceDN w:val="0"/>
              <w:adjustRightInd w:val="0"/>
              <w:rPr>
                <w:rFonts w:cs="Times New Roman"/>
                <w:lang w:val="en-GB"/>
              </w:rPr>
            </w:pPr>
            <w:r>
              <w:rPr>
                <w:rFonts w:cs="Times New Roman" w:hint="eastAsia"/>
                <w:lang w:val="en-GB"/>
              </w:rPr>
              <w:t>Year*Quarter FE</w:t>
            </w:r>
          </w:p>
        </w:tc>
        <w:tc>
          <w:tcPr>
            <w:tcW w:w="4752" w:type="dxa"/>
            <w:tcBorders>
              <w:top w:val="nil"/>
              <w:left w:val="nil"/>
              <w:bottom w:val="nil"/>
              <w:right w:val="nil"/>
            </w:tcBorders>
          </w:tcPr>
          <w:p w14:paraId="2D7B4D1F"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YES</w:t>
            </w:r>
          </w:p>
        </w:tc>
      </w:tr>
      <w:tr w:rsidR="00BE6FB8" w14:paraId="034AAE9E" w14:textId="77777777" w:rsidTr="00140D7B">
        <w:tblPrEx>
          <w:tblBorders>
            <w:bottom w:val="single" w:sz="6" w:space="0" w:color="auto"/>
          </w:tblBorders>
        </w:tblPrEx>
        <w:trPr>
          <w:jc w:val="center"/>
        </w:trPr>
        <w:tc>
          <w:tcPr>
            <w:tcW w:w="3531" w:type="dxa"/>
            <w:tcBorders>
              <w:top w:val="nil"/>
              <w:left w:val="nil"/>
              <w:bottom w:val="single" w:sz="6" w:space="0" w:color="auto"/>
              <w:right w:val="nil"/>
            </w:tcBorders>
          </w:tcPr>
          <w:p w14:paraId="38BD9CD4" w14:textId="77777777" w:rsidR="00BE6FB8" w:rsidRDefault="00BE6FB8" w:rsidP="00140D7B">
            <w:pPr>
              <w:widowControl w:val="0"/>
              <w:autoSpaceDE w:val="0"/>
              <w:autoSpaceDN w:val="0"/>
              <w:adjustRightInd w:val="0"/>
              <w:rPr>
                <w:rFonts w:cs="Times New Roman"/>
                <w:lang w:val="en-GB"/>
              </w:rPr>
            </w:pPr>
            <w:r>
              <w:rPr>
                <w:rFonts w:cs="Times New Roman"/>
                <w:lang w:val="en-GB"/>
              </w:rPr>
              <w:t>Exposure</w:t>
            </w:r>
          </w:p>
        </w:tc>
        <w:tc>
          <w:tcPr>
            <w:tcW w:w="4752" w:type="dxa"/>
            <w:tcBorders>
              <w:top w:val="nil"/>
              <w:left w:val="nil"/>
              <w:bottom w:val="single" w:sz="6" w:space="0" w:color="auto"/>
              <w:right w:val="nil"/>
            </w:tcBorders>
          </w:tcPr>
          <w:p w14:paraId="5D3632E0" w14:textId="77777777" w:rsidR="00BE6FB8" w:rsidRDefault="00BE6FB8" w:rsidP="00140D7B">
            <w:pPr>
              <w:widowControl w:val="0"/>
              <w:autoSpaceDE w:val="0"/>
              <w:autoSpaceDN w:val="0"/>
              <w:adjustRightInd w:val="0"/>
              <w:jc w:val="center"/>
              <w:rPr>
                <w:rFonts w:cs="Times New Roman"/>
                <w:lang w:val="en-GB"/>
              </w:rPr>
            </w:pPr>
            <w:r>
              <w:rPr>
                <w:rFonts w:cs="Times New Roman"/>
                <w:lang w:val="en-GB"/>
              </w:rPr>
              <w:t>Population</w:t>
            </w:r>
          </w:p>
        </w:tc>
      </w:tr>
    </w:tbl>
    <w:p w14:paraId="4BB5F761" w14:textId="19C5608D" w:rsidR="008413E5" w:rsidRPr="00BE6FB8" w:rsidRDefault="00BE6FB8" w:rsidP="004863E1">
      <w:pPr>
        <w:rPr>
          <w:rFonts w:cs="Times New Roman"/>
          <w:b/>
          <w:bCs/>
          <w:sz w:val="18"/>
          <w:szCs w:val="18"/>
          <w:lang w:val="en-GB"/>
        </w:rPr>
      </w:pPr>
      <w:r w:rsidRPr="00BE6FB8">
        <w:rPr>
          <w:rFonts w:cs="Times New Roman"/>
          <w:sz w:val="18"/>
          <w:szCs w:val="18"/>
          <w:lang w:val="en-GB"/>
        </w:rPr>
        <w:t xml:space="preserve">Note: </w:t>
      </w:r>
      <w:r w:rsidRPr="00BE6FB8">
        <w:rPr>
          <w:sz w:val="18"/>
          <w:szCs w:val="18"/>
        </w:rPr>
        <w:t xml:space="preserve">The dependent variable is the number of hospitalizations with a primary mental health diagnosis. Models are estimated using Poisson pseudo-maximum likelihood (PPML) with population as the exposure variable. Robust standard errors are reported in parentheses and clustered at the city level. All models include City × Year and Year × Quarter fixed effects. </w:t>
      </w:r>
      <w:r w:rsidRPr="00BE6FB8">
        <w:rPr>
          <w:i/>
          <w:iCs/>
          <w:sz w:val="18"/>
          <w:szCs w:val="18"/>
        </w:rPr>
        <w:t>p</w:t>
      </w:r>
      <w:r w:rsidRPr="00BE6FB8">
        <w:rPr>
          <w:sz w:val="18"/>
          <w:szCs w:val="18"/>
        </w:rPr>
        <w:t xml:space="preserve"> &lt; 0.10</w:t>
      </w:r>
      <w:r w:rsidRPr="000678D3">
        <w:rPr>
          <w:sz w:val="18"/>
          <w:szCs w:val="18"/>
        </w:rPr>
        <w:t xml:space="preserve">, p &lt; 0.05, </w:t>
      </w:r>
      <w:r w:rsidRPr="000678D3">
        <w:rPr>
          <w:i/>
          <w:iCs/>
          <w:sz w:val="18"/>
          <w:szCs w:val="18"/>
        </w:rPr>
        <w:t>p</w:t>
      </w:r>
      <w:r w:rsidRPr="00BE6FB8">
        <w:rPr>
          <w:sz w:val="18"/>
          <w:szCs w:val="18"/>
        </w:rPr>
        <w:t xml:space="preserve"> &lt; 0.01.</w:t>
      </w:r>
    </w:p>
    <w:p w14:paraId="2BE910CC" w14:textId="77777777" w:rsidR="008959B6" w:rsidRDefault="008959B6" w:rsidP="00840340">
      <w:pPr>
        <w:rPr>
          <w:rFonts w:cs="Times New Roman"/>
          <w:b/>
          <w:bCs/>
        </w:rPr>
      </w:pPr>
    </w:p>
    <w:p w14:paraId="0C867826" w14:textId="3B6CD820" w:rsidR="001B7FAF" w:rsidRDefault="000724FB" w:rsidP="00840340">
      <w:pPr>
        <w:rPr>
          <w:rFonts w:cs="Times New Roman"/>
          <w:b/>
          <w:bCs/>
        </w:rPr>
      </w:pPr>
      <w:r>
        <w:rPr>
          <w:b/>
        </w:rPr>
        <w:t>Supplementary Table S18: Formal Tests of Heterogeneity in Power Outage Effects on Mental Health Hospitalizations</w:t>
      </w:r>
    </w:p>
    <w:tbl>
      <w:tblPr>
        <w:tblStyle w:val="TableGrid"/>
        <w:tblW w:w="9884" w:type="dxa"/>
        <w:tblInd w:w="-998" w:type="dxa"/>
        <w:tblLook w:val="04A0" w:firstRow="1" w:lastRow="0" w:firstColumn="1" w:lastColumn="0" w:noHBand="0" w:noVBand="1"/>
      </w:tblPr>
      <w:tblGrid>
        <w:gridCol w:w="1133"/>
        <w:gridCol w:w="1273"/>
        <w:gridCol w:w="1222"/>
        <w:gridCol w:w="817"/>
        <w:gridCol w:w="965"/>
        <w:gridCol w:w="1033"/>
        <w:gridCol w:w="763"/>
        <w:gridCol w:w="801"/>
        <w:gridCol w:w="801"/>
        <w:gridCol w:w="1076"/>
      </w:tblGrid>
      <w:tr w:rsidR="008959B6" w14:paraId="57CB8B87" w14:textId="77777777" w:rsidTr="008959B6">
        <w:tc>
          <w:tcPr>
            <w:tcW w:w="1135" w:type="dxa"/>
          </w:tcPr>
          <w:p w14:paraId="4D4F6F2F" w14:textId="77777777" w:rsidR="00B765AC" w:rsidRDefault="00000000">
            <w:pPr>
              <w:jc w:val="center"/>
            </w:pPr>
            <w:r>
              <w:rPr>
                <w:b/>
                <w:sz w:val="18"/>
              </w:rPr>
              <w:t>Dimension</w:t>
            </w:r>
          </w:p>
        </w:tc>
        <w:tc>
          <w:tcPr>
            <w:tcW w:w="1276" w:type="dxa"/>
          </w:tcPr>
          <w:p w14:paraId="7B6949AB" w14:textId="77777777" w:rsidR="00B765AC" w:rsidRDefault="00000000">
            <w:pPr>
              <w:jc w:val="center"/>
            </w:pPr>
            <w:r>
              <w:rPr>
                <w:b/>
                <w:sz w:val="18"/>
              </w:rPr>
              <w:t>Classification</w:t>
            </w:r>
          </w:p>
        </w:tc>
        <w:tc>
          <w:tcPr>
            <w:tcW w:w="1276" w:type="dxa"/>
          </w:tcPr>
          <w:p w14:paraId="113C1F08" w14:textId="77777777" w:rsidR="00B765AC" w:rsidRDefault="00000000">
            <w:pPr>
              <w:jc w:val="center"/>
            </w:pPr>
            <w:r>
              <w:rPr>
                <w:b/>
                <w:sz w:val="18"/>
              </w:rPr>
              <w:t>Group 1</w:t>
            </w:r>
          </w:p>
        </w:tc>
        <w:tc>
          <w:tcPr>
            <w:tcW w:w="850" w:type="dxa"/>
          </w:tcPr>
          <w:p w14:paraId="4A7F3DC3" w14:textId="77777777" w:rsidR="00B765AC" w:rsidRDefault="00000000">
            <w:pPr>
              <w:jc w:val="center"/>
            </w:pPr>
            <w:r>
              <w:rPr>
                <w:b/>
                <w:sz w:val="18"/>
              </w:rPr>
              <w:t>IRR</w:t>
            </w:r>
          </w:p>
        </w:tc>
        <w:tc>
          <w:tcPr>
            <w:tcW w:w="992" w:type="dxa"/>
          </w:tcPr>
          <w:p w14:paraId="0E71431A" w14:textId="61ADA36E" w:rsidR="00B765AC" w:rsidRDefault="00000000">
            <w:pPr>
              <w:jc w:val="center"/>
            </w:pPr>
            <w:r>
              <w:rPr>
                <w:b/>
                <w:sz w:val="18"/>
              </w:rPr>
              <w:t>p</w:t>
            </w:r>
            <w:r w:rsidR="008959B6">
              <w:rPr>
                <w:b/>
                <w:sz w:val="18"/>
              </w:rPr>
              <w:t>-value</w:t>
            </w:r>
          </w:p>
        </w:tc>
        <w:tc>
          <w:tcPr>
            <w:tcW w:w="1056" w:type="dxa"/>
          </w:tcPr>
          <w:p w14:paraId="2A27E715" w14:textId="77777777" w:rsidR="00B765AC" w:rsidRDefault="00000000">
            <w:pPr>
              <w:jc w:val="center"/>
            </w:pPr>
            <w:r>
              <w:rPr>
                <w:b/>
                <w:sz w:val="18"/>
              </w:rPr>
              <w:t>Group 2</w:t>
            </w:r>
          </w:p>
        </w:tc>
        <w:tc>
          <w:tcPr>
            <w:tcW w:w="787" w:type="dxa"/>
          </w:tcPr>
          <w:p w14:paraId="57D8D1AA" w14:textId="77777777" w:rsidR="00B765AC" w:rsidRDefault="00000000">
            <w:pPr>
              <w:jc w:val="center"/>
            </w:pPr>
            <w:r>
              <w:rPr>
                <w:b/>
                <w:sz w:val="18"/>
              </w:rPr>
              <w:t>IRR</w:t>
            </w:r>
          </w:p>
        </w:tc>
        <w:tc>
          <w:tcPr>
            <w:tcW w:w="635" w:type="dxa"/>
          </w:tcPr>
          <w:p w14:paraId="33F05A13" w14:textId="432F4B37" w:rsidR="00B765AC" w:rsidRDefault="00000000">
            <w:pPr>
              <w:jc w:val="center"/>
            </w:pPr>
            <w:r>
              <w:rPr>
                <w:b/>
                <w:sz w:val="18"/>
              </w:rPr>
              <w:t>p</w:t>
            </w:r>
            <w:r w:rsidR="008959B6">
              <w:rPr>
                <w:b/>
                <w:sz w:val="18"/>
              </w:rPr>
              <w:t>-value</w:t>
            </w:r>
          </w:p>
        </w:tc>
        <w:tc>
          <w:tcPr>
            <w:tcW w:w="801" w:type="dxa"/>
          </w:tcPr>
          <w:p w14:paraId="26BC5349" w14:textId="167555BC" w:rsidR="00B765AC" w:rsidRDefault="00000000">
            <w:pPr>
              <w:jc w:val="center"/>
            </w:pPr>
            <w:r>
              <w:rPr>
                <w:b/>
                <w:sz w:val="18"/>
              </w:rPr>
              <w:t>Z-test p</w:t>
            </w:r>
            <w:r w:rsidR="008959B6">
              <w:rPr>
                <w:b/>
                <w:sz w:val="18"/>
              </w:rPr>
              <w:t>-value</w:t>
            </w:r>
          </w:p>
        </w:tc>
        <w:tc>
          <w:tcPr>
            <w:tcW w:w="1076" w:type="dxa"/>
          </w:tcPr>
          <w:p w14:paraId="21D3DCD5" w14:textId="1444EABA" w:rsidR="00B765AC" w:rsidRDefault="00000000">
            <w:pPr>
              <w:jc w:val="center"/>
            </w:pPr>
            <w:r>
              <w:rPr>
                <w:b/>
                <w:sz w:val="18"/>
              </w:rPr>
              <w:t>Interaction p</w:t>
            </w:r>
            <w:r w:rsidR="008959B6">
              <w:rPr>
                <w:b/>
                <w:sz w:val="18"/>
              </w:rPr>
              <w:t>-value</w:t>
            </w:r>
          </w:p>
        </w:tc>
      </w:tr>
      <w:tr w:rsidR="008959B6" w14:paraId="264FCE02" w14:textId="77777777" w:rsidTr="008959B6">
        <w:tc>
          <w:tcPr>
            <w:tcW w:w="1135" w:type="dxa"/>
          </w:tcPr>
          <w:p w14:paraId="36B4A411" w14:textId="77777777" w:rsidR="00B765AC" w:rsidRDefault="00000000">
            <w:pPr>
              <w:jc w:val="center"/>
            </w:pPr>
            <w:r>
              <w:rPr>
                <w:sz w:val="18"/>
              </w:rPr>
              <w:t>Urban/Rural</w:t>
            </w:r>
          </w:p>
        </w:tc>
        <w:tc>
          <w:tcPr>
            <w:tcW w:w="1276" w:type="dxa"/>
          </w:tcPr>
          <w:p w14:paraId="4B06FAD7" w14:textId="77777777" w:rsidR="00B765AC" w:rsidRDefault="00000000">
            <w:pPr>
              <w:jc w:val="center"/>
            </w:pPr>
            <w:r>
              <w:rPr>
                <w:sz w:val="18"/>
              </w:rPr>
              <w:t>RUCC=1 vs Rest</w:t>
            </w:r>
          </w:p>
        </w:tc>
        <w:tc>
          <w:tcPr>
            <w:tcW w:w="1276" w:type="dxa"/>
          </w:tcPr>
          <w:p w14:paraId="65D1DBB3" w14:textId="77777777" w:rsidR="00B765AC" w:rsidRDefault="00000000">
            <w:pPr>
              <w:jc w:val="center"/>
            </w:pPr>
            <w:r>
              <w:rPr>
                <w:sz w:val="18"/>
              </w:rPr>
              <w:t>Large Metro</w:t>
            </w:r>
          </w:p>
        </w:tc>
        <w:tc>
          <w:tcPr>
            <w:tcW w:w="850" w:type="dxa"/>
          </w:tcPr>
          <w:p w14:paraId="3EE65AD0" w14:textId="77777777" w:rsidR="00B765AC" w:rsidRDefault="00000000">
            <w:pPr>
              <w:jc w:val="center"/>
            </w:pPr>
            <w:r>
              <w:rPr>
                <w:sz w:val="18"/>
              </w:rPr>
              <w:t>1.016</w:t>
            </w:r>
          </w:p>
        </w:tc>
        <w:tc>
          <w:tcPr>
            <w:tcW w:w="992" w:type="dxa"/>
          </w:tcPr>
          <w:p w14:paraId="2636AFE9" w14:textId="77777777" w:rsidR="00B765AC" w:rsidRDefault="00000000">
            <w:pPr>
              <w:jc w:val="center"/>
            </w:pPr>
            <w:r>
              <w:rPr>
                <w:sz w:val="18"/>
              </w:rPr>
              <w:t>0.024**</w:t>
            </w:r>
          </w:p>
        </w:tc>
        <w:tc>
          <w:tcPr>
            <w:tcW w:w="1056" w:type="dxa"/>
          </w:tcPr>
          <w:p w14:paraId="1B074906" w14:textId="77777777" w:rsidR="00B765AC" w:rsidRDefault="00000000">
            <w:pPr>
              <w:jc w:val="center"/>
            </w:pPr>
            <w:r>
              <w:rPr>
                <w:sz w:val="18"/>
              </w:rPr>
              <w:t>Non-Large Metro</w:t>
            </w:r>
          </w:p>
        </w:tc>
        <w:tc>
          <w:tcPr>
            <w:tcW w:w="787" w:type="dxa"/>
          </w:tcPr>
          <w:p w14:paraId="01893AAF" w14:textId="77777777" w:rsidR="00B765AC" w:rsidRDefault="00000000">
            <w:pPr>
              <w:jc w:val="center"/>
            </w:pPr>
            <w:r>
              <w:rPr>
                <w:sz w:val="18"/>
              </w:rPr>
              <w:t>0.973</w:t>
            </w:r>
          </w:p>
        </w:tc>
        <w:tc>
          <w:tcPr>
            <w:tcW w:w="635" w:type="dxa"/>
          </w:tcPr>
          <w:p w14:paraId="089CF457" w14:textId="77777777" w:rsidR="00B765AC" w:rsidRDefault="00000000">
            <w:pPr>
              <w:jc w:val="center"/>
            </w:pPr>
            <w:r>
              <w:rPr>
                <w:sz w:val="18"/>
              </w:rPr>
              <w:t>0.086*</w:t>
            </w:r>
          </w:p>
        </w:tc>
        <w:tc>
          <w:tcPr>
            <w:tcW w:w="801" w:type="dxa"/>
          </w:tcPr>
          <w:p w14:paraId="085659E5" w14:textId="77777777" w:rsidR="00B765AC" w:rsidRDefault="00000000">
            <w:pPr>
              <w:jc w:val="center"/>
            </w:pPr>
            <w:r>
              <w:rPr>
                <w:sz w:val="18"/>
              </w:rPr>
              <w:t>0.013**</w:t>
            </w:r>
          </w:p>
        </w:tc>
        <w:tc>
          <w:tcPr>
            <w:tcW w:w="1076" w:type="dxa"/>
          </w:tcPr>
          <w:p w14:paraId="73C34C37" w14:textId="77777777" w:rsidR="00B765AC" w:rsidRDefault="00000000">
            <w:pPr>
              <w:jc w:val="center"/>
            </w:pPr>
            <w:r>
              <w:rPr>
                <w:sz w:val="18"/>
              </w:rPr>
              <w:t>0.015**</w:t>
            </w:r>
          </w:p>
        </w:tc>
      </w:tr>
      <w:tr w:rsidR="008959B6" w14:paraId="21037E96" w14:textId="77777777" w:rsidTr="008959B6">
        <w:tc>
          <w:tcPr>
            <w:tcW w:w="1135" w:type="dxa"/>
          </w:tcPr>
          <w:p w14:paraId="5E9EF3B9" w14:textId="77777777" w:rsidR="00B765AC" w:rsidRDefault="00000000">
            <w:pPr>
              <w:jc w:val="center"/>
            </w:pPr>
            <w:r>
              <w:rPr>
                <w:sz w:val="18"/>
              </w:rPr>
              <w:t>Poverty</w:t>
            </w:r>
          </w:p>
        </w:tc>
        <w:tc>
          <w:tcPr>
            <w:tcW w:w="1276" w:type="dxa"/>
          </w:tcPr>
          <w:p w14:paraId="12F8E79C" w14:textId="77777777" w:rsidR="00B765AC" w:rsidRDefault="00000000">
            <w:pPr>
              <w:jc w:val="center"/>
            </w:pPr>
            <w:r>
              <w:rPr>
                <w:sz w:val="18"/>
              </w:rPr>
              <w:t>Census ≥20%</w:t>
            </w:r>
          </w:p>
        </w:tc>
        <w:tc>
          <w:tcPr>
            <w:tcW w:w="1276" w:type="dxa"/>
          </w:tcPr>
          <w:p w14:paraId="71DA189F" w14:textId="77777777" w:rsidR="00B765AC" w:rsidRDefault="00000000">
            <w:pPr>
              <w:jc w:val="center"/>
            </w:pPr>
            <w:r>
              <w:rPr>
                <w:sz w:val="18"/>
              </w:rPr>
              <w:t>Low Poverty</w:t>
            </w:r>
          </w:p>
        </w:tc>
        <w:tc>
          <w:tcPr>
            <w:tcW w:w="850" w:type="dxa"/>
          </w:tcPr>
          <w:p w14:paraId="56EF7A81" w14:textId="77777777" w:rsidR="00B765AC" w:rsidRDefault="00000000">
            <w:pPr>
              <w:jc w:val="center"/>
            </w:pPr>
            <w:r>
              <w:rPr>
                <w:sz w:val="18"/>
              </w:rPr>
              <w:t>1.015</w:t>
            </w:r>
          </w:p>
        </w:tc>
        <w:tc>
          <w:tcPr>
            <w:tcW w:w="992" w:type="dxa"/>
          </w:tcPr>
          <w:p w14:paraId="3C3B9289" w14:textId="77777777" w:rsidR="00B765AC" w:rsidRDefault="00000000">
            <w:pPr>
              <w:jc w:val="center"/>
            </w:pPr>
            <w:r>
              <w:rPr>
                <w:sz w:val="18"/>
              </w:rPr>
              <w:t>0.031**</w:t>
            </w:r>
          </w:p>
        </w:tc>
        <w:tc>
          <w:tcPr>
            <w:tcW w:w="1056" w:type="dxa"/>
          </w:tcPr>
          <w:p w14:paraId="54716C48" w14:textId="77777777" w:rsidR="00B765AC" w:rsidRDefault="00000000">
            <w:pPr>
              <w:jc w:val="center"/>
            </w:pPr>
            <w:r>
              <w:rPr>
                <w:sz w:val="18"/>
              </w:rPr>
              <w:t>High Poverty</w:t>
            </w:r>
          </w:p>
        </w:tc>
        <w:tc>
          <w:tcPr>
            <w:tcW w:w="787" w:type="dxa"/>
          </w:tcPr>
          <w:p w14:paraId="1E53F02F" w14:textId="77777777" w:rsidR="00B765AC" w:rsidRDefault="00000000">
            <w:pPr>
              <w:jc w:val="center"/>
            </w:pPr>
            <w:r>
              <w:rPr>
                <w:sz w:val="18"/>
              </w:rPr>
              <w:t>1.032</w:t>
            </w:r>
          </w:p>
        </w:tc>
        <w:tc>
          <w:tcPr>
            <w:tcW w:w="635" w:type="dxa"/>
          </w:tcPr>
          <w:p w14:paraId="1531EF61" w14:textId="77777777" w:rsidR="00B765AC" w:rsidRDefault="00000000">
            <w:pPr>
              <w:jc w:val="center"/>
            </w:pPr>
            <w:r>
              <w:rPr>
                <w:sz w:val="18"/>
              </w:rPr>
              <w:t>0.183</w:t>
            </w:r>
          </w:p>
        </w:tc>
        <w:tc>
          <w:tcPr>
            <w:tcW w:w="801" w:type="dxa"/>
          </w:tcPr>
          <w:p w14:paraId="37B90779" w14:textId="77777777" w:rsidR="00B765AC" w:rsidRDefault="00000000">
            <w:pPr>
              <w:jc w:val="center"/>
            </w:pPr>
            <w:r>
              <w:rPr>
                <w:sz w:val="18"/>
              </w:rPr>
              <w:t>0.499</w:t>
            </w:r>
          </w:p>
        </w:tc>
        <w:tc>
          <w:tcPr>
            <w:tcW w:w="1076" w:type="dxa"/>
          </w:tcPr>
          <w:p w14:paraId="50607F61" w14:textId="77777777" w:rsidR="00B765AC" w:rsidRDefault="00000000">
            <w:pPr>
              <w:jc w:val="center"/>
            </w:pPr>
            <w:r>
              <w:rPr>
                <w:sz w:val="18"/>
              </w:rPr>
              <w:t>0.084*</w:t>
            </w:r>
          </w:p>
        </w:tc>
      </w:tr>
      <w:tr w:rsidR="008959B6" w14:paraId="418B83E2" w14:textId="77777777" w:rsidTr="008959B6">
        <w:tc>
          <w:tcPr>
            <w:tcW w:w="1135" w:type="dxa"/>
          </w:tcPr>
          <w:p w14:paraId="1E1C0BDF" w14:textId="77777777" w:rsidR="00B765AC" w:rsidRDefault="00000000">
            <w:pPr>
              <w:jc w:val="center"/>
            </w:pPr>
            <w:r>
              <w:rPr>
                <w:sz w:val="18"/>
              </w:rPr>
              <w:t>Medicaid</w:t>
            </w:r>
          </w:p>
        </w:tc>
        <w:tc>
          <w:tcPr>
            <w:tcW w:w="1276" w:type="dxa"/>
          </w:tcPr>
          <w:p w14:paraId="35003983" w14:textId="77777777" w:rsidR="00B765AC" w:rsidRDefault="00000000">
            <w:pPr>
              <w:jc w:val="center"/>
            </w:pPr>
            <w:r>
              <w:rPr>
                <w:sz w:val="18"/>
              </w:rPr>
              <w:t>≥25% threshold</w:t>
            </w:r>
          </w:p>
        </w:tc>
        <w:tc>
          <w:tcPr>
            <w:tcW w:w="1276" w:type="dxa"/>
          </w:tcPr>
          <w:p w14:paraId="64AB25B6" w14:textId="77777777" w:rsidR="00B765AC" w:rsidRDefault="00000000">
            <w:pPr>
              <w:jc w:val="center"/>
            </w:pPr>
            <w:r>
              <w:rPr>
                <w:sz w:val="18"/>
              </w:rPr>
              <w:t>Low Medicaid</w:t>
            </w:r>
          </w:p>
        </w:tc>
        <w:tc>
          <w:tcPr>
            <w:tcW w:w="850" w:type="dxa"/>
          </w:tcPr>
          <w:p w14:paraId="14D2B021" w14:textId="77777777" w:rsidR="00B765AC" w:rsidRDefault="00000000">
            <w:pPr>
              <w:jc w:val="center"/>
            </w:pPr>
            <w:r>
              <w:rPr>
                <w:sz w:val="18"/>
              </w:rPr>
              <w:t>1.008</w:t>
            </w:r>
          </w:p>
        </w:tc>
        <w:tc>
          <w:tcPr>
            <w:tcW w:w="992" w:type="dxa"/>
          </w:tcPr>
          <w:p w14:paraId="71BBA2E0" w14:textId="77777777" w:rsidR="00B765AC" w:rsidRDefault="00000000">
            <w:pPr>
              <w:jc w:val="center"/>
            </w:pPr>
            <w:r>
              <w:rPr>
                <w:sz w:val="18"/>
              </w:rPr>
              <w:t>0.407</w:t>
            </w:r>
          </w:p>
        </w:tc>
        <w:tc>
          <w:tcPr>
            <w:tcW w:w="1056" w:type="dxa"/>
          </w:tcPr>
          <w:p w14:paraId="466450C1" w14:textId="77777777" w:rsidR="00B765AC" w:rsidRDefault="00000000">
            <w:pPr>
              <w:jc w:val="center"/>
            </w:pPr>
            <w:r>
              <w:rPr>
                <w:sz w:val="18"/>
              </w:rPr>
              <w:t>High Medicaid</w:t>
            </w:r>
          </w:p>
        </w:tc>
        <w:tc>
          <w:tcPr>
            <w:tcW w:w="787" w:type="dxa"/>
          </w:tcPr>
          <w:p w14:paraId="117ACCD0" w14:textId="77777777" w:rsidR="00B765AC" w:rsidRDefault="00000000">
            <w:pPr>
              <w:jc w:val="center"/>
            </w:pPr>
            <w:r>
              <w:rPr>
                <w:sz w:val="18"/>
              </w:rPr>
              <w:t>1.022</w:t>
            </w:r>
          </w:p>
        </w:tc>
        <w:tc>
          <w:tcPr>
            <w:tcW w:w="635" w:type="dxa"/>
          </w:tcPr>
          <w:p w14:paraId="2F101317" w14:textId="77777777" w:rsidR="00B765AC" w:rsidRDefault="00000000">
            <w:pPr>
              <w:jc w:val="center"/>
            </w:pPr>
            <w:r>
              <w:rPr>
                <w:sz w:val="18"/>
              </w:rPr>
              <w:t>0.020**</w:t>
            </w:r>
          </w:p>
        </w:tc>
        <w:tc>
          <w:tcPr>
            <w:tcW w:w="801" w:type="dxa"/>
          </w:tcPr>
          <w:p w14:paraId="16B936CB" w14:textId="77777777" w:rsidR="00B765AC" w:rsidRDefault="00000000">
            <w:pPr>
              <w:jc w:val="center"/>
            </w:pPr>
            <w:r>
              <w:rPr>
                <w:sz w:val="18"/>
              </w:rPr>
              <w:t>0.313</w:t>
            </w:r>
          </w:p>
        </w:tc>
        <w:tc>
          <w:tcPr>
            <w:tcW w:w="1076" w:type="dxa"/>
          </w:tcPr>
          <w:p w14:paraId="5A77D0A1" w14:textId="77777777" w:rsidR="00B765AC" w:rsidRDefault="00000000">
            <w:pPr>
              <w:jc w:val="center"/>
            </w:pPr>
            <w:r>
              <w:rPr>
                <w:sz w:val="18"/>
              </w:rPr>
              <w:t>0.483</w:t>
            </w:r>
          </w:p>
        </w:tc>
      </w:tr>
      <w:tr w:rsidR="008959B6" w14:paraId="0A559C3C" w14:textId="77777777" w:rsidTr="008959B6">
        <w:tc>
          <w:tcPr>
            <w:tcW w:w="1135" w:type="dxa"/>
          </w:tcPr>
          <w:p w14:paraId="204F5550" w14:textId="77777777" w:rsidR="00B765AC" w:rsidRDefault="00000000">
            <w:pPr>
              <w:jc w:val="center"/>
            </w:pPr>
            <w:r>
              <w:rPr>
                <w:sz w:val="18"/>
              </w:rPr>
              <w:t>Season</w:t>
            </w:r>
          </w:p>
        </w:tc>
        <w:tc>
          <w:tcPr>
            <w:tcW w:w="1276" w:type="dxa"/>
          </w:tcPr>
          <w:p w14:paraId="1E889A3B" w14:textId="77777777" w:rsidR="00B765AC" w:rsidRDefault="00000000">
            <w:pPr>
              <w:jc w:val="center"/>
            </w:pPr>
            <w:r>
              <w:rPr>
                <w:sz w:val="18"/>
              </w:rPr>
              <w:t>Warm/Cold</w:t>
            </w:r>
          </w:p>
        </w:tc>
        <w:tc>
          <w:tcPr>
            <w:tcW w:w="1276" w:type="dxa"/>
          </w:tcPr>
          <w:p w14:paraId="79919DCD" w14:textId="77777777" w:rsidR="00B765AC" w:rsidRDefault="00000000">
            <w:pPr>
              <w:jc w:val="center"/>
            </w:pPr>
            <w:r>
              <w:rPr>
                <w:sz w:val="18"/>
              </w:rPr>
              <w:t>Cold Season</w:t>
            </w:r>
          </w:p>
        </w:tc>
        <w:tc>
          <w:tcPr>
            <w:tcW w:w="850" w:type="dxa"/>
          </w:tcPr>
          <w:p w14:paraId="625FAF8A" w14:textId="77777777" w:rsidR="00B765AC" w:rsidRDefault="00000000">
            <w:pPr>
              <w:jc w:val="center"/>
            </w:pPr>
            <w:r>
              <w:rPr>
                <w:sz w:val="18"/>
              </w:rPr>
              <w:t>1.007</w:t>
            </w:r>
          </w:p>
        </w:tc>
        <w:tc>
          <w:tcPr>
            <w:tcW w:w="992" w:type="dxa"/>
          </w:tcPr>
          <w:p w14:paraId="0BDE3AE5" w14:textId="77777777" w:rsidR="00B765AC" w:rsidRDefault="00000000">
            <w:pPr>
              <w:jc w:val="center"/>
            </w:pPr>
            <w:r>
              <w:rPr>
                <w:sz w:val="18"/>
              </w:rPr>
              <w:t>0.445</w:t>
            </w:r>
          </w:p>
        </w:tc>
        <w:tc>
          <w:tcPr>
            <w:tcW w:w="1056" w:type="dxa"/>
          </w:tcPr>
          <w:p w14:paraId="67861D09" w14:textId="77777777" w:rsidR="00B765AC" w:rsidRDefault="00000000">
            <w:pPr>
              <w:jc w:val="center"/>
            </w:pPr>
            <w:r>
              <w:rPr>
                <w:sz w:val="18"/>
              </w:rPr>
              <w:t>Warm Season</w:t>
            </w:r>
          </w:p>
        </w:tc>
        <w:tc>
          <w:tcPr>
            <w:tcW w:w="787" w:type="dxa"/>
          </w:tcPr>
          <w:p w14:paraId="1F14C4CD" w14:textId="77777777" w:rsidR="00B765AC" w:rsidRDefault="00000000">
            <w:pPr>
              <w:jc w:val="center"/>
            </w:pPr>
            <w:r>
              <w:rPr>
                <w:sz w:val="18"/>
              </w:rPr>
              <w:t>1.020</w:t>
            </w:r>
          </w:p>
        </w:tc>
        <w:tc>
          <w:tcPr>
            <w:tcW w:w="635" w:type="dxa"/>
          </w:tcPr>
          <w:p w14:paraId="7ACEC0D7" w14:textId="77777777" w:rsidR="00B765AC" w:rsidRDefault="00000000">
            <w:pPr>
              <w:jc w:val="center"/>
            </w:pPr>
            <w:r>
              <w:rPr>
                <w:sz w:val="18"/>
              </w:rPr>
              <w:t>0.056*</w:t>
            </w:r>
          </w:p>
        </w:tc>
        <w:tc>
          <w:tcPr>
            <w:tcW w:w="801" w:type="dxa"/>
          </w:tcPr>
          <w:p w14:paraId="68C8E62C" w14:textId="77777777" w:rsidR="00B765AC" w:rsidRDefault="00000000">
            <w:pPr>
              <w:jc w:val="center"/>
            </w:pPr>
            <w:r>
              <w:rPr>
                <w:sz w:val="18"/>
              </w:rPr>
              <w:t>0.353</w:t>
            </w:r>
          </w:p>
        </w:tc>
        <w:tc>
          <w:tcPr>
            <w:tcW w:w="1076" w:type="dxa"/>
          </w:tcPr>
          <w:p w14:paraId="7E331FBD" w14:textId="77777777" w:rsidR="00B765AC" w:rsidRDefault="00000000">
            <w:pPr>
              <w:jc w:val="center"/>
            </w:pPr>
            <w:r>
              <w:rPr>
                <w:sz w:val="18"/>
              </w:rPr>
              <w:t>0.223</w:t>
            </w:r>
          </w:p>
        </w:tc>
      </w:tr>
      <w:tr w:rsidR="008959B6" w14:paraId="15D65343" w14:textId="77777777" w:rsidTr="008959B6">
        <w:tc>
          <w:tcPr>
            <w:tcW w:w="1135" w:type="dxa"/>
          </w:tcPr>
          <w:p w14:paraId="115765F8" w14:textId="77777777" w:rsidR="00B765AC" w:rsidRDefault="00000000">
            <w:pPr>
              <w:jc w:val="center"/>
            </w:pPr>
            <w:r>
              <w:rPr>
                <w:sz w:val="18"/>
              </w:rPr>
              <w:t>Gender</w:t>
            </w:r>
          </w:p>
        </w:tc>
        <w:tc>
          <w:tcPr>
            <w:tcW w:w="1276" w:type="dxa"/>
          </w:tcPr>
          <w:p w14:paraId="60EF8919" w14:textId="77777777" w:rsidR="00B765AC" w:rsidRDefault="00000000">
            <w:pPr>
              <w:jc w:val="center"/>
            </w:pPr>
            <w:r>
              <w:rPr>
                <w:sz w:val="18"/>
              </w:rPr>
              <w:t>Median split</w:t>
            </w:r>
          </w:p>
        </w:tc>
        <w:tc>
          <w:tcPr>
            <w:tcW w:w="1276" w:type="dxa"/>
          </w:tcPr>
          <w:p w14:paraId="606B7226" w14:textId="77777777" w:rsidR="00B765AC" w:rsidRDefault="00000000">
            <w:pPr>
              <w:jc w:val="center"/>
            </w:pPr>
            <w:r>
              <w:rPr>
                <w:sz w:val="18"/>
              </w:rPr>
              <w:t>Low Male %</w:t>
            </w:r>
          </w:p>
        </w:tc>
        <w:tc>
          <w:tcPr>
            <w:tcW w:w="850" w:type="dxa"/>
          </w:tcPr>
          <w:p w14:paraId="1507157E" w14:textId="77777777" w:rsidR="00B765AC" w:rsidRDefault="00000000">
            <w:pPr>
              <w:jc w:val="center"/>
            </w:pPr>
            <w:r>
              <w:rPr>
                <w:sz w:val="18"/>
              </w:rPr>
              <w:t>1.008</w:t>
            </w:r>
          </w:p>
        </w:tc>
        <w:tc>
          <w:tcPr>
            <w:tcW w:w="992" w:type="dxa"/>
          </w:tcPr>
          <w:p w14:paraId="4BD035A6" w14:textId="77777777" w:rsidR="00B765AC" w:rsidRDefault="00000000">
            <w:pPr>
              <w:jc w:val="center"/>
            </w:pPr>
            <w:r>
              <w:rPr>
                <w:sz w:val="18"/>
              </w:rPr>
              <w:t>0.311</w:t>
            </w:r>
          </w:p>
        </w:tc>
        <w:tc>
          <w:tcPr>
            <w:tcW w:w="1056" w:type="dxa"/>
          </w:tcPr>
          <w:p w14:paraId="0DA707F6" w14:textId="77777777" w:rsidR="00B765AC" w:rsidRDefault="00000000">
            <w:pPr>
              <w:jc w:val="center"/>
            </w:pPr>
            <w:r>
              <w:rPr>
                <w:sz w:val="18"/>
              </w:rPr>
              <w:t>High Male %</w:t>
            </w:r>
          </w:p>
        </w:tc>
        <w:tc>
          <w:tcPr>
            <w:tcW w:w="787" w:type="dxa"/>
          </w:tcPr>
          <w:p w14:paraId="5BE915FF" w14:textId="77777777" w:rsidR="00B765AC" w:rsidRDefault="00000000">
            <w:pPr>
              <w:jc w:val="center"/>
            </w:pPr>
            <w:r>
              <w:rPr>
                <w:sz w:val="18"/>
              </w:rPr>
              <w:t>1.023</w:t>
            </w:r>
          </w:p>
        </w:tc>
        <w:tc>
          <w:tcPr>
            <w:tcW w:w="635" w:type="dxa"/>
          </w:tcPr>
          <w:p w14:paraId="17FDC93B" w14:textId="77777777" w:rsidR="00B765AC" w:rsidRDefault="00000000">
            <w:pPr>
              <w:jc w:val="center"/>
            </w:pPr>
            <w:r>
              <w:rPr>
                <w:sz w:val="18"/>
              </w:rPr>
              <w:t>0.057*</w:t>
            </w:r>
          </w:p>
        </w:tc>
        <w:tc>
          <w:tcPr>
            <w:tcW w:w="801" w:type="dxa"/>
          </w:tcPr>
          <w:p w14:paraId="7E1D9DFE" w14:textId="77777777" w:rsidR="00B765AC" w:rsidRDefault="00000000">
            <w:pPr>
              <w:jc w:val="center"/>
            </w:pPr>
            <w:r>
              <w:rPr>
                <w:sz w:val="18"/>
              </w:rPr>
              <w:t>0.297</w:t>
            </w:r>
          </w:p>
        </w:tc>
        <w:tc>
          <w:tcPr>
            <w:tcW w:w="1076" w:type="dxa"/>
          </w:tcPr>
          <w:p w14:paraId="51431701" w14:textId="77777777" w:rsidR="00B765AC" w:rsidRDefault="00000000">
            <w:pPr>
              <w:jc w:val="center"/>
            </w:pPr>
            <w:r>
              <w:rPr>
                <w:sz w:val="18"/>
              </w:rPr>
              <w:t>0.907</w:t>
            </w:r>
          </w:p>
        </w:tc>
      </w:tr>
    </w:tbl>
    <w:p w14:paraId="5A44F945" w14:textId="77777777" w:rsidR="00B765AC" w:rsidRPr="008959B6" w:rsidRDefault="00000000">
      <w:pPr>
        <w:rPr>
          <w:iCs/>
          <w:sz w:val="18"/>
          <w:szCs w:val="18"/>
        </w:rPr>
      </w:pPr>
      <w:r w:rsidRPr="008959B6">
        <w:rPr>
          <w:iCs/>
          <w:sz w:val="18"/>
          <w:szCs w:val="18"/>
        </w:rPr>
        <w:t xml:space="preserve">Note: Each row reports split-sample PPML-HDFE regression results for the outage variable (ln_outage_1hr_p75). IRR = incidence rate ratio. Z-test p-values are computed as z = (b₁ − b₂) / </w:t>
      </w:r>
      <w:proofErr w:type="gramStart"/>
      <w:r w:rsidRPr="008959B6">
        <w:rPr>
          <w:iCs/>
          <w:sz w:val="18"/>
          <w:szCs w:val="18"/>
        </w:rPr>
        <w:t>√(</w:t>
      </w:r>
      <w:proofErr w:type="gramEnd"/>
      <w:r w:rsidRPr="008959B6">
        <w:rPr>
          <w:iCs/>
          <w:sz w:val="18"/>
          <w:szCs w:val="18"/>
        </w:rPr>
        <w:t>SE₁² + SE₂²). Interaction p-values are from models including the outage × subgroup interaction term. Urban–rural status is classified using USDA Rural-Urban Continuum Codes (RUCC = 1 for large metropolitan areas with ≥1 million population). High Poverty is defined using the U.S. Census Bureau threshold of ≥20% poverty rate. High Medicaid is defined as ZIP codes where ≥25% of hospitalized patients are covered by Medicaid. Warm Season includes Q2–Q3 (April–September); Cold Season includes Q1 and Q4. Gender composition is based on a median split of the ZIP code–level share of male patients. All models include ZIP code and year × quarter fixed effects with total population as exposure. Standard errors clustered at the ZIP code level. * p &lt; 0.10, ** p &lt; 0.05.</w:t>
      </w:r>
    </w:p>
    <w:p w14:paraId="1CCF7616" w14:textId="77777777" w:rsidR="000724FB" w:rsidRDefault="000724FB" w:rsidP="00840340">
      <w:pPr>
        <w:rPr>
          <w:rFonts w:cs="Times New Roman"/>
          <w:b/>
          <w:bCs/>
        </w:rPr>
      </w:pPr>
    </w:p>
    <w:p w14:paraId="7DB9C59A" w14:textId="5FDF83E9" w:rsidR="008413E5" w:rsidRDefault="00DB4C7E" w:rsidP="00840340">
      <w:pPr>
        <w:rPr>
          <w:rFonts w:cs="Times New Roman"/>
          <w:b/>
          <w:bCs/>
        </w:rPr>
      </w:pPr>
      <w:r>
        <w:rPr>
          <w:rFonts w:cs="Times New Roman" w:hint="eastAsia"/>
          <w:b/>
          <w:bCs/>
        </w:rPr>
        <w:t>Supplementary Table S19</w:t>
      </w:r>
      <w:r>
        <w:rPr>
          <w:rFonts w:cs="Times New Roman" w:hint="eastAsia"/>
          <w:b/>
          <w:bCs/>
        </w:rPr>
        <w:t>：</w:t>
      </w:r>
      <w:r w:rsidRPr="00DB4C7E">
        <w:rPr>
          <w:b/>
          <w:bCs/>
        </w:rPr>
        <w:t>Robustness Check – Raw Outage Episode Count as Alternative Exposure Measure</w:t>
      </w:r>
    </w:p>
    <w:tbl>
      <w:tblPr>
        <w:tblW w:w="0" w:type="auto"/>
        <w:jc w:val="center"/>
        <w:tblLayout w:type="fixed"/>
        <w:tblCellMar>
          <w:left w:w="75" w:type="dxa"/>
          <w:right w:w="75" w:type="dxa"/>
        </w:tblCellMar>
        <w:tblLook w:val="0000" w:firstRow="0" w:lastRow="0" w:firstColumn="0" w:lastColumn="0" w:noHBand="0" w:noVBand="0"/>
      </w:tblPr>
      <w:tblGrid>
        <w:gridCol w:w="3531"/>
        <w:gridCol w:w="1584"/>
        <w:gridCol w:w="1584"/>
      </w:tblGrid>
      <w:tr w:rsidR="00DB4C7E" w14:paraId="4944A873" w14:textId="77777777" w:rsidTr="00D00DCE">
        <w:trPr>
          <w:jc w:val="center"/>
        </w:trPr>
        <w:tc>
          <w:tcPr>
            <w:tcW w:w="3531" w:type="dxa"/>
            <w:tcBorders>
              <w:top w:val="single" w:sz="6" w:space="0" w:color="auto"/>
              <w:left w:val="nil"/>
              <w:bottom w:val="nil"/>
              <w:right w:val="nil"/>
            </w:tcBorders>
          </w:tcPr>
          <w:p w14:paraId="5A2FD8D1" w14:textId="77777777" w:rsidR="00DB4C7E" w:rsidRDefault="00DB4C7E" w:rsidP="00D00DCE">
            <w:pPr>
              <w:widowControl w:val="0"/>
              <w:autoSpaceDE w:val="0"/>
              <w:autoSpaceDN w:val="0"/>
              <w:adjustRightInd w:val="0"/>
              <w:rPr>
                <w:rFonts w:cs="Times New Roman"/>
                <w:lang w:val="en-GB"/>
              </w:rPr>
            </w:pPr>
            <w:r>
              <w:rPr>
                <w:rFonts w:cs="Times New Roman"/>
                <w:lang w:val="en-GB"/>
              </w:rPr>
              <w:lastRenderedPageBreak/>
              <w:t>Model</w:t>
            </w:r>
          </w:p>
        </w:tc>
        <w:tc>
          <w:tcPr>
            <w:tcW w:w="1584" w:type="dxa"/>
            <w:tcBorders>
              <w:top w:val="single" w:sz="6" w:space="0" w:color="auto"/>
              <w:left w:val="nil"/>
              <w:bottom w:val="nil"/>
              <w:right w:val="nil"/>
            </w:tcBorders>
          </w:tcPr>
          <w:p w14:paraId="789DA61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w:t>
            </w:r>
          </w:p>
        </w:tc>
        <w:tc>
          <w:tcPr>
            <w:tcW w:w="1584" w:type="dxa"/>
            <w:tcBorders>
              <w:top w:val="single" w:sz="6" w:space="0" w:color="auto"/>
              <w:left w:val="nil"/>
              <w:bottom w:val="nil"/>
              <w:right w:val="nil"/>
            </w:tcBorders>
          </w:tcPr>
          <w:p w14:paraId="52F983DD"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(2)</w:t>
            </w:r>
          </w:p>
        </w:tc>
      </w:tr>
      <w:tr w:rsidR="00DB4C7E" w14:paraId="3B3F628B" w14:textId="77777777" w:rsidTr="00D00DCE">
        <w:trPr>
          <w:jc w:val="center"/>
        </w:trPr>
        <w:tc>
          <w:tcPr>
            <w:tcW w:w="3531" w:type="dxa"/>
            <w:tcBorders>
              <w:top w:val="nil"/>
              <w:left w:val="nil"/>
              <w:bottom w:val="nil"/>
              <w:right w:val="nil"/>
            </w:tcBorders>
          </w:tcPr>
          <w:p w14:paraId="69FF2495"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7C2B5C0A"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Baseline</w:t>
            </w:r>
          </w:p>
        </w:tc>
        <w:tc>
          <w:tcPr>
            <w:tcW w:w="1584" w:type="dxa"/>
            <w:tcBorders>
              <w:top w:val="nil"/>
              <w:left w:val="nil"/>
              <w:bottom w:val="nil"/>
              <w:right w:val="nil"/>
            </w:tcBorders>
          </w:tcPr>
          <w:p w14:paraId="2676EBC3"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Raw Count</w:t>
            </w:r>
          </w:p>
        </w:tc>
      </w:tr>
      <w:tr w:rsidR="00DB4C7E" w14:paraId="27B32F38" w14:textId="77777777" w:rsidTr="00D00DCE">
        <w:trPr>
          <w:jc w:val="center"/>
        </w:trPr>
        <w:tc>
          <w:tcPr>
            <w:tcW w:w="3531" w:type="dxa"/>
            <w:tcBorders>
              <w:top w:val="nil"/>
              <w:left w:val="nil"/>
              <w:bottom w:val="single" w:sz="6" w:space="0" w:color="auto"/>
              <w:right w:val="nil"/>
            </w:tcBorders>
          </w:tcPr>
          <w:p w14:paraId="09B44C03" w14:textId="77777777" w:rsidR="00DB4C7E" w:rsidRDefault="00DB4C7E" w:rsidP="00D00DCE">
            <w:pPr>
              <w:widowControl w:val="0"/>
              <w:autoSpaceDE w:val="0"/>
              <w:autoSpaceDN w:val="0"/>
              <w:adjustRightInd w:val="0"/>
              <w:rPr>
                <w:rFonts w:cs="Times New Roman"/>
                <w:lang w:val="en-GB"/>
              </w:rPr>
            </w:pPr>
            <w:r>
              <w:rPr>
                <w:rFonts w:cs="Times New Roman"/>
                <w:lang w:val="en-GB"/>
              </w:rPr>
              <w:t>Dependent Variables</w:t>
            </w:r>
          </w:p>
        </w:tc>
        <w:tc>
          <w:tcPr>
            <w:tcW w:w="1584" w:type="dxa"/>
            <w:tcBorders>
              <w:top w:val="nil"/>
              <w:left w:val="nil"/>
              <w:bottom w:val="single" w:sz="6" w:space="0" w:color="auto"/>
              <w:right w:val="nil"/>
            </w:tcBorders>
          </w:tcPr>
          <w:p w14:paraId="64D4B693" w14:textId="77777777" w:rsidR="00DB4C7E" w:rsidRDefault="00DB4C7E" w:rsidP="00D00DCE">
            <w:pPr>
              <w:widowControl w:val="0"/>
              <w:autoSpaceDE w:val="0"/>
              <w:autoSpaceDN w:val="0"/>
              <w:adjustRightInd w:val="0"/>
              <w:jc w:val="center"/>
              <w:rPr>
                <w:rFonts w:cs="Times New Roman"/>
                <w:lang w:val="en-GB"/>
              </w:rPr>
            </w:pPr>
          </w:p>
        </w:tc>
        <w:tc>
          <w:tcPr>
            <w:tcW w:w="1584" w:type="dxa"/>
            <w:tcBorders>
              <w:top w:val="nil"/>
              <w:left w:val="nil"/>
              <w:bottom w:val="single" w:sz="6" w:space="0" w:color="auto"/>
              <w:right w:val="nil"/>
            </w:tcBorders>
          </w:tcPr>
          <w:p w14:paraId="4F6D1B0A" w14:textId="77777777" w:rsidR="00DB4C7E" w:rsidRDefault="00DB4C7E" w:rsidP="00D00DCE">
            <w:pPr>
              <w:widowControl w:val="0"/>
              <w:autoSpaceDE w:val="0"/>
              <w:autoSpaceDN w:val="0"/>
              <w:adjustRightInd w:val="0"/>
              <w:jc w:val="left"/>
              <w:rPr>
                <w:rFonts w:cs="Times New Roman"/>
                <w:lang w:val="en-GB"/>
              </w:rPr>
            </w:pPr>
          </w:p>
        </w:tc>
      </w:tr>
      <w:tr w:rsidR="00DB4C7E" w14:paraId="170CBFB2" w14:textId="77777777" w:rsidTr="00D00DCE">
        <w:trPr>
          <w:jc w:val="center"/>
        </w:trPr>
        <w:tc>
          <w:tcPr>
            <w:tcW w:w="3531" w:type="dxa"/>
            <w:tcBorders>
              <w:top w:val="nil"/>
              <w:left w:val="nil"/>
              <w:bottom w:val="nil"/>
              <w:right w:val="nil"/>
            </w:tcBorders>
          </w:tcPr>
          <w:p w14:paraId="20272FFE"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1A68E30A" w14:textId="77777777" w:rsidR="00DB4C7E" w:rsidRDefault="00DB4C7E" w:rsidP="00D00DCE">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44DAC036" w14:textId="77777777" w:rsidR="00DB4C7E" w:rsidRDefault="00DB4C7E" w:rsidP="00D00DCE">
            <w:pPr>
              <w:widowControl w:val="0"/>
              <w:autoSpaceDE w:val="0"/>
              <w:autoSpaceDN w:val="0"/>
              <w:adjustRightInd w:val="0"/>
              <w:jc w:val="center"/>
              <w:rPr>
                <w:rFonts w:cs="Times New Roman"/>
                <w:lang w:val="en-GB"/>
              </w:rPr>
            </w:pPr>
          </w:p>
        </w:tc>
      </w:tr>
      <w:tr w:rsidR="00DB4C7E" w14:paraId="59971A53" w14:textId="77777777" w:rsidTr="00D00DCE">
        <w:trPr>
          <w:jc w:val="center"/>
        </w:trPr>
        <w:tc>
          <w:tcPr>
            <w:tcW w:w="3531" w:type="dxa"/>
            <w:tcBorders>
              <w:top w:val="nil"/>
              <w:left w:val="nil"/>
              <w:bottom w:val="nil"/>
              <w:right w:val="nil"/>
            </w:tcBorders>
          </w:tcPr>
          <w:p w14:paraId="5F22CE9A" w14:textId="77777777" w:rsidR="00DB4C7E" w:rsidRDefault="00DB4C7E" w:rsidP="00D00DCE">
            <w:pPr>
              <w:widowControl w:val="0"/>
              <w:autoSpaceDE w:val="0"/>
              <w:autoSpaceDN w:val="0"/>
              <w:adjustRightInd w:val="0"/>
              <w:rPr>
                <w:rFonts w:cs="Times New Roman"/>
                <w:lang w:val="en-GB"/>
              </w:rPr>
            </w:pPr>
            <w:r>
              <w:rPr>
                <w:rFonts w:cs="Times New Roman"/>
                <w:lang w:val="en-GB"/>
              </w:rPr>
              <w:t>ln_outage_1hr_p75</w:t>
            </w:r>
          </w:p>
        </w:tc>
        <w:tc>
          <w:tcPr>
            <w:tcW w:w="1584" w:type="dxa"/>
            <w:tcBorders>
              <w:top w:val="nil"/>
              <w:left w:val="nil"/>
              <w:bottom w:val="nil"/>
              <w:right w:val="nil"/>
            </w:tcBorders>
          </w:tcPr>
          <w:p w14:paraId="555CD9F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1.015**</w:t>
            </w:r>
          </w:p>
        </w:tc>
        <w:tc>
          <w:tcPr>
            <w:tcW w:w="1584" w:type="dxa"/>
            <w:tcBorders>
              <w:top w:val="nil"/>
              <w:left w:val="nil"/>
              <w:bottom w:val="nil"/>
              <w:right w:val="nil"/>
            </w:tcBorders>
          </w:tcPr>
          <w:p w14:paraId="6622A169" w14:textId="77777777" w:rsidR="00DB4C7E" w:rsidRDefault="00DB4C7E" w:rsidP="00D00DCE">
            <w:pPr>
              <w:widowControl w:val="0"/>
              <w:autoSpaceDE w:val="0"/>
              <w:autoSpaceDN w:val="0"/>
              <w:adjustRightInd w:val="0"/>
              <w:jc w:val="center"/>
              <w:rPr>
                <w:rFonts w:cs="Times New Roman"/>
                <w:lang w:val="en-GB"/>
              </w:rPr>
            </w:pPr>
          </w:p>
        </w:tc>
      </w:tr>
      <w:tr w:rsidR="00DB4C7E" w14:paraId="1460A499" w14:textId="77777777" w:rsidTr="00D00DCE">
        <w:trPr>
          <w:jc w:val="center"/>
        </w:trPr>
        <w:tc>
          <w:tcPr>
            <w:tcW w:w="3531" w:type="dxa"/>
            <w:tcBorders>
              <w:top w:val="nil"/>
              <w:left w:val="nil"/>
              <w:bottom w:val="nil"/>
              <w:right w:val="nil"/>
            </w:tcBorders>
          </w:tcPr>
          <w:p w14:paraId="14D9D28C"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036F0A0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55E02E64" w14:textId="77777777" w:rsidR="00DB4C7E" w:rsidRDefault="00DB4C7E" w:rsidP="00D00DCE">
            <w:pPr>
              <w:widowControl w:val="0"/>
              <w:autoSpaceDE w:val="0"/>
              <w:autoSpaceDN w:val="0"/>
              <w:adjustRightInd w:val="0"/>
              <w:jc w:val="center"/>
              <w:rPr>
                <w:rFonts w:cs="Times New Roman"/>
                <w:lang w:val="en-GB"/>
              </w:rPr>
            </w:pPr>
          </w:p>
        </w:tc>
      </w:tr>
      <w:tr w:rsidR="00DB4C7E" w14:paraId="2F3E4D19" w14:textId="77777777" w:rsidTr="00D00DCE">
        <w:trPr>
          <w:jc w:val="center"/>
        </w:trPr>
        <w:tc>
          <w:tcPr>
            <w:tcW w:w="3531" w:type="dxa"/>
            <w:tcBorders>
              <w:top w:val="nil"/>
              <w:left w:val="nil"/>
              <w:bottom w:val="nil"/>
              <w:right w:val="nil"/>
            </w:tcBorders>
          </w:tcPr>
          <w:p w14:paraId="5A973522" w14:textId="77777777" w:rsidR="00DB4C7E" w:rsidRDefault="00DB4C7E" w:rsidP="00D00DCE">
            <w:pPr>
              <w:widowControl w:val="0"/>
              <w:autoSpaceDE w:val="0"/>
              <w:autoSpaceDN w:val="0"/>
              <w:adjustRightInd w:val="0"/>
              <w:rPr>
                <w:rFonts w:cs="Times New Roman"/>
                <w:lang w:val="en-GB"/>
              </w:rPr>
            </w:pPr>
            <w:r>
              <w:rPr>
                <w:rFonts w:cs="Times New Roman"/>
                <w:lang w:val="en-GB"/>
              </w:rPr>
              <w:t>new_1hr_episodes_p75</w:t>
            </w:r>
          </w:p>
        </w:tc>
        <w:tc>
          <w:tcPr>
            <w:tcW w:w="1584" w:type="dxa"/>
            <w:tcBorders>
              <w:top w:val="nil"/>
              <w:left w:val="nil"/>
              <w:bottom w:val="nil"/>
              <w:right w:val="nil"/>
            </w:tcBorders>
          </w:tcPr>
          <w:p w14:paraId="75DE31FD" w14:textId="77777777" w:rsidR="00DB4C7E" w:rsidRDefault="00DB4C7E" w:rsidP="00D00DCE">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6830B28A"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1.002*</w:t>
            </w:r>
          </w:p>
        </w:tc>
      </w:tr>
      <w:tr w:rsidR="00DB4C7E" w14:paraId="2B46D590" w14:textId="77777777" w:rsidTr="00D00DCE">
        <w:trPr>
          <w:jc w:val="center"/>
        </w:trPr>
        <w:tc>
          <w:tcPr>
            <w:tcW w:w="3531" w:type="dxa"/>
            <w:tcBorders>
              <w:top w:val="nil"/>
              <w:left w:val="nil"/>
              <w:bottom w:val="nil"/>
              <w:right w:val="nil"/>
            </w:tcBorders>
          </w:tcPr>
          <w:p w14:paraId="04208051"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DE75ACC" w14:textId="77777777" w:rsidR="00DB4C7E" w:rsidRDefault="00DB4C7E" w:rsidP="00D00DCE">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5F9326DD"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r>
      <w:tr w:rsidR="00DB4C7E" w14:paraId="18403CD7" w14:textId="77777777" w:rsidTr="00D00DCE">
        <w:trPr>
          <w:jc w:val="center"/>
        </w:trPr>
        <w:tc>
          <w:tcPr>
            <w:tcW w:w="3531" w:type="dxa"/>
            <w:tcBorders>
              <w:top w:val="nil"/>
              <w:left w:val="nil"/>
              <w:bottom w:val="nil"/>
              <w:right w:val="nil"/>
            </w:tcBorders>
          </w:tcPr>
          <w:p w14:paraId="577BB0A8" w14:textId="77777777" w:rsidR="00DB4C7E" w:rsidRDefault="00DB4C7E" w:rsidP="00D00DCE">
            <w:pPr>
              <w:widowControl w:val="0"/>
              <w:autoSpaceDE w:val="0"/>
              <w:autoSpaceDN w:val="0"/>
              <w:adjustRightInd w:val="0"/>
              <w:rPr>
                <w:rFonts w:cs="Times New Roman"/>
                <w:lang w:val="en-GB"/>
              </w:rPr>
            </w:pPr>
            <w:r>
              <w:rPr>
                <w:rFonts w:cs="Times New Roman"/>
                <w:lang w:val="en-GB"/>
              </w:rPr>
              <w:t>extreme_heat_days_p90</w:t>
            </w:r>
          </w:p>
        </w:tc>
        <w:tc>
          <w:tcPr>
            <w:tcW w:w="1584" w:type="dxa"/>
            <w:tcBorders>
              <w:top w:val="nil"/>
              <w:left w:val="nil"/>
              <w:bottom w:val="nil"/>
              <w:right w:val="nil"/>
            </w:tcBorders>
          </w:tcPr>
          <w:p w14:paraId="3F34F17A"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1.002**</w:t>
            </w:r>
          </w:p>
        </w:tc>
        <w:tc>
          <w:tcPr>
            <w:tcW w:w="1584" w:type="dxa"/>
            <w:tcBorders>
              <w:top w:val="nil"/>
              <w:left w:val="nil"/>
              <w:bottom w:val="nil"/>
              <w:right w:val="nil"/>
            </w:tcBorders>
          </w:tcPr>
          <w:p w14:paraId="6D20A3FE"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1.002**</w:t>
            </w:r>
          </w:p>
        </w:tc>
      </w:tr>
      <w:tr w:rsidR="00DB4C7E" w14:paraId="3BE5991B" w14:textId="77777777" w:rsidTr="00D00DCE">
        <w:trPr>
          <w:jc w:val="center"/>
        </w:trPr>
        <w:tc>
          <w:tcPr>
            <w:tcW w:w="3531" w:type="dxa"/>
            <w:tcBorders>
              <w:top w:val="nil"/>
              <w:left w:val="nil"/>
              <w:bottom w:val="nil"/>
              <w:right w:val="nil"/>
            </w:tcBorders>
          </w:tcPr>
          <w:p w14:paraId="736AB76E"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00BE10F"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42C5DE15"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r>
      <w:tr w:rsidR="00DB4C7E" w14:paraId="51B8DDC8" w14:textId="77777777" w:rsidTr="00D00DCE">
        <w:trPr>
          <w:jc w:val="center"/>
        </w:trPr>
        <w:tc>
          <w:tcPr>
            <w:tcW w:w="3531" w:type="dxa"/>
            <w:tcBorders>
              <w:top w:val="nil"/>
              <w:left w:val="nil"/>
              <w:bottom w:val="nil"/>
              <w:right w:val="nil"/>
            </w:tcBorders>
          </w:tcPr>
          <w:p w14:paraId="722F739A"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avg_cmr_clean</w:t>
            </w:r>
            <w:proofErr w:type="spellEnd"/>
          </w:p>
        </w:tc>
        <w:tc>
          <w:tcPr>
            <w:tcW w:w="1584" w:type="dxa"/>
            <w:tcBorders>
              <w:top w:val="nil"/>
              <w:left w:val="nil"/>
              <w:bottom w:val="nil"/>
              <w:right w:val="nil"/>
            </w:tcBorders>
          </w:tcPr>
          <w:p w14:paraId="2172D023"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1.050***</w:t>
            </w:r>
          </w:p>
        </w:tc>
        <w:tc>
          <w:tcPr>
            <w:tcW w:w="1584" w:type="dxa"/>
            <w:tcBorders>
              <w:top w:val="nil"/>
              <w:left w:val="nil"/>
              <w:bottom w:val="nil"/>
              <w:right w:val="nil"/>
            </w:tcBorders>
          </w:tcPr>
          <w:p w14:paraId="4CA7857D"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1.050***</w:t>
            </w:r>
          </w:p>
        </w:tc>
      </w:tr>
      <w:tr w:rsidR="00DB4C7E" w14:paraId="37ECF841" w14:textId="77777777" w:rsidTr="00D00DCE">
        <w:trPr>
          <w:jc w:val="center"/>
        </w:trPr>
        <w:tc>
          <w:tcPr>
            <w:tcW w:w="3531" w:type="dxa"/>
            <w:tcBorders>
              <w:top w:val="nil"/>
              <w:left w:val="nil"/>
              <w:bottom w:val="nil"/>
              <w:right w:val="nil"/>
            </w:tcBorders>
          </w:tcPr>
          <w:p w14:paraId="3C212589"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5EA9D77A"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(0.008)</w:t>
            </w:r>
          </w:p>
        </w:tc>
        <w:tc>
          <w:tcPr>
            <w:tcW w:w="1584" w:type="dxa"/>
            <w:tcBorders>
              <w:top w:val="nil"/>
              <w:left w:val="nil"/>
              <w:bottom w:val="nil"/>
              <w:right w:val="nil"/>
            </w:tcBorders>
          </w:tcPr>
          <w:p w14:paraId="34BC53F0"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(0.008)</w:t>
            </w:r>
          </w:p>
        </w:tc>
      </w:tr>
      <w:tr w:rsidR="00DB4C7E" w14:paraId="60D82385" w14:textId="77777777" w:rsidTr="00D00DCE">
        <w:trPr>
          <w:jc w:val="center"/>
        </w:trPr>
        <w:tc>
          <w:tcPr>
            <w:tcW w:w="3531" w:type="dxa"/>
            <w:tcBorders>
              <w:top w:val="nil"/>
              <w:left w:val="nil"/>
              <w:bottom w:val="nil"/>
              <w:right w:val="nil"/>
            </w:tcBorders>
          </w:tcPr>
          <w:p w14:paraId="18FC95D4"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avg_cmr_mortality_clean</w:t>
            </w:r>
            <w:proofErr w:type="spellEnd"/>
          </w:p>
        </w:tc>
        <w:tc>
          <w:tcPr>
            <w:tcW w:w="1584" w:type="dxa"/>
            <w:tcBorders>
              <w:top w:val="nil"/>
              <w:left w:val="nil"/>
              <w:bottom w:val="nil"/>
              <w:right w:val="nil"/>
            </w:tcBorders>
          </w:tcPr>
          <w:p w14:paraId="2D0CB30B"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0.943***</w:t>
            </w:r>
          </w:p>
        </w:tc>
        <w:tc>
          <w:tcPr>
            <w:tcW w:w="1584" w:type="dxa"/>
            <w:tcBorders>
              <w:top w:val="nil"/>
              <w:left w:val="nil"/>
              <w:bottom w:val="nil"/>
              <w:right w:val="nil"/>
            </w:tcBorders>
          </w:tcPr>
          <w:p w14:paraId="5B3D7C58"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0.943***</w:t>
            </w:r>
          </w:p>
        </w:tc>
      </w:tr>
      <w:tr w:rsidR="00DB4C7E" w14:paraId="67DE5A38" w14:textId="77777777" w:rsidTr="00D00DCE">
        <w:trPr>
          <w:jc w:val="center"/>
        </w:trPr>
        <w:tc>
          <w:tcPr>
            <w:tcW w:w="3531" w:type="dxa"/>
            <w:tcBorders>
              <w:top w:val="nil"/>
              <w:left w:val="nil"/>
              <w:bottom w:val="nil"/>
              <w:right w:val="nil"/>
            </w:tcBorders>
          </w:tcPr>
          <w:p w14:paraId="5ED78034"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0C5E3165"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1499B5C1"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(0.005)</w:t>
            </w:r>
          </w:p>
        </w:tc>
      </w:tr>
      <w:tr w:rsidR="00DB4C7E" w14:paraId="38B668B0" w14:textId="77777777" w:rsidTr="00D00DCE">
        <w:trPr>
          <w:jc w:val="center"/>
        </w:trPr>
        <w:tc>
          <w:tcPr>
            <w:tcW w:w="3531" w:type="dxa"/>
            <w:tcBorders>
              <w:top w:val="nil"/>
              <w:left w:val="nil"/>
              <w:bottom w:val="nil"/>
              <w:right w:val="nil"/>
            </w:tcBorders>
          </w:tcPr>
          <w:p w14:paraId="5837FD85"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poverty_rate</w:t>
            </w:r>
            <w:proofErr w:type="spellEnd"/>
          </w:p>
        </w:tc>
        <w:tc>
          <w:tcPr>
            <w:tcW w:w="1584" w:type="dxa"/>
            <w:tcBorders>
              <w:top w:val="nil"/>
              <w:left w:val="nil"/>
              <w:bottom w:val="nil"/>
              <w:right w:val="nil"/>
            </w:tcBorders>
          </w:tcPr>
          <w:p w14:paraId="7705B5B9"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1.008***</w:t>
            </w:r>
          </w:p>
        </w:tc>
        <w:tc>
          <w:tcPr>
            <w:tcW w:w="1584" w:type="dxa"/>
            <w:tcBorders>
              <w:top w:val="nil"/>
              <w:left w:val="nil"/>
              <w:bottom w:val="nil"/>
              <w:right w:val="nil"/>
            </w:tcBorders>
          </w:tcPr>
          <w:p w14:paraId="31197551"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1.008***</w:t>
            </w:r>
          </w:p>
        </w:tc>
      </w:tr>
      <w:tr w:rsidR="00DB4C7E" w14:paraId="2FAC75F2" w14:textId="77777777" w:rsidTr="00D00DCE">
        <w:trPr>
          <w:jc w:val="center"/>
        </w:trPr>
        <w:tc>
          <w:tcPr>
            <w:tcW w:w="3531" w:type="dxa"/>
            <w:tcBorders>
              <w:top w:val="nil"/>
              <w:left w:val="nil"/>
              <w:bottom w:val="nil"/>
              <w:right w:val="nil"/>
            </w:tcBorders>
          </w:tcPr>
          <w:p w14:paraId="48DAED9F"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11DAC3C2"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10949889"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(0.003)</w:t>
            </w:r>
          </w:p>
        </w:tc>
      </w:tr>
      <w:tr w:rsidR="00DB4C7E" w14:paraId="4C7B076A" w14:textId="77777777" w:rsidTr="00D00DCE">
        <w:trPr>
          <w:jc w:val="center"/>
        </w:trPr>
        <w:tc>
          <w:tcPr>
            <w:tcW w:w="3531" w:type="dxa"/>
            <w:tcBorders>
              <w:top w:val="nil"/>
              <w:left w:val="nil"/>
              <w:bottom w:val="nil"/>
              <w:right w:val="nil"/>
            </w:tcBorders>
          </w:tcPr>
          <w:p w14:paraId="063584E8"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pct_male</w:t>
            </w:r>
            <w:proofErr w:type="spellEnd"/>
          </w:p>
        </w:tc>
        <w:tc>
          <w:tcPr>
            <w:tcW w:w="1584" w:type="dxa"/>
            <w:tcBorders>
              <w:top w:val="nil"/>
              <w:left w:val="nil"/>
              <w:bottom w:val="nil"/>
              <w:right w:val="nil"/>
            </w:tcBorders>
          </w:tcPr>
          <w:p w14:paraId="4E387067"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1.006***</w:t>
            </w:r>
          </w:p>
        </w:tc>
        <w:tc>
          <w:tcPr>
            <w:tcW w:w="1584" w:type="dxa"/>
            <w:tcBorders>
              <w:top w:val="nil"/>
              <w:left w:val="nil"/>
              <w:bottom w:val="nil"/>
              <w:right w:val="nil"/>
            </w:tcBorders>
          </w:tcPr>
          <w:p w14:paraId="663CFB21"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1.006***</w:t>
            </w:r>
          </w:p>
        </w:tc>
      </w:tr>
      <w:tr w:rsidR="00DB4C7E" w14:paraId="09B3B7C5" w14:textId="77777777" w:rsidTr="00D00DCE">
        <w:trPr>
          <w:jc w:val="center"/>
        </w:trPr>
        <w:tc>
          <w:tcPr>
            <w:tcW w:w="3531" w:type="dxa"/>
            <w:tcBorders>
              <w:top w:val="nil"/>
              <w:left w:val="nil"/>
              <w:bottom w:val="nil"/>
              <w:right w:val="nil"/>
            </w:tcBorders>
          </w:tcPr>
          <w:p w14:paraId="26D852F6"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53F37EF5"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3F5A63CE"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r>
      <w:tr w:rsidR="00DB4C7E" w14:paraId="27B031CA" w14:textId="77777777" w:rsidTr="00D00DCE">
        <w:trPr>
          <w:jc w:val="center"/>
        </w:trPr>
        <w:tc>
          <w:tcPr>
            <w:tcW w:w="3531" w:type="dxa"/>
            <w:tcBorders>
              <w:top w:val="nil"/>
              <w:left w:val="nil"/>
              <w:bottom w:val="nil"/>
              <w:right w:val="nil"/>
            </w:tcBorders>
          </w:tcPr>
          <w:p w14:paraId="4E9DC38D" w14:textId="77777777" w:rsidR="00DB4C7E" w:rsidRDefault="00DB4C7E" w:rsidP="00D00DCE">
            <w:pPr>
              <w:widowControl w:val="0"/>
              <w:autoSpaceDE w:val="0"/>
              <w:autoSpaceDN w:val="0"/>
              <w:adjustRightInd w:val="0"/>
              <w:rPr>
                <w:rFonts w:cs="Times New Roman"/>
                <w:lang w:val="en-GB"/>
              </w:rPr>
            </w:pPr>
            <w:r>
              <w:rPr>
                <w:rFonts w:cs="Times New Roman"/>
                <w:lang w:val="en-GB"/>
              </w:rPr>
              <w:t>median_income_1k</w:t>
            </w:r>
          </w:p>
        </w:tc>
        <w:tc>
          <w:tcPr>
            <w:tcW w:w="1584" w:type="dxa"/>
            <w:tcBorders>
              <w:top w:val="nil"/>
              <w:left w:val="nil"/>
              <w:bottom w:val="nil"/>
              <w:right w:val="nil"/>
            </w:tcBorders>
          </w:tcPr>
          <w:p w14:paraId="1563E0E7"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1.002*</w:t>
            </w:r>
          </w:p>
        </w:tc>
        <w:tc>
          <w:tcPr>
            <w:tcW w:w="1584" w:type="dxa"/>
            <w:tcBorders>
              <w:top w:val="nil"/>
              <w:left w:val="nil"/>
              <w:bottom w:val="nil"/>
              <w:right w:val="nil"/>
            </w:tcBorders>
          </w:tcPr>
          <w:p w14:paraId="33B7A7E1"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1.002*</w:t>
            </w:r>
          </w:p>
        </w:tc>
      </w:tr>
      <w:tr w:rsidR="00DB4C7E" w14:paraId="719C2A63" w14:textId="77777777" w:rsidTr="00D00DCE">
        <w:trPr>
          <w:jc w:val="center"/>
        </w:trPr>
        <w:tc>
          <w:tcPr>
            <w:tcW w:w="3531" w:type="dxa"/>
            <w:tcBorders>
              <w:top w:val="nil"/>
              <w:left w:val="nil"/>
              <w:bottom w:val="nil"/>
              <w:right w:val="nil"/>
            </w:tcBorders>
          </w:tcPr>
          <w:p w14:paraId="2D72DE10"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2ABDD0D3"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4F00ED4B"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r>
      <w:tr w:rsidR="00DB4C7E" w14:paraId="5E307A9D" w14:textId="77777777" w:rsidTr="00D00DCE">
        <w:trPr>
          <w:jc w:val="center"/>
        </w:trPr>
        <w:tc>
          <w:tcPr>
            <w:tcW w:w="3531" w:type="dxa"/>
            <w:tcBorders>
              <w:top w:val="nil"/>
              <w:left w:val="nil"/>
              <w:bottom w:val="nil"/>
              <w:right w:val="nil"/>
            </w:tcBorders>
          </w:tcPr>
          <w:p w14:paraId="0F13177F"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black_pct</w:t>
            </w:r>
            <w:proofErr w:type="spellEnd"/>
          </w:p>
        </w:tc>
        <w:tc>
          <w:tcPr>
            <w:tcW w:w="1584" w:type="dxa"/>
            <w:tcBorders>
              <w:top w:val="nil"/>
              <w:left w:val="nil"/>
              <w:bottom w:val="nil"/>
              <w:right w:val="nil"/>
            </w:tcBorders>
          </w:tcPr>
          <w:p w14:paraId="6A791C74"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0.970</w:t>
            </w:r>
          </w:p>
        </w:tc>
        <w:tc>
          <w:tcPr>
            <w:tcW w:w="1584" w:type="dxa"/>
            <w:tcBorders>
              <w:top w:val="nil"/>
              <w:left w:val="nil"/>
              <w:bottom w:val="nil"/>
              <w:right w:val="nil"/>
            </w:tcBorders>
          </w:tcPr>
          <w:p w14:paraId="43458C9F"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0.965</w:t>
            </w:r>
          </w:p>
        </w:tc>
      </w:tr>
      <w:tr w:rsidR="00DB4C7E" w14:paraId="4FE959A0" w14:textId="77777777" w:rsidTr="00D00DCE">
        <w:trPr>
          <w:jc w:val="center"/>
        </w:trPr>
        <w:tc>
          <w:tcPr>
            <w:tcW w:w="3531" w:type="dxa"/>
            <w:tcBorders>
              <w:top w:val="nil"/>
              <w:left w:val="nil"/>
              <w:bottom w:val="nil"/>
              <w:right w:val="nil"/>
            </w:tcBorders>
          </w:tcPr>
          <w:p w14:paraId="04DCC47C"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246A8EA8"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(0.293)</w:t>
            </w:r>
          </w:p>
        </w:tc>
        <w:tc>
          <w:tcPr>
            <w:tcW w:w="1584" w:type="dxa"/>
            <w:tcBorders>
              <w:top w:val="nil"/>
              <w:left w:val="nil"/>
              <w:bottom w:val="nil"/>
              <w:right w:val="nil"/>
            </w:tcBorders>
          </w:tcPr>
          <w:p w14:paraId="26EF930E"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(0.291)</w:t>
            </w:r>
          </w:p>
        </w:tc>
      </w:tr>
      <w:tr w:rsidR="00DB4C7E" w14:paraId="12A1B6B7" w14:textId="77777777" w:rsidTr="00D00DCE">
        <w:trPr>
          <w:jc w:val="center"/>
        </w:trPr>
        <w:tc>
          <w:tcPr>
            <w:tcW w:w="3531" w:type="dxa"/>
            <w:tcBorders>
              <w:top w:val="nil"/>
              <w:left w:val="nil"/>
              <w:bottom w:val="nil"/>
              <w:right w:val="nil"/>
            </w:tcBorders>
          </w:tcPr>
          <w:p w14:paraId="46202B49"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asian_pct</w:t>
            </w:r>
            <w:proofErr w:type="spellEnd"/>
          </w:p>
        </w:tc>
        <w:tc>
          <w:tcPr>
            <w:tcW w:w="1584" w:type="dxa"/>
            <w:tcBorders>
              <w:top w:val="nil"/>
              <w:left w:val="nil"/>
              <w:bottom w:val="nil"/>
              <w:right w:val="nil"/>
            </w:tcBorders>
          </w:tcPr>
          <w:p w14:paraId="5B297964"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0.331**</w:t>
            </w:r>
          </w:p>
        </w:tc>
        <w:tc>
          <w:tcPr>
            <w:tcW w:w="1584" w:type="dxa"/>
            <w:tcBorders>
              <w:top w:val="nil"/>
              <w:left w:val="nil"/>
              <w:bottom w:val="nil"/>
              <w:right w:val="nil"/>
            </w:tcBorders>
          </w:tcPr>
          <w:p w14:paraId="6122E46B"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0.331**</w:t>
            </w:r>
          </w:p>
        </w:tc>
      </w:tr>
      <w:tr w:rsidR="00DB4C7E" w14:paraId="289DB349" w14:textId="77777777" w:rsidTr="00D00DCE">
        <w:trPr>
          <w:jc w:val="center"/>
        </w:trPr>
        <w:tc>
          <w:tcPr>
            <w:tcW w:w="3531" w:type="dxa"/>
            <w:tcBorders>
              <w:top w:val="nil"/>
              <w:left w:val="nil"/>
              <w:bottom w:val="nil"/>
              <w:right w:val="nil"/>
            </w:tcBorders>
          </w:tcPr>
          <w:p w14:paraId="60EB35CA"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3A7B5FC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(0.157)</w:t>
            </w:r>
          </w:p>
        </w:tc>
        <w:tc>
          <w:tcPr>
            <w:tcW w:w="1584" w:type="dxa"/>
            <w:tcBorders>
              <w:top w:val="nil"/>
              <w:left w:val="nil"/>
              <w:bottom w:val="nil"/>
              <w:right w:val="nil"/>
            </w:tcBorders>
          </w:tcPr>
          <w:p w14:paraId="2A15FD28"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(0.157)</w:t>
            </w:r>
          </w:p>
        </w:tc>
      </w:tr>
      <w:tr w:rsidR="00DB4C7E" w14:paraId="272E3CE3" w14:textId="77777777" w:rsidTr="00D00DCE">
        <w:trPr>
          <w:jc w:val="center"/>
        </w:trPr>
        <w:tc>
          <w:tcPr>
            <w:tcW w:w="3531" w:type="dxa"/>
            <w:tcBorders>
              <w:top w:val="nil"/>
              <w:left w:val="nil"/>
              <w:bottom w:val="nil"/>
              <w:right w:val="nil"/>
            </w:tcBorders>
          </w:tcPr>
          <w:p w14:paraId="44F3C37F"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pct_medicaid</w:t>
            </w:r>
            <w:proofErr w:type="spellEnd"/>
          </w:p>
        </w:tc>
        <w:tc>
          <w:tcPr>
            <w:tcW w:w="1584" w:type="dxa"/>
            <w:tcBorders>
              <w:top w:val="nil"/>
              <w:left w:val="nil"/>
              <w:bottom w:val="nil"/>
              <w:right w:val="nil"/>
            </w:tcBorders>
          </w:tcPr>
          <w:p w14:paraId="569FC005"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1.010***</w:t>
            </w:r>
          </w:p>
        </w:tc>
        <w:tc>
          <w:tcPr>
            <w:tcW w:w="1584" w:type="dxa"/>
            <w:tcBorders>
              <w:top w:val="nil"/>
              <w:left w:val="nil"/>
              <w:bottom w:val="nil"/>
              <w:right w:val="nil"/>
            </w:tcBorders>
          </w:tcPr>
          <w:p w14:paraId="4996545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1.010***</w:t>
            </w:r>
          </w:p>
        </w:tc>
      </w:tr>
      <w:tr w:rsidR="00DB4C7E" w14:paraId="6B37C72D" w14:textId="77777777" w:rsidTr="00D00DCE">
        <w:trPr>
          <w:jc w:val="center"/>
        </w:trPr>
        <w:tc>
          <w:tcPr>
            <w:tcW w:w="3531" w:type="dxa"/>
            <w:tcBorders>
              <w:top w:val="nil"/>
              <w:left w:val="nil"/>
              <w:bottom w:val="nil"/>
              <w:right w:val="nil"/>
            </w:tcBorders>
          </w:tcPr>
          <w:p w14:paraId="33E29B8B"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1775FD7D"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c>
          <w:tcPr>
            <w:tcW w:w="1584" w:type="dxa"/>
            <w:tcBorders>
              <w:top w:val="nil"/>
              <w:left w:val="nil"/>
              <w:bottom w:val="nil"/>
              <w:right w:val="nil"/>
            </w:tcBorders>
          </w:tcPr>
          <w:p w14:paraId="248A5DA8"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(0.001)</w:t>
            </w:r>
          </w:p>
        </w:tc>
      </w:tr>
      <w:tr w:rsidR="00DB4C7E" w14:paraId="700625F3" w14:textId="77777777" w:rsidTr="00D00DCE">
        <w:trPr>
          <w:jc w:val="center"/>
        </w:trPr>
        <w:tc>
          <w:tcPr>
            <w:tcW w:w="3531" w:type="dxa"/>
            <w:tcBorders>
              <w:top w:val="nil"/>
              <w:left w:val="nil"/>
              <w:bottom w:val="nil"/>
              <w:right w:val="nil"/>
            </w:tcBorders>
          </w:tcPr>
          <w:p w14:paraId="55E0FEAF" w14:textId="77777777" w:rsidR="00DB4C7E" w:rsidRDefault="00DB4C7E" w:rsidP="00D00DCE">
            <w:pPr>
              <w:widowControl w:val="0"/>
              <w:autoSpaceDE w:val="0"/>
              <w:autoSpaceDN w:val="0"/>
              <w:adjustRightInd w:val="0"/>
              <w:rPr>
                <w:rFonts w:cs="Times New Roman"/>
                <w:lang w:val="en-GB"/>
              </w:rPr>
            </w:pPr>
            <w:proofErr w:type="spellStart"/>
            <w:r>
              <w:rPr>
                <w:rFonts w:cs="Times New Roman"/>
                <w:lang w:val="en-GB"/>
              </w:rPr>
              <w:t>pct_uninsured</w:t>
            </w:r>
            <w:proofErr w:type="spellEnd"/>
          </w:p>
        </w:tc>
        <w:tc>
          <w:tcPr>
            <w:tcW w:w="1584" w:type="dxa"/>
            <w:tcBorders>
              <w:top w:val="nil"/>
              <w:left w:val="nil"/>
              <w:bottom w:val="nil"/>
              <w:right w:val="nil"/>
            </w:tcBorders>
          </w:tcPr>
          <w:p w14:paraId="33976AA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1.009***</w:t>
            </w:r>
          </w:p>
        </w:tc>
        <w:tc>
          <w:tcPr>
            <w:tcW w:w="1584" w:type="dxa"/>
            <w:tcBorders>
              <w:top w:val="nil"/>
              <w:left w:val="nil"/>
              <w:bottom w:val="nil"/>
              <w:right w:val="nil"/>
            </w:tcBorders>
          </w:tcPr>
          <w:p w14:paraId="52E32B6F"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1.009***</w:t>
            </w:r>
          </w:p>
        </w:tc>
      </w:tr>
      <w:tr w:rsidR="00DB4C7E" w14:paraId="2EF78720" w14:textId="77777777" w:rsidTr="00D00DCE">
        <w:trPr>
          <w:jc w:val="center"/>
        </w:trPr>
        <w:tc>
          <w:tcPr>
            <w:tcW w:w="3531" w:type="dxa"/>
            <w:tcBorders>
              <w:top w:val="nil"/>
              <w:left w:val="nil"/>
              <w:bottom w:val="nil"/>
              <w:right w:val="nil"/>
            </w:tcBorders>
          </w:tcPr>
          <w:p w14:paraId="36EAD94F"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A9F731B"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(0.003)</w:t>
            </w:r>
          </w:p>
        </w:tc>
        <w:tc>
          <w:tcPr>
            <w:tcW w:w="1584" w:type="dxa"/>
            <w:tcBorders>
              <w:top w:val="nil"/>
              <w:left w:val="nil"/>
              <w:bottom w:val="nil"/>
              <w:right w:val="nil"/>
            </w:tcBorders>
          </w:tcPr>
          <w:p w14:paraId="020FB09F"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(0.003)</w:t>
            </w:r>
          </w:p>
        </w:tc>
      </w:tr>
      <w:tr w:rsidR="00DB4C7E" w14:paraId="0319892A" w14:textId="77777777" w:rsidTr="00D00DCE">
        <w:trPr>
          <w:jc w:val="center"/>
        </w:trPr>
        <w:tc>
          <w:tcPr>
            <w:tcW w:w="3531" w:type="dxa"/>
            <w:tcBorders>
              <w:top w:val="nil"/>
              <w:left w:val="nil"/>
              <w:bottom w:val="nil"/>
              <w:right w:val="nil"/>
            </w:tcBorders>
          </w:tcPr>
          <w:p w14:paraId="6907956A" w14:textId="169FECA1" w:rsidR="00DB4C7E" w:rsidRDefault="00DB4C7E" w:rsidP="00D00DCE">
            <w:pPr>
              <w:widowControl w:val="0"/>
              <w:autoSpaceDE w:val="0"/>
              <w:autoSpaceDN w:val="0"/>
              <w:adjustRightInd w:val="0"/>
              <w:rPr>
                <w:rFonts w:cs="Times New Roman"/>
                <w:lang w:val="en-GB"/>
              </w:rPr>
            </w:pPr>
            <w:r>
              <w:rPr>
                <w:rFonts w:cs="Times New Roman"/>
                <w:lang w:val="en-GB"/>
              </w:rPr>
              <w:t>psych_</w:t>
            </w:r>
            <w:r w:rsidR="000678D3">
              <w:rPr>
                <w:rFonts w:cs="Times New Roman"/>
                <w:lang w:val="en-GB"/>
              </w:rPr>
              <w:t>100k</w:t>
            </w:r>
          </w:p>
        </w:tc>
        <w:tc>
          <w:tcPr>
            <w:tcW w:w="1584" w:type="dxa"/>
            <w:tcBorders>
              <w:top w:val="nil"/>
              <w:left w:val="nil"/>
              <w:bottom w:val="nil"/>
              <w:right w:val="nil"/>
            </w:tcBorders>
          </w:tcPr>
          <w:p w14:paraId="62FBFC97"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1.025***</w:t>
            </w:r>
          </w:p>
        </w:tc>
        <w:tc>
          <w:tcPr>
            <w:tcW w:w="1584" w:type="dxa"/>
            <w:tcBorders>
              <w:top w:val="nil"/>
              <w:left w:val="nil"/>
              <w:bottom w:val="nil"/>
              <w:right w:val="nil"/>
            </w:tcBorders>
          </w:tcPr>
          <w:p w14:paraId="78161B12"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1.025***</w:t>
            </w:r>
          </w:p>
        </w:tc>
      </w:tr>
      <w:tr w:rsidR="00DB4C7E" w14:paraId="65C040A2" w14:textId="77777777" w:rsidTr="00D00DCE">
        <w:trPr>
          <w:jc w:val="center"/>
        </w:trPr>
        <w:tc>
          <w:tcPr>
            <w:tcW w:w="3531" w:type="dxa"/>
            <w:tcBorders>
              <w:top w:val="nil"/>
              <w:left w:val="nil"/>
              <w:bottom w:val="nil"/>
              <w:right w:val="nil"/>
            </w:tcBorders>
          </w:tcPr>
          <w:p w14:paraId="05AFBAE5"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41A1A43B"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(0.005)</w:t>
            </w:r>
          </w:p>
        </w:tc>
        <w:tc>
          <w:tcPr>
            <w:tcW w:w="1584" w:type="dxa"/>
            <w:tcBorders>
              <w:top w:val="nil"/>
              <w:left w:val="nil"/>
              <w:bottom w:val="nil"/>
              <w:right w:val="nil"/>
            </w:tcBorders>
          </w:tcPr>
          <w:p w14:paraId="71264F61"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(0.005)</w:t>
            </w:r>
          </w:p>
        </w:tc>
      </w:tr>
      <w:tr w:rsidR="00DB4C7E" w14:paraId="2F1CFF66" w14:textId="77777777" w:rsidTr="00D00DCE">
        <w:trPr>
          <w:jc w:val="center"/>
        </w:trPr>
        <w:tc>
          <w:tcPr>
            <w:tcW w:w="3531" w:type="dxa"/>
            <w:tcBorders>
              <w:top w:val="nil"/>
              <w:left w:val="nil"/>
              <w:bottom w:val="nil"/>
              <w:right w:val="nil"/>
            </w:tcBorders>
          </w:tcPr>
          <w:p w14:paraId="07EE7026" w14:textId="77777777" w:rsidR="00DB4C7E" w:rsidRDefault="00DB4C7E" w:rsidP="00D00DCE">
            <w:pPr>
              <w:widowControl w:val="0"/>
              <w:autoSpaceDE w:val="0"/>
              <w:autoSpaceDN w:val="0"/>
              <w:adjustRightInd w:val="0"/>
              <w:rPr>
                <w:rFonts w:cs="Times New Roman"/>
                <w:lang w:val="en-GB"/>
              </w:rPr>
            </w:pPr>
          </w:p>
        </w:tc>
        <w:tc>
          <w:tcPr>
            <w:tcW w:w="1584" w:type="dxa"/>
            <w:tcBorders>
              <w:top w:val="nil"/>
              <w:left w:val="nil"/>
              <w:bottom w:val="nil"/>
              <w:right w:val="nil"/>
            </w:tcBorders>
          </w:tcPr>
          <w:p w14:paraId="615106E4" w14:textId="77777777" w:rsidR="00DB4C7E" w:rsidRDefault="00DB4C7E" w:rsidP="00D00DCE">
            <w:pPr>
              <w:widowControl w:val="0"/>
              <w:autoSpaceDE w:val="0"/>
              <w:autoSpaceDN w:val="0"/>
              <w:adjustRightInd w:val="0"/>
              <w:jc w:val="center"/>
              <w:rPr>
                <w:rFonts w:cs="Times New Roman"/>
                <w:lang w:val="en-GB"/>
              </w:rPr>
            </w:pPr>
          </w:p>
        </w:tc>
        <w:tc>
          <w:tcPr>
            <w:tcW w:w="1584" w:type="dxa"/>
            <w:tcBorders>
              <w:top w:val="nil"/>
              <w:left w:val="nil"/>
              <w:bottom w:val="nil"/>
              <w:right w:val="nil"/>
            </w:tcBorders>
          </w:tcPr>
          <w:p w14:paraId="7C8255A8" w14:textId="77777777" w:rsidR="00DB4C7E" w:rsidRDefault="00DB4C7E" w:rsidP="00D00DCE">
            <w:pPr>
              <w:widowControl w:val="0"/>
              <w:autoSpaceDE w:val="0"/>
              <w:autoSpaceDN w:val="0"/>
              <w:adjustRightInd w:val="0"/>
              <w:jc w:val="center"/>
              <w:rPr>
                <w:rFonts w:cs="Times New Roman"/>
                <w:lang w:val="en-GB"/>
              </w:rPr>
            </w:pPr>
          </w:p>
        </w:tc>
      </w:tr>
      <w:tr w:rsidR="00DB4C7E" w14:paraId="302CCED3" w14:textId="77777777" w:rsidTr="00D00DCE">
        <w:trPr>
          <w:jc w:val="center"/>
        </w:trPr>
        <w:tc>
          <w:tcPr>
            <w:tcW w:w="3531" w:type="dxa"/>
            <w:tcBorders>
              <w:top w:val="nil"/>
              <w:left w:val="nil"/>
              <w:bottom w:val="nil"/>
              <w:right w:val="nil"/>
            </w:tcBorders>
          </w:tcPr>
          <w:p w14:paraId="067EBF27" w14:textId="77777777" w:rsidR="00DB4C7E" w:rsidRDefault="00DB4C7E" w:rsidP="00D00DCE">
            <w:pPr>
              <w:widowControl w:val="0"/>
              <w:autoSpaceDE w:val="0"/>
              <w:autoSpaceDN w:val="0"/>
              <w:adjustRightInd w:val="0"/>
              <w:rPr>
                <w:rFonts w:cs="Times New Roman"/>
                <w:lang w:val="en-GB"/>
              </w:rPr>
            </w:pPr>
            <w:r>
              <w:rPr>
                <w:rFonts w:cs="Times New Roman"/>
                <w:lang w:val="en-GB"/>
              </w:rPr>
              <w:t>Observations</w:t>
            </w:r>
          </w:p>
        </w:tc>
        <w:tc>
          <w:tcPr>
            <w:tcW w:w="1584" w:type="dxa"/>
            <w:tcBorders>
              <w:top w:val="nil"/>
              <w:left w:val="nil"/>
              <w:bottom w:val="nil"/>
              <w:right w:val="nil"/>
            </w:tcBorders>
          </w:tcPr>
          <w:p w14:paraId="4777FF81"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8,152</w:t>
            </w:r>
          </w:p>
        </w:tc>
        <w:tc>
          <w:tcPr>
            <w:tcW w:w="1584" w:type="dxa"/>
            <w:tcBorders>
              <w:top w:val="nil"/>
              <w:left w:val="nil"/>
              <w:bottom w:val="nil"/>
              <w:right w:val="nil"/>
            </w:tcBorders>
          </w:tcPr>
          <w:p w14:paraId="6191C483"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8,152</w:t>
            </w:r>
          </w:p>
        </w:tc>
      </w:tr>
      <w:tr w:rsidR="00DB4C7E" w14:paraId="3D65491D" w14:textId="77777777" w:rsidTr="00D00DCE">
        <w:trPr>
          <w:jc w:val="center"/>
        </w:trPr>
        <w:tc>
          <w:tcPr>
            <w:tcW w:w="3531" w:type="dxa"/>
            <w:tcBorders>
              <w:top w:val="nil"/>
              <w:left w:val="nil"/>
              <w:bottom w:val="nil"/>
              <w:right w:val="nil"/>
            </w:tcBorders>
          </w:tcPr>
          <w:p w14:paraId="42074A72" w14:textId="77777777" w:rsidR="00DB4C7E" w:rsidRDefault="00DB4C7E" w:rsidP="00D00DCE">
            <w:pPr>
              <w:widowControl w:val="0"/>
              <w:autoSpaceDE w:val="0"/>
              <w:autoSpaceDN w:val="0"/>
              <w:adjustRightInd w:val="0"/>
              <w:rPr>
                <w:rFonts w:cs="Times New Roman"/>
                <w:lang w:val="en-GB"/>
              </w:rPr>
            </w:pPr>
            <w:r>
              <w:rPr>
                <w:rFonts w:cs="Times New Roman"/>
                <w:lang w:val="en-GB"/>
              </w:rPr>
              <w:t>ZIP FE</w:t>
            </w:r>
          </w:p>
        </w:tc>
        <w:tc>
          <w:tcPr>
            <w:tcW w:w="1584" w:type="dxa"/>
            <w:tcBorders>
              <w:top w:val="nil"/>
              <w:left w:val="nil"/>
              <w:bottom w:val="nil"/>
              <w:right w:val="nil"/>
            </w:tcBorders>
          </w:tcPr>
          <w:p w14:paraId="2CBFD06E"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bottom w:val="nil"/>
              <w:right w:val="nil"/>
            </w:tcBorders>
          </w:tcPr>
          <w:p w14:paraId="55ABDDB5"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YES</w:t>
            </w:r>
          </w:p>
        </w:tc>
      </w:tr>
      <w:tr w:rsidR="00DB4C7E" w14:paraId="1D7405F9" w14:textId="77777777" w:rsidTr="00D00DCE">
        <w:trPr>
          <w:jc w:val="center"/>
        </w:trPr>
        <w:tc>
          <w:tcPr>
            <w:tcW w:w="3531" w:type="dxa"/>
            <w:tcBorders>
              <w:top w:val="nil"/>
              <w:left w:val="nil"/>
              <w:bottom w:val="nil"/>
              <w:right w:val="nil"/>
            </w:tcBorders>
          </w:tcPr>
          <w:p w14:paraId="71B2A7A3" w14:textId="77777777" w:rsidR="00DB4C7E" w:rsidRDefault="00DB4C7E" w:rsidP="00D00DCE">
            <w:pPr>
              <w:widowControl w:val="0"/>
              <w:autoSpaceDE w:val="0"/>
              <w:autoSpaceDN w:val="0"/>
              <w:adjustRightInd w:val="0"/>
              <w:rPr>
                <w:rFonts w:cs="Times New Roman"/>
                <w:lang w:val="en-GB"/>
              </w:rPr>
            </w:pPr>
            <w:r>
              <w:rPr>
                <w:rFonts w:cs="Times New Roman" w:hint="eastAsia"/>
                <w:lang w:val="en-GB"/>
              </w:rPr>
              <w:t>Year</w:t>
            </w:r>
            <w:r>
              <w:rPr>
                <w:rFonts w:cs="Times New Roman"/>
                <w:lang w:val="en-GB"/>
              </w:rPr>
              <w:t>*</w:t>
            </w:r>
            <w:r>
              <w:rPr>
                <w:rFonts w:cs="Times New Roman" w:hint="eastAsia"/>
                <w:lang w:val="en-GB"/>
              </w:rPr>
              <w:t>Quarter FE</w:t>
            </w:r>
          </w:p>
        </w:tc>
        <w:tc>
          <w:tcPr>
            <w:tcW w:w="1584" w:type="dxa"/>
            <w:tcBorders>
              <w:top w:val="nil"/>
              <w:left w:val="nil"/>
              <w:bottom w:val="nil"/>
              <w:right w:val="nil"/>
            </w:tcBorders>
          </w:tcPr>
          <w:p w14:paraId="6DD60AB4"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YES</w:t>
            </w:r>
          </w:p>
        </w:tc>
        <w:tc>
          <w:tcPr>
            <w:tcW w:w="1584" w:type="dxa"/>
            <w:tcBorders>
              <w:top w:val="nil"/>
              <w:left w:val="nil"/>
              <w:bottom w:val="nil"/>
              <w:right w:val="nil"/>
            </w:tcBorders>
          </w:tcPr>
          <w:p w14:paraId="47658A36"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YES</w:t>
            </w:r>
          </w:p>
        </w:tc>
      </w:tr>
      <w:tr w:rsidR="00DB4C7E" w14:paraId="57F4D5CC" w14:textId="77777777" w:rsidTr="00D00DCE">
        <w:tblPrEx>
          <w:tblBorders>
            <w:bottom w:val="single" w:sz="6" w:space="0" w:color="auto"/>
          </w:tblBorders>
        </w:tblPrEx>
        <w:trPr>
          <w:jc w:val="center"/>
        </w:trPr>
        <w:tc>
          <w:tcPr>
            <w:tcW w:w="3531" w:type="dxa"/>
            <w:tcBorders>
              <w:top w:val="nil"/>
              <w:left w:val="nil"/>
              <w:bottom w:val="single" w:sz="6" w:space="0" w:color="auto"/>
              <w:right w:val="nil"/>
            </w:tcBorders>
          </w:tcPr>
          <w:p w14:paraId="0715D875" w14:textId="77777777" w:rsidR="00DB4C7E" w:rsidRDefault="00DB4C7E" w:rsidP="00D00DCE">
            <w:pPr>
              <w:widowControl w:val="0"/>
              <w:autoSpaceDE w:val="0"/>
              <w:autoSpaceDN w:val="0"/>
              <w:adjustRightInd w:val="0"/>
              <w:rPr>
                <w:rFonts w:cs="Times New Roman"/>
                <w:lang w:val="en-GB"/>
              </w:rPr>
            </w:pPr>
            <w:r>
              <w:rPr>
                <w:rFonts w:cs="Times New Roman"/>
                <w:lang w:val="en-GB"/>
              </w:rPr>
              <w:t>Exposure</w:t>
            </w:r>
          </w:p>
        </w:tc>
        <w:tc>
          <w:tcPr>
            <w:tcW w:w="1584" w:type="dxa"/>
            <w:tcBorders>
              <w:top w:val="nil"/>
              <w:left w:val="nil"/>
              <w:bottom w:val="single" w:sz="6" w:space="0" w:color="auto"/>
              <w:right w:val="nil"/>
            </w:tcBorders>
          </w:tcPr>
          <w:p w14:paraId="6C1DC06A"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Population</w:t>
            </w:r>
          </w:p>
        </w:tc>
        <w:tc>
          <w:tcPr>
            <w:tcW w:w="1584" w:type="dxa"/>
            <w:tcBorders>
              <w:top w:val="nil"/>
              <w:left w:val="nil"/>
              <w:bottom w:val="single" w:sz="6" w:space="0" w:color="auto"/>
              <w:right w:val="nil"/>
            </w:tcBorders>
          </w:tcPr>
          <w:p w14:paraId="4C6BA063" w14:textId="77777777" w:rsidR="00DB4C7E" w:rsidRDefault="00DB4C7E" w:rsidP="00D00DCE">
            <w:pPr>
              <w:widowControl w:val="0"/>
              <w:autoSpaceDE w:val="0"/>
              <w:autoSpaceDN w:val="0"/>
              <w:adjustRightInd w:val="0"/>
              <w:jc w:val="center"/>
              <w:rPr>
                <w:rFonts w:cs="Times New Roman"/>
                <w:lang w:val="en-GB"/>
              </w:rPr>
            </w:pPr>
            <w:r>
              <w:rPr>
                <w:rFonts w:cs="Times New Roman"/>
                <w:lang w:val="en-GB"/>
              </w:rPr>
              <w:t>Population</w:t>
            </w:r>
          </w:p>
        </w:tc>
      </w:tr>
    </w:tbl>
    <w:p w14:paraId="6042844F" w14:textId="774CB6AE" w:rsidR="00DB4C7E" w:rsidRDefault="0080199A" w:rsidP="00840340">
      <w:pPr>
        <w:rPr>
          <w:rFonts w:cs="Times New Roman"/>
          <w:b/>
          <w:bCs/>
        </w:rPr>
      </w:pPr>
      <w:r>
        <w:rPr>
          <w:rFonts w:hint="eastAsia"/>
          <w:sz w:val="18"/>
          <w:szCs w:val="18"/>
        </w:rPr>
        <w:t>Note</w:t>
      </w:r>
      <w:r>
        <w:rPr>
          <w:sz w:val="18"/>
          <w:szCs w:val="18"/>
        </w:rPr>
        <w:t xml:space="preserve">: </w:t>
      </w:r>
      <w:r w:rsidRPr="00BE6FB8">
        <w:rPr>
          <w:sz w:val="18"/>
          <w:szCs w:val="18"/>
        </w:rPr>
        <w:t xml:space="preserve">The dependent variable is the number of hospitalizations with a primary mental health diagnosis. Models are estimated using Poisson pseudo-maximum likelihood (PPML) with population as the exposure variable. Robust standard errors are reported in parentheses and clustered at the city level. All models include City × Year and Year × Quarter fixed effects. </w:t>
      </w:r>
      <w:r w:rsidRPr="00BE6FB8">
        <w:rPr>
          <w:i/>
          <w:iCs/>
          <w:sz w:val="18"/>
          <w:szCs w:val="18"/>
        </w:rPr>
        <w:t>p</w:t>
      </w:r>
      <w:r w:rsidRPr="00BE6FB8">
        <w:rPr>
          <w:sz w:val="18"/>
          <w:szCs w:val="18"/>
        </w:rPr>
        <w:t xml:space="preserve"> &lt; 0.10</w:t>
      </w:r>
      <w:r w:rsidRPr="00782CAC">
        <w:rPr>
          <w:sz w:val="18"/>
          <w:szCs w:val="18"/>
        </w:rPr>
        <w:t xml:space="preserve">, p &lt; 0.05, </w:t>
      </w:r>
      <w:r w:rsidRPr="00782CAC">
        <w:rPr>
          <w:i/>
          <w:iCs/>
          <w:sz w:val="18"/>
          <w:szCs w:val="18"/>
        </w:rPr>
        <w:t>p</w:t>
      </w:r>
      <w:r w:rsidRPr="00782CAC">
        <w:rPr>
          <w:sz w:val="18"/>
          <w:szCs w:val="18"/>
        </w:rPr>
        <w:t xml:space="preserve"> &lt;</w:t>
      </w:r>
      <w:r w:rsidRPr="00BE6FB8">
        <w:rPr>
          <w:sz w:val="18"/>
          <w:szCs w:val="18"/>
        </w:rPr>
        <w:t xml:space="preserve"> 0.01.</w:t>
      </w:r>
    </w:p>
    <w:p w14:paraId="114A1BD9" w14:textId="77777777" w:rsidR="00DB4C7E" w:rsidRDefault="00DB4C7E" w:rsidP="00840340">
      <w:pPr>
        <w:rPr>
          <w:rFonts w:cs="Times New Roman"/>
          <w:b/>
          <w:bCs/>
        </w:rPr>
      </w:pPr>
    </w:p>
    <w:p w14:paraId="21AF4ECF" w14:textId="77777777" w:rsidR="00DB4C7E" w:rsidRDefault="00DB4C7E" w:rsidP="00840340">
      <w:pPr>
        <w:rPr>
          <w:rFonts w:cs="Times New Roman"/>
          <w:b/>
          <w:bCs/>
        </w:rPr>
      </w:pPr>
    </w:p>
    <w:p w14:paraId="615DA88F" w14:textId="77777777" w:rsidR="00DB4C7E" w:rsidRDefault="00DB4C7E" w:rsidP="00840340">
      <w:pPr>
        <w:rPr>
          <w:rFonts w:cs="Times New Roman"/>
          <w:b/>
          <w:bCs/>
        </w:rPr>
      </w:pPr>
    </w:p>
    <w:p w14:paraId="0B126EA2" w14:textId="77777777" w:rsidR="000678D3" w:rsidRDefault="000678D3" w:rsidP="00840340">
      <w:pPr>
        <w:rPr>
          <w:rFonts w:cs="Times New Roman"/>
          <w:b/>
          <w:bCs/>
        </w:rPr>
      </w:pPr>
    </w:p>
    <w:p w14:paraId="4D4D7330" w14:textId="77777777" w:rsidR="000678D3" w:rsidRDefault="000678D3" w:rsidP="00840340">
      <w:pPr>
        <w:rPr>
          <w:rFonts w:cs="Times New Roman"/>
          <w:b/>
          <w:bCs/>
        </w:rPr>
      </w:pPr>
    </w:p>
    <w:p w14:paraId="35AEC974" w14:textId="52F78BC4" w:rsidR="00840340" w:rsidRDefault="00840340" w:rsidP="00840340">
      <w:pPr>
        <w:rPr>
          <w:rFonts w:cs="Times New Roman"/>
          <w:b/>
          <w:bCs/>
        </w:rPr>
      </w:pPr>
      <w:r>
        <w:rPr>
          <w:rFonts w:cs="Times New Roman"/>
          <w:b/>
          <w:bCs/>
        </w:rPr>
        <w:lastRenderedPageBreak/>
        <w:t xml:space="preserve">Reference: </w:t>
      </w:r>
    </w:p>
    <w:p w14:paraId="2315B8EF" w14:textId="77777777" w:rsidR="007623ED" w:rsidRPr="007623ED" w:rsidRDefault="006F0083" w:rsidP="00C40CBE">
      <w:pPr>
        <w:pStyle w:val="Bibliography"/>
        <w:numPr>
          <w:ilvl w:val="0"/>
          <w:numId w:val="17"/>
        </w:numPr>
        <w:spacing w:line="360" w:lineRule="auto"/>
        <w:rPr>
          <w:rFonts w:cs="Times New Roman"/>
          <w:sz w:val="22"/>
          <w:lang w:val="en-GB"/>
        </w:rPr>
      </w:pPr>
      <w:r w:rsidRPr="008B4D80">
        <w:rPr>
          <w:b/>
          <w:bCs/>
          <w:sz w:val="22"/>
        </w:rPr>
        <w:fldChar w:fldCharType="begin"/>
      </w:r>
      <w:r w:rsidR="00742E53">
        <w:rPr>
          <w:b/>
          <w:bCs/>
          <w:sz w:val="22"/>
        </w:rPr>
        <w:instrText xml:space="preserve"> ADDIN ZOTERO_BIBL {"uncited":[],"omitted":[],"custom":[]} CSL_BIBLIOGRAPHY </w:instrText>
      </w:r>
      <w:r w:rsidRPr="008B4D80">
        <w:rPr>
          <w:b/>
          <w:bCs/>
          <w:sz w:val="22"/>
        </w:rPr>
        <w:fldChar w:fldCharType="separate"/>
      </w:r>
      <w:r w:rsidR="007623ED" w:rsidRPr="007623ED">
        <w:rPr>
          <w:rFonts w:cs="Times New Roman"/>
          <w:sz w:val="22"/>
          <w:lang w:val="en-GB"/>
        </w:rPr>
        <w:t xml:space="preserve">Agency for Healthcare Research and Quality (AHRQ). (2022, April). </w:t>
      </w:r>
      <w:r w:rsidR="007623ED" w:rsidRPr="007623ED">
        <w:rPr>
          <w:rFonts w:cs="Times New Roman"/>
          <w:i/>
          <w:iCs/>
          <w:sz w:val="22"/>
          <w:lang w:val="en-GB"/>
        </w:rPr>
        <w:t>ICD-10-CM/PCS Resources</w:t>
      </w:r>
      <w:r w:rsidR="007623ED" w:rsidRPr="007623ED">
        <w:rPr>
          <w:rFonts w:cs="Times New Roman"/>
          <w:sz w:val="22"/>
          <w:lang w:val="en-GB"/>
        </w:rPr>
        <w:t>. Healthcare Cost and Utilization Project (HCUP). https://www.hcup-us.ahrq.gov/datainnovations/icd10_resources.jsp</w:t>
      </w:r>
    </w:p>
    <w:p w14:paraId="13646D16"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Andresen, A. X., Kurtz, L. C., Hondula, D. M., Meerow, S., &amp; Gall, M. (2023). Understanding the social impacts of power outages in North America: A systematic review. </w:t>
      </w:r>
      <w:r w:rsidRPr="007623ED">
        <w:rPr>
          <w:rFonts w:cs="Times New Roman"/>
          <w:i/>
          <w:iCs/>
          <w:sz w:val="22"/>
          <w:lang w:val="en-GB"/>
        </w:rPr>
        <w:t>Environmental Research Letters</w:t>
      </w:r>
      <w:r w:rsidRPr="007623ED">
        <w:rPr>
          <w:rFonts w:cs="Times New Roman"/>
          <w:sz w:val="22"/>
          <w:lang w:val="en-GB"/>
        </w:rPr>
        <w:t xml:space="preserve">, </w:t>
      </w:r>
      <w:r w:rsidRPr="007623ED">
        <w:rPr>
          <w:rFonts w:cs="Times New Roman"/>
          <w:i/>
          <w:iCs/>
          <w:sz w:val="22"/>
          <w:lang w:val="en-GB"/>
        </w:rPr>
        <w:t>18</w:t>
      </w:r>
      <w:r w:rsidRPr="007623ED">
        <w:rPr>
          <w:rFonts w:cs="Times New Roman"/>
          <w:sz w:val="22"/>
          <w:lang w:val="en-GB"/>
        </w:rPr>
        <w:t>(5), 053004. https://doi.org/10.1088/1748-9326/acc7b9</w:t>
      </w:r>
    </w:p>
    <w:p w14:paraId="0EB9AAAE"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Baecker, L., Iyengar, U., Del Piccolo, M. C., &amp; Mechelli, A. (2025). Impacts of extreme heat on mental health: Systematic review and qualitative investigation of the underpinning mechanisms. </w:t>
      </w:r>
      <w:r w:rsidRPr="007623ED">
        <w:rPr>
          <w:rFonts w:cs="Times New Roman"/>
          <w:i/>
          <w:iCs/>
          <w:sz w:val="22"/>
          <w:lang w:val="en-GB"/>
        </w:rPr>
        <w:t>The Journal of Climate Change and Health</w:t>
      </w:r>
      <w:r w:rsidRPr="007623ED">
        <w:rPr>
          <w:rFonts w:cs="Times New Roman"/>
          <w:sz w:val="22"/>
          <w:lang w:val="en-GB"/>
        </w:rPr>
        <w:t xml:space="preserve">, </w:t>
      </w:r>
      <w:r w:rsidRPr="007623ED">
        <w:rPr>
          <w:rFonts w:cs="Times New Roman"/>
          <w:i/>
          <w:iCs/>
          <w:sz w:val="22"/>
          <w:lang w:val="en-GB"/>
        </w:rPr>
        <w:t>22</w:t>
      </w:r>
      <w:r w:rsidRPr="007623ED">
        <w:rPr>
          <w:rFonts w:cs="Times New Roman"/>
          <w:sz w:val="22"/>
          <w:lang w:val="en-GB"/>
        </w:rPr>
        <w:t>, 100446. https://doi.org/10.1016/j.joclim.2025.100446</w:t>
      </w:r>
    </w:p>
    <w:p w14:paraId="03D585D8"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Basu, R., Gavin, L., Pearson, D., Ebisu, K., &amp; Malig, B. (2018). Examining the Association Between Apparent Temperature and Mental Health-Related Emergency Room Visits in California. </w:t>
      </w:r>
      <w:r w:rsidRPr="007623ED">
        <w:rPr>
          <w:rFonts w:cs="Times New Roman"/>
          <w:i/>
          <w:iCs/>
          <w:sz w:val="22"/>
          <w:lang w:val="en-GB"/>
        </w:rPr>
        <w:t>American Journal of Epidemiology</w:t>
      </w:r>
      <w:r w:rsidRPr="007623ED">
        <w:rPr>
          <w:rFonts w:cs="Times New Roman"/>
          <w:sz w:val="22"/>
          <w:lang w:val="en-GB"/>
        </w:rPr>
        <w:t xml:space="preserve">, </w:t>
      </w:r>
      <w:r w:rsidRPr="007623ED">
        <w:rPr>
          <w:rFonts w:cs="Times New Roman"/>
          <w:i/>
          <w:iCs/>
          <w:sz w:val="22"/>
          <w:lang w:val="en-GB"/>
        </w:rPr>
        <w:t>187</w:t>
      </w:r>
      <w:r w:rsidRPr="007623ED">
        <w:rPr>
          <w:rFonts w:cs="Times New Roman"/>
          <w:sz w:val="22"/>
          <w:lang w:val="en-GB"/>
        </w:rPr>
        <w:t>(4), 726–735. https://doi.org/10.1093/aje/kwx295</w:t>
      </w:r>
    </w:p>
    <w:p w14:paraId="317C5E86"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Bhattacharyya, A., &amp; Hastak, M. (2023). A data-driven approach to quantify disparities in power outages. </w:t>
      </w:r>
      <w:r w:rsidRPr="007623ED">
        <w:rPr>
          <w:rFonts w:cs="Times New Roman"/>
          <w:i/>
          <w:iCs/>
          <w:sz w:val="22"/>
          <w:lang w:val="en-GB"/>
        </w:rPr>
        <w:t>Scientific Reports</w:t>
      </w:r>
      <w:r w:rsidRPr="007623ED">
        <w:rPr>
          <w:rFonts w:cs="Times New Roman"/>
          <w:sz w:val="22"/>
          <w:lang w:val="en-GB"/>
        </w:rPr>
        <w:t xml:space="preserve">, </w:t>
      </w:r>
      <w:r w:rsidRPr="007623ED">
        <w:rPr>
          <w:rFonts w:cs="Times New Roman"/>
          <w:i/>
          <w:iCs/>
          <w:sz w:val="22"/>
          <w:lang w:val="en-GB"/>
        </w:rPr>
        <w:t>13</w:t>
      </w:r>
      <w:r w:rsidRPr="007623ED">
        <w:rPr>
          <w:rFonts w:cs="Times New Roman"/>
          <w:sz w:val="22"/>
          <w:lang w:val="en-GB"/>
        </w:rPr>
        <w:t>(1), 7247. https://doi.org/10.1038/s41598-023-34186-9</w:t>
      </w:r>
    </w:p>
    <w:p w14:paraId="0B431738"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Bourque, F., &amp; Cunsolo Willox, A. (2014). Climate change: The next challenge for public mental health? </w:t>
      </w:r>
      <w:r w:rsidRPr="007623ED">
        <w:rPr>
          <w:rFonts w:cs="Times New Roman"/>
          <w:i/>
          <w:iCs/>
          <w:sz w:val="22"/>
          <w:lang w:val="en-GB"/>
        </w:rPr>
        <w:t>International Review of Psychiatry</w:t>
      </w:r>
      <w:r w:rsidRPr="007623ED">
        <w:rPr>
          <w:rFonts w:cs="Times New Roman"/>
          <w:sz w:val="22"/>
          <w:lang w:val="en-GB"/>
        </w:rPr>
        <w:t xml:space="preserve">, </w:t>
      </w:r>
      <w:r w:rsidRPr="007623ED">
        <w:rPr>
          <w:rFonts w:cs="Times New Roman"/>
          <w:i/>
          <w:iCs/>
          <w:sz w:val="22"/>
          <w:lang w:val="en-GB"/>
        </w:rPr>
        <w:t>26</w:t>
      </w:r>
      <w:r w:rsidRPr="007623ED">
        <w:rPr>
          <w:rFonts w:cs="Times New Roman"/>
          <w:sz w:val="22"/>
          <w:lang w:val="en-GB"/>
        </w:rPr>
        <w:t>(4), 415–422. https://doi.org/10.3109/09540261.2014.925851</w:t>
      </w:r>
    </w:p>
    <w:p w14:paraId="27DE7F56"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Buchner, M., &amp; Rehm, M. (2025). Energy poverty and health: Micro-level evidence from Germany. </w:t>
      </w:r>
      <w:r w:rsidRPr="007623ED">
        <w:rPr>
          <w:rFonts w:cs="Times New Roman"/>
          <w:i/>
          <w:iCs/>
          <w:sz w:val="22"/>
          <w:lang w:val="en-GB"/>
        </w:rPr>
        <w:t>Energy Economics</w:t>
      </w:r>
      <w:r w:rsidRPr="007623ED">
        <w:rPr>
          <w:rFonts w:cs="Times New Roman"/>
          <w:sz w:val="22"/>
          <w:lang w:val="en-GB"/>
        </w:rPr>
        <w:t xml:space="preserve">, </w:t>
      </w:r>
      <w:r w:rsidRPr="007623ED">
        <w:rPr>
          <w:rFonts w:cs="Times New Roman"/>
          <w:i/>
          <w:iCs/>
          <w:sz w:val="22"/>
          <w:lang w:val="en-GB"/>
        </w:rPr>
        <w:t>145</w:t>
      </w:r>
      <w:r w:rsidRPr="007623ED">
        <w:rPr>
          <w:rFonts w:cs="Times New Roman"/>
          <w:sz w:val="22"/>
          <w:lang w:val="en-GB"/>
        </w:rPr>
        <w:t>, 108376. https://doi.org/10.1016/j.eneco.2025.108376</w:t>
      </w:r>
    </w:p>
    <w:p w14:paraId="1DC7BE5E"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Casey, J. A., Fukurai, M., Hernández, D., Balsari, S., &amp; Kiang, M. V. (2020). Power Outages and Community Health: A Narrative Review. </w:t>
      </w:r>
      <w:r w:rsidRPr="007623ED">
        <w:rPr>
          <w:rFonts w:cs="Times New Roman"/>
          <w:i/>
          <w:iCs/>
          <w:sz w:val="22"/>
          <w:lang w:val="en-GB"/>
        </w:rPr>
        <w:t>Current Environmental Health Reports</w:t>
      </w:r>
      <w:r w:rsidRPr="007623ED">
        <w:rPr>
          <w:rFonts w:cs="Times New Roman"/>
          <w:sz w:val="22"/>
          <w:lang w:val="en-GB"/>
        </w:rPr>
        <w:t xml:space="preserve">, </w:t>
      </w:r>
      <w:r w:rsidRPr="007623ED">
        <w:rPr>
          <w:rFonts w:cs="Times New Roman"/>
          <w:i/>
          <w:iCs/>
          <w:sz w:val="22"/>
          <w:lang w:val="en-GB"/>
        </w:rPr>
        <w:t>7</w:t>
      </w:r>
      <w:r w:rsidRPr="007623ED">
        <w:rPr>
          <w:rFonts w:cs="Times New Roman"/>
          <w:sz w:val="22"/>
          <w:lang w:val="en-GB"/>
        </w:rPr>
        <w:t>(4), 371–383. https://doi.org/10.1007/s40572-020-00295-0</w:t>
      </w:r>
    </w:p>
    <w:p w14:paraId="12DED180"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Casey, J. A., Mango, M., Mullendore, S., Kiang, M. V., Hernández, D., Li, B. H., Li, K., Im, T. M., &amp; Tartof, S. Y. (2021). Trends from 2008 to 2018 in Electricity-dependent </w:t>
      </w:r>
      <w:r w:rsidRPr="007623ED">
        <w:rPr>
          <w:rFonts w:cs="Times New Roman"/>
          <w:sz w:val="22"/>
          <w:lang w:val="en-GB"/>
        </w:rPr>
        <w:lastRenderedPageBreak/>
        <w:t xml:space="preserve">Durable Medical Equipment Rentals and Sociodemographic Disparities. </w:t>
      </w:r>
      <w:r w:rsidRPr="007623ED">
        <w:rPr>
          <w:rFonts w:cs="Times New Roman"/>
          <w:i/>
          <w:iCs/>
          <w:sz w:val="22"/>
          <w:lang w:val="en-GB"/>
        </w:rPr>
        <w:t>Epidemiology</w:t>
      </w:r>
      <w:r w:rsidRPr="007623ED">
        <w:rPr>
          <w:rFonts w:cs="Times New Roman"/>
          <w:sz w:val="22"/>
          <w:lang w:val="en-GB"/>
        </w:rPr>
        <w:t xml:space="preserve">, </w:t>
      </w:r>
      <w:r w:rsidRPr="007623ED">
        <w:rPr>
          <w:rFonts w:cs="Times New Roman"/>
          <w:i/>
          <w:iCs/>
          <w:sz w:val="22"/>
          <w:lang w:val="en-GB"/>
        </w:rPr>
        <w:t>32</w:t>
      </w:r>
      <w:r w:rsidRPr="007623ED">
        <w:rPr>
          <w:rFonts w:cs="Times New Roman"/>
          <w:sz w:val="22"/>
          <w:lang w:val="en-GB"/>
        </w:rPr>
        <w:t>(3), 327–335. https://doi.org/10.1097/EDE.0000000000001333</w:t>
      </w:r>
    </w:p>
    <w:p w14:paraId="0917DB91"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Clayton, S., Devine-Wright, P., Stern, P. C., Whitmarsh, L., Carrico, A., Steg, L., Swim, J., &amp; Bonnes, M. (2015). Psychological research and global climate change. </w:t>
      </w:r>
      <w:r w:rsidRPr="007623ED">
        <w:rPr>
          <w:rFonts w:cs="Times New Roman"/>
          <w:i/>
          <w:iCs/>
          <w:sz w:val="22"/>
          <w:lang w:val="en-GB"/>
        </w:rPr>
        <w:t>Nature Climate Change</w:t>
      </w:r>
      <w:r w:rsidRPr="007623ED">
        <w:rPr>
          <w:rFonts w:cs="Times New Roman"/>
          <w:sz w:val="22"/>
          <w:lang w:val="en-GB"/>
        </w:rPr>
        <w:t xml:space="preserve">, </w:t>
      </w:r>
      <w:r w:rsidRPr="007623ED">
        <w:rPr>
          <w:rFonts w:cs="Times New Roman"/>
          <w:i/>
          <w:iCs/>
          <w:sz w:val="22"/>
          <w:lang w:val="en-GB"/>
        </w:rPr>
        <w:t>5</w:t>
      </w:r>
      <w:r w:rsidRPr="007623ED">
        <w:rPr>
          <w:rFonts w:cs="Times New Roman"/>
          <w:sz w:val="22"/>
          <w:lang w:val="en-GB"/>
        </w:rPr>
        <w:t>(7), 640–646. https://doi.org/10.1038/nclimate2622</w:t>
      </w:r>
    </w:p>
    <w:p w14:paraId="734F08C3"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Cook, B. L., Zuvekas, S. H., Chen, J., Progovac, A., &amp; Lincoln, A. K. (2017). Assessing the Individual, Neighborhood, and Policy Predictors of Disparities in Mental Health Care. </w:t>
      </w:r>
      <w:r w:rsidRPr="007623ED">
        <w:rPr>
          <w:rFonts w:cs="Times New Roman"/>
          <w:i/>
          <w:iCs/>
          <w:sz w:val="22"/>
          <w:lang w:val="en-GB"/>
        </w:rPr>
        <w:t>Medical Care Research and Review</w:t>
      </w:r>
      <w:r w:rsidRPr="007623ED">
        <w:rPr>
          <w:rFonts w:cs="Times New Roman"/>
          <w:sz w:val="22"/>
          <w:lang w:val="en-GB"/>
        </w:rPr>
        <w:t xml:space="preserve">, </w:t>
      </w:r>
      <w:r w:rsidRPr="007623ED">
        <w:rPr>
          <w:rFonts w:cs="Times New Roman"/>
          <w:i/>
          <w:iCs/>
          <w:sz w:val="22"/>
          <w:lang w:val="en-GB"/>
        </w:rPr>
        <w:t>74</w:t>
      </w:r>
      <w:r w:rsidRPr="007623ED">
        <w:rPr>
          <w:rFonts w:cs="Times New Roman"/>
          <w:sz w:val="22"/>
          <w:lang w:val="en-GB"/>
        </w:rPr>
        <w:t>(4), 404–430. https://doi.org/10.1177/1077558716646898</w:t>
      </w:r>
    </w:p>
    <w:p w14:paraId="3A101ECC"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Deng, X., Friedman, S., Ryan, I., Zhang, W., Dong, G., Rodriguez, H., Yu, F., Huang, W., Nair, A., Luo, G., &amp; Lin, S. (2022). The independent and synergistic impacts of power outages and floods on hospital admissions for multiple diseases. </w:t>
      </w:r>
      <w:r w:rsidRPr="007623ED">
        <w:rPr>
          <w:rFonts w:cs="Times New Roman"/>
          <w:i/>
          <w:iCs/>
          <w:sz w:val="22"/>
          <w:lang w:val="en-GB"/>
        </w:rPr>
        <w:t>Science of The Total Environment</w:t>
      </w:r>
      <w:r w:rsidRPr="007623ED">
        <w:rPr>
          <w:rFonts w:cs="Times New Roman"/>
          <w:sz w:val="22"/>
          <w:lang w:val="en-GB"/>
        </w:rPr>
        <w:t xml:space="preserve">, </w:t>
      </w:r>
      <w:r w:rsidRPr="007623ED">
        <w:rPr>
          <w:rFonts w:cs="Times New Roman"/>
          <w:i/>
          <w:iCs/>
          <w:sz w:val="22"/>
          <w:lang w:val="en-GB"/>
        </w:rPr>
        <w:t>828</w:t>
      </w:r>
      <w:r w:rsidRPr="007623ED">
        <w:rPr>
          <w:rFonts w:cs="Times New Roman"/>
          <w:sz w:val="22"/>
          <w:lang w:val="en-GB"/>
        </w:rPr>
        <w:t>, 154305. https://doi.org/10.1016/j.scitotenv.2022.154305</w:t>
      </w:r>
    </w:p>
    <w:p w14:paraId="177A38A0"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Do, V., McBrien, H., Flores, N. M., Northrop, A. J., Schlegelmilch, J., Kiang, M. V., &amp; Casey, J. A. (2023). Spatiotemporal distribution of power outages with climate events and social vulnerability in the USA. </w:t>
      </w:r>
      <w:r w:rsidRPr="007623ED">
        <w:rPr>
          <w:rFonts w:cs="Times New Roman"/>
          <w:i/>
          <w:iCs/>
          <w:sz w:val="22"/>
          <w:lang w:val="en-GB"/>
        </w:rPr>
        <w:t>Nature Communications</w:t>
      </w:r>
      <w:r w:rsidRPr="007623ED">
        <w:rPr>
          <w:rFonts w:cs="Times New Roman"/>
          <w:sz w:val="22"/>
          <w:lang w:val="en-GB"/>
        </w:rPr>
        <w:t xml:space="preserve">, </w:t>
      </w:r>
      <w:r w:rsidRPr="007623ED">
        <w:rPr>
          <w:rFonts w:cs="Times New Roman"/>
          <w:i/>
          <w:iCs/>
          <w:sz w:val="22"/>
          <w:lang w:val="en-GB"/>
        </w:rPr>
        <w:t>14</w:t>
      </w:r>
      <w:r w:rsidRPr="007623ED">
        <w:rPr>
          <w:rFonts w:cs="Times New Roman"/>
          <w:sz w:val="22"/>
          <w:lang w:val="en-GB"/>
        </w:rPr>
        <w:t>(1), 2470. https://doi.org/10.1038/s41467-023-38084-6</w:t>
      </w:r>
    </w:p>
    <w:p w14:paraId="46DB14A9"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Do, V., Wilner, L. B., Flores, N. M., McBrien, H., Northrop, A. J., &amp; Casey, J. A. (2025). Spatiotemporal patterns of individual and multiple simultaneous severe weather events co-occurring with power outages in the United States, 2018–2020. </w:t>
      </w:r>
      <w:r w:rsidRPr="007623ED">
        <w:rPr>
          <w:rFonts w:cs="Times New Roman"/>
          <w:i/>
          <w:iCs/>
          <w:sz w:val="22"/>
          <w:lang w:val="en-GB"/>
        </w:rPr>
        <w:t>PLOS Climate</w:t>
      </w:r>
      <w:r w:rsidRPr="007623ED">
        <w:rPr>
          <w:rFonts w:cs="Times New Roman"/>
          <w:sz w:val="22"/>
          <w:lang w:val="en-GB"/>
        </w:rPr>
        <w:t xml:space="preserve">, </w:t>
      </w:r>
      <w:r w:rsidRPr="007623ED">
        <w:rPr>
          <w:rFonts w:cs="Times New Roman"/>
          <w:i/>
          <w:iCs/>
          <w:sz w:val="22"/>
          <w:lang w:val="en-GB"/>
        </w:rPr>
        <w:t>4</w:t>
      </w:r>
      <w:r w:rsidRPr="007623ED">
        <w:rPr>
          <w:rFonts w:cs="Times New Roman"/>
          <w:sz w:val="22"/>
          <w:lang w:val="en-GB"/>
        </w:rPr>
        <w:t>(1), e0000523. https://doi.org/10.1371/journal.pclm.0000523</w:t>
      </w:r>
    </w:p>
    <w:p w14:paraId="5DB47C9F"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Dominianni, C., Lane, K., Johnson, S., Ito, K., &amp; Matte, T. (2018). Health Impacts of Citywide and Localized Power Outages in New York City. </w:t>
      </w:r>
      <w:r w:rsidRPr="007623ED">
        <w:rPr>
          <w:rFonts w:cs="Times New Roman"/>
          <w:i/>
          <w:iCs/>
          <w:sz w:val="22"/>
          <w:lang w:val="en-GB"/>
        </w:rPr>
        <w:t>Environmental Health Perspectives</w:t>
      </w:r>
      <w:r w:rsidRPr="007623ED">
        <w:rPr>
          <w:rFonts w:cs="Times New Roman"/>
          <w:sz w:val="22"/>
          <w:lang w:val="en-GB"/>
        </w:rPr>
        <w:t xml:space="preserve">, </w:t>
      </w:r>
      <w:r w:rsidRPr="007623ED">
        <w:rPr>
          <w:rFonts w:cs="Times New Roman"/>
          <w:i/>
          <w:iCs/>
          <w:sz w:val="22"/>
          <w:lang w:val="en-GB"/>
        </w:rPr>
        <w:t>126</w:t>
      </w:r>
      <w:r w:rsidRPr="007623ED">
        <w:rPr>
          <w:rFonts w:cs="Times New Roman"/>
          <w:sz w:val="22"/>
          <w:lang w:val="en-GB"/>
        </w:rPr>
        <w:t>(6), 067003. https://doi.org/10.1289/EHP2154</w:t>
      </w:r>
    </w:p>
    <w:p w14:paraId="701DC8CF"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Gibbons, R. D., Olfson, M., Saulsberry, L., Edlund, M. J., Zangeneh, S., Bareis, N., Chwastiak, L., Gibbons, J. B., &amp; Kessler, R. C. (2024). Social Vulnerability and Prevalence and Treatment for Mental Health and Substance Use Disorders. </w:t>
      </w:r>
      <w:r w:rsidRPr="007623ED">
        <w:rPr>
          <w:rFonts w:cs="Times New Roman"/>
          <w:i/>
          <w:iCs/>
          <w:sz w:val="22"/>
          <w:lang w:val="en-GB"/>
        </w:rPr>
        <w:t>JAMA Psychiatry</w:t>
      </w:r>
      <w:r w:rsidRPr="007623ED">
        <w:rPr>
          <w:rFonts w:cs="Times New Roman"/>
          <w:sz w:val="22"/>
          <w:lang w:val="en-GB"/>
        </w:rPr>
        <w:t xml:space="preserve">, </w:t>
      </w:r>
      <w:r w:rsidRPr="007623ED">
        <w:rPr>
          <w:rFonts w:cs="Times New Roman"/>
          <w:i/>
          <w:iCs/>
          <w:sz w:val="22"/>
          <w:lang w:val="en-GB"/>
        </w:rPr>
        <w:t>81</w:t>
      </w:r>
      <w:r w:rsidRPr="007623ED">
        <w:rPr>
          <w:rFonts w:cs="Times New Roman"/>
          <w:sz w:val="22"/>
          <w:lang w:val="en-GB"/>
        </w:rPr>
        <w:t>(10), 976. https://doi.org/10.1001/jamapsychiatry.2024.1870</w:t>
      </w:r>
    </w:p>
    <w:p w14:paraId="41ADA05D"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lastRenderedPageBreak/>
        <w:t xml:space="preserve">Grineski, S. E., Collins, T. W., &amp; Chakraborty, J. (2022). Cascading disasters and mental health inequities: Winter Storm Uri, COVID-19 and post-traumatic stress in Texas. </w:t>
      </w:r>
      <w:r w:rsidRPr="007623ED">
        <w:rPr>
          <w:rFonts w:cs="Times New Roman"/>
          <w:i/>
          <w:iCs/>
          <w:sz w:val="22"/>
          <w:lang w:val="en-GB"/>
        </w:rPr>
        <w:t>Social Science &amp; Medicine</w:t>
      </w:r>
      <w:r w:rsidRPr="007623ED">
        <w:rPr>
          <w:rFonts w:cs="Times New Roman"/>
          <w:sz w:val="22"/>
          <w:lang w:val="en-GB"/>
        </w:rPr>
        <w:t xml:space="preserve">, </w:t>
      </w:r>
      <w:r w:rsidRPr="007623ED">
        <w:rPr>
          <w:rFonts w:cs="Times New Roman"/>
          <w:i/>
          <w:iCs/>
          <w:sz w:val="22"/>
          <w:lang w:val="en-GB"/>
        </w:rPr>
        <w:t>315</w:t>
      </w:r>
      <w:r w:rsidRPr="007623ED">
        <w:rPr>
          <w:rFonts w:cs="Times New Roman"/>
          <w:sz w:val="22"/>
          <w:lang w:val="en-GB"/>
        </w:rPr>
        <w:t>, 115523. https://doi.org/10.1016/j.socscimed.2022.115523</w:t>
      </w:r>
    </w:p>
    <w:p w14:paraId="3CEDF0AB"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Grineski, S., Scott, M., Collins, T., Chakraborty, J., &amp; Ramos, K. (2023). Anxiety and depression after winter storm Uri: Cascading disasters and mental health inequities. </w:t>
      </w:r>
      <w:r w:rsidRPr="007623ED">
        <w:rPr>
          <w:rFonts w:cs="Times New Roman"/>
          <w:i/>
          <w:iCs/>
          <w:sz w:val="22"/>
          <w:lang w:val="en-GB"/>
        </w:rPr>
        <w:t>International Journal of Disaster Risk Reduction</w:t>
      </w:r>
      <w:r w:rsidRPr="007623ED">
        <w:rPr>
          <w:rFonts w:cs="Times New Roman"/>
          <w:sz w:val="22"/>
          <w:lang w:val="en-GB"/>
        </w:rPr>
        <w:t xml:space="preserve">, </w:t>
      </w:r>
      <w:r w:rsidRPr="007623ED">
        <w:rPr>
          <w:rFonts w:cs="Times New Roman"/>
          <w:i/>
          <w:iCs/>
          <w:sz w:val="22"/>
          <w:lang w:val="en-GB"/>
        </w:rPr>
        <w:t>96</w:t>
      </w:r>
      <w:r w:rsidRPr="007623ED">
        <w:rPr>
          <w:rFonts w:cs="Times New Roman"/>
          <w:sz w:val="22"/>
          <w:lang w:val="en-GB"/>
        </w:rPr>
        <w:t>, 103933. https://doi.org/10.1016/j.ijdrr.2023.103933</w:t>
      </w:r>
    </w:p>
    <w:p w14:paraId="0F36A4A5"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Klinger, C., Landeg, O., &amp; Murray, V. (2014). Power Outages, Extreme Events and Health: A Systematic Review of the Literature from 2011-2012. </w:t>
      </w:r>
      <w:r w:rsidRPr="007623ED">
        <w:rPr>
          <w:rFonts w:cs="Times New Roman"/>
          <w:i/>
          <w:iCs/>
          <w:sz w:val="22"/>
          <w:lang w:val="en-GB"/>
        </w:rPr>
        <w:t>PLoS Currents</w:t>
      </w:r>
      <w:r w:rsidRPr="007623ED">
        <w:rPr>
          <w:rFonts w:cs="Times New Roman"/>
          <w:sz w:val="22"/>
          <w:lang w:val="en-GB"/>
        </w:rPr>
        <w:t>. https://doi.org/10.1371/currents.dis.04eb1dc5e73dd1377e05a10e9edde673</w:t>
      </w:r>
    </w:p>
    <w:p w14:paraId="3E56FD39"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Li, D., Zhang, Y., Li, X., Zhang, K., Lu, Y., &amp; Brown, R. D. (2023). Climatic and meteorological exposure and mental and behavioral health: A systematic review and meta-analysis. </w:t>
      </w:r>
      <w:r w:rsidRPr="007623ED">
        <w:rPr>
          <w:rFonts w:cs="Times New Roman"/>
          <w:i/>
          <w:iCs/>
          <w:sz w:val="22"/>
          <w:lang w:val="en-GB"/>
        </w:rPr>
        <w:t>Science of The Total Environment</w:t>
      </w:r>
      <w:r w:rsidRPr="007623ED">
        <w:rPr>
          <w:rFonts w:cs="Times New Roman"/>
          <w:sz w:val="22"/>
          <w:lang w:val="en-GB"/>
        </w:rPr>
        <w:t xml:space="preserve">, </w:t>
      </w:r>
      <w:r w:rsidRPr="007623ED">
        <w:rPr>
          <w:rFonts w:cs="Times New Roman"/>
          <w:i/>
          <w:iCs/>
          <w:sz w:val="22"/>
          <w:lang w:val="en-GB"/>
        </w:rPr>
        <w:t>892</w:t>
      </w:r>
      <w:r w:rsidRPr="007623ED">
        <w:rPr>
          <w:rFonts w:cs="Times New Roman"/>
          <w:sz w:val="22"/>
          <w:lang w:val="en-GB"/>
        </w:rPr>
        <w:t>, 164435. https://doi.org/10.1016/j.scitotenv.2023.164435</w:t>
      </w:r>
    </w:p>
    <w:p w14:paraId="2A3D3EC9"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Lin, S., Lu, Y., Justino, J., Dong, G., &amp; Lauper, U. (2016). What Happened to Our Environment and Mental Health as a Result of Hurricane Sandy? </w:t>
      </w:r>
      <w:r w:rsidRPr="007623ED">
        <w:rPr>
          <w:rFonts w:cs="Times New Roman"/>
          <w:i/>
          <w:iCs/>
          <w:sz w:val="22"/>
          <w:lang w:val="en-GB"/>
        </w:rPr>
        <w:t>Disaster Medicine and Public Health Preparedness</w:t>
      </w:r>
      <w:r w:rsidRPr="007623ED">
        <w:rPr>
          <w:rFonts w:cs="Times New Roman"/>
          <w:sz w:val="22"/>
          <w:lang w:val="en-GB"/>
        </w:rPr>
        <w:t xml:space="preserve">, </w:t>
      </w:r>
      <w:r w:rsidRPr="007623ED">
        <w:rPr>
          <w:rFonts w:cs="Times New Roman"/>
          <w:i/>
          <w:iCs/>
          <w:sz w:val="22"/>
          <w:lang w:val="en-GB"/>
        </w:rPr>
        <w:t>10</w:t>
      </w:r>
      <w:r w:rsidRPr="007623ED">
        <w:rPr>
          <w:rFonts w:cs="Times New Roman"/>
          <w:sz w:val="22"/>
          <w:lang w:val="en-GB"/>
        </w:rPr>
        <w:t>(3), 314–319. https://doi.org/10.1017/dmp.2016.51</w:t>
      </w:r>
    </w:p>
    <w:p w14:paraId="0A9E7F03"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Lin, S., Zhang, W., Sheridan, S., Mongillo, M., DiRienzo, S., Stuart, N. A., Stern, E. K., Birkhead, G., Dong, G., Wu, S., Chowdhury, S., Primeau, M. J., Hao, Y., &amp; Romeiko, X. X. (2021). The immediate effects of winter storms and power outages on multiple health outcomes and the time windows of vulnerability. </w:t>
      </w:r>
      <w:r w:rsidRPr="007623ED">
        <w:rPr>
          <w:rFonts w:cs="Times New Roman"/>
          <w:i/>
          <w:iCs/>
          <w:sz w:val="22"/>
          <w:lang w:val="en-GB"/>
        </w:rPr>
        <w:t>Environmental Research</w:t>
      </w:r>
      <w:r w:rsidRPr="007623ED">
        <w:rPr>
          <w:rFonts w:cs="Times New Roman"/>
          <w:sz w:val="22"/>
          <w:lang w:val="en-GB"/>
        </w:rPr>
        <w:t xml:space="preserve">, </w:t>
      </w:r>
      <w:r w:rsidRPr="007623ED">
        <w:rPr>
          <w:rFonts w:cs="Times New Roman"/>
          <w:i/>
          <w:iCs/>
          <w:sz w:val="22"/>
          <w:lang w:val="en-GB"/>
        </w:rPr>
        <w:t>196</w:t>
      </w:r>
      <w:r w:rsidRPr="007623ED">
        <w:rPr>
          <w:rFonts w:cs="Times New Roman"/>
          <w:sz w:val="22"/>
          <w:lang w:val="en-GB"/>
        </w:rPr>
        <w:t>, 110924. https://doi.org/10.1016/j.envres.2021.110924</w:t>
      </w:r>
    </w:p>
    <w:p w14:paraId="7D7B4F55"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Lõhmus, M. (2018). Possible Biological Mechanisms Linking Mental Health and Heat—A Contemplative Review. </w:t>
      </w:r>
      <w:r w:rsidRPr="007623ED">
        <w:rPr>
          <w:rFonts w:cs="Times New Roman"/>
          <w:i/>
          <w:iCs/>
          <w:sz w:val="22"/>
          <w:lang w:val="en-GB"/>
        </w:rPr>
        <w:t>International Journal of Environmental Research and Public Health</w:t>
      </w:r>
      <w:r w:rsidRPr="007623ED">
        <w:rPr>
          <w:rFonts w:cs="Times New Roman"/>
          <w:sz w:val="22"/>
          <w:lang w:val="en-GB"/>
        </w:rPr>
        <w:t xml:space="preserve">, </w:t>
      </w:r>
      <w:r w:rsidRPr="007623ED">
        <w:rPr>
          <w:rFonts w:cs="Times New Roman"/>
          <w:i/>
          <w:iCs/>
          <w:sz w:val="22"/>
          <w:lang w:val="en-GB"/>
        </w:rPr>
        <w:t>15</w:t>
      </w:r>
      <w:r w:rsidRPr="007623ED">
        <w:rPr>
          <w:rFonts w:cs="Times New Roman"/>
          <w:sz w:val="22"/>
          <w:lang w:val="en-GB"/>
        </w:rPr>
        <w:t>(7), 1515. https://doi.org/10.3390/ijerph15071515</w:t>
      </w:r>
    </w:p>
    <w:p w14:paraId="7E9F6763"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Meadows, J., Mansour, A., Gatto, M. R., Li, A., Howard, A., &amp; Bentley, R. (2024). Mental illness and increased vulnerability to negative health effects from extreme heat events: A systematic review. </w:t>
      </w:r>
      <w:r w:rsidRPr="007623ED">
        <w:rPr>
          <w:rFonts w:cs="Times New Roman"/>
          <w:i/>
          <w:iCs/>
          <w:sz w:val="22"/>
          <w:lang w:val="en-GB"/>
        </w:rPr>
        <w:t>Psychiatry Research</w:t>
      </w:r>
      <w:r w:rsidRPr="007623ED">
        <w:rPr>
          <w:rFonts w:cs="Times New Roman"/>
          <w:sz w:val="22"/>
          <w:lang w:val="en-GB"/>
        </w:rPr>
        <w:t xml:space="preserve">, </w:t>
      </w:r>
      <w:r w:rsidRPr="007623ED">
        <w:rPr>
          <w:rFonts w:cs="Times New Roman"/>
          <w:i/>
          <w:iCs/>
          <w:sz w:val="22"/>
          <w:lang w:val="en-GB"/>
        </w:rPr>
        <w:t>332</w:t>
      </w:r>
      <w:r w:rsidRPr="007623ED">
        <w:rPr>
          <w:rFonts w:cs="Times New Roman"/>
          <w:sz w:val="22"/>
          <w:lang w:val="en-GB"/>
        </w:rPr>
        <w:t>, 115678. https://doi.org/10.1016/j.psychres.2023.115678</w:t>
      </w:r>
    </w:p>
    <w:p w14:paraId="444E3661"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lastRenderedPageBreak/>
        <w:t xml:space="preserve">Page, L. A., Hajat, S., Kovats, R. S., &amp; Howard, L. M. (2012). Temperature-related deaths in people with psychosis, dementia and substance misuse. </w:t>
      </w:r>
      <w:r w:rsidRPr="007623ED">
        <w:rPr>
          <w:rFonts w:cs="Times New Roman"/>
          <w:i/>
          <w:iCs/>
          <w:sz w:val="22"/>
          <w:lang w:val="en-GB"/>
        </w:rPr>
        <w:t>British Journal of Psychiatry</w:t>
      </w:r>
      <w:r w:rsidRPr="007623ED">
        <w:rPr>
          <w:rFonts w:cs="Times New Roman"/>
          <w:sz w:val="22"/>
          <w:lang w:val="en-GB"/>
        </w:rPr>
        <w:t xml:space="preserve">, </w:t>
      </w:r>
      <w:r w:rsidRPr="007623ED">
        <w:rPr>
          <w:rFonts w:cs="Times New Roman"/>
          <w:i/>
          <w:iCs/>
          <w:sz w:val="22"/>
          <w:lang w:val="en-GB"/>
        </w:rPr>
        <w:t>200</w:t>
      </w:r>
      <w:r w:rsidRPr="007623ED">
        <w:rPr>
          <w:rFonts w:cs="Times New Roman"/>
          <w:sz w:val="22"/>
          <w:lang w:val="en-GB"/>
        </w:rPr>
        <w:t>(6), 485–490. https://doi.org/10.1192/bjp.bp.111.100404</w:t>
      </w:r>
    </w:p>
    <w:p w14:paraId="0788F2FF"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Palinkas, L. A., &amp; Wong, M. (2020). Global climate change and mental health. </w:t>
      </w:r>
      <w:r w:rsidRPr="007623ED">
        <w:rPr>
          <w:rFonts w:cs="Times New Roman"/>
          <w:i/>
          <w:iCs/>
          <w:sz w:val="22"/>
          <w:lang w:val="en-GB"/>
        </w:rPr>
        <w:t>Current Opinion in Psychology</w:t>
      </w:r>
      <w:r w:rsidRPr="007623ED">
        <w:rPr>
          <w:rFonts w:cs="Times New Roman"/>
          <w:sz w:val="22"/>
          <w:lang w:val="en-GB"/>
        </w:rPr>
        <w:t xml:space="preserve">, </w:t>
      </w:r>
      <w:r w:rsidRPr="007623ED">
        <w:rPr>
          <w:rFonts w:cs="Times New Roman"/>
          <w:i/>
          <w:iCs/>
          <w:sz w:val="22"/>
          <w:lang w:val="en-GB"/>
        </w:rPr>
        <w:t>32</w:t>
      </w:r>
      <w:r w:rsidRPr="007623ED">
        <w:rPr>
          <w:rFonts w:cs="Times New Roman"/>
          <w:sz w:val="22"/>
          <w:lang w:val="en-GB"/>
        </w:rPr>
        <w:t>, 12–16. https://doi.org/10.1016/j.copsyc.2019.06.023</w:t>
      </w:r>
    </w:p>
    <w:p w14:paraId="2BDEC641"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PowerOutage.com. (n.d.). </w:t>
      </w:r>
      <w:r w:rsidRPr="007623ED">
        <w:rPr>
          <w:rFonts w:cs="Times New Roman"/>
          <w:i/>
          <w:iCs/>
          <w:sz w:val="22"/>
          <w:lang w:val="en-GB"/>
        </w:rPr>
        <w:t>Live US Power Outages</w:t>
      </w:r>
      <w:r w:rsidRPr="007623ED">
        <w:rPr>
          <w:rFonts w:cs="Times New Roman"/>
          <w:sz w:val="22"/>
          <w:lang w:val="en-GB"/>
        </w:rPr>
        <w:t>. Retrieved February 17, 2026, from https://poweroutage.us/</w:t>
      </w:r>
    </w:p>
    <w:p w14:paraId="1C686623"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Richards, C. A., Amiri, S., Walden, V. P., Postma, J., Heidari Kapourchali, M., &amp; Zuur, A. F. (2024). Association of social vulnerability factors with power outage burden in Washington state: 2018–2021. </w:t>
      </w:r>
      <w:r w:rsidRPr="007623ED">
        <w:rPr>
          <w:rFonts w:cs="Times New Roman"/>
          <w:i/>
          <w:iCs/>
          <w:sz w:val="22"/>
          <w:lang w:val="en-GB"/>
        </w:rPr>
        <w:t>PLOS ONE</w:t>
      </w:r>
      <w:r w:rsidRPr="007623ED">
        <w:rPr>
          <w:rFonts w:cs="Times New Roman"/>
          <w:sz w:val="22"/>
          <w:lang w:val="en-GB"/>
        </w:rPr>
        <w:t xml:space="preserve">, </w:t>
      </w:r>
      <w:r w:rsidRPr="007623ED">
        <w:rPr>
          <w:rFonts w:cs="Times New Roman"/>
          <w:i/>
          <w:iCs/>
          <w:sz w:val="22"/>
          <w:lang w:val="en-GB"/>
        </w:rPr>
        <w:t>19</w:t>
      </w:r>
      <w:r w:rsidRPr="007623ED">
        <w:rPr>
          <w:rFonts w:cs="Times New Roman"/>
          <w:sz w:val="22"/>
          <w:lang w:val="en-GB"/>
        </w:rPr>
        <w:t>(9), e0307742. https://doi.org/10.1371/journal.pone.0307742</w:t>
      </w:r>
    </w:p>
    <w:p w14:paraId="6C22FADE"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Rony, M. K. K., &amp; Alamgir, H. M. (2023). High temperatures on mental health: Recognizing the association and the need for proactive strategies—A perspective. </w:t>
      </w:r>
      <w:r w:rsidRPr="007623ED">
        <w:rPr>
          <w:rFonts w:cs="Times New Roman"/>
          <w:i/>
          <w:iCs/>
          <w:sz w:val="22"/>
          <w:lang w:val="en-GB"/>
        </w:rPr>
        <w:t>Health Science Reports</w:t>
      </w:r>
      <w:r w:rsidRPr="007623ED">
        <w:rPr>
          <w:rFonts w:cs="Times New Roman"/>
          <w:sz w:val="22"/>
          <w:lang w:val="en-GB"/>
        </w:rPr>
        <w:t xml:space="preserve">, </w:t>
      </w:r>
      <w:r w:rsidRPr="007623ED">
        <w:rPr>
          <w:rFonts w:cs="Times New Roman"/>
          <w:i/>
          <w:iCs/>
          <w:sz w:val="22"/>
          <w:lang w:val="en-GB"/>
        </w:rPr>
        <w:t>6</w:t>
      </w:r>
      <w:r w:rsidRPr="007623ED">
        <w:rPr>
          <w:rFonts w:cs="Times New Roman"/>
          <w:sz w:val="22"/>
          <w:lang w:val="en-GB"/>
        </w:rPr>
        <w:t>(12), e1729. https://doi.org/10.1002/hsr2.1729</w:t>
      </w:r>
    </w:p>
    <w:p w14:paraId="14FF12A8"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Rubin, G. J., &amp; Rogers, M. B. (2019). Behavioural and psychological responses of the public during a major power outage: A literature review. </w:t>
      </w:r>
      <w:r w:rsidRPr="007623ED">
        <w:rPr>
          <w:rFonts w:cs="Times New Roman"/>
          <w:i/>
          <w:iCs/>
          <w:sz w:val="22"/>
          <w:lang w:val="en-GB"/>
        </w:rPr>
        <w:t>International Journal of Disaster Risk Reduction</w:t>
      </w:r>
      <w:r w:rsidRPr="007623ED">
        <w:rPr>
          <w:rFonts w:cs="Times New Roman"/>
          <w:sz w:val="22"/>
          <w:lang w:val="en-GB"/>
        </w:rPr>
        <w:t xml:space="preserve">, </w:t>
      </w:r>
      <w:r w:rsidRPr="007623ED">
        <w:rPr>
          <w:rFonts w:cs="Times New Roman"/>
          <w:i/>
          <w:iCs/>
          <w:sz w:val="22"/>
          <w:lang w:val="en-GB"/>
        </w:rPr>
        <w:t>38</w:t>
      </w:r>
      <w:r w:rsidRPr="007623ED">
        <w:rPr>
          <w:rFonts w:cs="Times New Roman"/>
          <w:sz w:val="22"/>
          <w:lang w:val="en-GB"/>
        </w:rPr>
        <w:t>, 101226. https://doi.org/10.1016/j.ijdrr.2019.101226</w:t>
      </w:r>
    </w:p>
    <w:p w14:paraId="187B8230"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Sheridan, S. C., Zhang, W., Deng, X., &amp; Lin, S. (2021). The individual and synergistic impacts of windstorms and power outages on injury ED visits in New York State. </w:t>
      </w:r>
      <w:r w:rsidRPr="007623ED">
        <w:rPr>
          <w:rFonts w:cs="Times New Roman"/>
          <w:i/>
          <w:iCs/>
          <w:sz w:val="22"/>
          <w:lang w:val="en-GB"/>
        </w:rPr>
        <w:t>Science of The Total Environment</w:t>
      </w:r>
      <w:r w:rsidRPr="007623ED">
        <w:rPr>
          <w:rFonts w:cs="Times New Roman"/>
          <w:sz w:val="22"/>
          <w:lang w:val="en-GB"/>
        </w:rPr>
        <w:t xml:space="preserve">, </w:t>
      </w:r>
      <w:r w:rsidRPr="007623ED">
        <w:rPr>
          <w:rFonts w:cs="Times New Roman"/>
          <w:i/>
          <w:iCs/>
          <w:sz w:val="22"/>
          <w:lang w:val="en-GB"/>
        </w:rPr>
        <w:t>797</w:t>
      </w:r>
      <w:r w:rsidRPr="007623ED">
        <w:rPr>
          <w:rFonts w:cs="Times New Roman"/>
          <w:sz w:val="22"/>
          <w:lang w:val="en-GB"/>
        </w:rPr>
        <w:t>, 149199. https://doi.org/10.1016/j.scitotenv.2021.149199</w:t>
      </w:r>
    </w:p>
    <w:p w14:paraId="553E2608"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Skarha, J., Gordon, L., Sakib, N., June, J., Jester, D. J., Peterson, L. J., Andel, R., &amp; Dosa, D. M. (2021). Association of Power Outage With Mortality and Hospitalizations Among Florida Nursing Home Residents After Hurricane Irma. </w:t>
      </w:r>
      <w:r w:rsidRPr="007623ED">
        <w:rPr>
          <w:rFonts w:cs="Times New Roman"/>
          <w:i/>
          <w:iCs/>
          <w:sz w:val="22"/>
          <w:lang w:val="en-GB"/>
        </w:rPr>
        <w:t>JAMA Health Forum</w:t>
      </w:r>
      <w:r w:rsidRPr="007623ED">
        <w:rPr>
          <w:rFonts w:cs="Times New Roman"/>
          <w:sz w:val="22"/>
          <w:lang w:val="en-GB"/>
        </w:rPr>
        <w:t xml:space="preserve">, </w:t>
      </w:r>
      <w:r w:rsidRPr="007623ED">
        <w:rPr>
          <w:rFonts w:cs="Times New Roman"/>
          <w:i/>
          <w:iCs/>
          <w:sz w:val="22"/>
          <w:lang w:val="en-GB"/>
        </w:rPr>
        <w:t>2</w:t>
      </w:r>
      <w:r w:rsidRPr="007623ED">
        <w:rPr>
          <w:rFonts w:cs="Times New Roman"/>
          <w:sz w:val="22"/>
          <w:lang w:val="en-GB"/>
        </w:rPr>
        <w:t>(11), e213900. https://doi.org/10.1001/jamahealthforum.2021.3900</w:t>
      </w:r>
    </w:p>
    <w:p w14:paraId="4C45DC65"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Sovacool, B. K., Carley, S., &amp; Kiesling, L. (2024). Energy justice beyond the wire: Exploring the multidimensional inequities of the electrical power grid in the United States. </w:t>
      </w:r>
      <w:r w:rsidRPr="007623ED">
        <w:rPr>
          <w:rFonts w:cs="Times New Roman"/>
          <w:i/>
          <w:iCs/>
          <w:sz w:val="22"/>
          <w:lang w:val="en-GB"/>
        </w:rPr>
        <w:t>Energy Research &amp; Social Science</w:t>
      </w:r>
      <w:r w:rsidRPr="007623ED">
        <w:rPr>
          <w:rFonts w:cs="Times New Roman"/>
          <w:sz w:val="22"/>
          <w:lang w:val="en-GB"/>
        </w:rPr>
        <w:t xml:space="preserve">, </w:t>
      </w:r>
      <w:r w:rsidRPr="007623ED">
        <w:rPr>
          <w:rFonts w:cs="Times New Roman"/>
          <w:i/>
          <w:iCs/>
          <w:sz w:val="22"/>
          <w:lang w:val="en-GB"/>
        </w:rPr>
        <w:t>111</w:t>
      </w:r>
      <w:r w:rsidRPr="007623ED">
        <w:rPr>
          <w:rFonts w:cs="Times New Roman"/>
          <w:sz w:val="22"/>
          <w:lang w:val="en-GB"/>
        </w:rPr>
        <w:t>, 103474. https://doi.org/10.1016/j.erss.2024.103474</w:t>
      </w:r>
    </w:p>
    <w:p w14:paraId="2F24E037"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Sugg, M. M., Wertis, L., Ryan, S. C., Green, S., Singh, D., &amp; Runkle, J. D. (2023). Cascading disasters and mental health: The February 2021 winter storm and power crisis </w:t>
      </w:r>
      <w:r w:rsidRPr="007623ED">
        <w:rPr>
          <w:rFonts w:cs="Times New Roman"/>
          <w:sz w:val="22"/>
          <w:lang w:val="en-GB"/>
        </w:rPr>
        <w:lastRenderedPageBreak/>
        <w:t xml:space="preserve">in Texas, USA. </w:t>
      </w:r>
      <w:r w:rsidRPr="007623ED">
        <w:rPr>
          <w:rFonts w:cs="Times New Roman"/>
          <w:i/>
          <w:iCs/>
          <w:sz w:val="22"/>
          <w:lang w:val="en-GB"/>
        </w:rPr>
        <w:t>Science of The Total Environment</w:t>
      </w:r>
      <w:r w:rsidRPr="007623ED">
        <w:rPr>
          <w:rFonts w:cs="Times New Roman"/>
          <w:sz w:val="22"/>
          <w:lang w:val="en-GB"/>
        </w:rPr>
        <w:t xml:space="preserve">, </w:t>
      </w:r>
      <w:r w:rsidRPr="007623ED">
        <w:rPr>
          <w:rFonts w:cs="Times New Roman"/>
          <w:i/>
          <w:iCs/>
          <w:sz w:val="22"/>
          <w:lang w:val="en-GB"/>
        </w:rPr>
        <w:t>880</w:t>
      </w:r>
      <w:r w:rsidRPr="007623ED">
        <w:rPr>
          <w:rFonts w:cs="Times New Roman"/>
          <w:sz w:val="22"/>
          <w:lang w:val="en-GB"/>
        </w:rPr>
        <w:t>, 163231. https://doi.org/10.1016/j.scitotenv.2023.163231</w:t>
      </w:r>
    </w:p>
    <w:p w14:paraId="34BA696F"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Wang, R., Vanga, V. L. M., Zaiken, Z. B., &amp; Bennett, J. (2022). Analysis of the electric power outage data and prediction of electric power outage for major metropolitan areas in Texas using Machine Learning and Time Series Methods. </w:t>
      </w:r>
      <w:r w:rsidRPr="007623ED">
        <w:rPr>
          <w:rFonts w:cs="Times New Roman"/>
          <w:i/>
          <w:iCs/>
          <w:sz w:val="22"/>
          <w:lang w:val="en-GB"/>
        </w:rPr>
        <w:t>SMU Data Science Review</w:t>
      </w:r>
      <w:r w:rsidRPr="007623ED">
        <w:rPr>
          <w:rFonts w:cs="Times New Roman"/>
          <w:sz w:val="22"/>
          <w:lang w:val="en-GB"/>
        </w:rPr>
        <w:t xml:space="preserve">, </w:t>
      </w:r>
      <w:r w:rsidRPr="007623ED">
        <w:rPr>
          <w:rFonts w:cs="Times New Roman"/>
          <w:i/>
          <w:iCs/>
          <w:sz w:val="22"/>
          <w:lang w:val="en-GB"/>
        </w:rPr>
        <w:t>6</w:t>
      </w:r>
      <w:r w:rsidRPr="007623ED">
        <w:rPr>
          <w:rFonts w:cs="Times New Roman"/>
          <w:sz w:val="22"/>
          <w:lang w:val="en-GB"/>
        </w:rPr>
        <w:t>(1). https://scholar.smu.edu/datasciencereview/vol6/iss1/5</w:t>
      </w:r>
    </w:p>
    <w:p w14:paraId="6E6B9DCA" w14:textId="77777777" w:rsidR="007623ED" w:rsidRPr="007623ED" w:rsidRDefault="007623ED" w:rsidP="00C40CBE">
      <w:pPr>
        <w:pStyle w:val="Bibliography"/>
        <w:numPr>
          <w:ilvl w:val="0"/>
          <w:numId w:val="17"/>
        </w:numPr>
        <w:spacing w:line="360" w:lineRule="auto"/>
        <w:rPr>
          <w:rFonts w:cs="Times New Roman"/>
          <w:sz w:val="22"/>
          <w:lang w:val="en-GB"/>
        </w:rPr>
      </w:pPr>
      <w:r w:rsidRPr="007623ED">
        <w:rPr>
          <w:rFonts w:cs="Times New Roman"/>
          <w:sz w:val="22"/>
          <w:lang w:val="en-GB"/>
        </w:rPr>
        <w:t xml:space="preserve">Zhang, W., Sheridan, S. C., Birkhead, G. S., Croft, D. P., Brotzge, J. A., Justino, J. G., Stuart, N. A., Du, Z., Romeiko, X. X., Ye, B., Dong, G., Hao, Y., &amp; Lin, S. (2020). Power Outage An Ignored Risk Factor for COPD Exacerbations. </w:t>
      </w:r>
      <w:r w:rsidRPr="007623ED">
        <w:rPr>
          <w:rFonts w:cs="Times New Roman"/>
          <w:i/>
          <w:iCs/>
          <w:sz w:val="22"/>
          <w:lang w:val="en-GB"/>
        </w:rPr>
        <w:t>Chest</w:t>
      </w:r>
      <w:r w:rsidRPr="007623ED">
        <w:rPr>
          <w:rFonts w:cs="Times New Roman"/>
          <w:sz w:val="22"/>
          <w:lang w:val="en-GB"/>
        </w:rPr>
        <w:t xml:space="preserve">, </w:t>
      </w:r>
      <w:r w:rsidRPr="007623ED">
        <w:rPr>
          <w:rFonts w:cs="Times New Roman"/>
          <w:i/>
          <w:iCs/>
          <w:sz w:val="22"/>
          <w:lang w:val="en-GB"/>
        </w:rPr>
        <w:t>158</w:t>
      </w:r>
      <w:r w:rsidRPr="007623ED">
        <w:rPr>
          <w:rFonts w:cs="Times New Roman"/>
          <w:sz w:val="22"/>
          <w:lang w:val="en-GB"/>
        </w:rPr>
        <w:t>(6), 2346–2357. https://doi.org/10.1016/j.chest.2020.05.555</w:t>
      </w:r>
    </w:p>
    <w:p w14:paraId="63A7CB0C" w14:textId="31913FC0" w:rsidR="00840340" w:rsidRDefault="006F0083" w:rsidP="007623ED">
      <w:pPr>
        <w:pStyle w:val="Bibliography"/>
        <w:rPr>
          <w:rFonts w:cs="Times New Roman"/>
          <w:b/>
          <w:bCs/>
        </w:rPr>
      </w:pPr>
      <w:r w:rsidRPr="008B4D80">
        <w:rPr>
          <w:rFonts w:cs="Times New Roman"/>
          <w:b/>
          <w:bCs/>
          <w:sz w:val="22"/>
        </w:rPr>
        <w:fldChar w:fldCharType="end"/>
      </w:r>
    </w:p>
    <w:sectPr w:rsidR="00840340">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F07B0" w14:textId="77777777" w:rsidR="00F70014" w:rsidRDefault="00F70014">
      <w:r>
        <w:separator/>
      </w:r>
    </w:p>
  </w:endnote>
  <w:endnote w:type="continuationSeparator" w:id="0">
    <w:p w14:paraId="7C5F48E7" w14:textId="77777777" w:rsidR="00F70014" w:rsidRDefault="00F70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027196"/>
    </w:sdtPr>
    <w:sdtContent>
      <w:p w14:paraId="28AD69B4" w14:textId="77777777" w:rsidR="006E15FF" w:rsidRDefault="00000000">
        <w:pPr>
          <w:pStyle w:val="Footer"/>
          <w:jc w:val="center"/>
        </w:pPr>
        <w:r>
          <w:fldChar w:fldCharType="begin"/>
        </w:r>
        <w:r>
          <w:instrText>PAGE   \* MERGEFORMAT</w:instrText>
        </w:r>
        <w:r>
          <w:fldChar w:fldCharType="separate"/>
        </w:r>
        <w:r>
          <w:rPr>
            <w:lang w:val="zh-CN"/>
          </w:rPr>
          <w:t>2</w:t>
        </w:r>
        <w:r>
          <w:fldChar w:fldCharType="end"/>
        </w:r>
      </w:p>
    </w:sdtContent>
  </w:sdt>
  <w:p w14:paraId="1FBCF7A2" w14:textId="77777777" w:rsidR="006E15FF" w:rsidRDefault="006E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68517" w14:textId="77777777" w:rsidR="00F70014" w:rsidRDefault="00F70014">
      <w:r>
        <w:separator/>
      </w:r>
    </w:p>
  </w:footnote>
  <w:footnote w:type="continuationSeparator" w:id="0">
    <w:p w14:paraId="47510F65" w14:textId="77777777" w:rsidR="00F70014" w:rsidRDefault="00F70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7917D0"/>
    <w:multiLevelType w:val="singleLevel"/>
    <w:tmpl w:val="927917D0"/>
    <w:lvl w:ilvl="0">
      <w:start w:val="1"/>
      <w:numFmt w:val="lowerLetter"/>
      <w:suff w:val="space"/>
      <w:lvlText w:val="(%1)"/>
      <w:lvlJc w:val="left"/>
    </w:lvl>
  </w:abstractNum>
  <w:abstractNum w:abstractNumId="1" w15:restartNumberingAfterBreak="0">
    <w:nsid w:val="00A206FB"/>
    <w:multiLevelType w:val="multilevel"/>
    <w:tmpl w:val="164E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35C8"/>
    <w:multiLevelType w:val="hybridMultilevel"/>
    <w:tmpl w:val="CDDE54EE"/>
    <w:lvl w:ilvl="0" w:tplc="3DEE320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7E5E24"/>
    <w:multiLevelType w:val="multilevel"/>
    <w:tmpl w:val="BCD258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45A4B"/>
    <w:multiLevelType w:val="multilevel"/>
    <w:tmpl w:val="D62E4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lowerLetter"/>
      <w:lvlText w:val="%3."/>
      <w:lvlJc w:val="left"/>
      <w:pPr>
        <w:ind w:left="64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42233"/>
    <w:multiLevelType w:val="hybridMultilevel"/>
    <w:tmpl w:val="50A41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DC6849"/>
    <w:multiLevelType w:val="multilevel"/>
    <w:tmpl w:val="ECB2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30700"/>
    <w:multiLevelType w:val="hybridMultilevel"/>
    <w:tmpl w:val="BB8438EA"/>
    <w:lvl w:ilvl="0" w:tplc="CBE820CC">
      <w:start w:val="95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C1FFA"/>
    <w:multiLevelType w:val="multilevel"/>
    <w:tmpl w:val="D0CE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8548D"/>
    <w:multiLevelType w:val="hybridMultilevel"/>
    <w:tmpl w:val="E5D6D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562242"/>
    <w:multiLevelType w:val="hybridMultilevel"/>
    <w:tmpl w:val="17A67B46"/>
    <w:lvl w:ilvl="0" w:tplc="8E34014C">
      <w:start w:val="95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F5578"/>
    <w:multiLevelType w:val="multilevel"/>
    <w:tmpl w:val="3C30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2D46FC"/>
    <w:multiLevelType w:val="hybridMultilevel"/>
    <w:tmpl w:val="E3E2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03F3E"/>
    <w:multiLevelType w:val="multilevel"/>
    <w:tmpl w:val="F782F53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B207E1"/>
    <w:multiLevelType w:val="hybridMultilevel"/>
    <w:tmpl w:val="E242B0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83539E3"/>
    <w:multiLevelType w:val="multilevel"/>
    <w:tmpl w:val="626E6CC0"/>
    <w:lvl w:ilvl="0">
      <w:start w:val="1"/>
      <w:numFmt w:val="bullet"/>
      <w:lvlText w:val=""/>
      <w:lvlJc w:val="left"/>
      <w:pPr>
        <w:ind w:left="284" w:hanging="227"/>
      </w:pPr>
      <w:rPr>
        <w:rFonts w:ascii="Symbol" w:hAnsi="Symbol" w:hint="default"/>
        <w:sz w:val="20"/>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F23E1"/>
    <w:multiLevelType w:val="multilevel"/>
    <w:tmpl w:val="2A96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810913">
    <w:abstractNumId w:val="0"/>
  </w:num>
  <w:num w:numId="2" w16cid:durableId="471220240">
    <w:abstractNumId w:val="7"/>
  </w:num>
  <w:num w:numId="3" w16cid:durableId="1767070881">
    <w:abstractNumId w:val="10"/>
  </w:num>
  <w:num w:numId="4" w16cid:durableId="1568296852">
    <w:abstractNumId w:val="4"/>
  </w:num>
  <w:num w:numId="5" w16cid:durableId="1631980078">
    <w:abstractNumId w:val="12"/>
  </w:num>
  <w:num w:numId="6" w16cid:durableId="283050107">
    <w:abstractNumId w:val="9"/>
  </w:num>
  <w:num w:numId="7" w16cid:durableId="1754088705">
    <w:abstractNumId w:val="13"/>
  </w:num>
  <w:num w:numId="8" w16cid:durableId="410542208">
    <w:abstractNumId w:val="11"/>
  </w:num>
  <w:num w:numId="9" w16cid:durableId="1006351">
    <w:abstractNumId w:val="16"/>
  </w:num>
  <w:num w:numId="10" w16cid:durableId="2047833302">
    <w:abstractNumId w:val="3"/>
  </w:num>
  <w:num w:numId="11" w16cid:durableId="1845627731">
    <w:abstractNumId w:val="6"/>
  </w:num>
  <w:num w:numId="12" w16cid:durableId="2133665280">
    <w:abstractNumId w:val="8"/>
  </w:num>
  <w:num w:numId="13" w16cid:durableId="435247655">
    <w:abstractNumId w:val="14"/>
  </w:num>
  <w:num w:numId="14" w16cid:durableId="239338361">
    <w:abstractNumId w:val="1"/>
  </w:num>
  <w:num w:numId="15" w16cid:durableId="1880504668">
    <w:abstractNumId w:val="15"/>
  </w:num>
  <w:num w:numId="16" w16cid:durableId="463741944">
    <w:abstractNumId w:val="2"/>
  </w:num>
  <w:num w:numId="17" w16cid:durableId="463036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hideSpellingErrors/>
  <w:hideGrammaticalErrors/>
  <w:proofState w:spelling="clean" w:grammar="clean"/>
  <w:defaultTabStop w:val="4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ZjNmQ1ZGYzMGZjOWI1NThiMzE1NTIyZGRiZDkzYTUifQ=="/>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xfefspu52dt8e5ewzpz0x6dds9wfvaz9re&quot;&gt;自然灾害和停电&lt;record-ids&gt;&lt;item&gt;1&lt;/item&gt;&lt;item&gt;2&lt;/item&gt;&lt;item&gt;3&lt;/item&gt;&lt;item&gt;4&lt;/item&gt;&lt;item&gt;5&lt;/item&gt;&lt;item&gt;6&lt;/item&gt;&lt;item&gt;7&lt;/item&gt;&lt;item&gt;11&lt;/item&gt;&lt;item&gt;15&lt;/item&gt;&lt;item&gt;16&lt;/item&gt;&lt;item&gt;18&lt;/item&gt;&lt;item&gt;19&lt;/item&gt;&lt;item&gt;21&lt;/item&gt;&lt;item&gt;23&lt;/item&gt;&lt;item&gt;24&lt;/item&gt;&lt;item&gt;25&lt;/item&gt;&lt;item&gt;26&lt;/item&gt;&lt;item&gt;27&lt;/item&gt;&lt;item&gt;28&lt;/item&gt;&lt;item&gt;29&lt;/item&gt;&lt;item&gt;30&lt;/item&gt;&lt;item&gt;33&lt;/item&gt;&lt;item&gt;34&lt;/item&gt;&lt;item&gt;45&lt;/item&gt;&lt;item&gt;46&lt;/item&gt;&lt;item&gt;47&lt;/item&gt;&lt;item&gt;52&lt;/item&gt;&lt;item&gt;53&lt;/item&gt;&lt;item&gt;54&lt;/item&gt;&lt;item&gt;55&lt;/item&gt;&lt;item&gt;57&lt;/item&gt;&lt;item&gt;58&lt;/item&gt;&lt;item&gt;59&lt;/item&gt;&lt;/record-ids&gt;&lt;/item&gt;&lt;/Libraries&gt;"/>
  </w:docVars>
  <w:rsids>
    <w:rsidRoot w:val="053A59E9"/>
    <w:rsid w:val="0000415F"/>
    <w:rsid w:val="00004E8E"/>
    <w:rsid w:val="000078AB"/>
    <w:rsid w:val="00007B74"/>
    <w:rsid w:val="00010A3B"/>
    <w:rsid w:val="00010C36"/>
    <w:rsid w:val="0001214C"/>
    <w:rsid w:val="000121C1"/>
    <w:rsid w:val="00014C77"/>
    <w:rsid w:val="00014E1A"/>
    <w:rsid w:val="00015C53"/>
    <w:rsid w:val="0002439E"/>
    <w:rsid w:val="0003280A"/>
    <w:rsid w:val="00033C5B"/>
    <w:rsid w:val="00033F9A"/>
    <w:rsid w:val="00036A58"/>
    <w:rsid w:val="00036E38"/>
    <w:rsid w:val="00040E2A"/>
    <w:rsid w:val="0004227D"/>
    <w:rsid w:val="00043BB6"/>
    <w:rsid w:val="00047D92"/>
    <w:rsid w:val="0005112B"/>
    <w:rsid w:val="00051769"/>
    <w:rsid w:val="0005211F"/>
    <w:rsid w:val="000538DB"/>
    <w:rsid w:val="00054554"/>
    <w:rsid w:val="000546C7"/>
    <w:rsid w:val="000574A8"/>
    <w:rsid w:val="000648AB"/>
    <w:rsid w:val="000678D3"/>
    <w:rsid w:val="00070C1D"/>
    <w:rsid w:val="000724FB"/>
    <w:rsid w:val="00074F28"/>
    <w:rsid w:val="00075A1D"/>
    <w:rsid w:val="00080E83"/>
    <w:rsid w:val="00082940"/>
    <w:rsid w:val="00083B0D"/>
    <w:rsid w:val="00093293"/>
    <w:rsid w:val="000A0DF8"/>
    <w:rsid w:val="000A15BF"/>
    <w:rsid w:val="000A3A29"/>
    <w:rsid w:val="000A79DB"/>
    <w:rsid w:val="000B0B20"/>
    <w:rsid w:val="000B6DE3"/>
    <w:rsid w:val="000C0C98"/>
    <w:rsid w:val="000C1D1A"/>
    <w:rsid w:val="000C35DE"/>
    <w:rsid w:val="000C627F"/>
    <w:rsid w:val="000C669E"/>
    <w:rsid w:val="000D3FE8"/>
    <w:rsid w:val="000D6C14"/>
    <w:rsid w:val="000D7188"/>
    <w:rsid w:val="000E0D36"/>
    <w:rsid w:val="000E32DF"/>
    <w:rsid w:val="000E35C1"/>
    <w:rsid w:val="000E3987"/>
    <w:rsid w:val="000E4A58"/>
    <w:rsid w:val="000F307B"/>
    <w:rsid w:val="000F7193"/>
    <w:rsid w:val="0010350C"/>
    <w:rsid w:val="00104462"/>
    <w:rsid w:val="00112A1D"/>
    <w:rsid w:val="00116D67"/>
    <w:rsid w:val="0012171F"/>
    <w:rsid w:val="00122157"/>
    <w:rsid w:val="00122B94"/>
    <w:rsid w:val="00132C9A"/>
    <w:rsid w:val="00135167"/>
    <w:rsid w:val="0014114A"/>
    <w:rsid w:val="00141B30"/>
    <w:rsid w:val="00141B71"/>
    <w:rsid w:val="00153BB0"/>
    <w:rsid w:val="0016345E"/>
    <w:rsid w:val="00165439"/>
    <w:rsid w:val="0017230C"/>
    <w:rsid w:val="00174629"/>
    <w:rsid w:val="001833C4"/>
    <w:rsid w:val="001835AF"/>
    <w:rsid w:val="00185A59"/>
    <w:rsid w:val="00185B4A"/>
    <w:rsid w:val="00190F15"/>
    <w:rsid w:val="00193E58"/>
    <w:rsid w:val="00197BC3"/>
    <w:rsid w:val="00197C0F"/>
    <w:rsid w:val="001A433C"/>
    <w:rsid w:val="001A5C26"/>
    <w:rsid w:val="001A69C4"/>
    <w:rsid w:val="001B425C"/>
    <w:rsid w:val="001B7FAF"/>
    <w:rsid w:val="001C0CF2"/>
    <w:rsid w:val="001C107B"/>
    <w:rsid w:val="001C12B2"/>
    <w:rsid w:val="001D0E0C"/>
    <w:rsid w:val="001D45A9"/>
    <w:rsid w:val="001D61C3"/>
    <w:rsid w:val="001E11E2"/>
    <w:rsid w:val="001E1AE4"/>
    <w:rsid w:val="001E2B1E"/>
    <w:rsid w:val="001E3A60"/>
    <w:rsid w:val="001E4C32"/>
    <w:rsid w:val="001E563B"/>
    <w:rsid w:val="001E7FA8"/>
    <w:rsid w:val="001F01ED"/>
    <w:rsid w:val="001F332F"/>
    <w:rsid w:val="001F3AB1"/>
    <w:rsid w:val="001F4552"/>
    <w:rsid w:val="001F4E99"/>
    <w:rsid w:val="002006B1"/>
    <w:rsid w:val="00202DB7"/>
    <w:rsid w:val="00206E71"/>
    <w:rsid w:val="002105C3"/>
    <w:rsid w:val="00213D51"/>
    <w:rsid w:val="00215D64"/>
    <w:rsid w:val="00220506"/>
    <w:rsid w:val="0022057F"/>
    <w:rsid w:val="002233A9"/>
    <w:rsid w:val="0022540B"/>
    <w:rsid w:val="00234925"/>
    <w:rsid w:val="002408D0"/>
    <w:rsid w:val="00246786"/>
    <w:rsid w:val="00252C90"/>
    <w:rsid w:val="00253527"/>
    <w:rsid w:val="00257882"/>
    <w:rsid w:val="002603C0"/>
    <w:rsid w:val="00263C77"/>
    <w:rsid w:val="00263F55"/>
    <w:rsid w:val="00272421"/>
    <w:rsid w:val="00272917"/>
    <w:rsid w:val="00272DDD"/>
    <w:rsid w:val="00274AD2"/>
    <w:rsid w:val="002773BE"/>
    <w:rsid w:val="002815EF"/>
    <w:rsid w:val="00284EDB"/>
    <w:rsid w:val="0029090D"/>
    <w:rsid w:val="00295B66"/>
    <w:rsid w:val="002B24FB"/>
    <w:rsid w:val="002B41A2"/>
    <w:rsid w:val="002B4C94"/>
    <w:rsid w:val="002B6632"/>
    <w:rsid w:val="002B7B98"/>
    <w:rsid w:val="002C452E"/>
    <w:rsid w:val="002D2CC9"/>
    <w:rsid w:val="002D428B"/>
    <w:rsid w:val="002D7661"/>
    <w:rsid w:val="002E261D"/>
    <w:rsid w:val="002E3BB0"/>
    <w:rsid w:val="002E5BBF"/>
    <w:rsid w:val="002E6E16"/>
    <w:rsid w:val="002F37BA"/>
    <w:rsid w:val="00302B68"/>
    <w:rsid w:val="00303405"/>
    <w:rsid w:val="0031058D"/>
    <w:rsid w:val="00311848"/>
    <w:rsid w:val="003153FF"/>
    <w:rsid w:val="0031587F"/>
    <w:rsid w:val="00316114"/>
    <w:rsid w:val="00317535"/>
    <w:rsid w:val="003255BE"/>
    <w:rsid w:val="00326E6D"/>
    <w:rsid w:val="00330402"/>
    <w:rsid w:val="00330DA7"/>
    <w:rsid w:val="003325DB"/>
    <w:rsid w:val="003358E9"/>
    <w:rsid w:val="0033667F"/>
    <w:rsid w:val="00345CC2"/>
    <w:rsid w:val="00346CFE"/>
    <w:rsid w:val="003610A4"/>
    <w:rsid w:val="00361ADC"/>
    <w:rsid w:val="00365AD5"/>
    <w:rsid w:val="00371C2B"/>
    <w:rsid w:val="00372D1A"/>
    <w:rsid w:val="00373E7F"/>
    <w:rsid w:val="00376743"/>
    <w:rsid w:val="00377DB7"/>
    <w:rsid w:val="003827A5"/>
    <w:rsid w:val="00383704"/>
    <w:rsid w:val="00387EE3"/>
    <w:rsid w:val="0039025B"/>
    <w:rsid w:val="00390DB5"/>
    <w:rsid w:val="003911F6"/>
    <w:rsid w:val="00392414"/>
    <w:rsid w:val="003937B9"/>
    <w:rsid w:val="003954A4"/>
    <w:rsid w:val="003A05E7"/>
    <w:rsid w:val="003A0E1C"/>
    <w:rsid w:val="003A1FC9"/>
    <w:rsid w:val="003A35CC"/>
    <w:rsid w:val="003B37F1"/>
    <w:rsid w:val="003B5546"/>
    <w:rsid w:val="003C2943"/>
    <w:rsid w:val="003C310D"/>
    <w:rsid w:val="003C659B"/>
    <w:rsid w:val="003D3A33"/>
    <w:rsid w:val="003D3CCA"/>
    <w:rsid w:val="003E50FD"/>
    <w:rsid w:val="003E6255"/>
    <w:rsid w:val="003F054B"/>
    <w:rsid w:val="003F68B4"/>
    <w:rsid w:val="00402322"/>
    <w:rsid w:val="00402A77"/>
    <w:rsid w:val="004042B2"/>
    <w:rsid w:val="00404BFB"/>
    <w:rsid w:val="00406678"/>
    <w:rsid w:val="00407BAD"/>
    <w:rsid w:val="00410455"/>
    <w:rsid w:val="00413F70"/>
    <w:rsid w:val="0043043B"/>
    <w:rsid w:val="00430DC1"/>
    <w:rsid w:val="0043200D"/>
    <w:rsid w:val="0043250E"/>
    <w:rsid w:val="00434E87"/>
    <w:rsid w:val="00434EC3"/>
    <w:rsid w:val="00434F5D"/>
    <w:rsid w:val="004365E5"/>
    <w:rsid w:val="00436D1D"/>
    <w:rsid w:val="004405DB"/>
    <w:rsid w:val="00440755"/>
    <w:rsid w:val="00440C5F"/>
    <w:rsid w:val="00441B43"/>
    <w:rsid w:val="00442794"/>
    <w:rsid w:val="00446A53"/>
    <w:rsid w:val="00447A9B"/>
    <w:rsid w:val="00450F96"/>
    <w:rsid w:val="004616C1"/>
    <w:rsid w:val="0047167A"/>
    <w:rsid w:val="00471AD6"/>
    <w:rsid w:val="00471E4F"/>
    <w:rsid w:val="00475400"/>
    <w:rsid w:val="00477E4F"/>
    <w:rsid w:val="00484E7A"/>
    <w:rsid w:val="00485791"/>
    <w:rsid w:val="00485F99"/>
    <w:rsid w:val="004863E1"/>
    <w:rsid w:val="0048742B"/>
    <w:rsid w:val="004878DD"/>
    <w:rsid w:val="0049488D"/>
    <w:rsid w:val="004A3A6D"/>
    <w:rsid w:val="004B0F51"/>
    <w:rsid w:val="004B10DB"/>
    <w:rsid w:val="004B3458"/>
    <w:rsid w:val="004B4908"/>
    <w:rsid w:val="004B6B06"/>
    <w:rsid w:val="004B7D79"/>
    <w:rsid w:val="004C0014"/>
    <w:rsid w:val="004C2253"/>
    <w:rsid w:val="004D3DE8"/>
    <w:rsid w:val="004D6D92"/>
    <w:rsid w:val="004D7329"/>
    <w:rsid w:val="004E1CB1"/>
    <w:rsid w:val="004F18D5"/>
    <w:rsid w:val="004F2770"/>
    <w:rsid w:val="00502987"/>
    <w:rsid w:val="005049E1"/>
    <w:rsid w:val="00512623"/>
    <w:rsid w:val="00513711"/>
    <w:rsid w:val="0051408D"/>
    <w:rsid w:val="00515E51"/>
    <w:rsid w:val="00516900"/>
    <w:rsid w:val="00516919"/>
    <w:rsid w:val="0052002A"/>
    <w:rsid w:val="00525F1B"/>
    <w:rsid w:val="0053098F"/>
    <w:rsid w:val="00530BAA"/>
    <w:rsid w:val="0053106D"/>
    <w:rsid w:val="00532733"/>
    <w:rsid w:val="0053295C"/>
    <w:rsid w:val="00532C82"/>
    <w:rsid w:val="005333C2"/>
    <w:rsid w:val="005339FC"/>
    <w:rsid w:val="00536811"/>
    <w:rsid w:val="0054017A"/>
    <w:rsid w:val="0054070D"/>
    <w:rsid w:val="005502D7"/>
    <w:rsid w:val="00551A46"/>
    <w:rsid w:val="00551C56"/>
    <w:rsid w:val="005566C9"/>
    <w:rsid w:val="005627FC"/>
    <w:rsid w:val="005630BA"/>
    <w:rsid w:val="00571612"/>
    <w:rsid w:val="00573784"/>
    <w:rsid w:val="00573C1E"/>
    <w:rsid w:val="0057582E"/>
    <w:rsid w:val="00576502"/>
    <w:rsid w:val="00577E29"/>
    <w:rsid w:val="0058481D"/>
    <w:rsid w:val="0058535A"/>
    <w:rsid w:val="00591B1B"/>
    <w:rsid w:val="00596932"/>
    <w:rsid w:val="005A4238"/>
    <w:rsid w:val="005A42D4"/>
    <w:rsid w:val="005B2C7C"/>
    <w:rsid w:val="005B41B7"/>
    <w:rsid w:val="005B4906"/>
    <w:rsid w:val="005B6F6C"/>
    <w:rsid w:val="005C0B43"/>
    <w:rsid w:val="005C31FF"/>
    <w:rsid w:val="005C3CE5"/>
    <w:rsid w:val="005C4725"/>
    <w:rsid w:val="005D0E26"/>
    <w:rsid w:val="005D382D"/>
    <w:rsid w:val="005D71F9"/>
    <w:rsid w:val="005E2365"/>
    <w:rsid w:val="005E2E15"/>
    <w:rsid w:val="005E41E6"/>
    <w:rsid w:val="005F3172"/>
    <w:rsid w:val="005F5F0F"/>
    <w:rsid w:val="005F6EB3"/>
    <w:rsid w:val="00603454"/>
    <w:rsid w:val="00607819"/>
    <w:rsid w:val="00610F24"/>
    <w:rsid w:val="00612494"/>
    <w:rsid w:val="006216A9"/>
    <w:rsid w:val="00622EFA"/>
    <w:rsid w:val="00624283"/>
    <w:rsid w:val="00626CCF"/>
    <w:rsid w:val="00630A2E"/>
    <w:rsid w:val="006315DB"/>
    <w:rsid w:val="00637E74"/>
    <w:rsid w:val="00643BC9"/>
    <w:rsid w:val="006522B3"/>
    <w:rsid w:val="00653CED"/>
    <w:rsid w:val="0066391F"/>
    <w:rsid w:val="006714D8"/>
    <w:rsid w:val="00672C4F"/>
    <w:rsid w:val="0067724F"/>
    <w:rsid w:val="00682163"/>
    <w:rsid w:val="0069213F"/>
    <w:rsid w:val="00694ECD"/>
    <w:rsid w:val="006959A7"/>
    <w:rsid w:val="006A0B27"/>
    <w:rsid w:val="006A3153"/>
    <w:rsid w:val="006A517D"/>
    <w:rsid w:val="006A6832"/>
    <w:rsid w:val="006A684F"/>
    <w:rsid w:val="006B3145"/>
    <w:rsid w:val="006C1BA0"/>
    <w:rsid w:val="006C271E"/>
    <w:rsid w:val="006C6057"/>
    <w:rsid w:val="006D12E8"/>
    <w:rsid w:val="006D16DB"/>
    <w:rsid w:val="006D4950"/>
    <w:rsid w:val="006D7FC5"/>
    <w:rsid w:val="006E15FF"/>
    <w:rsid w:val="006E1D81"/>
    <w:rsid w:val="006E42A5"/>
    <w:rsid w:val="006E667F"/>
    <w:rsid w:val="006F0083"/>
    <w:rsid w:val="006F167C"/>
    <w:rsid w:val="00701F03"/>
    <w:rsid w:val="0070642B"/>
    <w:rsid w:val="00706AEB"/>
    <w:rsid w:val="007073A2"/>
    <w:rsid w:val="0070761B"/>
    <w:rsid w:val="00712048"/>
    <w:rsid w:val="00716555"/>
    <w:rsid w:val="0072151F"/>
    <w:rsid w:val="00724BDA"/>
    <w:rsid w:val="0072528F"/>
    <w:rsid w:val="00725DCD"/>
    <w:rsid w:val="00733D6E"/>
    <w:rsid w:val="00735707"/>
    <w:rsid w:val="00737D16"/>
    <w:rsid w:val="00742E53"/>
    <w:rsid w:val="007446BA"/>
    <w:rsid w:val="00751CB8"/>
    <w:rsid w:val="00752993"/>
    <w:rsid w:val="00753DD9"/>
    <w:rsid w:val="0075700D"/>
    <w:rsid w:val="007573D2"/>
    <w:rsid w:val="0075779B"/>
    <w:rsid w:val="007623ED"/>
    <w:rsid w:val="00764090"/>
    <w:rsid w:val="00765CE9"/>
    <w:rsid w:val="00766CE8"/>
    <w:rsid w:val="00767D7F"/>
    <w:rsid w:val="00775050"/>
    <w:rsid w:val="00782CAC"/>
    <w:rsid w:val="00790BC2"/>
    <w:rsid w:val="007948A4"/>
    <w:rsid w:val="007952B0"/>
    <w:rsid w:val="007A0365"/>
    <w:rsid w:val="007A16E3"/>
    <w:rsid w:val="007A1F5B"/>
    <w:rsid w:val="007A42B7"/>
    <w:rsid w:val="007A6BD3"/>
    <w:rsid w:val="007A782E"/>
    <w:rsid w:val="007B052F"/>
    <w:rsid w:val="007B3176"/>
    <w:rsid w:val="007B42DE"/>
    <w:rsid w:val="007B43C6"/>
    <w:rsid w:val="007B7695"/>
    <w:rsid w:val="007C5411"/>
    <w:rsid w:val="007C57D2"/>
    <w:rsid w:val="007C5BC0"/>
    <w:rsid w:val="007D2C97"/>
    <w:rsid w:val="007D45BB"/>
    <w:rsid w:val="007D5B03"/>
    <w:rsid w:val="007D5E55"/>
    <w:rsid w:val="007E0C8A"/>
    <w:rsid w:val="007E399E"/>
    <w:rsid w:val="007E429A"/>
    <w:rsid w:val="007E655E"/>
    <w:rsid w:val="007E7021"/>
    <w:rsid w:val="007E766B"/>
    <w:rsid w:val="007F0E34"/>
    <w:rsid w:val="007F2F7C"/>
    <w:rsid w:val="007F70E0"/>
    <w:rsid w:val="007F7A99"/>
    <w:rsid w:val="0080021F"/>
    <w:rsid w:val="00800946"/>
    <w:rsid w:val="0080199A"/>
    <w:rsid w:val="008042F4"/>
    <w:rsid w:val="00814142"/>
    <w:rsid w:val="00814249"/>
    <w:rsid w:val="00815134"/>
    <w:rsid w:val="008173ED"/>
    <w:rsid w:val="00817ABC"/>
    <w:rsid w:val="008234E9"/>
    <w:rsid w:val="00826C76"/>
    <w:rsid w:val="008272A8"/>
    <w:rsid w:val="00832DDB"/>
    <w:rsid w:val="00834F6A"/>
    <w:rsid w:val="00836CE7"/>
    <w:rsid w:val="00840340"/>
    <w:rsid w:val="008405BD"/>
    <w:rsid w:val="008413E5"/>
    <w:rsid w:val="0084167B"/>
    <w:rsid w:val="00841AE1"/>
    <w:rsid w:val="00842528"/>
    <w:rsid w:val="008429BF"/>
    <w:rsid w:val="00843523"/>
    <w:rsid w:val="008442CB"/>
    <w:rsid w:val="0084499C"/>
    <w:rsid w:val="00844B60"/>
    <w:rsid w:val="00847D81"/>
    <w:rsid w:val="008500CE"/>
    <w:rsid w:val="00851BD3"/>
    <w:rsid w:val="00857E42"/>
    <w:rsid w:val="008614B0"/>
    <w:rsid w:val="00867DDA"/>
    <w:rsid w:val="008727F9"/>
    <w:rsid w:val="00875B2F"/>
    <w:rsid w:val="00876F31"/>
    <w:rsid w:val="00881972"/>
    <w:rsid w:val="008846DE"/>
    <w:rsid w:val="008860A9"/>
    <w:rsid w:val="008927C2"/>
    <w:rsid w:val="008959B6"/>
    <w:rsid w:val="008965EF"/>
    <w:rsid w:val="008A3477"/>
    <w:rsid w:val="008A3626"/>
    <w:rsid w:val="008A364F"/>
    <w:rsid w:val="008B0B04"/>
    <w:rsid w:val="008B2347"/>
    <w:rsid w:val="008B299E"/>
    <w:rsid w:val="008B39AB"/>
    <w:rsid w:val="008B4D80"/>
    <w:rsid w:val="008C5397"/>
    <w:rsid w:val="008C7842"/>
    <w:rsid w:val="008D074F"/>
    <w:rsid w:val="008D0A68"/>
    <w:rsid w:val="008D0FD9"/>
    <w:rsid w:val="008D4FA7"/>
    <w:rsid w:val="008E57A1"/>
    <w:rsid w:val="008F2480"/>
    <w:rsid w:val="008F2A3E"/>
    <w:rsid w:val="008F2E8D"/>
    <w:rsid w:val="008F5A9A"/>
    <w:rsid w:val="00900A69"/>
    <w:rsid w:val="00900FE0"/>
    <w:rsid w:val="00901794"/>
    <w:rsid w:val="00901FD9"/>
    <w:rsid w:val="00902F9E"/>
    <w:rsid w:val="00907A89"/>
    <w:rsid w:val="00914571"/>
    <w:rsid w:val="00917CA5"/>
    <w:rsid w:val="009257C6"/>
    <w:rsid w:val="009266D7"/>
    <w:rsid w:val="0093175D"/>
    <w:rsid w:val="00940DC2"/>
    <w:rsid w:val="00943656"/>
    <w:rsid w:val="0094705E"/>
    <w:rsid w:val="00947BA4"/>
    <w:rsid w:val="009503A5"/>
    <w:rsid w:val="00952440"/>
    <w:rsid w:val="00955CC8"/>
    <w:rsid w:val="009576DA"/>
    <w:rsid w:val="00961705"/>
    <w:rsid w:val="009617DB"/>
    <w:rsid w:val="009648B2"/>
    <w:rsid w:val="009712A0"/>
    <w:rsid w:val="009724E1"/>
    <w:rsid w:val="00972EB8"/>
    <w:rsid w:val="00976E2F"/>
    <w:rsid w:val="00983BBC"/>
    <w:rsid w:val="00983FD5"/>
    <w:rsid w:val="00984ED4"/>
    <w:rsid w:val="009855C2"/>
    <w:rsid w:val="0099621E"/>
    <w:rsid w:val="009A2EB3"/>
    <w:rsid w:val="009A65B2"/>
    <w:rsid w:val="009B2DED"/>
    <w:rsid w:val="009B682F"/>
    <w:rsid w:val="009C1639"/>
    <w:rsid w:val="009C3F2D"/>
    <w:rsid w:val="009C4C34"/>
    <w:rsid w:val="009C7AE1"/>
    <w:rsid w:val="009C7B22"/>
    <w:rsid w:val="009D1FA8"/>
    <w:rsid w:val="009D4325"/>
    <w:rsid w:val="009D4A0C"/>
    <w:rsid w:val="009E1E1C"/>
    <w:rsid w:val="009E3092"/>
    <w:rsid w:val="009E4476"/>
    <w:rsid w:val="009E4B14"/>
    <w:rsid w:val="009E4E3E"/>
    <w:rsid w:val="009F2B6F"/>
    <w:rsid w:val="009F787B"/>
    <w:rsid w:val="00A016F1"/>
    <w:rsid w:val="00A02AC0"/>
    <w:rsid w:val="00A03025"/>
    <w:rsid w:val="00A0329E"/>
    <w:rsid w:val="00A04BCB"/>
    <w:rsid w:val="00A05C49"/>
    <w:rsid w:val="00A064B3"/>
    <w:rsid w:val="00A105D0"/>
    <w:rsid w:val="00A20F1E"/>
    <w:rsid w:val="00A26CFC"/>
    <w:rsid w:val="00A30853"/>
    <w:rsid w:val="00A32164"/>
    <w:rsid w:val="00A34168"/>
    <w:rsid w:val="00A3558F"/>
    <w:rsid w:val="00A4053D"/>
    <w:rsid w:val="00A40CF2"/>
    <w:rsid w:val="00A40D7B"/>
    <w:rsid w:val="00A418DC"/>
    <w:rsid w:val="00A423ED"/>
    <w:rsid w:val="00A46222"/>
    <w:rsid w:val="00A601D2"/>
    <w:rsid w:val="00A61A2A"/>
    <w:rsid w:val="00A65078"/>
    <w:rsid w:val="00A6611C"/>
    <w:rsid w:val="00A7100B"/>
    <w:rsid w:val="00A73EC6"/>
    <w:rsid w:val="00A7473D"/>
    <w:rsid w:val="00A776B1"/>
    <w:rsid w:val="00A77ADF"/>
    <w:rsid w:val="00A77C8D"/>
    <w:rsid w:val="00A86570"/>
    <w:rsid w:val="00A86B09"/>
    <w:rsid w:val="00A940CC"/>
    <w:rsid w:val="00A9526E"/>
    <w:rsid w:val="00AB27B0"/>
    <w:rsid w:val="00AB4FD4"/>
    <w:rsid w:val="00AB7D7A"/>
    <w:rsid w:val="00AD2E96"/>
    <w:rsid w:val="00AD53AF"/>
    <w:rsid w:val="00AD5603"/>
    <w:rsid w:val="00AD6B6F"/>
    <w:rsid w:val="00AE5702"/>
    <w:rsid w:val="00AE62F3"/>
    <w:rsid w:val="00AE677E"/>
    <w:rsid w:val="00AF070C"/>
    <w:rsid w:val="00AF097A"/>
    <w:rsid w:val="00AF4C9E"/>
    <w:rsid w:val="00AF5EB0"/>
    <w:rsid w:val="00AF66FB"/>
    <w:rsid w:val="00B008B8"/>
    <w:rsid w:val="00B066F5"/>
    <w:rsid w:val="00B07099"/>
    <w:rsid w:val="00B075D8"/>
    <w:rsid w:val="00B10C25"/>
    <w:rsid w:val="00B13704"/>
    <w:rsid w:val="00B139BA"/>
    <w:rsid w:val="00B2057B"/>
    <w:rsid w:val="00B20938"/>
    <w:rsid w:val="00B24D03"/>
    <w:rsid w:val="00B30DE4"/>
    <w:rsid w:val="00B3117F"/>
    <w:rsid w:val="00B3496C"/>
    <w:rsid w:val="00B40F1D"/>
    <w:rsid w:val="00B44F62"/>
    <w:rsid w:val="00B510C6"/>
    <w:rsid w:val="00B551C5"/>
    <w:rsid w:val="00B60CB5"/>
    <w:rsid w:val="00B6780C"/>
    <w:rsid w:val="00B67D02"/>
    <w:rsid w:val="00B7475D"/>
    <w:rsid w:val="00B751FB"/>
    <w:rsid w:val="00B754A2"/>
    <w:rsid w:val="00B756D8"/>
    <w:rsid w:val="00B765AC"/>
    <w:rsid w:val="00B767C6"/>
    <w:rsid w:val="00B77E5B"/>
    <w:rsid w:val="00B80238"/>
    <w:rsid w:val="00B80746"/>
    <w:rsid w:val="00B86428"/>
    <w:rsid w:val="00B90707"/>
    <w:rsid w:val="00B952C8"/>
    <w:rsid w:val="00B966B6"/>
    <w:rsid w:val="00BA42E9"/>
    <w:rsid w:val="00BA640D"/>
    <w:rsid w:val="00BA6A4C"/>
    <w:rsid w:val="00BA7CBA"/>
    <w:rsid w:val="00BB1CD8"/>
    <w:rsid w:val="00BB2A0F"/>
    <w:rsid w:val="00BC268E"/>
    <w:rsid w:val="00BC2B48"/>
    <w:rsid w:val="00BC3E9E"/>
    <w:rsid w:val="00BD08B2"/>
    <w:rsid w:val="00BD4CAB"/>
    <w:rsid w:val="00BD4E33"/>
    <w:rsid w:val="00BD5F84"/>
    <w:rsid w:val="00BD61DD"/>
    <w:rsid w:val="00BE0223"/>
    <w:rsid w:val="00BE192E"/>
    <w:rsid w:val="00BE22A0"/>
    <w:rsid w:val="00BE236B"/>
    <w:rsid w:val="00BE4CC4"/>
    <w:rsid w:val="00BE5EB6"/>
    <w:rsid w:val="00BE672B"/>
    <w:rsid w:val="00BE6FB8"/>
    <w:rsid w:val="00BF01A9"/>
    <w:rsid w:val="00BF0B99"/>
    <w:rsid w:val="00BF2563"/>
    <w:rsid w:val="00BF4274"/>
    <w:rsid w:val="00C026ED"/>
    <w:rsid w:val="00C040A7"/>
    <w:rsid w:val="00C11647"/>
    <w:rsid w:val="00C116E1"/>
    <w:rsid w:val="00C14669"/>
    <w:rsid w:val="00C15A1F"/>
    <w:rsid w:val="00C2106D"/>
    <w:rsid w:val="00C264B4"/>
    <w:rsid w:val="00C30721"/>
    <w:rsid w:val="00C348EC"/>
    <w:rsid w:val="00C366ED"/>
    <w:rsid w:val="00C367CE"/>
    <w:rsid w:val="00C40CBE"/>
    <w:rsid w:val="00C42C47"/>
    <w:rsid w:val="00C4495A"/>
    <w:rsid w:val="00C503A1"/>
    <w:rsid w:val="00C516A2"/>
    <w:rsid w:val="00C52C14"/>
    <w:rsid w:val="00C55AFA"/>
    <w:rsid w:val="00C574FB"/>
    <w:rsid w:val="00C575A8"/>
    <w:rsid w:val="00C6155E"/>
    <w:rsid w:val="00C6218C"/>
    <w:rsid w:val="00C63288"/>
    <w:rsid w:val="00C63F2C"/>
    <w:rsid w:val="00C70EF4"/>
    <w:rsid w:val="00C73116"/>
    <w:rsid w:val="00C75634"/>
    <w:rsid w:val="00C84FC0"/>
    <w:rsid w:val="00C8641D"/>
    <w:rsid w:val="00C86EA1"/>
    <w:rsid w:val="00C90A5B"/>
    <w:rsid w:val="00C93EE2"/>
    <w:rsid w:val="00C97A8D"/>
    <w:rsid w:val="00CA0FB4"/>
    <w:rsid w:val="00CA2D11"/>
    <w:rsid w:val="00CB3A39"/>
    <w:rsid w:val="00CB4C0B"/>
    <w:rsid w:val="00CB6489"/>
    <w:rsid w:val="00CC2227"/>
    <w:rsid w:val="00CC55E7"/>
    <w:rsid w:val="00CD50B2"/>
    <w:rsid w:val="00CD630E"/>
    <w:rsid w:val="00CE1817"/>
    <w:rsid w:val="00CE207B"/>
    <w:rsid w:val="00CE42AD"/>
    <w:rsid w:val="00CE6B25"/>
    <w:rsid w:val="00CF2B33"/>
    <w:rsid w:val="00CF4037"/>
    <w:rsid w:val="00D0434A"/>
    <w:rsid w:val="00D05832"/>
    <w:rsid w:val="00D0666E"/>
    <w:rsid w:val="00D0716C"/>
    <w:rsid w:val="00D218C2"/>
    <w:rsid w:val="00D23F3E"/>
    <w:rsid w:val="00D24927"/>
    <w:rsid w:val="00D3585F"/>
    <w:rsid w:val="00D368EC"/>
    <w:rsid w:val="00D37400"/>
    <w:rsid w:val="00D419CB"/>
    <w:rsid w:val="00D41B10"/>
    <w:rsid w:val="00D428A2"/>
    <w:rsid w:val="00D432AA"/>
    <w:rsid w:val="00D457BB"/>
    <w:rsid w:val="00D47251"/>
    <w:rsid w:val="00D509AE"/>
    <w:rsid w:val="00D52B89"/>
    <w:rsid w:val="00D552EC"/>
    <w:rsid w:val="00D55C6E"/>
    <w:rsid w:val="00D55F1F"/>
    <w:rsid w:val="00D6370A"/>
    <w:rsid w:val="00D667DD"/>
    <w:rsid w:val="00D66955"/>
    <w:rsid w:val="00D701DC"/>
    <w:rsid w:val="00D7113E"/>
    <w:rsid w:val="00D768E8"/>
    <w:rsid w:val="00D76B5D"/>
    <w:rsid w:val="00D80862"/>
    <w:rsid w:val="00D80955"/>
    <w:rsid w:val="00D8401D"/>
    <w:rsid w:val="00D8519F"/>
    <w:rsid w:val="00D91262"/>
    <w:rsid w:val="00D94E25"/>
    <w:rsid w:val="00DA1D7A"/>
    <w:rsid w:val="00DA211E"/>
    <w:rsid w:val="00DA3C31"/>
    <w:rsid w:val="00DB0CAB"/>
    <w:rsid w:val="00DB146E"/>
    <w:rsid w:val="00DB295E"/>
    <w:rsid w:val="00DB4C7E"/>
    <w:rsid w:val="00DB7E72"/>
    <w:rsid w:val="00DC0151"/>
    <w:rsid w:val="00DC0F7B"/>
    <w:rsid w:val="00DC3B2F"/>
    <w:rsid w:val="00DC5117"/>
    <w:rsid w:val="00DC5645"/>
    <w:rsid w:val="00DD0521"/>
    <w:rsid w:val="00DD0A6A"/>
    <w:rsid w:val="00DD379E"/>
    <w:rsid w:val="00DE0938"/>
    <w:rsid w:val="00DE1BB0"/>
    <w:rsid w:val="00DE30F8"/>
    <w:rsid w:val="00DE6C71"/>
    <w:rsid w:val="00DF6D36"/>
    <w:rsid w:val="00E010C8"/>
    <w:rsid w:val="00E02C5E"/>
    <w:rsid w:val="00E03189"/>
    <w:rsid w:val="00E12E78"/>
    <w:rsid w:val="00E13B59"/>
    <w:rsid w:val="00E13D76"/>
    <w:rsid w:val="00E1435B"/>
    <w:rsid w:val="00E15AA7"/>
    <w:rsid w:val="00E160D7"/>
    <w:rsid w:val="00E16929"/>
    <w:rsid w:val="00E216ED"/>
    <w:rsid w:val="00E25A4E"/>
    <w:rsid w:val="00E30387"/>
    <w:rsid w:val="00E312F3"/>
    <w:rsid w:val="00E33A30"/>
    <w:rsid w:val="00E3442D"/>
    <w:rsid w:val="00E4127A"/>
    <w:rsid w:val="00E523D5"/>
    <w:rsid w:val="00E55A46"/>
    <w:rsid w:val="00E55D36"/>
    <w:rsid w:val="00E62960"/>
    <w:rsid w:val="00E62F1A"/>
    <w:rsid w:val="00E74EAF"/>
    <w:rsid w:val="00E76C3D"/>
    <w:rsid w:val="00E77C65"/>
    <w:rsid w:val="00E81989"/>
    <w:rsid w:val="00E8221F"/>
    <w:rsid w:val="00E823A6"/>
    <w:rsid w:val="00E82A12"/>
    <w:rsid w:val="00E82F97"/>
    <w:rsid w:val="00E84FBA"/>
    <w:rsid w:val="00E86D28"/>
    <w:rsid w:val="00E870C4"/>
    <w:rsid w:val="00E90E1E"/>
    <w:rsid w:val="00E9322B"/>
    <w:rsid w:val="00E93935"/>
    <w:rsid w:val="00E93E0C"/>
    <w:rsid w:val="00E976E6"/>
    <w:rsid w:val="00EA2B94"/>
    <w:rsid w:val="00EA3820"/>
    <w:rsid w:val="00EA3AD8"/>
    <w:rsid w:val="00EA3AF4"/>
    <w:rsid w:val="00EA4441"/>
    <w:rsid w:val="00EA4B29"/>
    <w:rsid w:val="00EA5FAF"/>
    <w:rsid w:val="00EC043E"/>
    <w:rsid w:val="00EC0753"/>
    <w:rsid w:val="00EC3E30"/>
    <w:rsid w:val="00EC448D"/>
    <w:rsid w:val="00EC56AB"/>
    <w:rsid w:val="00EC6322"/>
    <w:rsid w:val="00EC7529"/>
    <w:rsid w:val="00ED0879"/>
    <w:rsid w:val="00ED21E2"/>
    <w:rsid w:val="00ED39E8"/>
    <w:rsid w:val="00ED4B03"/>
    <w:rsid w:val="00ED5BF7"/>
    <w:rsid w:val="00ED6B03"/>
    <w:rsid w:val="00EE1A9C"/>
    <w:rsid w:val="00EF5DE4"/>
    <w:rsid w:val="00EF7B93"/>
    <w:rsid w:val="00F04824"/>
    <w:rsid w:val="00F11516"/>
    <w:rsid w:val="00F11522"/>
    <w:rsid w:val="00F119C0"/>
    <w:rsid w:val="00F11F3F"/>
    <w:rsid w:val="00F13B2C"/>
    <w:rsid w:val="00F141EC"/>
    <w:rsid w:val="00F15F82"/>
    <w:rsid w:val="00F27B26"/>
    <w:rsid w:val="00F31D13"/>
    <w:rsid w:val="00F35345"/>
    <w:rsid w:val="00F4007F"/>
    <w:rsid w:val="00F455FA"/>
    <w:rsid w:val="00F50336"/>
    <w:rsid w:val="00F5064E"/>
    <w:rsid w:val="00F517F3"/>
    <w:rsid w:val="00F53EA4"/>
    <w:rsid w:val="00F561AC"/>
    <w:rsid w:val="00F609DF"/>
    <w:rsid w:val="00F619FE"/>
    <w:rsid w:val="00F621C6"/>
    <w:rsid w:val="00F63AD5"/>
    <w:rsid w:val="00F67291"/>
    <w:rsid w:val="00F70014"/>
    <w:rsid w:val="00F73E8F"/>
    <w:rsid w:val="00F80704"/>
    <w:rsid w:val="00F83625"/>
    <w:rsid w:val="00F91049"/>
    <w:rsid w:val="00F9311B"/>
    <w:rsid w:val="00F93C9F"/>
    <w:rsid w:val="00FA1858"/>
    <w:rsid w:val="00FA20BD"/>
    <w:rsid w:val="00FA5024"/>
    <w:rsid w:val="00FA66D5"/>
    <w:rsid w:val="00FA7137"/>
    <w:rsid w:val="00FB1D82"/>
    <w:rsid w:val="00FB2F0D"/>
    <w:rsid w:val="00FC455F"/>
    <w:rsid w:val="00FC50B3"/>
    <w:rsid w:val="00FC7292"/>
    <w:rsid w:val="00FC74F3"/>
    <w:rsid w:val="00FD362A"/>
    <w:rsid w:val="00FD3B56"/>
    <w:rsid w:val="00FD3C83"/>
    <w:rsid w:val="00FD6E99"/>
    <w:rsid w:val="00FE1695"/>
    <w:rsid w:val="00FE4024"/>
    <w:rsid w:val="00FE4FEC"/>
    <w:rsid w:val="00FE4FF2"/>
    <w:rsid w:val="00FF0411"/>
    <w:rsid w:val="00FF10A7"/>
    <w:rsid w:val="00FF26D4"/>
    <w:rsid w:val="00FF47FF"/>
    <w:rsid w:val="00FF67AB"/>
    <w:rsid w:val="026B7F59"/>
    <w:rsid w:val="02C22176"/>
    <w:rsid w:val="02F461CA"/>
    <w:rsid w:val="02FE79FB"/>
    <w:rsid w:val="03EA6DF9"/>
    <w:rsid w:val="0420569C"/>
    <w:rsid w:val="04C104B7"/>
    <w:rsid w:val="04DA28E0"/>
    <w:rsid w:val="05204ADD"/>
    <w:rsid w:val="053A59E9"/>
    <w:rsid w:val="05656433"/>
    <w:rsid w:val="05BA78F4"/>
    <w:rsid w:val="064D6754"/>
    <w:rsid w:val="069E7F22"/>
    <w:rsid w:val="074652E9"/>
    <w:rsid w:val="076417D6"/>
    <w:rsid w:val="077A3CEC"/>
    <w:rsid w:val="08914F66"/>
    <w:rsid w:val="08D8618E"/>
    <w:rsid w:val="0B207432"/>
    <w:rsid w:val="0B8B4736"/>
    <w:rsid w:val="0D0F2BB8"/>
    <w:rsid w:val="0DE350DE"/>
    <w:rsid w:val="0E753322"/>
    <w:rsid w:val="0E9B7038"/>
    <w:rsid w:val="0F79121C"/>
    <w:rsid w:val="10394ECE"/>
    <w:rsid w:val="10AC167B"/>
    <w:rsid w:val="11943BFC"/>
    <w:rsid w:val="12730256"/>
    <w:rsid w:val="12DF4B5A"/>
    <w:rsid w:val="131C0BD1"/>
    <w:rsid w:val="14075EFB"/>
    <w:rsid w:val="14CA7B89"/>
    <w:rsid w:val="14CD0957"/>
    <w:rsid w:val="15B47296"/>
    <w:rsid w:val="15C47831"/>
    <w:rsid w:val="15FC03DB"/>
    <w:rsid w:val="160D13A2"/>
    <w:rsid w:val="166E09D5"/>
    <w:rsid w:val="17001CB2"/>
    <w:rsid w:val="178F3281"/>
    <w:rsid w:val="17A27E25"/>
    <w:rsid w:val="180169EF"/>
    <w:rsid w:val="183576DA"/>
    <w:rsid w:val="18535D16"/>
    <w:rsid w:val="1871677C"/>
    <w:rsid w:val="19683308"/>
    <w:rsid w:val="19F10320"/>
    <w:rsid w:val="1A1642E7"/>
    <w:rsid w:val="1A177808"/>
    <w:rsid w:val="1A3C3195"/>
    <w:rsid w:val="1ADA5A11"/>
    <w:rsid w:val="1AE416C7"/>
    <w:rsid w:val="1B3E728A"/>
    <w:rsid w:val="1B7D3949"/>
    <w:rsid w:val="1C3F0DEE"/>
    <w:rsid w:val="1D12404C"/>
    <w:rsid w:val="1D5340D8"/>
    <w:rsid w:val="1DA13929"/>
    <w:rsid w:val="1E4527C4"/>
    <w:rsid w:val="1E6D24EF"/>
    <w:rsid w:val="1E706A68"/>
    <w:rsid w:val="1F8E612F"/>
    <w:rsid w:val="1FB6344E"/>
    <w:rsid w:val="1FE577A8"/>
    <w:rsid w:val="202C3F9F"/>
    <w:rsid w:val="20AD22FE"/>
    <w:rsid w:val="210B68DB"/>
    <w:rsid w:val="220A5984"/>
    <w:rsid w:val="22206FC1"/>
    <w:rsid w:val="224F1940"/>
    <w:rsid w:val="22C93319"/>
    <w:rsid w:val="2357790C"/>
    <w:rsid w:val="23ED1B1B"/>
    <w:rsid w:val="243A5AD5"/>
    <w:rsid w:val="25424588"/>
    <w:rsid w:val="256A37D5"/>
    <w:rsid w:val="25875D9D"/>
    <w:rsid w:val="27ED6C5B"/>
    <w:rsid w:val="27EE19EA"/>
    <w:rsid w:val="28423E20"/>
    <w:rsid w:val="292D0766"/>
    <w:rsid w:val="29BC305E"/>
    <w:rsid w:val="2A090B43"/>
    <w:rsid w:val="2A1273FB"/>
    <w:rsid w:val="2A1D0F3C"/>
    <w:rsid w:val="2A34118A"/>
    <w:rsid w:val="2A4C460B"/>
    <w:rsid w:val="2A4E6BE6"/>
    <w:rsid w:val="2B4B4813"/>
    <w:rsid w:val="2B590291"/>
    <w:rsid w:val="2B757E4F"/>
    <w:rsid w:val="2B9F1882"/>
    <w:rsid w:val="2CE850D0"/>
    <w:rsid w:val="2D6D5012"/>
    <w:rsid w:val="2D6D773C"/>
    <w:rsid w:val="2D7B7EE9"/>
    <w:rsid w:val="2DE22A2E"/>
    <w:rsid w:val="2E221098"/>
    <w:rsid w:val="2FA27E8E"/>
    <w:rsid w:val="302F3E44"/>
    <w:rsid w:val="307E6F1F"/>
    <w:rsid w:val="314A7B6B"/>
    <w:rsid w:val="318672D7"/>
    <w:rsid w:val="3219710E"/>
    <w:rsid w:val="322648DD"/>
    <w:rsid w:val="32696CB3"/>
    <w:rsid w:val="33883AA4"/>
    <w:rsid w:val="34384973"/>
    <w:rsid w:val="34691F1E"/>
    <w:rsid w:val="34A12623"/>
    <w:rsid w:val="35876044"/>
    <w:rsid w:val="36B12D4D"/>
    <w:rsid w:val="36D700AC"/>
    <w:rsid w:val="385B6E38"/>
    <w:rsid w:val="38EA5BB0"/>
    <w:rsid w:val="3947638E"/>
    <w:rsid w:val="39CE0715"/>
    <w:rsid w:val="3ACD746E"/>
    <w:rsid w:val="3B2D6D62"/>
    <w:rsid w:val="3B5C58EA"/>
    <w:rsid w:val="3BAF4558"/>
    <w:rsid w:val="3BD718C5"/>
    <w:rsid w:val="3BDE748B"/>
    <w:rsid w:val="3C762A42"/>
    <w:rsid w:val="3CB16F38"/>
    <w:rsid w:val="3D9B444C"/>
    <w:rsid w:val="3E0A65A4"/>
    <w:rsid w:val="3E8912B2"/>
    <w:rsid w:val="402D3D40"/>
    <w:rsid w:val="40C57BC7"/>
    <w:rsid w:val="411B2384"/>
    <w:rsid w:val="413E0BAA"/>
    <w:rsid w:val="41461222"/>
    <w:rsid w:val="419158DF"/>
    <w:rsid w:val="42190100"/>
    <w:rsid w:val="42B04238"/>
    <w:rsid w:val="432416B8"/>
    <w:rsid w:val="43A32D2A"/>
    <w:rsid w:val="44020D16"/>
    <w:rsid w:val="44146C46"/>
    <w:rsid w:val="442D64E6"/>
    <w:rsid w:val="445B07F5"/>
    <w:rsid w:val="450F0196"/>
    <w:rsid w:val="45113DB6"/>
    <w:rsid w:val="454A0E17"/>
    <w:rsid w:val="45FA7D5B"/>
    <w:rsid w:val="46221779"/>
    <w:rsid w:val="47461F7B"/>
    <w:rsid w:val="479D5A60"/>
    <w:rsid w:val="47D9277B"/>
    <w:rsid w:val="47F22A6F"/>
    <w:rsid w:val="481E56D7"/>
    <w:rsid w:val="48C50E07"/>
    <w:rsid w:val="490E3D53"/>
    <w:rsid w:val="491614E7"/>
    <w:rsid w:val="4974130B"/>
    <w:rsid w:val="49FA7438"/>
    <w:rsid w:val="4B075B45"/>
    <w:rsid w:val="4B9E7D08"/>
    <w:rsid w:val="4C0B2FF6"/>
    <w:rsid w:val="4CA46E0E"/>
    <w:rsid w:val="4CD13DBC"/>
    <w:rsid w:val="4D6814B0"/>
    <w:rsid w:val="4DBD28E6"/>
    <w:rsid w:val="4DFD1C19"/>
    <w:rsid w:val="4E934BB9"/>
    <w:rsid w:val="4F0F210F"/>
    <w:rsid w:val="4FD63E2B"/>
    <w:rsid w:val="50036BE7"/>
    <w:rsid w:val="50CE7C61"/>
    <w:rsid w:val="512E314A"/>
    <w:rsid w:val="51CE0B46"/>
    <w:rsid w:val="51FE1BC5"/>
    <w:rsid w:val="53BD09D4"/>
    <w:rsid w:val="53F632AE"/>
    <w:rsid w:val="541954A4"/>
    <w:rsid w:val="54A0435F"/>
    <w:rsid w:val="54EB3F1D"/>
    <w:rsid w:val="5552561C"/>
    <w:rsid w:val="55584ED5"/>
    <w:rsid w:val="55A758E3"/>
    <w:rsid w:val="560D4404"/>
    <w:rsid w:val="566273F2"/>
    <w:rsid w:val="576A47B0"/>
    <w:rsid w:val="57711257"/>
    <w:rsid w:val="57CD2432"/>
    <w:rsid w:val="58E7571F"/>
    <w:rsid w:val="5901745D"/>
    <w:rsid w:val="591D4E77"/>
    <w:rsid w:val="59464DA9"/>
    <w:rsid w:val="59940F6F"/>
    <w:rsid w:val="5A2635EA"/>
    <w:rsid w:val="5AE44B7E"/>
    <w:rsid w:val="5B283551"/>
    <w:rsid w:val="5BB86DDD"/>
    <w:rsid w:val="5BD83DF8"/>
    <w:rsid w:val="5C1E3DBB"/>
    <w:rsid w:val="5C545A2F"/>
    <w:rsid w:val="5CC90B4C"/>
    <w:rsid w:val="5CEC4452"/>
    <w:rsid w:val="5D6C6CF1"/>
    <w:rsid w:val="5E5419D7"/>
    <w:rsid w:val="5E5C1E14"/>
    <w:rsid w:val="5ED36729"/>
    <w:rsid w:val="5EE423DD"/>
    <w:rsid w:val="5F1B0D98"/>
    <w:rsid w:val="5F301489"/>
    <w:rsid w:val="5F9326B6"/>
    <w:rsid w:val="60314225"/>
    <w:rsid w:val="614C6C67"/>
    <w:rsid w:val="61D2597D"/>
    <w:rsid w:val="61FF55C3"/>
    <w:rsid w:val="63DF3E39"/>
    <w:rsid w:val="643C6DF3"/>
    <w:rsid w:val="64D66B78"/>
    <w:rsid w:val="650B1F09"/>
    <w:rsid w:val="6561493C"/>
    <w:rsid w:val="65A32E74"/>
    <w:rsid w:val="66331824"/>
    <w:rsid w:val="66722D46"/>
    <w:rsid w:val="68356714"/>
    <w:rsid w:val="687D0DBF"/>
    <w:rsid w:val="6891032A"/>
    <w:rsid w:val="691E423B"/>
    <w:rsid w:val="69DD66F2"/>
    <w:rsid w:val="6A6C3180"/>
    <w:rsid w:val="6AFD486C"/>
    <w:rsid w:val="6B4623C2"/>
    <w:rsid w:val="6C9360FF"/>
    <w:rsid w:val="6C937EAD"/>
    <w:rsid w:val="6CB73C30"/>
    <w:rsid w:val="6D97789C"/>
    <w:rsid w:val="6DAC2282"/>
    <w:rsid w:val="6E6F4072"/>
    <w:rsid w:val="6F1F1ECC"/>
    <w:rsid w:val="6FDE710A"/>
    <w:rsid w:val="6FFF4A0A"/>
    <w:rsid w:val="70CE5958"/>
    <w:rsid w:val="710D5F41"/>
    <w:rsid w:val="711D392B"/>
    <w:rsid w:val="71980FF1"/>
    <w:rsid w:val="72031996"/>
    <w:rsid w:val="72101BA6"/>
    <w:rsid w:val="723C3E55"/>
    <w:rsid w:val="72460EAB"/>
    <w:rsid w:val="73466B70"/>
    <w:rsid w:val="73753D96"/>
    <w:rsid w:val="74B849CD"/>
    <w:rsid w:val="74C838E9"/>
    <w:rsid w:val="75E27B52"/>
    <w:rsid w:val="761A519B"/>
    <w:rsid w:val="769907B6"/>
    <w:rsid w:val="76E57805"/>
    <w:rsid w:val="775C55F7"/>
    <w:rsid w:val="7772677B"/>
    <w:rsid w:val="77937D2D"/>
    <w:rsid w:val="77BB51F7"/>
    <w:rsid w:val="77D86465"/>
    <w:rsid w:val="78A268E4"/>
    <w:rsid w:val="793136A5"/>
    <w:rsid w:val="7955381A"/>
    <w:rsid w:val="79A07C39"/>
    <w:rsid w:val="7A754BA9"/>
    <w:rsid w:val="7AE306B3"/>
    <w:rsid w:val="7AEE3634"/>
    <w:rsid w:val="7B1D2C8D"/>
    <w:rsid w:val="7BC50197"/>
    <w:rsid w:val="7BE17ABE"/>
    <w:rsid w:val="7BF62A6B"/>
    <w:rsid w:val="7C026D4B"/>
    <w:rsid w:val="7CA81E21"/>
    <w:rsid w:val="7CFD6DED"/>
    <w:rsid w:val="7D1A4DCC"/>
    <w:rsid w:val="7D246179"/>
    <w:rsid w:val="7D3916CC"/>
    <w:rsid w:val="7D564FB1"/>
    <w:rsid w:val="7D5A07CD"/>
    <w:rsid w:val="7E690FF1"/>
    <w:rsid w:val="7E7B6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F834C5"/>
  <w14:defaultImageDpi w14:val="32767"/>
  <w15:docId w15:val="{F0856D94-A477-483A-8144-524A493E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uiPriority="99" w:unhideWhenUsed="1" w:qFormat="1"/>
    <w:lsdException w:name="header" w:qFormat="1"/>
    <w:lsdException w:name="footer" w:uiPriority="99" w:qFormat="1"/>
    <w:lsdException w:name="caption" w:semiHidden="1" w:unhideWhenUsed="1" w:qFormat="1"/>
    <w:lsdException w:name="footnote reference" w:uiPriority="99" w:unhideWhenUsed="1" w:qFormat="1"/>
    <w:lsdException w:name="annotation reference" w:uiPriority="99" w:qFormat="1"/>
    <w:lsdException w:name="line number" w:qFormat="1"/>
    <w:lsdException w:name="Title" w:qFormat="1"/>
    <w:lsdException w:name="Default Paragraph Font" w:semiHidden="1" w:uiPriority="1" w:unhideWhenUsed="1"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HTML Code"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eastAsiaTheme="minorEastAsia" w:cstheme="minorBidi"/>
      <w:sz w:val="24"/>
      <w:szCs w:val="22"/>
    </w:rPr>
  </w:style>
  <w:style w:type="paragraph" w:styleId="Heading1">
    <w:name w:val="heading 1"/>
    <w:basedOn w:val="Normal"/>
    <w:next w:val="Normal"/>
    <w:link w:val="Heading1Char"/>
    <w:autoRedefine/>
    <w:uiPriority w:val="9"/>
    <w:qFormat/>
    <w:pPr>
      <w:keepNext/>
      <w:keepLines/>
      <w:spacing w:after="120"/>
      <w:outlineLvl w:val="0"/>
    </w:pPr>
    <w:rPr>
      <w:rFonts w:eastAsiaTheme="majorEastAsia" w:cstheme="majorBidi"/>
      <w:b/>
      <w:color w:val="000000" w:themeColor="text1"/>
      <w:szCs w:val="32"/>
    </w:rPr>
  </w:style>
  <w:style w:type="paragraph" w:styleId="Heading2">
    <w:name w:val="heading 2"/>
    <w:basedOn w:val="Normal"/>
    <w:next w:val="Normal"/>
    <w:autoRedefine/>
    <w:uiPriority w:val="9"/>
    <w:unhideWhenUsed/>
    <w:qFormat/>
    <w:rsid w:val="00C84FC0"/>
    <w:pPr>
      <w:keepNext/>
      <w:keepLines/>
      <w:outlineLvl w:val="1"/>
    </w:pPr>
    <w:rPr>
      <w:rFonts w:eastAsiaTheme="majorEastAsia" w:cs="Times New Roman"/>
      <w:i/>
      <w:iCs/>
      <w:color w:val="000000" w:themeColor="text1"/>
      <w:szCs w:val="24"/>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sz w:val="27"/>
      <w:szCs w:val="27"/>
    </w:rPr>
  </w:style>
  <w:style w:type="paragraph" w:styleId="Heading4">
    <w:name w:val="heading 4"/>
    <w:basedOn w:val="Normal"/>
    <w:next w:val="Normal"/>
    <w:link w:val="Heading4Char"/>
    <w:semiHidden/>
    <w:unhideWhenUsed/>
    <w:qFormat/>
    <w:rsid w:val="00624283"/>
    <w:pPr>
      <w:keepNext/>
      <w:keepLines/>
      <w:spacing w:before="40"/>
      <w:outlineLvl w:val="3"/>
    </w:pPr>
    <w:rPr>
      <w:rFonts w:asciiTheme="majorHAnsi" w:eastAsiaTheme="majorEastAsia" w:hAnsiTheme="majorHAnsi" w:cstheme="majorBidi"/>
      <w:i/>
      <w:iCs/>
      <w:color w:val="2D53A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style>
  <w:style w:type="paragraph" w:styleId="Footer">
    <w:name w:val="footer"/>
    <w:basedOn w:val="Normal"/>
    <w:link w:val="FooterChar"/>
    <w:autoRedefine/>
    <w:uiPriority w:val="99"/>
    <w:qFormat/>
    <w:pPr>
      <w:tabs>
        <w:tab w:val="center" w:pos="4153"/>
        <w:tab w:val="right" w:pos="8306"/>
      </w:tabs>
      <w:snapToGrid w:val="0"/>
    </w:pPr>
    <w:rPr>
      <w:sz w:val="18"/>
      <w:szCs w:val="18"/>
    </w:rPr>
  </w:style>
  <w:style w:type="paragraph" w:styleId="Header">
    <w:name w:val="header"/>
    <w:basedOn w:val="Normal"/>
    <w:link w:val="HeaderChar"/>
    <w:autoRedefine/>
    <w:qFormat/>
    <w:pPr>
      <w:tabs>
        <w:tab w:val="center" w:pos="4153"/>
        <w:tab w:val="right" w:pos="8306"/>
      </w:tabs>
      <w:snapToGrid w:val="0"/>
      <w:jc w:val="center"/>
    </w:pPr>
    <w:rPr>
      <w:sz w:val="18"/>
      <w:szCs w:val="18"/>
    </w:rPr>
  </w:style>
  <w:style w:type="paragraph" w:styleId="FootnoteText">
    <w:name w:val="footnote text"/>
    <w:basedOn w:val="Normal"/>
    <w:link w:val="FootnoteTextChar"/>
    <w:autoRedefine/>
    <w:qFormat/>
    <w:rPr>
      <w:sz w:val="20"/>
      <w:szCs w:val="20"/>
    </w:rPr>
  </w:style>
  <w:style w:type="paragraph" w:styleId="NormalWeb">
    <w:name w:val="Normal (Web)"/>
    <w:basedOn w:val="Normal"/>
    <w:autoRedefine/>
    <w:uiPriority w:val="99"/>
    <w:unhideWhenUsed/>
    <w:qFormat/>
    <w:rsid w:val="00764090"/>
    <w:rPr>
      <w:rFonts w:ascii="SimSun" w:eastAsia="SimSun" w:hAnsi="SimSun" w:cs="SimSun"/>
      <w:szCs w:val="24"/>
    </w:rPr>
  </w:style>
  <w:style w:type="paragraph" w:styleId="CommentSubject">
    <w:name w:val="annotation subject"/>
    <w:basedOn w:val="CommentText"/>
    <w:next w:val="CommentText"/>
    <w:link w:val="CommentSubjectChar"/>
    <w:autoRedefine/>
    <w:qFormat/>
    <w:rPr>
      <w:b/>
      <w:bCs/>
    </w:rPr>
  </w:style>
  <w:style w:type="table" w:styleId="TableGrid">
    <w:name w:val="Table Grid"/>
    <w:basedOn w:val="TableNormal"/>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autoRedefine/>
    <w:uiPriority w:val="22"/>
    <w:qFormat/>
    <w:rPr>
      <w:b/>
    </w:rPr>
  </w:style>
  <w:style w:type="character" w:styleId="Emphasis">
    <w:name w:val="Emphasis"/>
    <w:basedOn w:val="DefaultParagraphFont"/>
    <w:uiPriority w:val="20"/>
    <w:qFormat/>
    <w:rPr>
      <w:i/>
    </w:rPr>
  </w:style>
  <w:style w:type="character" w:styleId="LineNumber">
    <w:name w:val="line number"/>
    <w:basedOn w:val="DefaultParagraphFont"/>
    <w:qFormat/>
  </w:style>
  <w:style w:type="character" w:styleId="Hyperlink">
    <w:name w:val="Hyperlink"/>
    <w:basedOn w:val="DefaultParagraphFont"/>
    <w:autoRedefine/>
    <w:uiPriority w:val="99"/>
    <w:qFormat/>
    <w:rPr>
      <w:color w:val="0000FF"/>
      <w:u w:val="single"/>
    </w:rPr>
  </w:style>
  <w:style w:type="character" w:styleId="CommentReference">
    <w:name w:val="annotation reference"/>
    <w:basedOn w:val="DefaultParagraphFont"/>
    <w:autoRedefine/>
    <w:uiPriority w:val="99"/>
    <w:qFormat/>
    <w:rPr>
      <w:sz w:val="21"/>
      <w:szCs w:val="21"/>
    </w:rPr>
  </w:style>
  <w:style w:type="character" w:styleId="FootnoteReference">
    <w:name w:val="footnote reference"/>
    <w:basedOn w:val="DefaultParagraphFont"/>
    <w:autoRedefine/>
    <w:uiPriority w:val="99"/>
    <w:unhideWhenUsed/>
    <w:qFormat/>
    <w:rPr>
      <w:vertAlign w:val="superscript"/>
    </w:rPr>
  </w:style>
  <w:style w:type="character" w:customStyle="1" w:styleId="font01">
    <w:name w:val="font01"/>
    <w:basedOn w:val="DefaultParagraphFont"/>
    <w:autoRedefine/>
    <w:qFormat/>
    <w:rPr>
      <w:rFonts w:ascii="SimSun" w:eastAsia="SimSun" w:hAnsi="SimSun" w:cs="SimSun" w:hint="eastAsia"/>
      <w:color w:val="000000"/>
      <w:sz w:val="22"/>
      <w:szCs w:val="22"/>
      <w:u w:val="none"/>
    </w:rPr>
  </w:style>
  <w:style w:type="character" w:customStyle="1" w:styleId="font21">
    <w:name w:val="font21"/>
    <w:basedOn w:val="DefaultParagraphFont"/>
    <w:autoRedefine/>
    <w:qFormat/>
    <w:rPr>
      <w:rFonts w:ascii="SimSun" w:eastAsia="SimSun" w:hAnsi="SimSun" w:cs="SimSun" w:hint="eastAsia"/>
      <w:color w:val="000000"/>
      <w:sz w:val="22"/>
      <w:szCs w:val="22"/>
      <w:u w:val="none"/>
    </w:rPr>
  </w:style>
  <w:style w:type="character" w:customStyle="1" w:styleId="font11">
    <w:name w:val="font11"/>
    <w:basedOn w:val="DefaultParagraphFont"/>
    <w:autoRedefine/>
    <w:qFormat/>
    <w:rPr>
      <w:rFonts w:ascii="Times New Roman" w:hAnsi="Times New Roman" w:cs="Times New Roman" w:hint="default"/>
      <w:color w:val="000000"/>
      <w:sz w:val="24"/>
      <w:szCs w:val="24"/>
      <w:u w:val="none"/>
    </w:rPr>
  </w:style>
  <w:style w:type="paragraph" w:styleId="NoSpacing">
    <w:name w:val="No Spacing"/>
    <w:autoRedefine/>
    <w:uiPriority w:val="1"/>
    <w:qFormat/>
    <w:rPr>
      <w:rFonts w:asciiTheme="minorHAnsi" w:eastAsiaTheme="minorEastAsia" w:hAnsiTheme="minorHAnsi" w:cstheme="minorBidi"/>
      <w:sz w:val="22"/>
      <w:szCs w:val="22"/>
    </w:rPr>
  </w:style>
  <w:style w:type="character" w:customStyle="1" w:styleId="HeaderChar">
    <w:name w:val="Header Char"/>
    <w:basedOn w:val="DefaultParagraphFont"/>
    <w:link w:val="Header"/>
    <w:autoRedefine/>
    <w:qFormat/>
    <w:rPr>
      <w:rFonts w:eastAsiaTheme="minorEastAsia" w:cstheme="minorBidi"/>
      <w:sz w:val="18"/>
      <w:szCs w:val="18"/>
    </w:rPr>
  </w:style>
  <w:style w:type="character" w:customStyle="1" w:styleId="FooterChar">
    <w:name w:val="Footer Char"/>
    <w:basedOn w:val="DefaultParagraphFont"/>
    <w:link w:val="Footer"/>
    <w:autoRedefine/>
    <w:uiPriority w:val="99"/>
    <w:qFormat/>
    <w:rPr>
      <w:rFonts w:eastAsiaTheme="minorEastAsia" w:cstheme="minorBidi"/>
      <w:sz w:val="18"/>
      <w:szCs w:val="18"/>
    </w:rPr>
  </w:style>
  <w:style w:type="paragraph" w:customStyle="1" w:styleId="EndNoteBibliography">
    <w:name w:val="EndNote Bibliography"/>
    <w:basedOn w:val="Normal"/>
    <w:autoRedefine/>
    <w:qFormat/>
    <w:rPr>
      <w:rFonts w:cs="Times New Roman"/>
      <w:sz w:val="20"/>
    </w:rPr>
  </w:style>
  <w:style w:type="character" w:customStyle="1" w:styleId="CommentTextChar">
    <w:name w:val="Comment Text Char"/>
    <w:basedOn w:val="DefaultParagraphFont"/>
    <w:link w:val="CommentText"/>
    <w:autoRedefine/>
    <w:uiPriority w:val="99"/>
    <w:qFormat/>
    <w:rPr>
      <w:rFonts w:eastAsiaTheme="minorEastAsia" w:cstheme="minorBidi"/>
      <w:sz w:val="24"/>
      <w:szCs w:val="22"/>
    </w:rPr>
  </w:style>
  <w:style w:type="character" w:customStyle="1" w:styleId="CommentSubjectChar">
    <w:name w:val="Comment Subject Char"/>
    <w:basedOn w:val="CommentTextChar"/>
    <w:link w:val="CommentSubject"/>
    <w:autoRedefine/>
    <w:qFormat/>
    <w:rPr>
      <w:rFonts w:eastAsiaTheme="minorEastAsia" w:cstheme="minorBidi"/>
      <w:b/>
      <w:bCs/>
      <w:sz w:val="21"/>
      <w:szCs w:val="22"/>
      <w:lang w:eastAsia="zh-CN"/>
    </w:rPr>
  </w:style>
  <w:style w:type="character" w:customStyle="1" w:styleId="Heading1Char">
    <w:name w:val="Heading 1 Char"/>
    <w:basedOn w:val="DefaultParagraphFont"/>
    <w:link w:val="Heading1"/>
    <w:autoRedefine/>
    <w:uiPriority w:val="9"/>
    <w:qFormat/>
    <w:rPr>
      <w:rFonts w:eastAsiaTheme="majorEastAsia" w:cstheme="majorBidi"/>
      <w:b/>
      <w:color w:val="000000" w:themeColor="text1"/>
      <w:sz w:val="24"/>
      <w:szCs w:val="32"/>
    </w:rPr>
  </w:style>
  <w:style w:type="character" w:customStyle="1" w:styleId="cf01">
    <w:name w:val="cf01"/>
    <w:basedOn w:val="DefaultParagraphFont"/>
    <w:autoRedefine/>
    <w:qFormat/>
    <w:rPr>
      <w:rFonts w:ascii="Segoe UI" w:hAnsi="Segoe UI" w:cs="Segoe UI" w:hint="default"/>
      <w:sz w:val="18"/>
      <w:szCs w:val="18"/>
    </w:rPr>
  </w:style>
  <w:style w:type="paragraph" w:customStyle="1" w:styleId="EndNoteBibliographyTitle">
    <w:name w:val="EndNote Bibliography Title"/>
    <w:basedOn w:val="Normal"/>
    <w:link w:val="EndNoteBibliographyTitle0"/>
    <w:autoRedefine/>
    <w:qFormat/>
    <w:pPr>
      <w:jc w:val="center"/>
    </w:pPr>
    <w:rPr>
      <w:rFonts w:cs="Times New Roman"/>
      <w:sz w:val="20"/>
    </w:rPr>
  </w:style>
  <w:style w:type="character" w:customStyle="1" w:styleId="EndNoteBibliographyTitle0">
    <w:name w:val="EndNote Bibliography Title 字符"/>
    <w:basedOn w:val="DefaultParagraphFont"/>
    <w:link w:val="EndNoteBibliographyTitle"/>
    <w:autoRedefine/>
    <w:qFormat/>
    <w:rPr>
      <w:rFonts w:eastAsiaTheme="minorEastAsia"/>
      <w:szCs w:val="22"/>
    </w:rPr>
  </w:style>
  <w:style w:type="paragraph" w:customStyle="1" w:styleId="1">
    <w:name w:val="修订1"/>
    <w:autoRedefine/>
    <w:hidden/>
    <w:uiPriority w:val="99"/>
    <w:unhideWhenUsed/>
    <w:qFormat/>
    <w:rPr>
      <w:rFonts w:eastAsiaTheme="minorEastAsia" w:cstheme="minorBidi"/>
      <w:sz w:val="21"/>
      <w:szCs w:val="22"/>
    </w:rPr>
  </w:style>
  <w:style w:type="paragraph" w:customStyle="1" w:styleId="2">
    <w:name w:val="修订2"/>
    <w:autoRedefine/>
    <w:hidden/>
    <w:uiPriority w:val="99"/>
    <w:unhideWhenUsed/>
    <w:qFormat/>
    <w:rPr>
      <w:rFonts w:eastAsiaTheme="minorEastAsia" w:cstheme="minorBidi"/>
      <w:sz w:val="21"/>
      <w:szCs w:val="22"/>
    </w:rPr>
  </w:style>
  <w:style w:type="paragraph" w:customStyle="1" w:styleId="Revision1">
    <w:name w:val="Revision1"/>
    <w:autoRedefine/>
    <w:hidden/>
    <w:uiPriority w:val="99"/>
    <w:unhideWhenUsed/>
    <w:qFormat/>
    <w:rPr>
      <w:rFonts w:eastAsiaTheme="minorEastAsia" w:cstheme="minorBidi"/>
      <w:sz w:val="21"/>
      <w:szCs w:val="22"/>
    </w:rPr>
  </w:style>
  <w:style w:type="paragraph" w:customStyle="1" w:styleId="3">
    <w:name w:val="修订3"/>
    <w:autoRedefine/>
    <w:hidden/>
    <w:uiPriority w:val="99"/>
    <w:unhideWhenUsed/>
    <w:qFormat/>
    <w:rPr>
      <w:rFonts w:eastAsiaTheme="minorEastAsia" w:cstheme="minorBidi"/>
      <w:sz w:val="21"/>
      <w:szCs w:val="22"/>
    </w:rPr>
  </w:style>
  <w:style w:type="paragraph" w:customStyle="1" w:styleId="4">
    <w:name w:val="修订4"/>
    <w:autoRedefine/>
    <w:hidden/>
    <w:uiPriority w:val="99"/>
    <w:unhideWhenUsed/>
    <w:qFormat/>
    <w:rPr>
      <w:rFonts w:eastAsiaTheme="minorEastAsia" w:cstheme="minorBidi"/>
      <w:sz w:val="21"/>
      <w:szCs w:val="22"/>
    </w:rPr>
  </w:style>
  <w:style w:type="paragraph" w:customStyle="1" w:styleId="p2">
    <w:name w:val="p2"/>
    <w:basedOn w:val="Normal"/>
    <w:autoRedefine/>
    <w:qFormat/>
    <w:rPr>
      <w:rFonts w:ascii="Palatino Linotype" w:eastAsia="SimSun" w:hAnsi="Palatino Linotype" w:cs="Times New Roman"/>
      <w:sz w:val="14"/>
      <w:szCs w:val="14"/>
    </w:rPr>
  </w:style>
  <w:style w:type="character" w:customStyle="1" w:styleId="10">
    <w:name w:val="未处理的提及1"/>
    <w:basedOn w:val="DefaultParagraphFont"/>
    <w:autoRedefine/>
    <w:uiPriority w:val="99"/>
    <w:semiHidden/>
    <w:unhideWhenUsed/>
    <w:qFormat/>
    <w:rPr>
      <w:color w:val="605E5C"/>
      <w:shd w:val="clear" w:color="auto" w:fill="E1DFDD"/>
    </w:rPr>
  </w:style>
  <w:style w:type="paragraph" w:customStyle="1" w:styleId="5">
    <w:name w:val="修订5"/>
    <w:autoRedefine/>
    <w:hidden/>
    <w:uiPriority w:val="99"/>
    <w:unhideWhenUsed/>
    <w:qFormat/>
    <w:rPr>
      <w:rFonts w:eastAsiaTheme="minorEastAsia" w:cstheme="minorBidi"/>
      <w:sz w:val="24"/>
      <w:szCs w:val="22"/>
    </w:rPr>
  </w:style>
  <w:style w:type="paragraph" w:customStyle="1" w:styleId="6">
    <w:name w:val="修订6"/>
    <w:autoRedefine/>
    <w:hidden/>
    <w:uiPriority w:val="99"/>
    <w:unhideWhenUsed/>
    <w:qFormat/>
    <w:rPr>
      <w:rFonts w:eastAsiaTheme="minorEastAsia" w:cstheme="minorBidi"/>
      <w:sz w:val="24"/>
      <w:szCs w:val="22"/>
    </w:rPr>
  </w:style>
  <w:style w:type="paragraph" w:customStyle="1" w:styleId="Revision2">
    <w:name w:val="Revision2"/>
    <w:autoRedefine/>
    <w:hidden/>
    <w:uiPriority w:val="99"/>
    <w:unhideWhenUsed/>
    <w:qFormat/>
    <w:rPr>
      <w:rFonts w:eastAsiaTheme="minorEastAsia" w:cstheme="minorBidi"/>
      <w:sz w:val="24"/>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7">
    <w:name w:val="修订7"/>
    <w:autoRedefine/>
    <w:hidden/>
    <w:uiPriority w:val="99"/>
    <w:unhideWhenUsed/>
    <w:qFormat/>
    <w:rPr>
      <w:rFonts w:eastAsiaTheme="minorEastAsia" w:cstheme="minorBidi"/>
      <w:sz w:val="24"/>
      <w:szCs w:val="22"/>
    </w:rPr>
  </w:style>
  <w:style w:type="paragraph" w:customStyle="1" w:styleId="Revision3">
    <w:name w:val="Revision3"/>
    <w:autoRedefine/>
    <w:hidden/>
    <w:uiPriority w:val="99"/>
    <w:unhideWhenUsed/>
    <w:qFormat/>
    <w:rPr>
      <w:rFonts w:eastAsiaTheme="minorEastAsia" w:cstheme="minorBidi"/>
      <w:sz w:val="24"/>
      <w:szCs w:val="22"/>
    </w:rPr>
  </w:style>
  <w:style w:type="paragraph" w:customStyle="1" w:styleId="8">
    <w:name w:val="修订8"/>
    <w:autoRedefine/>
    <w:hidden/>
    <w:uiPriority w:val="99"/>
    <w:unhideWhenUsed/>
    <w:qFormat/>
    <w:rPr>
      <w:rFonts w:eastAsiaTheme="minorEastAsia" w:cstheme="minorBidi"/>
      <w:sz w:val="24"/>
      <w:szCs w:val="22"/>
    </w:rPr>
  </w:style>
  <w:style w:type="paragraph" w:styleId="ListParagraph">
    <w:name w:val="List Paragraph"/>
    <w:basedOn w:val="Normal"/>
    <w:autoRedefine/>
    <w:uiPriority w:val="34"/>
    <w:unhideWhenUsed/>
    <w:qFormat/>
    <w:pPr>
      <w:ind w:left="720"/>
    </w:pPr>
  </w:style>
  <w:style w:type="character" w:customStyle="1" w:styleId="20">
    <w:name w:val="未处理的提及2"/>
    <w:basedOn w:val="DefaultParagraphFont"/>
    <w:autoRedefine/>
    <w:uiPriority w:val="99"/>
    <w:semiHidden/>
    <w:unhideWhenUsed/>
    <w:qFormat/>
    <w:rPr>
      <w:color w:val="605E5C"/>
      <w:shd w:val="clear" w:color="auto" w:fill="E1DFDD"/>
    </w:rPr>
  </w:style>
  <w:style w:type="paragraph" w:customStyle="1" w:styleId="9">
    <w:name w:val="修订9"/>
    <w:autoRedefine/>
    <w:hidden/>
    <w:uiPriority w:val="99"/>
    <w:unhideWhenUsed/>
    <w:qFormat/>
    <w:rPr>
      <w:rFonts w:eastAsiaTheme="minorEastAsia" w:cstheme="minorBidi"/>
      <w:sz w:val="24"/>
      <w:szCs w:val="22"/>
    </w:rPr>
  </w:style>
  <w:style w:type="paragraph" w:customStyle="1" w:styleId="100">
    <w:name w:val="修订10"/>
    <w:autoRedefine/>
    <w:hidden/>
    <w:uiPriority w:val="99"/>
    <w:unhideWhenUsed/>
    <w:qFormat/>
    <w:rPr>
      <w:rFonts w:eastAsiaTheme="minorEastAsia" w:cstheme="minorBidi"/>
      <w:sz w:val="24"/>
      <w:szCs w:val="22"/>
    </w:rPr>
  </w:style>
  <w:style w:type="character" w:customStyle="1" w:styleId="30">
    <w:name w:val="未处理的提及3"/>
    <w:basedOn w:val="DefaultParagraphFont"/>
    <w:autoRedefine/>
    <w:uiPriority w:val="99"/>
    <w:semiHidden/>
    <w:unhideWhenUsed/>
    <w:qFormat/>
    <w:rPr>
      <w:color w:val="605E5C"/>
      <w:shd w:val="clear" w:color="auto" w:fill="E1DFDD"/>
    </w:rPr>
  </w:style>
  <w:style w:type="paragraph" w:customStyle="1" w:styleId="11">
    <w:name w:val="修订11"/>
    <w:autoRedefine/>
    <w:hidden/>
    <w:uiPriority w:val="99"/>
    <w:unhideWhenUsed/>
    <w:qFormat/>
    <w:rPr>
      <w:rFonts w:eastAsiaTheme="minorEastAsia" w:cstheme="minorBidi"/>
      <w:sz w:val="24"/>
      <w:szCs w:val="22"/>
    </w:rPr>
  </w:style>
  <w:style w:type="character" w:customStyle="1" w:styleId="40">
    <w:name w:val="未处理的提及4"/>
    <w:basedOn w:val="DefaultParagraphFont"/>
    <w:autoRedefine/>
    <w:uiPriority w:val="99"/>
    <w:semiHidden/>
    <w:unhideWhenUsed/>
    <w:qFormat/>
    <w:rPr>
      <w:color w:val="605E5C"/>
      <w:shd w:val="clear" w:color="auto" w:fill="E1DFDD"/>
    </w:rPr>
  </w:style>
  <w:style w:type="paragraph" w:customStyle="1" w:styleId="12">
    <w:name w:val="修订12"/>
    <w:autoRedefine/>
    <w:hidden/>
    <w:uiPriority w:val="99"/>
    <w:unhideWhenUsed/>
    <w:qFormat/>
    <w:rPr>
      <w:rFonts w:eastAsiaTheme="minorEastAsia" w:cstheme="minorBidi"/>
      <w:sz w:val="24"/>
      <w:szCs w:val="22"/>
    </w:rPr>
  </w:style>
  <w:style w:type="paragraph" w:customStyle="1" w:styleId="13">
    <w:name w:val="修订13"/>
    <w:autoRedefine/>
    <w:hidden/>
    <w:uiPriority w:val="99"/>
    <w:unhideWhenUsed/>
    <w:qFormat/>
    <w:rPr>
      <w:rFonts w:eastAsiaTheme="minorEastAsia" w:cstheme="minorBidi"/>
      <w:sz w:val="24"/>
      <w:szCs w:val="22"/>
    </w:rPr>
  </w:style>
  <w:style w:type="paragraph" w:customStyle="1" w:styleId="14">
    <w:name w:val="修订14"/>
    <w:autoRedefine/>
    <w:hidden/>
    <w:uiPriority w:val="99"/>
    <w:unhideWhenUsed/>
    <w:qFormat/>
    <w:rPr>
      <w:rFonts w:eastAsiaTheme="minorEastAsia" w:cstheme="minorBidi"/>
      <w:sz w:val="24"/>
      <w:szCs w:val="22"/>
    </w:rPr>
  </w:style>
  <w:style w:type="paragraph" w:customStyle="1" w:styleId="15">
    <w:name w:val="修订15"/>
    <w:autoRedefine/>
    <w:hidden/>
    <w:uiPriority w:val="99"/>
    <w:unhideWhenUsed/>
    <w:qFormat/>
    <w:rPr>
      <w:rFonts w:eastAsiaTheme="minorEastAsia" w:cstheme="minorBidi"/>
      <w:sz w:val="24"/>
      <w:szCs w:val="22"/>
    </w:rPr>
  </w:style>
  <w:style w:type="paragraph" w:customStyle="1" w:styleId="16">
    <w:name w:val="修订16"/>
    <w:autoRedefine/>
    <w:hidden/>
    <w:uiPriority w:val="99"/>
    <w:unhideWhenUsed/>
    <w:qFormat/>
    <w:rPr>
      <w:rFonts w:eastAsiaTheme="minorEastAsia" w:cstheme="minorBidi"/>
      <w:sz w:val="24"/>
      <w:szCs w:val="22"/>
    </w:rPr>
  </w:style>
  <w:style w:type="paragraph" w:customStyle="1" w:styleId="17">
    <w:name w:val="修订17"/>
    <w:autoRedefine/>
    <w:hidden/>
    <w:uiPriority w:val="99"/>
    <w:unhideWhenUsed/>
    <w:qFormat/>
    <w:rPr>
      <w:rFonts w:eastAsiaTheme="minorEastAsia" w:cstheme="minorBidi"/>
      <w:sz w:val="24"/>
      <w:szCs w:val="22"/>
    </w:rPr>
  </w:style>
  <w:style w:type="character" w:customStyle="1" w:styleId="50">
    <w:name w:val="未处理的提及5"/>
    <w:basedOn w:val="DefaultParagraphFont"/>
    <w:autoRedefine/>
    <w:uiPriority w:val="99"/>
    <w:semiHidden/>
    <w:unhideWhenUsed/>
    <w:qFormat/>
    <w:rPr>
      <w:color w:val="605E5C"/>
      <w:shd w:val="clear" w:color="auto" w:fill="E1DFDD"/>
    </w:rPr>
  </w:style>
  <w:style w:type="paragraph" w:customStyle="1" w:styleId="18">
    <w:name w:val="修订18"/>
    <w:autoRedefine/>
    <w:hidden/>
    <w:uiPriority w:val="99"/>
    <w:unhideWhenUsed/>
    <w:qFormat/>
    <w:rPr>
      <w:rFonts w:eastAsiaTheme="minorEastAsia" w:cstheme="minorBidi"/>
      <w:sz w:val="24"/>
      <w:szCs w:val="22"/>
    </w:rPr>
  </w:style>
  <w:style w:type="character" w:customStyle="1" w:styleId="60">
    <w:name w:val="未处理的提及6"/>
    <w:basedOn w:val="DefaultParagraphFont"/>
    <w:autoRedefine/>
    <w:uiPriority w:val="99"/>
    <w:semiHidden/>
    <w:unhideWhenUsed/>
    <w:qFormat/>
    <w:rPr>
      <w:color w:val="605E5C"/>
      <w:shd w:val="clear" w:color="auto" w:fill="E1DFDD"/>
    </w:rPr>
  </w:style>
  <w:style w:type="paragraph" w:customStyle="1" w:styleId="19">
    <w:name w:val="修订19"/>
    <w:autoRedefine/>
    <w:hidden/>
    <w:uiPriority w:val="99"/>
    <w:unhideWhenUsed/>
    <w:qFormat/>
    <w:rPr>
      <w:rFonts w:eastAsiaTheme="minorEastAsia" w:cstheme="minorBidi"/>
      <w:sz w:val="24"/>
      <w:szCs w:val="22"/>
    </w:rPr>
  </w:style>
  <w:style w:type="character" w:customStyle="1" w:styleId="70">
    <w:name w:val="未处理的提及7"/>
    <w:basedOn w:val="DefaultParagraphFont"/>
    <w:autoRedefine/>
    <w:uiPriority w:val="99"/>
    <w:semiHidden/>
    <w:unhideWhenUsed/>
    <w:qFormat/>
    <w:rPr>
      <w:color w:val="605E5C"/>
      <w:shd w:val="clear" w:color="auto" w:fill="E1DFDD"/>
    </w:rPr>
  </w:style>
  <w:style w:type="character" w:customStyle="1" w:styleId="80">
    <w:name w:val="未处理的提及8"/>
    <w:basedOn w:val="DefaultParagraphFont"/>
    <w:autoRedefine/>
    <w:uiPriority w:val="99"/>
    <w:semiHidden/>
    <w:unhideWhenUsed/>
    <w:qFormat/>
    <w:rPr>
      <w:color w:val="605E5C"/>
      <w:shd w:val="clear" w:color="auto" w:fill="E1DFDD"/>
    </w:rPr>
  </w:style>
  <w:style w:type="paragraph" w:customStyle="1" w:styleId="200">
    <w:name w:val="修订20"/>
    <w:autoRedefine/>
    <w:hidden/>
    <w:uiPriority w:val="99"/>
    <w:unhideWhenUsed/>
    <w:qFormat/>
    <w:rPr>
      <w:rFonts w:eastAsiaTheme="minorEastAsia" w:cstheme="minorBidi"/>
      <w:sz w:val="24"/>
      <w:szCs w:val="22"/>
    </w:rPr>
  </w:style>
  <w:style w:type="character" w:customStyle="1" w:styleId="90">
    <w:name w:val="未处理的提及9"/>
    <w:basedOn w:val="DefaultParagraphFont"/>
    <w:autoRedefine/>
    <w:uiPriority w:val="99"/>
    <w:semiHidden/>
    <w:unhideWhenUsed/>
    <w:qFormat/>
    <w:rPr>
      <w:color w:val="605E5C"/>
      <w:shd w:val="clear" w:color="auto" w:fill="E1DFDD"/>
    </w:rPr>
  </w:style>
  <w:style w:type="paragraph" w:customStyle="1" w:styleId="Revision4">
    <w:name w:val="Revision4"/>
    <w:autoRedefine/>
    <w:hidden/>
    <w:uiPriority w:val="99"/>
    <w:unhideWhenUsed/>
    <w:qFormat/>
    <w:rPr>
      <w:rFonts w:eastAsiaTheme="minorEastAsia" w:cstheme="minorBidi"/>
      <w:sz w:val="24"/>
      <w:szCs w:val="22"/>
    </w:rPr>
  </w:style>
  <w:style w:type="paragraph" w:customStyle="1" w:styleId="21">
    <w:name w:val="修订21"/>
    <w:autoRedefine/>
    <w:hidden/>
    <w:uiPriority w:val="99"/>
    <w:unhideWhenUsed/>
    <w:qFormat/>
    <w:rPr>
      <w:rFonts w:eastAsiaTheme="minorEastAsia" w:cstheme="minorBidi"/>
      <w:sz w:val="24"/>
      <w:szCs w:val="22"/>
    </w:rPr>
  </w:style>
  <w:style w:type="character" w:customStyle="1" w:styleId="FootnoteTextChar">
    <w:name w:val="Footnote Text Char"/>
    <w:basedOn w:val="DefaultParagraphFont"/>
    <w:link w:val="FootnoteText"/>
    <w:autoRedefine/>
    <w:qFormat/>
    <w:rPr>
      <w:rFonts w:eastAsiaTheme="minorEastAsia" w:cstheme="minorBidi"/>
    </w:rPr>
  </w:style>
  <w:style w:type="paragraph" w:customStyle="1" w:styleId="22">
    <w:name w:val="修订22"/>
    <w:autoRedefine/>
    <w:hidden/>
    <w:uiPriority w:val="99"/>
    <w:unhideWhenUsed/>
    <w:qFormat/>
    <w:rPr>
      <w:rFonts w:eastAsiaTheme="minorEastAsia" w:cstheme="minorBidi"/>
      <w:sz w:val="24"/>
      <w:szCs w:val="22"/>
    </w:rPr>
  </w:style>
  <w:style w:type="character" w:customStyle="1" w:styleId="101">
    <w:name w:val="未处理的提及10"/>
    <w:basedOn w:val="DefaultParagraphFont"/>
    <w:autoRedefine/>
    <w:uiPriority w:val="99"/>
    <w:semiHidden/>
    <w:unhideWhenUsed/>
    <w:qFormat/>
    <w:rPr>
      <w:color w:val="605E5C"/>
      <w:shd w:val="clear" w:color="auto" w:fill="E1DFDD"/>
    </w:rPr>
  </w:style>
  <w:style w:type="character" w:customStyle="1" w:styleId="muitypography-root">
    <w:name w:val="muitypography-root"/>
    <w:basedOn w:val="DefaultParagraphFont"/>
    <w:autoRedefine/>
    <w:qFormat/>
  </w:style>
  <w:style w:type="paragraph" w:customStyle="1" w:styleId="23">
    <w:name w:val="修订23"/>
    <w:autoRedefine/>
    <w:hidden/>
    <w:uiPriority w:val="99"/>
    <w:unhideWhenUsed/>
    <w:qFormat/>
    <w:rPr>
      <w:rFonts w:eastAsiaTheme="minorEastAsia" w:cstheme="minorBidi"/>
      <w:sz w:val="24"/>
      <w:szCs w:val="22"/>
    </w:rPr>
  </w:style>
  <w:style w:type="paragraph" w:customStyle="1" w:styleId="24">
    <w:name w:val="修订24"/>
    <w:hidden/>
    <w:uiPriority w:val="99"/>
    <w:unhideWhenUsed/>
    <w:qFormat/>
    <w:rPr>
      <w:rFonts w:eastAsiaTheme="minorEastAsia" w:cstheme="minorBidi"/>
      <w:sz w:val="24"/>
      <w:szCs w:val="22"/>
    </w:rPr>
  </w:style>
  <w:style w:type="paragraph" w:customStyle="1" w:styleId="25">
    <w:name w:val="修订25"/>
    <w:hidden/>
    <w:uiPriority w:val="99"/>
    <w:unhideWhenUsed/>
    <w:qFormat/>
    <w:rPr>
      <w:rFonts w:eastAsiaTheme="minorEastAsia" w:cstheme="minorBidi"/>
      <w:sz w:val="24"/>
      <w:szCs w:val="22"/>
    </w:rPr>
  </w:style>
  <w:style w:type="paragraph" w:customStyle="1" w:styleId="26">
    <w:name w:val="修订26"/>
    <w:hidden/>
    <w:uiPriority w:val="99"/>
    <w:unhideWhenUsed/>
    <w:qFormat/>
    <w:rPr>
      <w:rFonts w:eastAsiaTheme="minorEastAsia" w:cstheme="minorBidi"/>
      <w:sz w:val="24"/>
      <w:szCs w:val="22"/>
    </w:rPr>
  </w:style>
  <w:style w:type="character" w:customStyle="1" w:styleId="110">
    <w:name w:val="未处理的提及11"/>
    <w:basedOn w:val="DefaultParagraphFont"/>
    <w:uiPriority w:val="99"/>
    <w:semiHidden/>
    <w:unhideWhenUsed/>
    <w:qFormat/>
    <w:rPr>
      <w:color w:val="605E5C"/>
      <w:shd w:val="clear" w:color="auto" w:fill="E1DFDD"/>
    </w:rPr>
  </w:style>
  <w:style w:type="paragraph" w:customStyle="1" w:styleId="27">
    <w:name w:val="修订27"/>
    <w:hidden/>
    <w:uiPriority w:val="99"/>
    <w:unhideWhenUsed/>
    <w:qFormat/>
    <w:rPr>
      <w:rFonts w:eastAsiaTheme="minorEastAsia" w:cstheme="minorBidi"/>
      <w:sz w:val="24"/>
      <w:szCs w:val="22"/>
    </w:rPr>
  </w:style>
  <w:style w:type="paragraph" w:customStyle="1" w:styleId="28">
    <w:name w:val="修订28"/>
    <w:hidden/>
    <w:uiPriority w:val="99"/>
    <w:unhideWhenUsed/>
    <w:qFormat/>
    <w:rPr>
      <w:rFonts w:eastAsiaTheme="minorEastAsia" w:cstheme="minorBidi"/>
      <w:sz w:val="24"/>
      <w:szCs w:val="22"/>
    </w:rPr>
  </w:style>
  <w:style w:type="character" w:customStyle="1" w:styleId="120">
    <w:name w:val="未处理的提及12"/>
    <w:basedOn w:val="DefaultParagraphFont"/>
    <w:uiPriority w:val="99"/>
    <w:semiHidden/>
    <w:unhideWhenUsed/>
    <w:qFormat/>
    <w:rPr>
      <w:color w:val="605E5C"/>
      <w:shd w:val="clear" w:color="auto" w:fill="E1DFDD"/>
    </w:rPr>
  </w:style>
  <w:style w:type="paragraph" w:customStyle="1" w:styleId="29">
    <w:name w:val="修订29"/>
    <w:hidden/>
    <w:uiPriority w:val="99"/>
    <w:unhideWhenUsed/>
    <w:qFormat/>
    <w:rPr>
      <w:rFonts w:eastAsiaTheme="minorEastAsia" w:cstheme="minorBidi"/>
      <w:sz w:val="24"/>
      <w:szCs w:val="22"/>
    </w:rPr>
  </w:style>
  <w:style w:type="character" w:styleId="UnresolvedMention">
    <w:name w:val="Unresolved Mention"/>
    <w:basedOn w:val="DefaultParagraphFont"/>
    <w:uiPriority w:val="99"/>
    <w:semiHidden/>
    <w:unhideWhenUsed/>
    <w:rsid w:val="008429BF"/>
    <w:rPr>
      <w:color w:val="605E5C"/>
      <w:shd w:val="clear" w:color="auto" w:fill="E1DFDD"/>
    </w:rPr>
  </w:style>
  <w:style w:type="paragraph" w:styleId="Bibliography">
    <w:name w:val="Bibliography"/>
    <w:basedOn w:val="Normal"/>
    <w:next w:val="Normal"/>
    <w:uiPriority w:val="37"/>
    <w:unhideWhenUsed/>
    <w:rsid w:val="00193E58"/>
    <w:pPr>
      <w:spacing w:line="480" w:lineRule="auto"/>
      <w:ind w:left="720" w:hanging="720"/>
    </w:pPr>
  </w:style>
  <w:style w:type="paragraph" w:customStyle="1" w:styleId="font-claude-response-body">
    <w:name w:val="font-claude-response-body"/>
    <w:basedOn w:val="Normal"/>
    <w:rsid w:val="00007B74"/>
    <w:pPr>
      <w:spacing w:before="100" w:beforeAutospacing="1" w:after="100" w:afterAutospacing="1"/>
      <w:jc w:val="left"/>
    </w:pPr>
    <w:rPr>
      <w:rFonts w:eastAsia="Times New Roman" w:cs="Times New Roman"/>
      <w:szCs w:val="24"/>
      <w:lang w:val="en-HK"/>
    </w:rPr>
  </w:style>
  <w:style w:type="character" w:styleId="HTMLCode">
    <w:name w:val="HTML Code"/>
    <w:basedOn w:val="DefaultParagraphFont"/>
    <w:uiPriority w:val="99"/>
    <w:unhideWhenUsed/>
    <w:rsid w:val="007B42DE"/>
    <w:rPr>
      <w:rFonts w:ascii="Courier New" w:eastAsia="Times New Roman" w:hAnsi="Courier New" w:cs="Courier New"/>
      <w:sz w:val="20"/>
      <w:szCs w:val="20"/>
    </w:rPr>
  </w:style>
  <w:style w:type="paragraph" w:customStyle="1" w:styleId="whitespace-normal">
    <w:name w:val="whitespace-normal"/>
    <w:basedOn w:val="Normal"/>
    <w:rsid w:val="007B42DE"/>
    <w:pPr>
      <w:spacing w:before="100" w:beforeAutospacing="1" w:after="100" w:afterAutospacing="1"/>
      <w:jc w:val="left"/>
    </w:pPr>
    <w:rPr>
      <w:rFonts w:eastAsia="Times New Roman" w:cs="Times New Roman"/>
      <w:szCs w:val="24"/>
      <w:lang w:val="en-HK"/>
    </w:rPr>
  </w:style>
  <w:style w:type="character" w:customStyle="1" w:styleId="Heading4Char">
    <w:name w:val="Heading 4 Char"/>
    <w:basedOn w:val="DefaultParagraphFont"/>
    <w:link w:val="Heading4"/>
    <w:semiHidden/>
    <w:rsid w:val="00624283"/>
    <w:rPr>
      <w:rFonts w:asciiTheme="majorHAnsi" w:eastAsiaTheme="majorEastAsia" w:hAnsiTheme="majorHAnsi" w:cstheme="majorBidi"/>
      <w:i/>
      <w:iCs/>
      <w:color w:val="2D53A0" w:themeColor="accent1" w:themeShade="B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hrsa.gov/topics/health-workforce/nchwa/ahrf"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1.ncdc.noaa.gov/pub/data/ghcn/daily/"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cgis.com/apps/mapviewer/index.html?layers=d4090758322c4d32a4cd002ffaa0aa1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rcgis.com/home/item.html?id=6511edc77ec3430493cce610ab48f0c1" TargetMode="External"/><Relationship Id="rId4" Type="http://schemas.openxmlformats.org/officeDocument/2006/relationships/webSettings" Target="webSettings.xml"/><Relationship Id="rId9" Type="http://schemas.openxmlformats.org/officeDocument/2006/relationships/hyperlink" Target="https://www.huduser.gov/portal/datasets/usps_crosswalk.html" TargetMode="External"/><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726</TotalTime>
  <Pages>39</Pages>
  <Words>30037</Words>
  <Characters>171213</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故乡的云</dc:creator>
  <cp:lastModifiedBy>Meng Feng</cp:lastModifiedBy>
  <cp:revision>153</cp:revision>
  <dcterms:created xsi:type="dcterms:W3CDTF">2024-11-14T07:26:00Z</dcterms:created>
  <dcterms:modified xsi:type="dcterms:W3CDTF">2026-03-18T23:31:00Z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C57454888094427AB608BB845158A0EF_13</vt:lpwstr>
  </property>
  <property fmtid="{D5CDD505-2E9C-101B-9397-08002B2CF9AE}" pid="4" name="GrammarlyDocumentId">
    <vt:lpwstr>e6d38b556162a42a583212202f3f9e278be589b68264e1798cc1891f33d4029a</vt:lpwstr>
  </property>
  <property fmtid="{D5CDD505-2E9C-101B-9397-08002B2CF9AE}" pid="5" name="KSOTemplateDocerSaveRecord">
    <vt:lpwstr>eyJoZGlkIjoiNzZjNmQ1ZGYzMGZjOWI1NThiMzE1NTIyZGRiZDkzYTUiLCJ1c2VySWQiOiIzNzA4NDYyNjMifQ==</vt:lpwstr>
  </property>
  <property fmtid="{D5CDD505-2E9C-101B-9397-08002B2CF9AE}" pid="6" name="ZOTERO_PREF_1">
    <vt:lpwstr>&lt;data data-version="3" zotero-version="8.0.4"&gt;&lt;session id="qg6fjFRu"/&gt;&lt;style id="http://www.zotero.org/styles/apa" locale="en-US" hasBibliography="1" bibliographyStyleHasBeenSet="1"/&gt;&lt;prefs&gt;&lt;pref name="fieldType" value="Field"/&gt;&lt;/prefs&gt;&lt;/data&gt;</vt:lpwstr>
  </property>
</Properties>
</file>