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A30D" w14:textId="77777777" w:rsidR="000E703E" w:rsidRPr="00396B2C" w:rsidRDefault="000E703E" w:rsidP="000E703E">
      <w:pPr>
        <w:pStyle w:val="whitespace-normal"/>
        <w:spacing w:before="120" w:beforeAutospacing="0" w:after="120" w:afterAutospacing="0" w:line="480" w:lineRule="auto"/>
        <w:jc w:val="both"/>
        <w:rPr>
          <w:lang w:val="en-GB"/>
        </w:rPr>
      </w:pPr>
      <w:r w:rsidRPr="00396B2C">
        <w:rPr>
          <w:noProof/>
          <w:lang w:val="en-GB"/>
        </w:rPr>
        <w:drawing>
          <wp:inline distT="0" distB="0" distL="0" distR="0" wp14:anchorId="6BAD6CFA" wp14:editId="773A9952">
            <wp:extent cx="5727700" cy="4549140"/>
            <wp:effectExtent l="0" t="0" r="5715" b="0"/>
            <wp:docPr id="553889207" name="Picture 3" descr="A group of graphs and diagr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889207" name="Picture 3" descr="A group of graphs and diagram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54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41D90" w14:textId="77777777" w:rsidR="000E703E" w:rsidRPr="00396B2C" w:rsidRDefault="000E703E" w:rsidP="000E703E">
      <w:pPr>
        <w:pStyle w:val="whitespace-normal"/>
        <w:spacing w:before="120" w:beforeAutospacing="0" w:after="120" w:afterAutospacing="0" w:line="480" w:lineRule="auto"/>
        <w:jc w:val="both"/>
        <w:rPr>
          <w:lang w:val="en-GB"/>
        </w:rPr>
      </w:pPr>
      <w:r w:rsidRPr="00396B2C">
        <w:rPr>
          <w:b/>
          <w:bCs/>
          <w:lang w:val="en-GB"/>
        </w:rPr>
        <w:t xml:space="preserve">Fig. S1. </w:t>
      </w:r>
      <w:r w:rsidRPr="00396B2C">
        <w:rPr>
          <w:lang w:val="en-GB"/>
        </w:rPr>
        <w:t xml:space="preserve">Diagnostic plots for ITS model validity. </w:t>
      </w:r>
      <w:r w:rsidRPr="00396B2C">
        <w:rPr>
          <w:i/>
          <w:iCs/>
          <w:lang w:val="en-GB"/>
        </w:rPr>
        <w:t xml:space="preserve">Note: </w:t>
      </w:r>
      <w:r w:rsidRPr="00396B2C">
        <w:rPr>
          <w:lang w:val="en-GB"/>
        </w:rPr>
        <w:t xml:space="preserve">(A) Residuals vs fitted values showing random scatter without systematic patterns. (B) Normal Q-Q plot indicating acceptable normality with minor tail deviations. (C) Residuals over time showing no temporal trends; vertical line marks </w:t>
      </w:r>
      <w:proofErr w:type="spellStart"/>
      <w:r w:rsidRPr="00396B2C">
        <w:rPr>
          <w:lang w:val="en-GB"/>
        </w:rPr>
        <w:t>PrEP</w:t>
      </w:r>
      <w:proofErr w:type="spellEnd"/>
      <w:r w:rsidRPr="00396B2C">
        <w:rPr>
          <w:lang w:val="en-GB"/>
        </w:rPr>
        <w:t xml:space="preserve"> initiation (May 2021). (D) Autocorrelation function with all lags within 95% confidence bounds. (E) Partial autocorrelation function confirming no significant serial correlation. (F) Histogram of residuals approximating normal distribution.</w:t>
      </w:r>
    </w:p>
    <w:p w14:paraId="1B3EF01C" w14:textId="77777777" w:rsidR="000E703E" w:rsidRPr="00396B2C" w:rsidRDefault="000E703E" w:rsidP="000E703E">
      <w:pPr>
        <w:pStyle w:val="whitespace-normal"/>
        <w:spacing w:line="480" w:lineRule="auto"/>
        <w:jc w:val="both"/>
        <w:rPr>
          <w:lang w:val="en-GB"/>
        </w:rPr>
      </w:pPr>
    </w:p>
    <w:p w14:paraId="588E30FF" w14:textId="77777777" w:rsidR="000E703E" w:rsidRPr="00396B2C" w:rsidRDefault="000E703E" w:rsidP="000E703E">
      <w:pPr>
        <w:spacing w:line="480" w:lineRule="auto"/>
        <w:jc w:val="both"/>
        <w:rPr>
          <w:rFonts w:eastAsia="Times New Roman"/>
          <w:i/>
          <w:iCs/>
          <w:bdr w:val="none" w:sz="0" w:space="0" w:color="auto"/>
          <w:lang w:val="en-GB" w:eastAsia="en-GB"/>
        </w:rPr>
      </w:pPr>
      <w:r w:rsidRPr="00396B2C">
        <w:rPr>
          <w:i/>
          <w:iCs/>
          <w:lang w:val="en-GB"/>
        </w:rPr>
        <w:br w:type="page"/>
      </w:r>
    </w:p>
    <w:p w14:paraId="61FA83C5" w14:textId="77777777" w:rsidR="000E703E" w:rsidRPr="00396B2C" w:rsidRDefault="000E703E" w:rsidP="000E703E">
      <w:pPr>
        <w:pStyle w:val="whitespace-normal"/>
        <w:spacing w:before="120" w:beforeAutospacing="0" w:after="120" w:afterAutospacing="0" w:line="480" w:lineRule="auto"/>
        <w:jc w:val="both"/>
        <w:rPr>
          <w:lang w:val="en-GB"/>
        </w:rPr>
      </w:pPr>
      <w:r w:rsidRPr="00396B2C">
        <w:rPr>
          <w:noProof/>
          <w:lang w:val="en-GB"/>
        </w:rPr>
        <w:lastRenderedPageBreak/>
        <w:drawing>
          <wp:inline distT="0" distB="0" distL="0" distR="0" wp14:anchorId="1E18CB36" wp14:editId="3838AA2A">
            <wp:extent cx="5727700" cy="4064635"/>
            <wp:effectExtent l="0" t="0" r="0" b="0"/>
            <wp:docPr id="1046555465" name="Picture 2" descr="A graph with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555465" name="Picture 2" descr="A graph with blue lin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E144D" w14:textId="77777777" w:rsidR="000E703E" w:rsidRPr="00396B2C" w:rsidRDefault="000E703E" w:rsidP="000E703E">
      <w:pPr>
        <w:pStyle w:val="font-claude-response-body"/>
        <w:spacing w:before="120" w:beforeAutospacing="0" w:after="120" w:afterAutospacing="0" w:line="480" w:lineRule="auto"/>
        <w:jc w:val="both"/>
        <w:rPr>
          <w:lang w:val="en-GB"/>
        </w:rPr>
      </w:pPr>
      <w:r w:rsidRPr="00396B2C">
        <w:rPr>
          <w:b/>
          <w:bCs/>
          <w:lang w:val="en-GB"/>
        </w:rPr>
        <w:t xml:space="preserve">Fig. S2. </w:t>
      </w:r>
      <w:r w:rsidRPr="00396B2C">
        <w:rPr>
          <w:lang w:val="en-GB"/>
        </w:rPr>
        <w:t xml:space="preserve">Growth in </w:t>
      </w:r>
      <w:proofErr w:type="spellStart"/>
      <w:r w:rsidRPr="00396B2C">
        <w:rPr>
          <w:lang w:val="en-GB"/>
        </w:rPr>
        <w:t>PrEP</w:t>
      </w:r>
      <w:proofErr w:type="spellEnd"/>
      <w:r w:rsidRPr="00396B2C">
        <w:rPr>
          <w:lang w:val="en-GB"/>
        </w:rPr>
        <w:t xml:space="preserve"> users among GBMSM in Kazakhstan, May 2021–December 2024. </w:t>
      </w:r>
      <w:r w:rsidRPr="00396B2C">
        <w:rPr>
          <w:i/>
          <w:iCs/>
          <w:lang w:val="en-GB"/>
        </w:rPr>
        <w:t xml:space="preserve">Note: </w:t>
      </w:r>
      <w:r w:rsidRPr="00396B2C">
        <w:rPr>
          <w:lang w:val="en-GB"/>
        </w:rPr>
        <w:t xml:space="preserve">The graph shows cumulative current </w:t>
      </w:r>
      <w:proofErr w:type="spellStart"/>
      <w:r w:rsidRPr="00396B2C">
        <w:rPr>
          <w:lang w:val="en-GB"/>
        </w:rPr>
        <w:t>PrEP</w:t>
      </w:r>
      <w:proofErr w:type="spellEnd"/>
      <w:r w:rsidRPr="00396B2C">
        <w:rPr>
          <w:lang w:val="en-GB"/>
        </w:rPr>
        <w:t xml:space="preserve"> users over time, demonstrating sustained programme scale-up with a temporary plateau in 2023 followed by accelerated growth in 2024.</w:t>
      </w:r>
    </w:p>
    <w:p w14:paraId="657DB1DA" w14:textId="77777777" w:rsidR="000E703E" w:rsidRPr="00396B2C" w:rsidRDefault="000E703E" w:rsidP="000E703E">
      <w:pPr>
        <w:pStyle w:val="whitespace-normal"/>
        <w:spacing w:line="480" w:lineRule="auto"/>
        <w:jc w:val="both"/>
        <w:rPr>
          <w:lang w:val="en-GB"/>
        </w:rPr>
      </w:pPr>
    </w:p>
    <w:p w14:paraId="221CD6E8" w14:textId="77777777" w:rsidR="000E703E" w:rsidRPr="00396B2C" w:rsidRDefault="000E703E" w:rsidP="000E703E">
      <w:pPr>
        <w:pStyle w:val="whitespace-normal"/>
        <w:spacing w:line="480" w:lineRule="auto"/>
        <w:jc w:val="both"/>
        <w:rPr>
          <w:lang w:val="en-GB"/>
        </w:rPr>
      </w:pPr>
    </w:p>
    <w:p w14:paraId="476D4C89" w14:textId="77777777" w:rsidR="000E703E" w:rsidRPr="00396B2C" w:rsidRDefault="000E703E" w:rsidP="000E703E">
      <w:pPr>
        <w:spacing w:line="480" w:lineRule="auto"/>
        <w:jc w:val="both"/>
        <w:rPr>
          <w:rFonts w:eastAsia="Times New Roman"/>
          <w:bdr w:val="none" w:sz="0" w:space="0" w:color="auto"/>
          <w:lang w:val="en-GB" w:eastAsia="en-GB"/>
        </w:rPr>
      </w:pPr>
      <w:r w:rsidRPr="00396B2C">
        <w:rPr>
          <w:lang w:val="en-GB"/>
        </w:rPr>
        <w:br w:type="page"/>
      </w:r>
    </w:p>
    <w:p w14:paraId="471DFDD5" w14:textId="77777777" w:rsidR="000E703E" w:rsidRPr="00396B2C" w:rsidRDefault="000E703E" w:rsidP="000E703E">
      <w:pPr>
        <w:pStyle w:val="whitespace-normal"/>
        <w:spacing w:before="120" w:beforeAutospacing="0" w:after="120" w:afterAutospacing="0" w:line="480" w:lineRule="auto"/>
        <w:jc w:val="both"/>
        <w:rPr>
          <w:lang w:val="en-GB"/>
        </w:rPr>
      </w:pPr>
      <w:r w:rsidRPr="00396B2C">
        <w:rPr>
          <w:b/>
          <w:bCs/>
          <w:lang w:val="en-GB"/>
        </w:rPr>
        <w:lastRenderedPageBreak/>
        <w:t>Table S1:</w:t>
      </w:r>
      <w:r w:rsidRPr="00396B2C">
        <w:rPr>
          <w:lang w:val="en-GB"/>
        </w:rPr>
        <w:t xml:space="preserve"> Alternative Model Specifications</w:t>
      </w:r>
    </w:p>
    <w:p w14:paraId="649FBAF4" w14:textId="77777777" w:rsidR="000E703E" w:rsidRPr="002C73CD" w:rsidRDefault="000E703E" w:rsidP="000E703E">
      <w:pPr>
        <w:pStyle w:val="Heading3"/>
        <w:spacing w:before="120" w:after="120" w:line="480" w:lineRule="auto"/>
        <w:jc w:val="both"/>
        <w:rPr>
          <w:rFonts w:ascii="Times New Roman" w:hAnsi="Times New Roman" w:cs="Times New Roman"/>
          <w:b/>
          <w:bCs/>
          <w:color w:val="auto"/>
          <w:lang w:val="en-GB" w:eastAsia="en-GB"/>
        </w:rPr>
      </w:pPr>
      <w:r w:rsidRPr="002C73CD">
        <w:rPr>
          <w:rFonts w:ascii="Times New Roman" w:hAnsi="Times New Roman" w:cs="Times New Roman"/>
          <w:b/>
          <w:bCs/>
          <w:color w:val="auto"/>
          <w:lang w:val="en-GB"/>
        </w:rPr>
        <w:t>Part A: Model Coefficients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1421"/>
        <w:gridCol w:w="1640"/>
        <w:gridCol w:w="1313"/>
        <w:gridCol w:w="1251"/>
        <w:gridCol w:w="1266"/>
      </w:tblGrid>
      <w:tr w:rsidR="000E703E" w:rsidRPr="002C73CD" w14:paraId="3C7BFED1" w14:textId="77777777" w:rsidTr="00C215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D41607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Model Specification</w:t>
            </w:r>
          </w:p>
        </w:tc>
        <w:tc>
          <w:tcPr>
            <w:tcW w:w="0" w:type="auto"/>
            <w:vAlign w:val="center"/>
            <w:hideMark/>
          </w:tcPr>
          <w:p w14:paraId="095E0042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Observations</w:t>
            </w:r>
          </w:p>
        </w:tc>
        <w:tc>
          <w:tcPr>
            <w:tcW w:w="0" w:type="auto"/>
            <w:vAlign w:val="center"/>
            <w:hideMark/>
          </w:tcPr>
          <w:p w14:paraId="763CA529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β₀ (SE)</w:t>
            </w:r>
          </w:p>
        </w:tc>
        <w:tc>
          <w:tcPr>
            <w:tcW w:w="0" w:type="auto"/>
            <w:vAlign w:val="center"/>
            <w:hideMark/>
          </w:tcPr>
          <w:p w14:paraId="0F991726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β₁ (SE)</w:t>
            </w:r>
          </w:p>
        </w:tc>
        <w:tc>
          <w:tcPr>
            <w:tcW w:w="0" w:type="auto"/>
            <w:vAlign w:val="center"/>
            <w:hideMark/>
          </w:tcPr>
          <w:p w14:paraId="7F19CD04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β₂ (SE)</w:t>
            </w:r>
          </w:p>
        </w:tc>
        <w:tc>
          <w:tcPr>
            <w:tcW w:w="0" w:type="auto"/>
            <w:vAlign w:val="center"/>
            <w:hideMark/>
          </w:tcPr>
          <w:p w14:paraId="1BDB05D8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β₃ (SE)</w:t>
            </w:r>
          </w:p>
        </w:tc>
      </w:tr>
      <w:tr w:rsidR="000E703E" w:rsidRPr="002C73CD" w14:paraId="5F8AAF06" w14:textId="77777777" w:rsidTr="00C215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B7F79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Primary Linear</w:t>
            </w:r>
          </w:p>
        </w:tc>
        <w:tc>
          <w:tcPr>
            <w:tcW w:w="0" w:type="auto"/>
            <w:vAlign w:val="center"/>
            <w:hideMark/>
          </w:tcPr>
          <w:p w14:paraId="14864636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E4045D4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3.734 (</w:t>
            </w:r>
            <w:proofErr w:type="gramStart"/>
            <w:r w:rsidRPr="002C73CD">
              <w:rPr>
                <w:lang w:val="en-GB"/>
              </w:rPr>
              <w:t>0.611)*</w:t>
            </w:r>
            <w:proofErr w:type="gramEnd"/>
            <w:r w:rsidRPr="002C73CD">
              <w:rPr>
                <w:lang w:val="en-GB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14:paraId="02C3C969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-0.047 (0.065)</w:t>
            </w:r>
          </w:p>
        </w:tc>
        <w:tc>
          <w:tcPr>
            <w:tcW w:w="0" w:type="auto"/>
            <w:vAlign w:val="center"/>
            <w:hideMark/>
          </w:tcPr>
          <w:p w14:paraId="2C126A22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-0.254 (0.750)</w:t>
            </w:r>
          </w:p>
        </w:tc>
        <w:tc>
          <w:tcPr>
            <w:tcW w:w="0" w:type="auto"/>
            <w:vAlign w:val="center"/>
            <w:hideMark/>
          </w:tcPr>
          <w:p w14:paraId="597E5B8A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0.037 (0.067)</w:t>
            </w:r>
          </w:p>
        </w:tc>
      </w:tr>
      <w:tr w:rsidR="000E703E" w:rsidRPr="002C73CD" w14:paraId="74598B59" w14:textId="77777777" w:rsidTr="00C215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9569D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Quadratic Time</w:t>
            </w:r>
          </w:p>
        </w:tc>
        <w:tc>
          <w:tcPr>
            <w:tcW w:w="0" w:type="auto"/>
            <w:vAlign w:val="center"/>
            <w:hideMark/>
          </w:tcPr>
          <w:p w14:paraId="722CB247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37C0478D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3.715 (</w:t>
            </w:r>
            <w:proofErr w:type="gramStart"/>
            <w:r w:rsidRPr="002C73CD">
              <w:rPr>
                <w:lang w:val="en-GB"/>
              </w:rPr>
              <w:t>0.622)*</w:t>
            </w:r>
            <w:proofErr w:type="gramEnd"/>
            <w:r w:rsidRPr="002C73CD">
              <w:rPr>
                <w:lang w:val="en-GB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14:paraId="6685CC81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-0.039 (0.074)</w:t>
            </w:r>
          </w:p>
        </w:tc>
        <w:tc>
          <w:tcPr>
            <w:tcW w:w="0" w:type="auto"/>
            <w:vAlign w:val="center"/>
            <w:hideMark/>
          </w:tcPr>
          <w:p w14:paraId="36035A5D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-0.393 (0.753)</w:t>
            </w:r>
          </w:p>
        </w:tc>
        <w:tc>
          <w:tcPr>
            <w:tcW w:w="0" w:type="auto"/>
            <w:vAlign w:val="center"/>
            <w:hideMark/>
          </w:tcPr>
          <w:p w14:paraId="39AE7209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0.070 (0.095)</w:t>
            </w:r>
          </w:p>
        </w:tc>
      </w:tr>
      <w:tr w:rsidR="000E703E" w:rsidRPr="002C73CD" w14:paraId="61A8E0D5" w14:textId="77777777" w:rsidTr="00C215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3CB7F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Lag-Adjusted (3mo)</w:t>
            </w:r>
          </w:p>
        </w:tc>
        <w:tc>
          <w:tcPr>
            <w:tcW w:w="0" w:type="auto"/>
            <w:vAlign w:val="center"/>
            <w:hideMark/>
          </w:tcPr>
          <w:p w14:paraId="05E28BDA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5F1BCCF6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3.734 (</w:t>
            </w:r>
            <w:proofErr w:type="gramStart"/>
            <w:r w:rsidRPr="002C73CD">
              <w:rPr>
                <w:lang w:val="en-GB"/>
              </w:rPr>
              <w:t>0.623)*</w:t>
            </w:r>
            <w:proofErr w:type="gramEnd"/>
            <w:r w:rsidRPr="002C73CD">
              <w:rPr>
                <w:lang w:val="en-GB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14:paraId="4892DDFF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-0.047 (0.067)</w:t>
            </w:r>
          </w:p>
        </w:tc>
        <w:tc>
          <w:tcPr>
            <w:tcW w:w="0" w:type="auto"/>
            <w:vAlign w:val="center"/>
            <w:hideMark/>
          </w:tcPr>
          <w:p w14:paraId="455B574E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-0.345 (0.762)</w:t>
            </w:r>
          </w:p>
        </w:tc>
        <w:tc>
          <w:tcPr>
            <w:tcW w:w="0" w:type="auto"/>
            <w:vAlign w:val="center"/>
            <w:hideMark/>
          </w:tcPr>
          <w:p w14:paraId="5C3112BE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0.039 (0.069)</w:t>
            </w:r>
          </w:p>
        </w:tc>
      </w:tr>
      <w:tr w:rsidR="000E703E" w:rsidRPr="002C73CD" w14:paraId="56B42B54" w14:textId="77777777" w:rsidTr="00C215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6351B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Testing Volume Control</w:t>
            </w:r>
          </w:p>
        </w:tc>
        <w:tc>
          <w:tcPr>
            <w:tcW w:w="0" w:type="auto"/>
            <w:vAlign w:val="center"/>
            <w:hideMark/>
          </w:tcPr>
          <w:p w14:paraId="1CF00B9A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3FF9CEAA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19.765 (</w:t>
            </w:r>
            <w:proofErr w:type="gramStart"/>
            <w:r w:rsidRPr="002C73CD">
              <w:rPr>
                <w:lang w:val="en-GB"/>
              </w:rPr>
              <w:t>1.799)*</w:t>
            </w:r>
            <w:proofErr w:type="gramEnd"/>
            <w:r w:rsidRPr="002C73CD">
              <w:rPr>
                <w:lang w:val="en-GB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14:paraId="6D7A20AE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0.053 (</w:t>
            </w:r>
            <w:proofErr w:type="gramStart"/>
            <w:r w:rsidRPr="002C73CD">
              <w:rPr>
                <w:lang w:val="en-GB"/>
              </w:rPr>
              <w:t>0.030)†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14493A6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-0.056 (0.424)</w:t>
            </w:r>
          </w:p>
        </w:tc>
        <w:tc>
          <w:tcPr>
            <w:tcW w:w="0" w:type="auto"/>
            <w:vAlign w:val="center"/>
            <w:hideMark/>
          </w:tcPr>
          <w:p w14:paraId="3EE0F217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-0.028 (0.029)</w:t>
            </w:r>
          </w:p>
        </w:tc>
      </w:tr>
    </w:tbl>
    <w:p w14:paraId="58EF2C0D" w14:textId="77777777" w:rsidR="000E703E" w:rsidRPr="002C73CD" w:rsidRDefault="000E703E" w:rsidP="000E703E">
      <w:pPr>
        <w:pStyle w:val="Heading3"/>
        <w:spacing w:before="120" w:after="120" w:line="480" w:lineRule="auto"/>
        <w:jc w:val="both"/>
        <w:rPr>
          <w:rFonts w:ascii="Times New Roman" w:hAnsi="Times New Roman" w:cs="Times New Roman"/>
          <w:b/>
          <w:bCs/>
          <w:color w:val="auto"/>
          <w:lang w:val="en-GB"/>
        </w:rPr>
      </w:pPr>
      <w:r w:rsidRPr="002C73CD">
        <w:rPr>
          <w:rFonts w:ascii="Times New Roman" w:hAnsi="Times New Roman" w:cs="Times New Roman"/>
          <w:b/>
          <w:bCs/>
          <w:color w:val="auto"/>
          <w:lang w:val="en-GB"/>
        </w:rPr>
        <w:t>Part B: Model Fit Statistics</w:t>
      </w:r>
    </w:p>
    <w:tbl>
      <w:tblPr>
        <w:tblW w:w="89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2"/>
        <w:gridCol w:w="809"/>
        <w:gridCol w:w="1764"/>
        <w:gridCol w:w="809"/>
        <w:gridCol w:w="2291"/>
      </w:tblGrid>
      <w:tr w:rsidR="000E703E" w:rsidRPr="002C73CD" w14:paraId="39F7F35D" w14:textId="77777777" w:rsidTr="00C21584">
        <w:trPr>
          <w:trHeight w:val="30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79D632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Model Specification</w:t>
            </w:r>
          </w:p>
        </w:tc>
        <w:tc>
          <w:tcPr>
            <w:tcW w:w="0" w:type="auto"/>
            <w:vAlign w:val="center"/>
            <w:hideMark/>
          </w:tcPr>
          <w:p w14:paraId="5F1B3672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R²</w:t>
            </w:r>
          </w:p>
        </w:tc>
        <w:tc>
          <w:tcPr>
            <w:tcW w:w="0" w:type="auto"/>
            <w:vAlign w:val="center"/>
            <w:hideMark/>
          </w:tcPr>
          <w:p w14:paraId="32049E0A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Adjusted R²</w:t>
            </w:r>
          </w:p>
        </w:tc>
        <w:tc>
          <w:tcPr>
            <w:tcW w:w="0" w:type="auto"/>
            <w:vAlign w:val="center"/>
            <w:hideMark/>
          </w:tcPr>
          <w:p w14:paraId="762FAB50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AIC</w:t>
            </w:r>
          </w:p>
        </w:tc>
        <w:tc>
          <w:tcPr>
            <w:tcW w:w="0" w:type="auto"/>
            <w:vAlign w:val="center"/>
            <w:hideMark/>
          </w:tcPr>
          <w:p w14:paraId="1DCC196C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Durbin-Watson</w:t>
            </w:r>
          </w:p>
        </w:tc>
      </w:tr>
      <w:tr w:rsidR="000E703E" w:rsidRPr="002C73CD" w14:paraId="2874E044" w14:textId="77777777" w:rsidTr="00C21584">
        <w:trPr>
          <w:trHeight w:val="304"/>
          <w:tblCellSpacing w:w="15" w:type="dxa"/>
        </w:trPr>
        <w:tc>
          <w:tcPr>
            <w:tcW w:w="0" w:type="auto"/>
            <w:vAlign w:val="center"/>
            <w:hideMark/>
          </w:tcPr>
          <w:p w14:paraId="78401A49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Primary Linear</w:t>
            </w:r>
          </w:p>
        </w:tc>
        <w:tc>
          <w:tcPr>
            <w:tcW w:w="0" w:type="auto"/>
            <w:vAlign w:val="center"/>
            <w:hideMark/>
          </w:tcPr>
          <w:p w14:paraId="4E3D6B1D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0.127</w:t>
            </w:r>
          </w:p>
        </w:tc>
        <w:tc>
          <w:tcPr>
            <w:tcW w:w="0" w:type="auto"/>
            <w:vAlign w:val="center"/>
            <w:hideMark/>
          </w:tcPr>
          <w:p w14:paraId="25431679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0.080</w:t>
            </w:r>
          </w:p>
        </w:tc>
        <w:tc>
          <w:tcPr>
            <w:tcW w:w="0" w:type="auto"/>
            <w:vAlign w:val="center"/>
            <w:hideMark/>
          </w:tcPr>
          <w:p w14:paraId="19C1D8C1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190.3</w:t>
            </w:r>
          </w:p>
        </w:tc>
        <w:tc>
          <w:tcPr>
            <w:tcW w:w="0" w:type="auto"/>
            <w:vAlign w:val="center"/>
            <w:hideMark/>
          </w:tcPr>
          <w:p w14:paraId="3CA531D0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1.80</w:t>
            </w:r>
          </w:p>
        </w:tc>
      </w:tr>
      <w:tr w:rsidR="000E703E" w:rsidRPr="002C73CD" w14:paraId="5FB120E1" w14:textId="77777777" w:rsidTr="00C21584">
        <w:trPr>
          <w:trHeight w:val="304"/>
          <w:tblCellSpacing w:w="15" w:type="dxa"/>
        </w:trPr>
        <w:tc>
          <w:tcPr>
            <w:tcW w:w="0" w:type="auto"/>
            <w:vAlign w:val="center"/>
            <w:hideMark/>
          </w:tcPr>
          <w:p w14:paraId="26CC532B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Quadratic Time</w:t>
            </w:r>
          </w:p>
        </w:tc>
        <w:tc>
          <w:tcPr>
            <w:tcW w:w="0" w:type="auto"/>
            <w:vAlign w:val="center"/>
            <w:hideMark/>
          </w:tcPr>
          <w:p w14:paraId="079F5085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0.130</w:t>
            </w:r>
          </w:p>
        </w:tc>
        <w:tc>
          <w:tcPr>
            <w:tcW w:w="0" w:type="auto"/>
            <w:vAlign w:val="center"/>
            <w:hideMark/>
          </w:tcPr>
          <w:p w14:paraId="05E0C521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0.067</w:t>
            </w:r>
          </w:p>
        </w:tc>
        <w:tc>
          <w:tcPr>
            <w:tcW w:w="0" w:type="auto"/>
            <w:vAlign w:val="center"/>
            <w:hideMark/>
          </w:tcPr>
          <w:p w14:paraId="1AF7290E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192.1</w:t>
            </w:r>
          </w:p>
        </w:tc>
        <w:tc>
          <w:tcPr>
            <w:tcW w:w="0" w:type="auto"/>
            <w:vAlign w:val="center"/>
            <w:hideMark/>
          </w:tcPr>
          <w:p w14:paraId="16EEBC0E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1.81</w:t>
            </w:r>
          </w:p>
        </w:tc>
      </w:tr>
      <w:tr w:rsidR="000E703E" w:rsidRPr="002C73CD" w14:paraId="48E2BF74" w14:textId="77777777" w:rsidTr="00C21584">
        <w:trPr>
          <w:trHeight w:val="304"/>
          <w:tblCellSpacing w:w="15" w:type="dxa"/>
        </w:trPr>
        <w:tc>
          <w:tcPr>
            <w:tcW w:w="0" w:type="auto"/>
            <w:vAlign w:val="center"/>
            <w:hideMark/>
          </w:tcPr>
          <w:p w14:paraId="29472FA2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Lag-Adjusted (3mo)</w:t>
            </w:r>
          </w:p>
        </w:tc>
        <w:tc>
          <w:tcPr>
            <w:tcW w:w="0" w:type="auto"/>
            <w:vAlign w:val="center"/>
            <w:hideMark/>
          </w:tcPr>
          <w:p w14:paraId="2AFB0FCD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0.130</w:t>
            </w:r>
          </w:p>
        </w:tc>
        <w:tc>
          <w:tcPr>
            <w:tcW w:w="0" w:type="auto"/>
            <w:vAlign w:val="center"/>
            <w:hideMark/>
          </w:tcPr>
          <w:p w14:paraId="7C99FCEB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0.080</w:t>
            </w:r>
          </w:p>
        </w:tc>
        <w:tc>
          <w:tcPr>
            <w:tcW w:w="0" w:type="auto"/>
            <w:vAlign w:val="center"/>
            <w:hideMark/>
          </w:tcPr>
          <w:p w14:paraId="3A88AE38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183.1</w:t>
            </w:r>
          </w:p>
        </w:tc>
        <w:tc>
          <w:tcPr>
            <w:tcW w:w="0" w:type="auto"/>
            <w:vAlign w:val="center"/>
            <w:hideMark/>
          </w:tcPr>
          <w:p w14:paraId="289074EF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1.75</w:t>
            </w:r>
          </w:p>
        </w:tc>
      </w:tr>
      <w:tr w:rsidR="000E703E" w:rsidRPr="002C73CD" w14:paraId="4EC0F77E" w14:textId="77777777" w:rsidTr="00C21584">
        <w:trPr>
          <w:trHeight w:val="304"/>
          <w:tblCellSpacing w:w="15" w:type="dxa"/>
        </w:trPr>
        <w:tc>
          <w:tcPr>
            <w:tcW w:w="0" w:type="auto"/>
            <w:vAlign w:val="center"/>
            <w:hideMark/>
          </w:tcPr>
          <w:p w14:paraId="3DD79BAF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Testing Volume Control</w:t>
            </w:r>
          </w:p>
        </w:tc>
        <w:tc>
          <w:tcPr>
            <w:tcW w:w="0" w:type="auto"/>
            <w:vAlign w:val="center"/>
            <w:hideMark/>
          </w:tcPr>
          <w:p w14:paraId="137C5A8C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rStyle w:val="Strong"/>
                <w:lang w:val="en-GB"/>
              </w:rPr>
              <w:t>0.663</w:t>
            </w:r>
          </w:p>
        </w:tc>
        <w:tc>
          <w:tcPr>
            <w:tcW w:w="0" w:type="auto"/>
            <w:vAlign w:val="center"/>
            <w:hideMark/>
          </w:tcPr>
          <w:p w14:paraId="24AA7BC3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rStyle w:val="Strong"/>
                <w:lang w:val="en-GB"/>
              </w:rPr>
              <w:t>0.638</w:t>
            </w:r>
          </w:p>
        </w:tc>
        <w:tc>
          <w:tcPr>
            <w:tcW w:w="0" w:type="auto"/>
            <w:vAlign w:val="center"/>
            <w:hideMark/>
          </w:tcPr>
          <w:p w14:paraId="3B5AA595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rStyle w:val="Strong"/>
                <w:lang w:val="en-GB"/>
              </w:rPr>
              <w:t>135.2</w:t>
            </w:r>
          </w:p>
        </w:tc>
        <w:tc>
          <w:tcPr>
            <w:tcW w:w="0" w:type="auto"/>
            <w:vAlign w:val="center"/>
            <w:hideMark/>
          </w:tcPr>
          <w:p w14:paraId="1F8F1262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1.70</w:t>
            </w:r>
          </w:p>
        </w:tc>
      </w:tr>
    </w:tbl>
    <w:p w14:paraId="5BE377F6" w14:textId="77777777" w:rsidR="000E703E" w:rsidRPr="002C73CD" w:rsidRDefault="000E703E" w:rsidP="000E703E">
      <w:pPr>
        <w:spacing w:before="120" w:after="120" w:line="480" w:lineRule="auto"/>
        <w:jc w:val="both"/>
        <w:rPr>
          <w:rStyle w:val="Strong"/>
          <w:rFonts w:asciiTheme="majorHAnsi" w:eastAsiaTheme="majorEastAsia" w:hAnsiTheme="majorHAnsi" w:cstheme="majorBidi"/>
          <w:b w:val="0"/>
          <w:bCs w:val="0"/>
          <w:lang w:val="en-GB"/>
        </w:rPr>
      </w:pPr>
      <w:r w:rsidRPr="002C73CD">
        <w:rPr>
          <w:rStyle w:val="Strong"/>
          <w:i/>
          <w:iCs/>
          <w:lang w:val="en-GB"/>
        </w:rPr>
        <w:lastRenderedPageBreak/>
        <w:t>Note:</w:t>
      </w:r>
      <w:r w:rsidRPr="002C73CD">
        <w:rPr>
          <w:rStyle w:val="Strong"/>
          <w:lang w:val="en-GB"/>
        </w:rPr>
        <w:t xml:space="preserve"> SE = standard error. Significance: ***p&lt;0.001; **p&lt;0.01; *p&lt;0.05; †p&lt;0.10. All models estimated using ordinary least squares with Newey-West HAC robust standard errors. DW statistics between 1.7–2.0 indicate acceptable autocorrelation. Testing volume control model includes </w:t>
      </w:r>
      <w:proofErr w:type="gramStart"/>
      <w:r w:rsidRPr="002C73CD">
        <w:rPr>
          <w:rStyle w:val="Strong"/>
          <w:lang w:val="en-GB"/>
        </w:rPr>
        <w:t>log(</w:t>
      </w:r>
      <w:proofErr w:type="gramEnd"/>
      <w:r w:rsidRPr="002C73CD">
        <w:rPr>
          <w:rStyle w:val="Strong"/>
          <w:lang w:val="en-GB"/>
        </w:rPr>
        <w:t>testing volume) as additional covariate, substantially improving fit (R² increases from 0.127 to 0.663) while intervention parameters maintain beneficial direction, indicating positivity reduction is not merely a testing artefact.</w:t>
      </w:r>
      <w:r w:rsidRPr="002C73CD">
        <w:rPr>
          <w:rStyle w:val="Strong"/>
          <w:lang w:val="en-GB"/>
        </w:rPr>
        <w:br w:type="page"/>
      </w:r>
    </w:p>
    <w:p w14:paraId="407DF461" w14:textId="77777777" w:rsidR="000E703E" w:rsidRPr="002C73CD" w:rsidRDefault="000E703E" w:rsidP="000E703E">
      <w:pPr>
        <w:pStyle w:val="font-claude-response-body"/>
        <w:spacing w:before="120" w:beforeAutospacing="0" w:after="120" w:afterAutospacing="0" w:line="480" w:lineRule="auto"/>
        <w:jc w:val="both"/>
        <w:rPr>
          <w:lang w:val="en-GB"/>
        </w:rPr>
      </w:pPr>
      <w:r w:rsidRPr="002C73CD">
        <w:rPr>
          <w:rStyle w:val="Strong"/>
          <w:lang w:val="en-GB"/>
        </w:rPr>
        <w:lastRenderedPageBreak/>
        <w:t>Table S2. Interrupted Time Series Analysis of Alternative Outcomes</w:t>
      </w:r>
    </w:p>
    <w:p w14:paraId="3B15092D" w14:textId="77777777" w:rsidR="000E703E" w:rsidRPr="002C73CD" w:rsidRDefault="000E703E" w:rsidP="000E703E">
      <w:pPr>
        <w:pStyle w:val="Heading3"/>
        <w:spacing w:before="120" w:after="120" w:line="480" w:lineRule="auto"/>
        <w:jc w:val="both"/>
        <w:rPr>
          <w:rFonts w:ascii="Times New Roman" w:hAnsi="Times New Roman" w:cs="Times New Roman"/>
          <w:b/>
          <w:bCs/>
          <w:color w:val="auto"/>
          <w:lang w:val="en-GB"/>
        </w:rPr>
      </w:pPr>
      <w:r w:rsidRPr="002C73CD">
        <w:rPr>
          <w:rFonts w:ascii="Times New Roman" w:hAnsi="Times New Roman" w:cs="Times New Roman"/>
          <w:b/>
          <w:bCs/>
          <w:color w:val="auto"/>
          <w:lang w:val="en-GB"/>
        </w:rPr>
        <w:t>Part A: Descriptive Statistics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2142"/>
        <w:gridCol w:w="2176"/>
        <w:gridCol w:w="1320"/>
        <w:gridCol w:w="1268"/>
      </w:tblGrid>
      <w:tr w:rsidR="000E703E" w:rsidRPr="002C73CD" w14:paraId="1A49FD87" w14:textId="77777777" w:rsidTr="00C215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0DD851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Outcome Measure</w:t>
            </w:r>
          </w:p>
        </w:tc>
        <w:tc>
          <w:tcPr>
            <w:tcW w:w="0" w:type="auto"/>
            <w:vAlign w:val="center"/>
            <w:hideMark/>
          </w:tcPr>
          <w:p w14:paraId="7B307483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Pre-</w:t>
            </w:r>
            <w:proofErr w:type="spellStart"/>
            <w:r w:rsidRPr="002C73CD">
              <w:rPr>
                <w:b/>
                <w:bCs/>
                <w:lang w:val="en-GB"/>
              </w:rPr>
              <w:t>PrEP</w:t>
            </w:r>
            <w:proofErr w:type="spellEnd"/>
            <w:r w:rsidRPr="002C73CD">
              <w:rPr>
                <w:b/>
                <w:bCs/>
                <w:lang w:val="en-GB"/>
              </w:rPr>
              <w:t xml:space="preserve"> Implementation</w:t>
            </w:r>
          </w:p>
        </w:tc>
        <w:tc>
          <w:tcPr>
            <w:tcW w:w="0" w:type="auto"/>
            <w:vAlign w:val="center"/>
            <w:hideMark/>
          </w:tcPr>
          <w:p w14:paraId="0CF2C4AC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Post-</w:t>
            </w:r>
            <w:proofErr w:type="spellStart"/>
            <w:r w:rsidRPr="002C73CD">
              <w:rPr>
                <w:b/>
                <w:bCs/>
                <w:lang w:val="en-GB"/>
              </w:rPr>
              <w:t>PrEP</w:t>
            </w:r>
            <w:proofErr w:type="spellEnd"/>
            <w:r w:rsidRPr="002C73CD">
              <w:rPr>
                <w:b/>
                <w:bCs/>
                <w:lang w:val="en-GB"/>
              </w:rPr>
              <w:t xml:space="preserve"> Implementation</w:t>
            </w:r>
          </w:p>
        </w:tc>
        <w:tc>
          <w:tcPr>
            <w:tcW w:w="0" w:type="auto"/>
            <w:vAlign w:val="center"/>
            <w:hideMark/>
          </w:tcPr>
          <w:p w14:paraId="586FB05B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Absolute Change</w:t>
            </w:r>
          </w:p>
        </w:tc>
        <w:tc>
          <w:tcPr>
            <w:tcW w:w="0" w:type="auto"/>
            <w:vAlign w:val="center"/>
            <w:hideMark/>
          </w:tcPr>
          <w:p w14:paraId="4FCD83E6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Relative Change</w:t>
            </w:r>
          </w:p>
        </w:tc>
      </w:tr>
      <w:tr w:rsidR="000E703E" w:rsidRPr="002C73CD" w14:paraId="17318122" w14:textId="77777777" w:rsidTr="00C215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FD7E5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Test Positivity Rate (%)</w:t>
            </w:r>
          </w:p>
        </w:tc>
        <w:tc>
          <w:tcPr>
            <w:tcW w:w="0" w:type="auto"/>
            <w:vAlign w:val="center"/>
            <w:hideMark/>
          </w:tcPr>
          <w:p w14:paraId="605A3A57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3.38 ± 1.62</w:t>
            </w:r>
          </w:p>
        </w:tc>
        <w:tc>
          <w:tcPr>
            <w:tcW w:w="0" w:type="auto"/>
            <w:vAlign w:val="center"/>
            <w:hideMark/>
          </w:tcPr>
          <w:p w14:paraId="007D06C2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2.51 ± 0.87</w:t>
            </w:r>
          </w:p>
        </w:tc>
        <w:tc>
          <w:tcPr>
            <w:tcW w:w="0" w:type="auto"/>
            <w:vAlign w:val="center"/>
            <w:hideMark/>
          </w:tcPr>
          <w:p w14:paraId="5778EA36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-0.87 pp</w:t>
            </w:r>
          </w:p>
        </w:tc>
        <w:tc>
          <w:tcPr>
            <w:tcW w:w="0" w:type="auto"/>
            <w:vAlign w:val="center"/>
            <w:hideMark/>
          </w:tcPr>
          <w:p w14:paraId="54BDFA20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-25.7%</w:t>
            </w:r>
          </w:p>
        </w:tc>
      </w:tr>
      <w:tr w:rsidR="000E703E" w:rsidRPr="002C73CD" w14:paraId="0B0036CC" w14:textId="77777777" w:rsidTr="00C215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3B138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Diagnosis Rate (per 1,000 GBMSM)</w:t>
            </w:r>
          </w:p>
        </w:tc>
        <w:tc>
          <w:tcPr>
            <w:tcW w:w="0" w:type="auto"/>
            <w:vAlign w:val="center"/>
            <w:hideMark/>
          </w:tcPr>
          <w:p w14:paraId="17229035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0.34 ± 0.09</w:t>
            </w:r>
          </w:p>
        </w:tc>
        <w:tc>
          <w:tcPr>
            <w:tcW w:w="0" w:type="auto"/>
            <w:vAlign w:val="center"/>
            <w:hideMark/>
          </w:tcPr>
          <w:p w14:paraId="2402F315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0.51 ± 0.10</w:t>
            </w:r>
          </w:p>
        </w:tc>
        <w:tc>
          <w:tcPr>
            <w:tcW w:w="0" w:type="auto"/>
            <w:vAlign w:val="center"/>
            <w:hideMark/>
          </w:tcPr>
          <w:p w14:paraId="20343E74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+0.17 per 1,000</w:t>
            </w:r>
          </w:p>
        </w:tc>
        <w:tc>
          <w:tcPr>
            <w:tcW w:w="0" w:type="auto"/>
            <w:vAlign w:val="center"/>
            <w:hideMark/>
          </w:tcPr>
          <w:p w14:paraId="0F4CA91B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+50.0%</w:t>
            </w:r>
          </w:p>
        </w:tc>
      </w:tr>
      <w:tr w:rsidR="000E703E" w:rsidRPr="002C73CD" w14:paraId="118AB36B" w14:textId="77777777" w:rsidTr="00C215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2D640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Late Diagnosis Rate (%)</w:t>
            </w:r>
          </w:p>
        </w:tc>
        <w:tc>
          <w:tcPr>
            <w:tcW w:w="0" w:type="auto"/>
            <w:vAlign w:val="center"/>
            <w:hideMark/>
          </w:tcPr>
          <w:p w14:paraId="79221A2E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15.65 ± 11.64</w:t>
            </w:r>
          </w:p>
        </w:tc>
        <w:tc>
          <w:tcPr>
            <w:tcW w:w="0" w:type="auto"/>
            <w:vAlign w:val="center"/>
            <w:hideMark/>
          </w:tcPr>
          <w:p w14:paraId="2C535B1C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15.78 ± 7.83</w:t>
            </w:r>
          </w:p>
        </w:tc>
        <w:tc>
          <w:tcPr>
            <w:tcW w:w="0" w:type="auto"/>
            <w:vAlign w:val="center"/>
            <w:hideMark/>
          </w:tcPr>
          <w:p w14:paraId="14DB1984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+0.13 pp</w:t>
            </w:r>
          </w:p>
        </w:tc>
        <w:tc>
          <w:tcPr>
            <w:tcW w:w="0" w:type="auto"/>
            <w:vAlign w:val="center"/>
            <w:hideMark/>
          </w:tcPr>
          <w:p w14:paraId="346E9659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+0.8%</w:t>
            </w:r>
          </w:p>
        </w:tc>
      </w:tr>
    </w:tbl>
    <w:p w14:paraId="1111D69B" w14:textId="77777777" w:rsidR="000E703E" w:rsidRPr="002C73CD" w:rsidRDefault="000E703E" w:rsidP="000E703E">
      <w:pPr>
        <w:spacing w:before="120" w:after="120" w:line="480" w:lineRule="auto"/>
        <w:jc w:val="both"/>
        <w:rPr>
          <w:lang w:val="en-GB"/>
        </w:rPr>
      </w:pPr>
      <w:r w:rsidRPr="002C73CD">
        <w:rPr>
          <w:rFonts w:eastAsiaTheme="majorEastAsia"/>
          <w:i/>
          <w:iCs/>
          <w:lang w:val="en-GB"/>
        </w:rPr>
        <w:t xml:space="preserve">Note: </w:t>
      </w:r>
      <w:r w:rsidRPr="002C73CD">
        <w:rPr>
          <w:rFonts w:eastAsiaTheme="majorEastAsia"/>
          <w:lang w:val="en-GB"/>
        </w:rPr>
        <w:t>Values are mean ± standard deviation. Pre-</w:t>
      </w:r>
      <w:proofErr w:type="spellStart"/>
      <w:r w:rsidRPr="002C73CD">
        <w:rPr>
          <w:rFonts w:eastAsiaTheme="majorEastAsia"/>
          <w:lang w:val="en-GB"/>
        </w:rPr>
        <w:t>PrEP</w:t>
      </w:r>
      <w:proofErr w:type="spellEnd"/>
      <w:r w:rsidRPr="002C73CD">
        <w:rPr>
          <w:rFonts w:eastAsiaTheme="majorEastAsia"/>
          <w:lang w:val="en-GB"/>
        </w:rPr>
        <w:t>: January 2020–April 2021 (n=16 months); Post-</w:t>
      </w:r>
      <w:proofErr w:type="spellStart"/>
      <w:r w:rsidRPr="002C73CD">
        <w:rPr>
          <w:rFonts w:eastAsiaTheme="majorEastAsia"/>
          <w:lang w:val="en-GB"/>
        </w:rPr>
        <w:t>PrEP</w:t>
      </w:r>
      <w:proofErr w:type="spellEnd"/>
      <w:r w:rsidRPr="002C73CD">
        <w:rPr>
          <w:rFonts w:eastAsiaTheme="majorEastAsia"/>
          <w:lang w:val="en-GB"/>
        </w:rPr>
        <w:t>: May 2021–December 2024 (n=44 months). pp = percentage points.</w:t>
      </w:r>
    </w:p>
    <w:p w14:paraId="7462BDC4" w14:textId="77777777" w:rsidR="000E703E" w:rsidRPr="002C73CD" w:rsidRDefault="000E703E" w:rsidP="000E703E">
      <w:pPr>
        <w:pStyle w:val="Heading3"/>
        <w:spacing w:before="120" w:after="120" w:line="480" w:lineRule="auto"/>
        <w:jc w:val="both"/>
        <w:rPr>
          <w:rFonts w:ascii="Times New Roman" w:hAnsi="Times New Roman" w:cs="Times New Roman"/>
          <w:b/>
          <w:bCs/>
          <w:color w:val="auto"/>
          <w:lang w:val="en-GB"/>
        </w:rPr>
      </w:pPr>
      <w:r w:rsidRPr="002C73CD">
        <w:rPr>
          <w:rFonts w:ascii="Times New Roman" w:hAnsi="Times New Roman" w:cs="Times New Roman"/>
          <w:b/>
          <w:bCs/>
          <w:color w:val="auto"/>
          <w:lang w:val="en-GB"/>
        </w:rPr>
        <w:t>Part B: ITS Model Results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1411"/>
        <w:gridCol w:w="1205"/>
        <w:gridCol w:w="715"/>
        <w:gridCol w:w="1412"/>
        <w:gridCol w:w="1095"/>
        <w:gridCol w:w="715"/>
        <w:gridCol w:w="615"/>
      </w:tblGrid>
      <w:tr w:rsidR="000E703E" w:rsidRPr="002C73CD" w14:paraId="2FBE3FEC" w14:textId="77777777" w:rsidTr="00C215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16F0A8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Outcome Measure</w:t>
            </w:r>
          </w:p>
        </w:tc>
        <w:tc>
          <w:tcPr>
            <w:tcW w:w="0" w:type="auto"/>
            <w:vAlign w:val="center"/>
            <w:hideMark/>
          </w:tcPr>
          <w:p w14:paraId="0A1B1874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β₂ (Level Change)</w:t>
            </w:r>
          </w:p>
        </w:tc>
        <w:tc>
          <w:tcPr>
            <w:tcW w:w="0" w:type="auto"/>
            <w:vAlign w:val="center"/>
            <w:hideMark/>
          </w:tcPr>
          <w:p w14:paraId="4C85CF30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95% CI</w:t>
            </w:r>
          </w:p>
        </w:tc>
        <w:tc>
          <w:tcPr>
            <w:tcW w:w="0" w:type="auto"/>
            <w:vAlign w:val="center"/>
            <w:hideMark/>
          </w:tcPr>
          <w:p w14:paraId="446A555B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p-value</w:t>
            </w:r>
          </w:p>
        </w:tc>
        <w:tc>
          <w:tcPr>
            <w:tcW w:w="0" w:type="auto"/>
            <w:vAlign w:val="center"/>
            <w:hideMark/>
          </w:tcPr>
          <w:p w14:paraId="3E5953A2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β₃ (Slope Change)</w:t>
            </w:r>
          </w:p>
        </w:tc>
        <w:tc>
          <w:tcPr>
            <w:tcW w:w="0" w:type="auto"/>
            <w:vAlign w:val="center"/>
            <w:hideMark/>
          </w:tcPr>
          <w:p w14:paraId="03EA43F3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95% CI</w:t>
            </w:r>
          </w:p>
        </w:tc>
        <w:tc>
          <w:tcPr>
            <w:tcW w:w="0" w:type="auto"/>
            <w:vAlign w:val="center"/>
            <w:hideMark/>
          </w:tcPr>
          <w:p w14:paraId="4D3D6970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p-value</w:t>
            </w:r>
          </w:p>
        </w:tc>
        <w:tc>
          <w:tcPr>
            <w:tcW w:w="0" w:type="auto"/>
            <w:vAlign w:val="center"/>
            <w:hideMark/>
          </w:tcPr>
          <w:p w14:paraId="4802D550" w14:textId="77777777" w:rsidR="000E703E" w:rsidRPr="002C73CD" w:rsidRDefault="000E703E" w:rsidP="00C21584">
            <w:pPr>
              <w:spacing w:before="120" w:after="120" w:line="480" w:lineRule="auto"/>
              <w:rPr>
                <w:b/>
                <w:bCs/>
                <w:lang w:val="en-GB"/>
              </w:rPr>
            </w:pPr>
            <w:r w:rsidRPr="002C73CD">
              <w:rPr>
                <w:b/>
                <w:bCs/>
                <w:lang w:val="en-GB"/>
              </w:rPr>
              <w:t>R²</w:t>
            </w:r>
          </w:p>
        </w:tc>
      </w:tr>
      <w:tr w:rsidR="000E703E" w:rsidRPr="002C73CD" w14:paraId="4E734D9E" w14:textId="77777777" w:rsidTr="00C215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6FCC1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Test Positivity Rate (%)</w:t>
            </w:r>
          </w:p>
        </w:tc>
        <w:tc>
          <w:tcPr>
            <w:tcW w:w="0" w:type="auto"/>
            <w:vAlign w:val="center"/>
            <w:hideMark/>
          </w:tcPr>
          <w:p w14:paraId="113B3E8D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14:paraId="28DB50CF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(-1.728, 1.220)</w:t>
            </w:r>
          </w:p>
        </w:tc>
        <w:tc>
          <w:tcPr>
            <w:tcW w:w="0" w:type="auto"/>
            <w:vAlign w:val="center"/>
            <w:hideMark/>
          </w:tcPr>
          <w:p w14:paraId="00B7E7C6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0.761</w:t>
            </w:r>
          </w:p>
        </w:tc>
        <w:tc>
          <w:tcPr>
            <w:tcW w:w="0" w:type="auto"/>
            <w:vAlign w:val="center"/>
            <w:hideMark/>
          </w:tcPr>
          <w:p w14:paraId="2A4350DA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+0.037</w:t>
            </w:r>
          </w:p>
        </w:tc>
        <w:tc>
          <w:tcPr>
            <w:tcW w:w="0" w:type="auto"/>
            <w:vAlign w:val="center"/>
            <w:hideMark/>
          </w:tcPr>
          <w:p w14:paraId="73817E54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(-0.095, 0.169)</w:t>
            </w:r>
          </w:p>
        </w:tc>
        <w:tc>
          <w:tcPr>
            <w:tcW w:w="0" w:type="auto"/>
            <w:vAlign w:val="center"/>
            <w:hideMark/>
          </w:tcPr>
          <w:p w14:paraId="49D85EA1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0.598</w:t>
            </w:r>
          </w:p>
        </w:tc>
        <w:tc>
          <w:tcPr>
            <w:tcW w:w="0" w:type="auto"/>
            <w:vAlign w:val="center"/>
            <w:hideMark/>
          </w:tcPr>
          <w:p w14:paraId="0CB31D2F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0.127</w:t>
            </w:r>
          </w:p>
        </w:tc>
      </w:tr>
      <w:tr w:rsidR="000E703E" w:rsidRPr="002C73CD" w14:paraId="69418EFA" w14:textId="77777777" w:rsidTr="00C215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5936B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Diagnosis Rate (per 1,000)</w:t>
            </w:r>
          </w:p>
        </w:tc>
        <w:tc>
          <w:tcPr>
            <w:tcW w:w="0" w:type="auto"/>
            <w:vAlign w:val="center"/>
            <w:hideMark/>
          </w:tcPr>
          <w:p w14:paraId="11A554BA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+0.052</w:t>
            </w:r>
          </w:p>
        </w:tc>
        <w:tc>
          <w:tcPr>
            <w:tcW w:w="0" w:type="auto"/>
            <w:vAlign w:val="center"/>
            <w:hideMark/>
          </w:tcPr>
          <w:p w14:paraId="0EB029C8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(-0.017, 0.121)</w:t>
            </w:r>
          </w:p>
        </w:tc>
        <w:tc>
          <w:tcPr>
            <w:tcW w:w="0" w:type="auto"/>
            <w:vAlign w:val="center"/>
            <w:hideMark/>
          </w:tcPr>
          <w:p w14:paraId="173F98B4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0.134</w:t>
            </w:r>
          </w:p>
        </w:tc>
        <w:tc>
          <w:tcPr>
            <w:tcW w:w="0" w:type="auto"/>
            <w:vAlign w:val="center"/>
            <w:hideMark/>
          </w:tcPr>
          <w:p w14:paraId="7DD1E9F5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-0.004</w:t>
            </w:r>
          </w:p>
        </w:tc>
        <w:tc>
          <w:tcPr>
            <w:tcW w:w="0" w:type="auto"/>
            <w:vAlign w:val="center"/>
            <w:hideMark/>
          </w:tcPr>
          <w:p w14:paraId="79096186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(-0.009, 0.001)</w:t>
            </w:r>
          </w:p>
        </w:tc>
        <w:tc>
          <w:tcPr>
            <w:tcW w:w="0" w:type="auto"/>
            <w:vAlign w:val="center"/>
            <w:hideMark/>
          </w:tcPr>
          <w:p w14:paraId="77EF45BE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0.116</w:t>
            </w:r>
          </w:p>
        </w:tc>
        <w:tc>
          <w:tcPr>
            <w:tcW w:w="0" w:type="auto"/>
            <w:vAlign w:val="center"/>
            <w:hideMark/>
          </w:tcPr>
          <w:p w14:paraId="315371CD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0.437</w:t>
            </w:r>
          </w:p>
        </w:tc>
      </w:tr>
      <w:tr w:rsidR="000E703E" w:rsidRPr="002C73CD" w14:paraId="134DC8DD" w14:textId="77777777" w:rsidTr="00C215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6EDEE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lastRenderedPageBreak/>
              <w:t>Late Diagnosis Rate (%)</w:t>
            </w:r>
          </w:p>
        </w:tc>
        <w:tc>
          <w:tcPr>
            <w:tcW w:w="0" w:type="auto"/>
            <w:vAlign w:val="center"/>
            <w:hideMark/>
          </w:tcPr>
          <w:p w14:paraId="71B28685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-8.418</w:t>
            </w:r>
          </w:p>
        </w:tc>
        <w:tc>
          <w:tcPr>
            <w:tcW w:w="0" w:type="auto"/>
            <w:vAlign w:val="center"/>
            <w:hideMark/>
          </w:tcPr>
          <w:p w14:paraId="68DF8BF5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(-19.509, 2.673)</w:t>
            </w:r>
          </w:p>
        </w:tc>
        <w:tc>
          <w:tcPr>
            <w:tcW w:w="0" w:type="auto"/>
            <w:vAlign w:val="center"/>
            <w:hideMark/>
          </w:tcPr>
          <w:p w14:paraId="63092891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0.134</w:t>
            </w:r>
          </w:p>
        </w:tc>
        <w:tc>
          <w:tcPr>
            <w:tcW w:w="0" w:type="auto"/>
            <w:vAlign w:val="center"/>
            <w:hideMark/>
          </w:tcPr>
          <w:p w14:paraId="71663876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-0.710</w:t>
            </w:r>
          </w:p>
        </w:tc>
        <w:tc>
          <w:tcPr>
            <w:tcW w:w="0" w:type="auto"/>
            <w:vAlign w:val="center"/>
            <w:hideMark/>
          </w:tcPr>
          <w:p w14:paraId="7990F562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(-1.713, 0.293)</w:t>
            </w:r>
          </w:p>
        </w:tc>
        <w:tc>
          <w:tcPr>
            <w:tcW w:w="0" w:type="auto"/>
            <w:vAlign w:val="center"/>
            <w:hideMark/>
          </w:tcPr>
          <w:p w14:paraId="4922ADCE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0.163</w:t>
            </w:r>
          </w:p>
        </w:tc>
        <w:tc>
          <w:tcPr>
            <w:tcW w:w="0" w:type="auto"/>
            <w:vAlign w:val="center"/>
            <w:hideMark/>
          </w:tcPr>
          <w:p w14:paraId="5272A5C1" w14:textId="77777777" w:rsidR="000E703E" w:rsidRPr="002C73CD" w:rsidRDefault="000E703E" w:rsidP="00C21584">
            <w:pPr>
              <w:spacing w:before="120" w:after="120" w:line="480" w:lineRule="auto"/>
              <w:rPr>
                <w:lang w:val="en-GB"/>
              </w:rPr>
            </w:pPr>
            <w:r w:rsidRPr="002C73CD">
              <w:rPr>
                <w:lang w:val="en-GB"/>
              </w:rPr>
              <w:t>0.057</w:t>
            </w:r>
          </w:p>
        </w:tc>
      </w:tr>
    </w:tbl>
    <w:p w14:paraId="2A1F8168" w14:textId="77777777" w:rsidR="000E703E" w:rsidRPr="002C73CD" w:rsidRDefault="000E703E" w:rsidP="000E703E">
      <w:pPr>
        <w:pStyle w:val="whitespace-normal"/>
        <w:spacing w:before="120" w:beforeAutospacing="0" w:after="120" w:afterAutospacing="0" w:line="480" w:lineRule="auto"/>
        <w:jc w:val="both"/>
        <w:rPr>
          <w:lang w:val="en-GB"/>
        </w:rPr>
      </w:pPr>
      <w:r w:rsidRPr="002C73CD">
        <w:rPr>
          <w:i/>
          <w:iCs/>
          <w:lang w:val="en-GB"/>
        </w:rPr>
        <w:t xml:space="preserve">Note: </w:t>
      </w:r>
      <w:r w:rsidRPr="002C73CD">
        <w:rPr>
          <w:lang w:val="en-GB"/>
        </w:rPr>
        <w:t>β₂ represents immediate level change at intervention; β₃ represents change in monthly slope. All models estimated using segmented regression with Newey-West robust standard errors.</w:t>
      </w:r>
    </w:p>
    <w:p w14:paraId="15B43253" w14:textId="77777777" w:rsidR="000E703E" w:rsidRPr="00396B2C" w:rsidRDefault="000E703E" w:rsidP="000E703E">
      <w:pPr>
        <w:spacing w:line="480" w:lineRule="auto"/>
        <w:jc w:val="both"/>
        <w:rPr>
          <w:rStyle w:val="Strong"/>
          <w:rFonts w:asciiTheme="majorHAnsi" w:eastAsiaTheme="majorEastAsia" w:hAnsiTheme="majorHAnsi" w:cstheme="majorBidi"/>
          <w:b w:val="0"/>
          <w:bCs w:val="0"/>
          <w:lang w:val="en-GB"/>
        </w:rPr>
      </w:pPr>
      <w:r w:rsidRPr="00396B2C">
        <w:rPr>
          <w:rStyle w:val="Strong"/>
          <w:lang w:val="en-GB"/>
        </w:rPr>
        <w:br w:type="page"/>
      </w:r>
    </w:p>
    <w:p w14:paraId="3CFB4ED4" w14:textId="77777777" w:rsidR="000E703E" w:rsidRPr="002C73CD" w:rsidRDefault="000E703E" w:rsidP="000E703E">
      <w:pPr>
        <w:pStyle w:val="Heading3"/>
        <w:spacing w:before="120" w:after="120" w:line="480" w:lineRule="auto"/>
        <w:jc w:val="both"/>
        <w:rPr>
          <w:rFonts w:ascii="Times New Roman" w:hAnsi="Times New Roman" w:cs="Times New Roman"/>
          <w:color w:val="auto"/>
          <w:lang w:val="en-GB"/>
        </w:rPr>
      </w:pPr>
      <w:r w:rsidRPr="002C73CD">
        <w:rPr>
          <w:rStyle w:val="Strong"/>
          <w:rFonts w:ascii="Times New Roman" w:hAnsi="Times New Roman" w:cs="Times New Roman"/>
          <w:color w:val="auto"/>
          <w:lang w:val="en-GB"/>
        </w:rPr>
        <w:lastRenderedPageBreak/>
        <w:t>Table S3: Power Analysis Details</w:t>
      </w:r>
    </w:p>
    <w:tbl>
      <w:tblPr>
        <w:tblW w:w="9106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8"/>
        <w:gridCol w:w="3078"/>
      </w:tblGrid>
      <w:tr w:rsidR="000E703E" w:rsidRPr="002C73CD" w14:paraId="18338AFE" w14:textId="77777777" w:rsidTr="00C21584">
        <w:trPr>
          <w:trHeight w:val="208"/>
        </w:trPr>
        <w:tc>
          <w:tcPr>
            <w:tcW w:w="60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0BE918" w14:textId="77777777" w:rsidR="000E703E" w:rsidRPr="002C73CD" w:rsidRDefault="000E703E" w:rsidP="00C21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480" w:lineRule="auto"/>
              <w:jc w:val="both"/>
              <w:rPr>
                <w:rFonts w:eastAsia="Times New Roman"/>
                <w:bdr w:val="none" w:sz="0" w:space="0" w:color="auto"/>
                <w:lang w:val="en-GB" w:eastAsia="en-GB"/>
              </w:rPr>
            </w:pPr>
            <w:r w:rsidRPr="002C73CD">
              <w:rPr>
                <w:b/>
                <w:bCs/>
                <w:lang w:val="en-GB"/>
              </w:rPr>
              <w:t>Parameter</w:t>
            </w:r>
          </w:p>
        </w:tc>
        <w:tc>
          <w:tcPr>
            <w:tcW w:w="30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F9FB89" w14:textId="77777777" w:rsidR="000E703E" w:rsidRPr="002C73CD" w:rsidRDefault="000E703E" w:rsidP="00C21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480" w:lineRule="auto"/>
              <w:jc w:val="both"/>
              <w:rPr>
                <w:rFonts w:eastAsia="Times New Roman"/>
                <w:bdr w:val="none" w:sz="0" w:space="0" w:color="auto"/>
                <w:lang w:val="en-GB" w:eastAsia="en-GB"/>
              </w:rPr>
            </w:pPr>
            <w:r w:rsidRPr="002C73CD">
              <w:rPr>
                <w:b/>
                <w:bCs/>
                <w:lang w:val="en-GB"/>
              </w:rPr>
              <w:t>Value</w:t>
            </w:r>
          </w:p>
        </w:tc>
      </w:tr>
      <w:tr w:rsidR="000E703E" w:rsidRPr="002C73CD" w14:paraId="21616F71" w14:textId="77777777" w:rsidTr="00C21584">
        <w:trPr>
          <w:trHeight w:val="226"/>
        </w:trPr>
        <w:tc>
          <w:tcPr>
            <w:tcW w:w="60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67EC0C" w14:textId="77777777" w:rsidR="000E703E" w:rsidRPr="002C73CD" w:rsidRDefault="000E703E" w:rsidP="00C21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480" w:lineRule="auto"/>
              <w:jc w:val="both"/>
              <w:rPr>
                <w:rFonts w:eastAsia="Times New Roman"/>
                <w:bdr w:val="none" w:sz="0" w:space="0" w:color="auto"/>
                <w:lang w:val="en-GB" w:eastAsia="en-GB"/>
              </w:rPr>
            </w:pPr>
            <w:r w:rsidRPr="002C73CD">
              <w:rPr>
                <w:lang w:val="en-GB"/>
              </w:rPr>
              <w:t>Sample size (n)</w:t>
            </w:r>
          </w:p>
        </w:tc>
        <w:tc>
          <w:tcPr>
            <w:tcW w:w="30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D73D90" w14:textId="77777777" w:rsidR="000E703E" w:rsidRPr="002C73CD" w:rsidRDefault="000E703E" w:rsidP="00C21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480" w:lineRule="auto"/>
              <w:jc w:val="both"/>
              <w:rPr>
                <w:rFonts w:eastAsia="Times New Roman"/>
                <w:bdr w:val="none" w:sz="0" w:space="0" w:color="auto"/>
                <w:lang w:val="en-GB" w:eastAsia="en-GB"/>
              </w:rPr>
            </w:pPr>
            <w:r w:rsidRPr="002C73CD">
              <w:rPr>
                <w:lang w:val="en-GB"/>
              </w:rPr>
              <w:t>60</w:t>
            </w:r>
          </w:p>
        </w:tc>
      </w:tr>
      <w:tr w:rsidR="000E703E" w:rsidRPr="002C73CD" w14:paraId="50529BE5" w14:textId="77777777" w:rsidTr="00C21584">
        <w:trPr>
          <w:trHeight w:val="208"/>
        </w:trPr>
        <w:tc>
          <w:tcPr>
            <w:tcW w:w="60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FD0962" w14:textId="77777777" w:rsidR="000E703E" w:rsidRPr="002C73CD" w:rsidRDefault="000E703E" w:rsidP="00C21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480" w:lineRule="auto"/>
              <w:jc w:val="both"/>
              <w:rPr>
                <w:rFonts w:eastAsia="Times New Roman"/>
                <w:bdr w:val="none" w:sz="0" w:space="0" w:color="auto"/>
                <w:lang w:val="en-GB" w:eastAsia="en-GB"/>
              </w:rPr>
            </w:pPr>
            <w:r w:rsidRPr="002C73CD">
              <w:rPr>
                <w:lang w:val="en-GB"/>
              </w:rPr>
              <w:t>Number of predictors</w:t>
            </w:r>
          </w:p>
        </w:tc>
        <w:tc>
          <w:tcPr>
            <w:tcW w:w="30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5DCB71" w14:textId="77777777" w:rsidR="000E703E" w:rsidRPr="002C73CD" w:rsidRDefault="000E703E" w:rsidP="00C21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480" w:lineRule="auto"/>
              <w:jc w:val="both"/>
              <w:rPr>
                <w:rFonts w:eastAsia="Times New Roman"/>
                <w:bdr w:val="none" w:sz="0" w:space="0" w:color="auto"/>
                <w:lang w:val="en-GB" w:eastAsia="en-GB"/>
              </w:rPr>
            </w:pPr>
            <w:r w:rsidRPr="002C73CD">
              <w:rPr>
                <w:lang w:val="en-GB"/>
              </w:rPr>
              <w:t>3</w:t>
            </w:r>
          </w:p>
        </w:tc>
      </w:tr>
      <w:tr w:rsidR="000E703E" w:rsidRPr="002C73CD" w14:paraId="0377A932" w14:textId="77777777" w:rsidTr="00C21584">
        <w:trPr>
          <w:trHeight w:val="208"/>
        </w:trPr>
        <w:tc>
          <w:tcPr>
            <w:tcW w:w="60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3384F9" w14:textId="77777777" w:rsidR="000E703E" w:rsidRPr="002C73CD" w:rsidRDefault="000E703E" w:rsidP="00C21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480" w:lineRule="auto"/>
              <w:jc w:val="both"/>
              <w:rPr>
                <w:rFonts w:eastAsia="Times New Roman"/>
                <w:bdr w:val="none" w:sz="0" w:space="0" w:color="auto"/>
                <w:lang w:val="en-GB" w:eastAsia="en-GB"/>
              </w:rPr>
            </w:pPr>
            <w:r w:rsidRPr="002C73CD">
              <w:rPr>
                <w:lang w:val="en-GB"/>
              </w:rPr>
              <w:t>Alpha level</w:t>
            </w:r>
          </w:p>
        </w:tc>
        <w:tc>
          <w:tcPr>
            <w:tcW w:w="30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8103B3" w14:textId="77777777" w:rsidR="000E703E" w:rsidRPr="002C73CD" w:rsidRDefault="000E703E" w:rsidP="00C21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480" w:lineRule="auto"/>
              <w:jc w:val="both"/>
              <w:rPr>
                <w:rFonts w:eastAsia="Times New Roman"/>
                <w:bdr w:val="none" w:sz="0" w:space="0" w:color="auto"/>
                <w:lang w:val="en-GB" w:eastAsia="en-GB"/>
              </w:rPr>
            </w:pPr>
            <w:r w:rsidRPr="002C73CD">
              <w:rPr>
                <w:lang w:val="en-GB"/>
              </w:rPr>
              <w:t>0.05</w:t>
            </w:r>
          </w:p>
        </w:tc>
      </w:tr>
      <w:tr w:rsidR="000E703E" w:rsidRPr="002C73CD" w14:paraId="3A63F6C0" w14:textId="77777777" w:rsidTr="00C21584">
        <w:trPr>
          <w:trHeight w:val="208"/>
        </w:trPr>
        <w:tc>
          <w:tcPr>
            <w:tcW w:w="60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A29B5D" w14:textId="77777777" w:rsidR="000E703E" w:rsidRPr="002C73CD" w:rsidRDefault="000E703E" w:rsidP="00C21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480" w:lineRule="auto"/>
              <w:jc w:val="both"/>
              <w:rPr>
                <w:rFonts w:eastAsia="Times New Roman"/>
                <w:bdr w:val="none" w:sz="0" w:space="0" w:color="auto"/>
                <w:lang w:val="en-GB" w:eastAsia="en-GB"/>
              </w:rPr>
            </w:pPr>
            <w:r w:rsidRPr="002C73CD">
              <w:rPr>
                <w:lang w:val="en-GB"/>
              </w:rPr>
              <w:t>R²</w:t>
            </w:r>
          </w:p>
        </w:tc>
        <w:tc>
          <w:tcPr>
            <w:tcW w:w="30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2EFB1B" w14:textId="77777777" w:rsidR="000E703E" w:rsidRPr="002C73CD" w:rsidRDefault="000E703E" w:rsidP="00C21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480" w:lineRule="auto"/>
              <w:jc w:val="both"/>
              <w:rPr>
                <w:rFonts w:eastAsia="Times New Roman"/>
                <w:bdr w:val="none" w:sz="0" w:space="0" w:color="auto"/>
                <w:lang w:val="en-GB" w:eastAsia="en-GB"/>
              </w:rPr>
            </w:pPr>
            <w:r w:rsidRPr="002C73CD">
              <w:rPr>
                <w:lang w:val="en-GB"/>
              </w:rPr>
              <w:t>0.127</w:t>
            </w:r>
          </w:p>
        </w:tc>
      </w:tr>
      <w:tr w:rsidR="000E703E" w:rsidRPr="002C73CD" w14:paraId="532451F0" w14:textId="77777777" w:rsidTr="00C21584">
        <w:trPr>
          <w:trHeight w:val="208"/>
        </w:trPr>
        <w:tc>
          <w:tcPr>
            <w:tcW w:w="60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FE0994" w14:textId="77777777" w:rsidR="000E703E" w:rsidRPr="002C73CD" w:rsidRDefault="000E703E" w:rsidP="00C21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480" w:lineRule="auto"/>
              <w:jc w:val="both"/>
              <w:rPr>
                <w:rFonts w:eastAsia="Times New Roman"/>
                <w:bdr w:val="none" w:sz="0" w:space="0" w:color="auto"/>
                <w:lang w:val="en-GB" w:eastAsia="en-GB"/>
              </w:rPr>
            </w:pPr>
            <w:r w:rsidRPr="002C73CD">
              <w:rPr>
                <w:lang w:val="en-GB"/>
              </w:rPr>
              <w:t>Adjusted R²</w:t>
            </w:r>
          </w:p>
        </w:tc>
        <w:tc>
          <w:tcPr>
            <w:tcW w:w="30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C246D6" w14:textId="77777777" w:rsidR="000E703E" w:rsidRPr="002C73CD" w:rsidRDefault="000E703E" w:rsidP="00C21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480" w:lineRule="auto"/>
              <w:jc w:val="both"/>
              <w:rPr>
                <w:rFonts w:eastAsia="Times New Roman"/>
                <w:bdr w:val="none" w:sz="0" w:space="0" w:color="auto"/>
                <w:lang w:val="en-GB" w:eastAsia="en-GB"/>
              </w:rPr>
            </w:pPr>
            <w:r w:rsidRPr="002C73CD">
              <w:rPr>
                <w:lang w:val="en-GB"/>
              </w:rPr>
              <w:t>0.080</w:t>
            </w:r>
          </w:p>
        </w:tc>
      </w:tr>
      <w:tr w:rsidR="000E703E" w:rsidRPr="002C73CD" w14:paraId="5D466ED4" w14:textId="77777777" w:rsidTr="00C21584">
        <w:trPr>
          <w:trHeight w:val="208"/>
        </w:trPr>
        <w:tc>
          <w:tcPr>
            <w:tcW w:w="60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6847FE" w14:textId="77777777" w:rsidR="000E703E" w:rsidRPr="002C73CD" w:rsidRDefault="000E703E" w:rsidP="00C21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480" w:lineRule="auto"/>
              <w:jc w:val="both"/>
              <w:rPr>
                <w:rFonts w:eastAsia="Times New Roman"/>
                <w:bdr w:val="none" w:sz="0" w:space="0" w:color="auto"/>
                <w:lang w:val="en-GB" w:eastAsia="en-GB"/>
              </w:rPr>
            </w:pPr>
            <w:r w:rsidRPr="002C73CD">
              <w:rPr>
                <w:lang w:val="en-GB"/>
              </w:rPr>
              <w:t>Cohen's f²</w:t>
            </w:r>
          </w:p>
        </w:tc>
        <w:tc>
          <w:tcPr>
            <w:tcW w:w="30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9EB304" w14:textId="77777777" w:rsidR="000E703E" w:rsidRPr="002C73CD" w:rsidRDefault="000E703E" w:rsidP="00C21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480" w:lineRule="auto"/>
              <w:jc w:val="both"/>
              <w:rPr>
                <w:rFonts w:eastAsia="Times New Roman"/>
                <w:bdr w:val="none" w:sz="0" w:space="0" w:color="auto"/>
                <w:lang w:val="en-GB" w:eastAsia="en-GB"/>
              </w:rPr>
            </w:pPr>
            <w:r w:rsidRPr="002C73CD">
              <w:rPr>
                <w:lang w:val="en-GB"/>
              </w:rPr>
              <w:t>0.145</w:t>
            </w:r>
          </w:p>
        </w:tc>
      </w:tr>
      <w:tr w:rsidR="000E703E" w:rsidRPr="002C73CD" w14:paraId="0F4D480C" w14:textId="77777777" w:rsidTr="00C21584">
        <w:trPr>
          <w:trHeight w:val="208"/>
        </w:trPr>
        <w:tc>
          <w:tcPr>
            <w:tcW w:w="60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1694B4" w14:textId="77777777" w:rsidR="000E703E" w:rsidRPr="002C73CD" w:rsidRDefault="000E703E" w:rsidP="00C21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480" w:lineRule="auto"/>
              <w:jc w:val="both"/>
              <w:rPr>
                <w:lang w:val="en-GB"/>
              </w:rPr>
            </w:pPr>
            <w:r w:rsidRPr="002C73CD">
              <w:rPr>
                <w:lang w:val="en-GB"/>
              </w:rPr>
              <w:t>Effect size category</w:t>
            </w:r>
          </w:p>
        </w:tc>
        <w:tc>
          <w:tcPr>
            <w:tcW w:w="30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53A77D" w14:textId="77777777" w:rsidR="000E703E" w:rsidRPr="002C73CD" w:rsidRDefault="000E703E" w:rsidP="00C21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480" w:lineRule="auto"/>
              <w:jc w:val="both"/>
              <w:rPr>
                <w:lang w:val="en-GB"/>
              </w:rPr>
            </w:pPr>
            <w:r w:rsidRPr="002C73CD">
              <w:rPr>
                <w:lang w:val="en-GB"/>
              </w:rPr>
              <w:t>Small</w:t>
            </w:r>
          </w:p>
        </w:tc>
      </w:tr>
      <w:tr w:rsidR="000E703E" w:rsidRPr="002C73CD" w14:paraId="48A211F0" w14:textId="77777777" w:rsidTr="00C21584">
        <w:trPr>
          <w:trHeight w:val="208"/>
        </w:trPr>
        <w:tc>
          <w:tcPr>
            <w:tcW w:w="60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D19B79" w14:textId="77777777" w:rsidR="000E703E" w:rsidRPr="002C73CD" w:rsidRDefault="000E703E" w:rsidP="00C21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480" w:lineRule="auto"/>
              <w:jc w:val="both"/>
              <w:rPr>
                <w:lang w:val="en-GB"/>
              </w:rPr>
            </w:pPr>
            <w:r w:rsidRPr="002C73CD">
              <w:rPr>
                <w:lang w:val="en-GB"/>
              </w:rPr>
              <w:t>Achieved power</w:t>
            </w:r>
          </w:p>
        </w:tc>
        <w:tc>
          <w:tcPr>
            <w:tcW w:w="30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4643C0" w14:textId="77777777" w:rsidR="000E703E" w:rsidRPr="002C73CD" w:rsidRDefault="000E703E" w:rsidP="00C21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480" w:lineRule="auto"/>
              <w:jc w:val="both"/>
              <w:rPr>
                <w:lang w:val="en-GB"/>
              </w:rPr>
            </w:pPr>
            <w:r w:rsidRPr="002C73CD">
              <w:rPr>
                <w:lang w:val="en-GB"/>
              </w:rPr>
              <w:t>66%</w:t>
            </w:r>
          </w:p>
        </w:tc>
      </w:tr>
      <w:tr w:rsidR="000E703E" w:rsidRPr="002C73CD" w14:paraId="50405E8F" w14:textId="77777777" w:rsidTr="00C21584">
        <w:trPr>
          <w:trHeight w:val="208"/>
        </w:trPr>
        <w:tc>
          <w:tcPr>
            <w:tcW w:w="60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970154" w14:textId="77777777" w:rsidR="000E703E" w:rsidRPr="002C73CD" w:rsidRDefault="000E703E" w:rsidP="00C21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480" w:lineRule="auto"/>
              <w:jc w:val="both"/>
              <w:rPr>
                <w:lang w:val="en-GB"/>
              </w:rPr>
            </w:pPr>
            <w:r w:rsidRPr="002C73CD">
              <w:rPr>
                <w:lang w:val="en-GB"/>
              </w:rPr>
              <w:t>Required power</w:t>
            </w:r>
          </w:p>
        </w:tc>
        <w:tc>
          <w:tcPr>
            <w:tcW w:w="30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1A9E87" w14:textId="77777777" w:rsidR="000E703E" w:rsidRPr="002C73CD" w:rsidRDefault="000E703E" w:rsidP="00C21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480" w:lineRule="auto"/>
              <w:jc w:val="both"/>
              <w:rPr>
                <w:lang w:val="en-GB"/>
              </w:rPr>
            </w:pPr>
            <w:r w:rsidRPr="002C73CD">
              <w:rPr>
                <w:lang w:val="en-GB"/>
              </w:rPr>
              <w:t>80%</w:t>
            </w:r>
          </w:p>
        </w:tc>
      </w:tr>
      <w:tr w:rsidR="000E703E" w:rsidRPr="002C73CD" w14:paraId="4907C55E" w14:textId="77777777" w:rsidTr="00C21584">
        <w:trPr>
          <w:trHeight w:val="208"/>
        </w:trPr>
        <w:tc>
          <w:tcPr>
            <w:tcW w:w="60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7872A8" w14:textId="77777777" w:rsidR="000E703E" w:rsidRPr="002C73CD" w:rsidRDefault="000E703E" w:rsidP="00C21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480" w:lineRule="auto"/>
              <w:jc w:val="both"/>
              <w:rPr>
                <w:lang w:val="en-GB"/>
              </w:rPr>
            </w:pPr>
            <w:r w:rsidRPr="002C73CD">
              <w:rPr>
                <w:lang w:val="en-GB"/>
              </w:rPr>
              <w:t>Power deficit</w:t>
            </w:r>
          </w:p>
        </w:tc>
        <w:tc>
          <w:tcPr>
            <w:tcW w:w="30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D387A6" w14:textId="77777777" w:rsidR="000E703E" w:rsidRPr="002C73CD" w:rsidRDefault="000E703E" w:rsidP="00C21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480" w:lineRule="auto"/>
              <w:jc w:val="both"/>
              <w:rPr>
                <w:lang w:val="en-GB"/>
              </w:rPr>
            </w:pPr>
            <w:r w:rsidRPr="002C73CD">
              <w:rPr>
                <w:lang w:val="en-GB"/>
              </w:rPr>
              <w:t>-14%</w:t>
            </w:r>
          </w:p>
        </w:tc>
      </w:tr>
    </w:tbl>
    <w:p w14:paraId="0F663195" w14:textId="328E4FAD" w:rsidR="000551E0" w:rsidRPr="000E703E" w:rsidRDefault="000E703E" w:rsidP="000E703E">
      <w:pPr>
        <w:pStyle w:val="font-claude-response-body"/>
        <w:spacing w:before="120" w:beforeAutospacing="0" w:after="120" w:afterAutospacing="0" w:line="480" w:lineRule="auto"/>
        <w:jc w:val="both"/>
        <w:rPr>
          <w:lang w:val="en-GB"/>
        </w:rPr>
      </w:pPr>
      <w:r w:rsidRPr="002C73CD">
        <w:rPr>
          <w:i/>
          <w:iCs/>
          <w:lang w:val="en-GB"/>
        </w:rPr>
        <w:t>Note:</w:t>
      </w:r>
      <w:r w:rsidRPr="002C73CD">
        <w:rPr>
          <w:lang w:val="en-GB"/>
        </w:rPr>
        <w:t xml:space="preserve"> Cohen's f² calculated as R²/(1-R²). Effect size categories: small (0.02), medium (0.15), large (0.35). Counterfactual analysis achieved 95% power by testing cumulative effects across all 44 post-intervention months rather than decomposing into discrete parameters.</w:t>
      </w:r>
    </w:p>
    <w:sectPr w:rsidR="000551E0" w:rsidRPr="000E703E" w:rsidSect="000E70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3729728"/>
      <w:docPartObj>
        <w:docPartGallery w:val="Page Numbers (Bottom of Page)"/>
        <w:docPartUnique/>
      </w:docPartObj>
    </w:sdtPr>
    <w:sdtContent>
      <w:p w14:paraId="5CABB312" w14:textId="77777777" w:rsidR="000E703E" w:rsidRDefault="000E703E" w:rsidP="00427D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20196E6" w14:textId="77777777" w:rsidR="000E703E" w:rsidRDefault="000E703E" w:rsidP="002E2D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54827866"/>
      <w:docPartObj>
        <w:docPartGallery w:val="Page Numbers (Bottom of Page)"/>
        <w:docPartUnique/>
      </w:docPartObj>
    </w:sdtPr>
    <w:sdtContent>
      <w:p w14:paraId="6C2C51E5" w14:textId="77777777" w:rsidR="000E703E" w:rsidRDefault="000E703E" w:rsidP="00427D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12</w:t>
        </w:r>
        <w:r>
          <w:rPr>
            <w:rStyle w:val="PageNumber"/>
          </w:rPr>
          <w:fldChar w:fldCharType="end"/>
        </w:r>
      </w:p>
    </w:sdtContent>
  </w:sdt>
  <w:p w14:paraId="7B4E9E05" w14:textId="77777777" w:rsidR="000E703E" w:rsidRDefault="000E703E" w:rsidP="002E2D9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ACD8" w14:textId="77777777" w:rsidR="000E703E" w:rsidRDefault="000E703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D509" w14:textId="77777777" w:rsidR="000E703E" w:rsidRDefault="000E70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C4EE" w14:textId="77777777" w:rsidR="000E703E" w:rsidRDefault="000E70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CA5B" w14:textId="77777777" w:rsidR="000E703E" w:rsidRDefault="000E70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3E"/>
    <w:rsid w:val="00004698"/>
    <w:rsid w:val="00004D1D"/>
    <w:rsid w:val="000076AF"/>
    <w:rsid w:val="00013449"/>
    <w:rsid w:val="0002274A"/>
    <w:rsid w:val="00026831"/>
    <w:rsid w:val="00030E65"/>
    <w:rsid w:val="00054774"/>
    <w:rsid w:val="000551E0"/>
    <w:rsid w:val="00071C99"/>
    <w:rsid w:val="00072AF9"/>
    <w:rsid w:val="00075D10"/>
    <w:rsid w:val="000802E5"/>
    <w:rsid w:val="0009200C"/>
    <w:rsid w:val="00093FDC"/>
    <w:rsid w:val="00094838"/>
    <w:rsid w:val="00095FF6"/>
    <w:rsid w:val="000A067C"/>
    <w:rsid w:val="000A0FF2"/>
    <w:rsid w:val="000A3987"/>
    <w:rsid w:val="000A5257"/>
    <w:rsid w:val="000A54FE"/>
    <w:rsid w:val="000B16EE"/>
    <w:rsid w:val="000B3677"/>
    <w:rsid w:val="000B3711"/>
    <w:rsid w:val="000B444A"/>
    <w:rsid w:val="000B7A9F"/>
    <w:rsid w:val="000C09A6"/>
    <w:rsid w:val="000C2481"/>
    <w:rsid w:val="000C45DD"/>
    <w:rsid w:val="000D3029"/>
    <w:rsid w:val="000D4A2C"/>
    <w:rsid w:val="000E2ACC"/>
    <w:rsid w:val="000E5660"/>
    <w:rsid w:val="000E703E"/>
    <w:rsid w:val="000F504C"/>
    <w:rsid w:val="001003B2"/>
    <w:rsid w:val="00110801"/>
    <w:rsid w:val="00115A45"/>
    <w:rsid w:val="00115DB7"/>
    <w:rsid w:val="00120362"/>
    <w:rsid w:val="00126FDE"/>
    <w:rsid w:val="00130572"/>
    <w:rsid w:val="00131D35"/>
    <w:rsid w:val="00131D7C"/>
    <w:rsid w:val="0013620F"/>
    <w:rsid w:val="001405C7"/>
    <w:rsid w:val="00145903"/>
    <w:rsid w:val="0014597F"/>
    <w:rsid w:val="00151131"/>
    <w:rsid w:val="00156776"/>
    <w:rsid w:val="00157CB1"/>
    <w:rsid w:val="00161E7F"/>
    <w:rsid w:val="00162BDD"/>
    <w:rsid w:val="001630A5"/>
    <w:rsid w:val="001673F3"/>
    <w:rsid w:val="00167698"/>
    <w:rsid w:val="00171C5B"/>
    <w:rsid w:val="0017381C"/>
    <w:rsid w:val="00175D79"/>
    <w:rsid w:val="00184395"/>
    <w:rsid w:val="001932D1"/>
    <w:rsid w:val="001A3F7B"/>
    <w:rsid w:val="001A53FA"/>
    <w:rsid w:val="001B3A3D"/>
    <w:rsid w:val="001D193E"/>
    <w:rsid w:val="001D3357"/>
    <w:rsid w:val="001D3863"/>
    <w:rsid w:val="001D7D3B"/>
    <w:rsid w:val="001E057C"/>
    <w:rsid w:val="001E0587"/>
    <w:rsid w:val="001E0886"/>
    <w:rsid w:val="001E3E45"/>
    <w:rsid w:val="001E6C0A"/>
    <w:rsid w:val="001F448D"/>
    <w:rsid w:val="001F4B3F"/>
    <w:rsid w:val="001F71E6"/>
    <w:rsid w:val="001F74E5"/>
    <w:rsid w:val="002031D6"/>
    <w:rsid w:val="00207EEA"/>
    <w:rsid w:val="0021316A"/>
    <w:rsid w:val="002155F6"/>
    <w:rsid w:val="002214AE"/>
    <w:rsid w:val="00222AFC"/>
    <w:rsid w:val="00227CBF"/>
    <w:rsid w:val="00231DF2"/>
    <w:rsid w:val="002330C6"/>
    <w:rsid w:val="002401EF"/>
    <w:rsid w:val="002413BA"/>
    <w:rsid w:val="0024440F"/>
    <w:rsid w:val="00247015"/>
    <w:rsid w:val="0025146A"/>
    <w:rsid w:val="0025259E"/>
    <w:rsid w:val="00253615"/>
    <w:rsid w:val="002556A8"/>
    <w:rsid w:val="00261350"/>
    <w:rsid w:val="0027261B"/>
    <w:rsid w:val="00273658"/>
    <w:rsid w:val="00274706"/>
    <w:rsid w:val="00275CFA"/>
    <w:rsid w:val="00276EC2"/>
    <w:rsid w:val="00277904"/>
    <w:rsid w:val="00277FFE"/>
    <w:rsid w:val="0028026D"/>
    <w:rsid w:val="00292155"/>
    <w:rsid w:val="00294430"/>
    <w:rsid w:val="00295DC7"/>
    <w:rsid w:val="002A0AA8"/>
    <w:rsid w:val="002A135F"/>
    <w:rsid w:val="002A22A2"/>
    <w:rsid w:val="002A3C72"/>
    <w:rsid w:val="002A5270"/>
    <w:rsid w:val="002B0243"/>
    <w:rsid w:val="002B13C0"/>
    <w:rsid w:val="002C0EB4"/>
    <w:rsid w:val="002C2C10"/>
    <w:rsid w:val="002C44DF"/>
    <w:rsid w:val="002D1EF5"/>
    <w:rsid w:val="002D297F"/>
    <w:rsid w:val="002D367C"/>
    <w:rsid w:val="002D56F0"/>
    <w:rsid w:val="002D5AA5"/>
    <w:rsid w:val="002D69C6"/>
    <w:rsid w:val="002D742E"/>
    <w:rsid w:val="002D7EE6"/>
    <w:rsid w:val="002E3A02"/>
    <w:rsid w:val="002E3FF8"/>
    <w:rsid w:val="002E48C9"/>
    <w:rsid w:val="002E5359"/>
    <w:rsid w:val="002E6F7D"/>
    <w:rsid w:val="002F0140"/>
    <w:rsid w:val="002F1018"/>
    <w:rsid w:val="00303938"/>
    <w:rsid w:val="00313880"/>
    <w:rsid w:val="003149DA"/>
    <w:rsid w:val="00316D9F"/>
    <w:rsid w:val="00317914"/>
    <w:rsid w:val="0032502C"/>
    <w:rsid w:val="0033474A"/>
    <w:rsid w:val="00336E97"/>
    <w:rsid w:val="00341D13"/>
    <w:rsid w:val="00347F13"/>
    <w:rsid w:val="0035142E"/>
    <w:rsid w:val="003552EF"/>
    <w:rsid w:val="003577C7"/>
    <w:rsid w:val="00360F0E"/>
    <w:rsid w:val="0036175D"/>
    <w:rsid w:val="0036542A"/>
    <w:rsid w:val="00370923"/>
    <w:rsid w:val="00376359"/>
    <w:rsid w:val="00376440"/>
    <w:rsid w:val="00390FA7"/>
    <w:rsid w:val="0039257C"/>
    <w:rsid w:val="003A329A"/>
    <w:rsid w:val="003A5A23"/>
    <w:rsid w:val="003A663F"/>
    <w:rsid w:val="003B0456"/>
    <w:rsid w:val="003B29DA"/>
    <w:rsid w:val="003B5A17"/>
    <w:rsid w:val="003B5E15"/>
    <w:rsid w:val="003D0C7E"/>
    <w:rsid w:val="003D0E56"/>
    <w:rsid w:val="003D60FC"/>
    <w:rsid w:val="003E5F3B"/>
    <w:rsid w:val="003F75FA"/>
    <w:rsid w:val="003F7B58"/>
    <w:rsid w:val="00404785"/>
    <w:rsid w:val="00407B21"/>
    <w:rsid w:val="00411665"/>
    <w:rsid w:val="00416A71"/>
    <w:rsid w:val="00421359"/>
    <w:rsid w:val="0042281E"/>
    <w:rsid w:val="004233A8"/>
    <w:rsid w:val="00425400"/>
    <w:rsid w:val="00432071"/>
    <w:rsid w:val="004357AE"/>
    <w:rsid w:val="00435B04"/>
    <w:rsid w:val="004405E5"/>
    <w:rsid w:val="00441492"/>
    <w:rsid w:val="00441CBF"/>
    <w:rsid w:val="00453138"/>
    <w:rsid w:val="00455835"/>
    <w:rsid w:val="00466BE1"/>
    <w:rsid w:val="00473A10"/>
    <w:rsid w:val="00481DF5"/>
    <w:rsid w:val="004854F7"/>
    <w:rsid w:val="00485C8F"/>
    <w:rsid w:val="0048628F"/>
    <w:rsid w:val="00487A4B"/>
    <w:rsid w:val="00490154"/>
    <w:rsid w:val="00491B05"/>
    <w:rsid w:val="004A1D16"/>
    <w:rsid w:val="004A6550"/>
    <w:rsid w:val="004B2398"/>
    <w:rsid w:val="004C7847"/>
    <w:rsid w:val="004D02FB"/>
    <w:rsid w:val="004D0687"/>
    <w:rsid w:val="004D0B6E"/>
    <w:rsid w:val="004D0E7E"/>
    <w:rsid w:val="004D1E4D"/>
    <w:rsid w:val="004D56B2"/>
    <w:rsid w:val="004D61F1"/>
    <w:rsid w:val="004E08D9"/>
    <w:rsid w:val="004E1E3C"/>
    <w:rsid w:val="004E2B29"/>
    <w:rsid w:val="004E3803"/>
    <w:rsid w:val="004E3D32"/>
    <w:rsid w:val="004E42E1"/>
    <w:rsid w:val="004E6A12"/>
    <w:rsid w:val="004E7213"/>
    <w:rsid w:val="004F0724"/>
    <w:rsid w:val="004F57B6"/>
    <w:rsid w:val="004F5B1F"/>
    <w:rsid w:val="004F70E4"/>
    <w:rsid w:val="004F7ED0"/>
    <w:rsid w:val="004F7FC9"/>
    <w:rsid w:val="00500AF4"/>
    <w:rsid w:val="00505C4B"/>
    <w:rsid w:val="0051085B"/>
    <w:rsid w:val="00511342"/>
    <w:rsid w:val="0051423C"/>
    <w:rsid w:val="005162BF"/>
    <w:rsid w:val="0052468C"/>
    <w:rsid w:val="00524FC8"/>
    <w:rsid w:val="00525072"/>
    <w:rsid w:val="00527AA2"/>
    <w:rsid w:val="00541209"/>
    <w:rsid w:val="00543EFD"/>
    <w:rsid w:val="005461AE"/>
    <w:rsid w:val="00550FC0"/>
    <w:rsid w:val="0055677F"/>
    <w:rsid w:val="00557245"/>
    <w:rsid w:val="005619A1"/>
    <w:rsid w:val="005643A3"/>
    <w:rsid w:val="00577EB0"/>
    <w:rsid w:val="0058384D"/>
    <w:rsid w:val="005850C0"/>
    <w:rsid w:val="0058542A"/>
    <w:rsid w:val="00585F12"/>
    <w:rsid w:val="00587EA4"/>
    <w:rsid w:val="005A3366"/>
    <w:rsid w:val="005B1C8C"/>
    <w:rsid w:val="005C2D89"/>
    <w:rsid w:val="005E574C"/>
    <w:rsid w:val="005F2533"/>
    <w:rsid w:val="005F3539"/>
    <w:rsid w:val="005F6A18"/>
    <w:rsid w:val="005F72D0"/>
    <w:rsid w:val="006018EB"/>
    <w:rsid w:val="00611B8B"/>
    <w:rsid w:val="00612F69"/>
    <w:rsid w:val="006130B9"/>
    <w:rsid w:val="00613941"/>
    <w:rsid w:val="006144B2"/>
    <w:rsid w:val="00623D68"/>
    <w:rsid w:val="006421C9"/>
    <w:rsid w:val="00643424"/>
    <w:rsid w:val="006444F2"/>
    <w:rsid w:val="00654B20"/>
    <w:rsid w:val="00660B99"/>
    <w:rsid w:val="006621C2"/>
    <w:rsid w:val="00665CAC"/>
    <w:rsid w:val="00667EE8"/>
    <w:rsid w:val="006709EE"/>
    <w:rsid w:val="00672C2E"/>
    <w:rsid w:val="006737B4"/>
    <w:rsid w:val="00676601"/>
    <w:rsid w:val="00684045"/>
    <w:rsid w:val="006848EC"/>
    <w:rsid w:val="00686780"/>
    <w:rsid w:val="006926E7"/>
    <w:rsid w:val="00693DDF"/>
    <w:rsid w:val="006941F2"/>
    <w:rsid w:val="00695EBC"/>
    <w:rsid w:val="00697FFE"/>
    <w:rsid w:val="006A1C2E"/>
    <w:rsid w:val="006A3C1C"/>
    <w:rsid w:val="006A7882"/>
    <w:rsid w:val="006B0E28"/>
    <w:rsid w:val="006B0E84"/>
    <w:rsid w:val="006B4AE0"/>
    <w:rsid w:val="006C792C"/>
    <w:rsid w:val="006C7C05"/>
    <w:rsid w:val="006D1B83"/>
    <w:rsid w:val="006D42AD"/>
    <w:rsid w:val="006D508A"/>
    <w:rsid w:val="006D539C"/>
    <w:rsid w:val="006E155C"/>
    <w:rsid w:val="006E76F7"/>
    <w:rsid w:val="006F2706"/>
    <w:rsid w:val="006F31ED"/>
    <w:rsid w:val="006F6F2E"/>
    <w:rsid w:val="007100EC"/>
    <w:rsid w:val="007124BC"/>
    <w:rsid w:val="007141E4"/>
    <w:rsid w:val="00717355"/>
    <w:rsid w:val="007257E6"/>
    <w:rsid w:val="00726355"/>
    <w:rsid w:val="007272CF"/>
    <w:rsid w:val="00730B46"/>
    <w:rsid w:val="007311FB"/>
    <w:rsid w:val="00731FA5"/>
    <w:rsid w:val="00732888"/>
    <w:rsid w:val="00740327"/>
    <w:rsid w:val="0074415B"/>
    <w:rsid w:val="00744573"/>
    <w:rsid w:val="00747D2E"/>
    <w:rsid w:val="007509A7"/>
    <w:rsid w:val="00754FA3"/>
    <w:rsid w:val="007556E8"/>
    <w:rsid w:val="0076734F"/>
    <w:rsid w:val="00771F58"/>
    <w:rsid w:val="007770E0"/>
    <w:rsid w:val="00793727"/>
    <w:rsid w:val="0079743E"/>
    <w:rsid w:val="007978A7"/>
    <w:rsid w:val="00797DBA"/>
    <w:rsid w:val="007A0DE7"/>
    <w:rsid w:val="007A171C"/>
    <w:rsid w:val="007A62E6"/>
    <w:rsid w:val="007A72FE"/>
    <w:rsid w:val="007A7B26"/>
    <w:rsid w:val="007B0AC2"/>
    <w:rsid w:val="007B4607"/>
    <w:rsid w:val="007B7192"/>
    <w:rsid w:val="007B7F14"/>
    <w:rsid w:val="007C0050"/>
    <w:rsid w:val="007C2793"/>
    <w:rsid w:val="007C3B50"/>
    <w:rsid w:val="007C5A2C"/>
    <w:rsid w:val="007D6D0E"/>
    <w:rsid w:val="007D6DB5"/>
    <w:rsid w:val="007D7C91"/>
    <w:rsid w:val="007E284A"/>
    <w:rsid w:val="007E4BCD"/>
    <w:rsid w:val="007E4F8E"/>
    <w:rsid w:val="007E7E0E"/>
    <w:rsid w:val="007F327C"/>
    <w:rsid w:val="007F37D5"/>
    <w:rsid w:val="007F530C"/>
    <w:rsid w:val="008121B3"/>
    <w:rsid w:val="00814689"/>
    <w:rsid w:val="00815326"/>
    <w:rsid w:val="00816409"/>
    <w:rsid w:val="008166E2"/>
    <w:rsid w:val="00820587"/>
    <w:rsid w:val="00825AD7"/>
    <w:rsid w:val="00825D6E"/>
    <w:rsid w:val="00831D26"/>
    <w:rsid w:val="0083237D"/>
    <w:rsid w:val="0083379D"/>
    <w:rsid w:val="00837C57"/>
    <w:rsid w:val="0084389A"/>
    <w:rsid w:val="00851F72"/>
    <w:rsid w:val="008608F1"/>
    <w:rsid w:val="00865B89"/>
    <w:rsid w:val="008757B5"/>
    <w:rsid w:val="008772D8"/>
    <w:rsid w:val="00877FFB"/>
    <w:rsid w:val="00882EFF"/>
    <w:rsid w:val="00885F38"/>
    <w:rsid w:val="0089650F"/>
    <w:rsid w:val="008A001E"/>
    <w:rsid w:val="008A2A6F"/>
    <w:rsid w:val="008A2CA9"/>
    <w:rsid w:val="008A4A0D"/>
    <w:rsid w:val="008A4D96"/>
    <w:rsid w:val="008A5220"/>
    <w:rsid w:val="008A5368"/>
    <w:rsid w:val="008A6EA2"/>
    <w:rsid w:val="008B3DE2"/>
    <w:rsid w:val="008B5BD4"/>
    <w:rsid w:val="008C0096"/>
    <w:rsid w:val="008C0933"/>
    <w:rsid w:val="008C182F"/>
    <w:rsid w:val="008C4A3F"/>
    <w:rsid w:val="008C7460"/>
    <w:rsid w:val="008D148F"/>
    <w:rsid w:val="008D39E2"/>
    <w:rsid w:val="008E06C8"/>
    <w:rsid w:val="008F25A0"/>
    <w:rsid w:val="008F3A51"/>
    <w:rsid w:val="00901452"/>
    <w:rsid w:val="00901A74"/>
    <w:rsid w:val="0090438E"/>
    <w:rsid w:val="00915843"/>
    <w:rsid w:val="00915D8E"/>
    <w:rsid w:val="00916832"/>
    <w:rsid w:val="00917B69"/>
    <w:rsid w:val="00922187"/>
    <w:rsid w:val="00924550"/>
    <w:rsid w:val="0092613E"/>
    <w:rsid w:val="0093637D"/>
    <w:rsid w:val="00943F4B"/>
    <w:rsid w:val="00945859"/>
    <w:rsid w:val="00956141"/>
    <w:rsid w:val="00956D59"/>
    <w:rsid w:val="00957728"/>
    <w:rsid w:val="009735D4"/>
    <w:rsid w:val="00975EF0"/>
    <w:rsid w:val="00977FF2"/>
    <w:rsid w:val="00984A9D"/>
    <w:rsid w:val="009948AC"/>
    <w:rsid w:val="0099529E"/>
    <w:rsid w:val="009976B8"/>
    <w:rsid w:val="009A101F"/>
    <w:rsid w:val="009A312C"/>
    <w:rsid w:val="009A6780"/>
    <w:rsid w:val="009B6B76"/>
    <w:rsid w:val="009C06B1"/>
    <w:rsid w:val="009C3322"/>
    <w:rsid w:val="009C4CAD"/>
    <w:rsid w:val="009D0A93"/>
    <w:rsid w:val="009E6287"/>
    <w:rsid w:val="009E76E1"/>
    <w:rsid w:val="009F208A"/>
    <w:rsid w:val="009F4D58"/>
    <w:rsid w:val="009F4F41"/>
    <w:rsid w:val="009F7427"/>
    <w:rsid w:val="00A02BC5"/>
    <w:rsid w:val="00A04332"/>
    <w:rsid w:val="00A045C7"/>
    <w:rsid w:val="00A04DA2"/>
    <w:rsid w:val="00A061EF"/>
    <w:rsid w:val="00A11863"/>
    <w:rsid w:val="00A12CC3"/>
    <w:rsid w:val="00A14FA1"/>
    <w:rsid w:val="00A153E9"/>
    <w:rsid w:val="00A20D81"/>
    <w:rsid w:val="00A2341C"/>
    <w:rsid w:val="00A23D34"/>
    <w:rsid w:val="00A24205"/>
    <w:rsid w:val="00A2498E"/>
    <w:rsid w:val="00A304F5"/>
    <w:rsid w:val="00A31D3B"/>
    <w:rsid w:val="00A37851"/>
    <w:rsid w:val="00A478A2"/>
    <w:rsid w:val="00A50BC4"/>
    <w:rsid w:val="00A6148B"/>
    <w:rsid w:val="00A675CE"/>
    <w:rsid w:val="00A70617"/>
    <w:rsid w:val="00A717D0"/>
    <w:rsid w:val="00A73195"/>
    <w:rsid w:val="00A75922"/>
    <w:rsid w:val="00A771C1"/>
    <w:rsid w:val="00A818D9"/>
    <w:rsid w:val="00A81F3C"/>
    <w:rsid w:val="00A858A3"/>
    <w:rsid w:val="00A87D93"/>
    <w:rsid w:val="00A925FA"/>
    <w:rsid w:val="00AA061B"/>
    <w:rsid w:val="00AA0D0E"/>
    <w:rsid w:val="00AA69A9"/>
    <w:rsid w:val="00AA7B65"/>
    <w:rsid w:val="00AB0935"/>
    <w:rsid w:val="00AB2327"/>
    <w:rsid w:val="00AB6CB4"/>
    <w:rsid w:val="00AC6B5F"/>
    <w:rsid w:val="00AE1A7F"/>
    <w:rsid w:val="00AE3358"/>
    <w:rsid w:val="00AE72CB"/>
    <w:rsid w:val="00AF0B9C"/>
    <w:rsid w:val="00AF49A3"/>
    <w:rsid w:val="00B031B1"/>
    <w:rsid w:val="00B0616E"/>
    <w:rsid w:val="00B07F4A"/>
    <w:rsid w:val="00B20F34"/>
    <w:rsid w:val="00B21633"/>
    <w:rsid w:val="00B21EC1"/>
    <w:rsid w:val="00B25132"/>
    <w:rsid w:val="00B40E00"/>
    <w:rsid w:val="00B42A96"/>
    <w:rsid w:val="00B53DE7"/>
    <w:rsid w:val="00B55C94"/>
    <w:rsid w:val="00B57DC1"/>
    <w:rsid w:val="00B60AE9"/>
    <w:rsid w:val="00B65536"/>
    <w:rsid w:val="00B67B37"/>
    <w:rsid w:val="00B70D3D"/>
    <w:rsid w:val="00B71AE0"/>
    <w:rsid w:val="00B74C0A"/>
    <w:rsid w:val="00B771E1"/>
    <w:rsid w:val="00B81F0F"/>
    <w:rsid w:val="00B82FB8"/>
    <w:rsid w:val="00B857CC"/>
    <w:rsid w:val="00B906B5"/>
    <w:rsid w:val="00B94129"/>
    <w:rsid w:val="00BA08E6"/>
    <w:rsid w:val="00BA1CDC"/>
    <w:rsid w:val="00BA59E1"/>
    <w:rsid w:val="00BB08B9"/>
    <w:rsid w:val="00BB3D9F"/>
    <w:rsid w:val="00BB4199"/>
    <w:rsid w:val="00BB58DE"/>
    <w:rsid w:val="00BB7B05"/>
    <w:rsid w:val="00BC1CD4"/>
    <w:rsid w:val="00BD6AA5"/>
    <w:rsid w:val="00BD6AF4"/>
    <w:rsid w:val="00BE6F24"/>
    <w:rsid w:val="00BF6725"/>
    <w:rsid w:val="00BF72B5"/>
    <w:rsid w:val="00C013CB"/>
    <w:rsid w:val="00C13979"/>
    <w:rsid w:val="00C15218"/>
    <w:rsid w:val="00C1785C"/>
    <w:rsid w:val="00C2347B"/>
    <w:rsid w:val="00C26EB7"/>
    <w:rsid w:val="00C271D3"/>
    <w:rsid w:val="00C40C69"/>
    <w:rsid w:val="00C44842"/>
    <w:rsid w:val="00C50CAD"/>
    <w:rsid w:val="00C52324"/>
    <w:rsid w:val="00C534AC"/>
    <w:rsid w:val="00C55390"/>
    <w:rsid w:val="00C55C2E"/>
    <w:rsid w:val="00C56A9C"/>
    <w:rsid w:val="00C6620D"/>
    <w:rsid w:val="00C67A05"/>
    <w:rsid w:val="00C7075E"/>
    <w:rsid w:val="00C72FC7"/>
    <w:rsid w:val="00C80152"/>
    <w:rsid w:val="00C82CB9"/>
    <w:rsid w:val="00CA595E"/>
    <w:rsid w:val="00CA7138"/>
    <w:rsid w:val="00CA728A"/>
    <w:rsid w:val="00CA7B39"/>
    <w:rsid w:val="00CB3640"/>
    <w:rsid w:val="00CC5DD5"/>
    <w:rsid w:val="00CC67EA"/>
    <w:rsid w:val="00CD1528"/>
    <w:rsid w:val="00CD183E"/>
    <w:rsid w:val="00CD58C0"/>
    <w:rsid w:val="00CD63E0"/>
    <w:rsid w:val="00CE43CE"/>
    <w:rsid w:val="00CE58D1"/>
    <w:rsid w:val="00CF24B3"/>
    <w:rsid w:val="00CF3735"/>
    <w:rsid w:val="00CF5F8C"/>
    <w:rsid w:val="00D01A2D"/>
    <w:rsid w:val="00D01E92"/>
    <w:rsid w:val="00D02946"/>
    <w:rsid w:val="00D06710"/>
    <w:rsid w:val="00D06BE5"/>
    <w:rsid w:val="00D07700"/>
    <w:rsid w:val="00D10F38"/>
    <w:rsid w:val="00D15F02"/>
    <w:rsid w:val="00D24089"/>
    <w:rsid w:val="00D27641"/>
    <w:rsid w:val="00D30704"/>
    <w:rsid w:val="00D3750F"/>
    <w:rsid w:val="00D4298C"/>
    <w:rsid w:val="00D433C2"/>
    <w:rsid w:val="00D43D52"/>
    <w:rsid w:val="00D50807"/>
    <w:rsid w:val="00D5131C"/>
    <w:rsid w:val="00D57C46"/>
    <w:rsid w:val="00D60B8F"/>
    <w:rsid w:val="00D642F7"/>
    <w:rsid w:val="00D66921"/>
    <w:rsid w:val="00D744A2"/>
    <w:rsid w:val="00D7500B"/>
    <w:rsid w:val="00D76F5B"/>
    <w:rsid w:val="00D80422"/>
    <w:rsid w:val="00D86AE0"/>
    <w:rsid w:val="00D86B36"/>
    <w:rsid w:val="00D963C4"/>
    <w:rsid w:val="00D9691C"/>
    <w:rsid w:val="00D96AF5"/>
    <w:rsid w:val="00D97EC2"/>
    <w:rsid w:val="00DA0E2C"/>
    <w:rsid w:val="00DA3AD1"/>
    <w:rsid w:val="00DA3C4C"/>
    <w:rsid w:val="00DA5AC3"/>
    <w:rsid w:val="00DB115B"/>
    <w:rsid w:val="00DC1AAF"/>
    <w:rsid w:val="00DC28B8"/>
    <w:rsid w:val="00DC4508"/>
    <w:rsid w:val="00DC5D30"/>
    <w:rsid w:val="00DD2AC4"/>
    <w:rsid w:val="00DD52A5"/>
    <w:rsid w:val="00DE1691"/>
    <w:rsid w:val="00DE24E5"/>
    <w:rsid w:val="00DE34E3"/>
    <w:rsid w:val="00DF0DAB"/>
    <w:rsid w:val="00DF1782"/>
    <w:rsid w:val="00DF34CE"/>
    <w:rsid w:val="00DF6DAE"/>
    <w:rsid w:val="00E016AA"/>
    <w:rsid w:val="00E0510B"/>
    <w:rsid w:val="00E051BB"/>
    <w:rsid w:val="00E061D7"/>
    <w:rsid w:val="00E0621A"/>
    <w:rsid w:val="00E13549"/>
    <w:rsid w:val="00E13E0B"/>
    <w:rsid w:val="00E17ED8"/>
    <w:rsid w:val="00E27B02"/>
    <w:rsid w:val="00E3076A"/>
    <w:rsid w:val="00E32915"/>
    <w:rsid w:val="00E359F0"/>
    <w:rsid w:val="00E43CD0"/>
    <w:rsid w:val="00E479B4"/>
    <w:rsid w:val="00E55B2A"/>
    <w:rsid w:val="00E61C24"/>
    <w:rsid w:val="00E67D09"/>
    <w:rsid w:val="00E728B7"/>
    <w:rsid w:val="00E72B65"/>
    <w:rsid w:val="00E73D2C"/>
    <w:rsid w:val="00E826CD"/>
    <w:rsid w:val="00E84728"/>
    <w:rsid w:val="00E91519"/>
    <w:rsid w:val="00E9242E"/>
    <w:rsid w:val="00E9574B"/>
    <w:rsid w:val="00EA0BFE"/>
    <w:rsid w:val="00EA2917"/>
    <w:rsid w:val="00EA66E4"/>
    <w:rsid w:val="00EB30C4"/>
    <w:rsid w:val="00EB47FD"/>
    <w:rsid w:val="00EB4C01"/>
    <w:rsid w:val="00EC00CE"/>
    <w:rsid w:val="00EC1B10"/>
    <w:rsid w:val="00EC42BA"/>
    <w:rsid w:val="00EC57F2"/>
    <w:rsid w:val="00EC58BC"/>
    <w:rsid w:val="00EC670D"/>
    <w:rsid w:val="00EC693C"/>
    <w:rsid w:val="00EC7802"/>
    <w:rsid w:val="00ED6441"/>
    <w:rsid w:val="00EF10D0"/>
    <w:rsid w:val="00EF3A10"/>
    <w:rsid w:val="00EF5025"/>
    <w:rsid w:val="00F00F39"/>
    <w:rsid w:val="00F02983"/>
    <w:rsid w:val="00F0419A"/>
    <w:rsid w:val="00F12ED7"/>
    <w:rsid w:val="00F1587F"/>
    <w:rsid w:val="00F16FDF"/>
    <w:rsid w:val="00F17FAB"/>
    <w:rsid w:val="00F257D4"/>
    <w:rsid w:val="00F27C20"/>
    <w:rsid w:val="00F30EE1"/>
    <w:rsid w:val="00F342BF"/>
    <w:rsid w:val="00F3448B"/>
    <w:rsid w:val="00F36B37"/>
    <w:rsid w:val="00F36E5F"/>
    <w:rsid w:val="00F37631"/>
    <w:rsid w:val="00F429CA"/>
    <w:rsid w:val="00F432A6"/>
    <w:rsid w:val="00F456B5"/>
    <w:rsid w:val="00F52BB9"/>
    <w:rsid w:val="00F52DB9"/>
    <w:rsid w:val="00F54361"/>
    <w:rsid w:val="00F630D8"/>
    <w:rsid w:val="00F707AE"/>
    <w:rsid w:val="00F71A5B"/>
    <w:rsid w:val="00F72E78"/>
    <w:rsid w:val="00F7377A"/>
    <w:rsid w:val="00F745B6"/>
    <w:rsid w:val="00F80963"/>
    <w:rsid w:val="00F82083"/>
    <w:rsid w:val="00F825DA"/>
    <w:rsid w:val="00F900DC"/>
    <w:rsid w:val="00FA0081"/>
    <w:rsid w:val="00FA237B"/>
    <w:rsid w:val="00FA3FA8"/>
    <w:rsid w:val="00FA7248"/>
    <w:rsid w:val="00FB02F7"/>
    <w:rsid w:val="00FB412E"/>
    <w:rsid w:val="00FB4D7F"/>
    <w:rsid w:val="00FB5B20"/>
    <w:rsid w:val="00FC5F31"/>
    <w:rsid w:val="00FD0F3A"/>
    <w:rsid w:val="00FD2A06"/>
    <w:rsid w:val="00FD3F81"/>
    <w:rsid w:val="00FD4CB1"/>
    <w:rsid w:val="00FE3A1D"/>
    <w:rsid w:val="00FE7AC1"/>
    <w:rsid w:val="00FF04A7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FC7C37"/>
  <w15:chartTrackingRefBased/>
  <w15:docId w15:val="{7D7317A5-59DC-A144-A9B1-A32F1B9E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0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0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0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70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0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0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0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0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0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0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7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0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03E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7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0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7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0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7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03E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03E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0E70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styleId="Strong">
    <w:name w:val="Strong"/>
    <w:basedOn w:val="DefaultParagraphFont"/>
    <w:uiPriority w:val="22"/>
    <w:qFormat/>
    <w:rsid w:val="000E703E"/>
    <w:rPr>
      <w:b/>
      <w:bCs/>
    </w:rPr>
  </w:style>
  <w:style w:type="paragraph" w:customStyle="1" w:styleId="whitespace-normal">
    <w:name w:val="whitespace-normal"/>
    <w:basedOn w:val="Normal"/>
    <w:rsid w:val="000E70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E70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03E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70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03E"/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E703E"/>
  </w:style>
  <w:style w:type="character" w:styleId="LineNumber">
    <w:name w:val="line number"/>
    <w:basedOn w:val="DefaultParagraphFont"/>
    <w:uiPriority w:val="99"/>
    <w:semiHidden/>
    <w:unhideWhenUsed/>
    <w:rsid w:val="000E7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2.png"/><Relationship Id="rId10" Type="http://schemas.openxmlformats.org/officeDocument/2006/relationships/header" Target="header3.xml"/><Relationship Id="rId4" Type="http://schemas.openxmlformats.org/officeDocument/2006/relationships/image" Target="media/image1.png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531</Words>
  <Characters>3181</Characters>
  <Application>Microsoft Office Word</Application>
  <DocSecurity>0</DocSecurity>
  <Lines>212</Lines>
  <Paragraphs>161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Karibayeva</dc:creator>
  <cp:keywords/>
  <dc:description/>
  <cp:lastModifiedBy>Indira Karibayeva</cp:lastModifiedBy>
  <cp:revision>1</cp:revision>
  <dcterms:created xsi:type="dcterms:W3CDTF">2026-03-20T11:02:00Z</dcterms:created>
  <dcterms:modified xsi:type="dcterms:W3CDTF">2026-03-20T11:04:00Z</dcterms:modified>
</cp:coreProperties>
</file>