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CF404" w14:textId="77777777" w:rsidR="00BA34F2" w:rsidRPr="00EF7D2D" w:rsidRDefault="00BA34F2" w:rsidP="00BA34F2">
      <w:pPr>
        <w:spacing w:line="480" w:lineRule="auto"/>
        <w:jc w:val="both"/>
        <w:rPr>
          <w:rFonts w:ascii="Calibri" w:hAnsi="Calibri" w:cs="Calibri"/>
          <w:b/>
          <w:bCs/>
          <w:spacing w:val="-6"/>
          <w:lang w:val="en-US"/>
        </w:rPr>
      </w:pPr>
      <w:r w:rsidRPr="00EF7D2D">
        <w:rPr>
          <w:rFonts w:ascii="Calibri" w:hAnsi="Calibri" w:cs="Calibri"/>
          <w:b/>
          <w:bCs/>
          <w:spacing w:val="-6"/>
          <w:lang w:val="en-US"/>
        </w:rPr>
        <w:t>ADDITIONAL FILES LIST</w:t>
      </w:r>
    </w:p>
    <w:p w14:paraId="2C5A1E30" w14:textId="77777777" w:rsidR="00BA34F2" w:rsidRPr="00EF7D2D" w:rsidRDefault="00BA34F2" w:rsidP="00BA34F2">
      <w:pPr>
        <w:pStyle w:val="ListParagraph"/>
        <w:numPr>
          <w:ilvl w:val="0"/>
          <w:numId w:val="1"/>
        </w:numPr>
        <w:spacing w:line="480" w:lineRule="auto"/>
        <w:jc w:val="both"/>
        <w:rPr>
          <w:rFonts w:ascii="Calibri" w:hAnsi="Calibri" w:cs="Calibri"/>
          <w:b/>
          <w:bCs/>
          <w:spacing w:val="-6"/>
          <w:lang w:val="en-US"/>
        </w:rPr>
      </w:pPr>
      <w:r w:rsidRPr="00EF7D2D">
        <w:rPr>
          <w:rFonts w:ascii="Calibri" w:hAnsi="Calibri" w:cs="Calibri"/>
          <w:b/>
          <w:bCs/>
          <w:spacing w:val="-6"/>
          <w:lang w:val="en-US"/>
        </w:rPr>
        <w:t xml:space="preserve">Additional File 1.docx: </w:t>
      </w:r>
      <w:r w:rsidRPr="00EF7D2D">
        <w:rPr>
          <w:rFonts w:ascii="Calibri" w:hAnsi="Calibri" w:cs="Calibri"/>
          <w:b/>
          <w:bCs/>
          <w:spacing w:val="-6"/>
          <w:lang w:val="en-GB"/>
        </w:rPr>
        <w:t>BSSG synthesis</w:t>
      </w:r>
      <w:r w:rsidRPr="00EF7D2D">
        <w:rPr>
          <w:rFonts w:ascii="Calibri" w:hAnsi="Calibri" w:cs="Calibri"/>
          <w:b/>
          <w:bCs/>
          <w:spacing w:val="-6"/>
          <w:lang w:val="en-US"/>
        </w:rPr>
        <w:t>.</w:t>
      </w:r>
      <w:r w:rsidRPr="00EF7D2D">
        <w:rPr>
          <w:rFonts w:ascii="Calibri" w:hAnsi="Calibri" w:cs="Calibri"/>
          <w:spacing w:val="-6"/>
          <w:lang w:val="en-US"/>
        </w:rPr>
        <w:t xml:space="preserve"> </w:t>
      </w:r>
      <w:r w:rsidRPr="00EF7D2D">
        <w:rPr>
          <w:rFonts w:ascii="Calibri" w:hAnsi="Calibri" w:cs="Calibri"/>
          <w:spacing w:val="-6"/>
          <w:lang w:val="en-GB"/>
        </w:rPr>
        <w:t>Detailed description of BSSG chemical synthesis, quality control and NMR analysis.</w:t>
      </w:r>
    </w:p>
    <w:p w14:paraId="1844DE06" w14:textId="77777777" w:rsidR="00BA34F2" w:rsidRPr="00EF7D2D" w:rsidRDefault="00BA34F2" w:rsidP="00BA34F2">
      <w:pPr>
        <w:pStyle w:val="ListParagraph"/>
        <w:numPr>
          <w:ilvl w:val="0"/>
          <w:numId w:val="1"/>
        </w:numPr>
        <w:spacing w:line="480" w:lineRule="auto"/>
        <w:jc w:val="both"/>
        <w:rPr>
          <w:rFonts w:ascii="Calibri" w:hAnsi="Calibri" w:cs="Calibri"/>
          <w:b/>
          <w:bCs/>
          <w:spacing w:val="-6"/>
          <w:lang w:val="en-US"/>
        </w:rPr>
      </w:pPr>
      <w:r w:rsidRPr="00EF7D2D">
        <w:rPr>
          <w:rFonts w:ascii="Calibri" w:hAnsi="Calibri" w:cs="Calibri"/>
          <w:b/>
          <w:bCs/>
          <w:spacing w:val="-6"/>
          <w:lang w:val="en-US"/>
        </w:rPr>
        <w:t xml:space="preserve">Additional File 2.docx: Primers tables </w:t>
      </w:r>
      <w:r w:rsidRPr="00EF7D2D">
        <w:rPr>
          <w:rFonts w:ascii="Calibri" w:hAnsi="Calibri" w:cs="Calibri"/>
          <w:spacing w:val="-6"/>
          <w:lang w:val="en-US"/>
        </w:rPr>
        <w:t>Primers details.</w:t>
      </w:r>
    </w:p>
    <w:p w14:paraId="250643B4" w14:textId="77777777" w:rsidR="00BA34F2" w:rsidRPr="00EF7D2D" w:rsidRDefault="00BA34F2" w:rsidP="00BA34F2">
      <w:pPr>
        <w:pStyle w:val="ListParagraph"/>
        <w:numPr>
          <w:ilvl w:val="0"/>
          <w:numId w:val="1"/>
        </w:numPr>
        <w:spacing w:line="480" w:lineRule="auto"/>
        <w:jc w:val="both"/>
        <w:rPr>
          <w:rFonts w:ascii="Calibri" w:hAnsi="Calibri" w:cs="Calibri"/>
          <w:spacing w:val="-6"/>
          <w:lang w:val="en-GB"/>
        </w:rPr>
      </w:pPr>
      <w:r w:rsidRPr="00EF7D2D">
        <w:rPr>
          <w:rFonts w:ascii="Calibri" w:hAnsi="Calibri" w:cs="Calibri"/>
          <w:b/>
          <w:bCs/>
          <w:spacing w:val="-6"/>
          <w:lang w:val="en-US"/>
        </w:rPr>
        <w:t xml:space="preserve">Additional File 3.docx: Supplementary Figures and legends. </w:t>
      </w:r>
    </w:p>
    <w:p w14:paraId="7C601AB7" w14:textId="77777777" w:rsidR="00BA34F2" w:rsidRPr="00EF7D2D" w:rsidRDefault="00BA34F2" w:rsidP="00BA34F2">
      <w:pPr>
        <w:spacing w:line="480" w:lineRule="auto"/>
        <w:jc w:val="both"/>
        <w:rPr>
          <w:lang w:val="en-GB"/>
        </w:rPr>
      </w:pPr>
      <w:r w:rsidRPr="00EF7D2D">
        <w:rPr>
          <w:rFonts w:ascii="Calibri" w:hAnsi="Calibri" w:cs="Calibri"/>
          <w:b/>
          <w:bCs/>
          <w:spacing w:val="-6"/>
          <w:lang w:val="en-US"/>
        </w:rPr>
        <w:t xml:space="preserve">Figure S1. </w:t>
      </w:r>
      <w:r w:rsidRPr="00EF7D2D">
        <w:rPr>
          <w:rFonts w:ascii="Calibri" w:hAnsi="Calibri" w:cs="Calibri"/>
          <w:spacing w:val="-6"/>
          <w:lang w:val="en-US"/>
        </w:rPr>
        <w:t xml:space="preserve">Fish embryo acute toxicology (FET) Test on zebrafish larvae treated with increasing concentrations of </w:t>
      </w:r>
      <w:r w:rsidRPr="00EF7D2D">
        <w:rPr>
          <w:rFonts w:ascii="Calibri" w:hAnsi="Calibri" w:cs="Calibri"/>
          <w:spacing w:val="-6"/>
          <w:lang w:val="en-GB"/>
        </w:rPr>
        <w:t xml:space="preserve">BSSG and of the vehicle DMSO. </w:t>
      </w:r>
      <w:r w:rsidRPr="00EF7D2D">
        <w:rPr>
          <w:rFonts w:ascii="Calibri" w:hAnsi="Calibri" w:cs="Calibri"/>
          <w:b/>
          <w:bCs/>
          <w:spacing w:val="-6"/>
          <w:lang w:val="en-GB"/>
        </w:rPr>
        <w:t>B</w:t>
      </w:r>
      <w:r w:rsidRPr="00EF7D2D">
        <w:rPr>
          <w:rFonts w:ascii="Calibri" w:hAnsi="Calibri" w:cs="Calibri"/>
          <w:spacing w:val="-6"/>
          <w:lang w:val="en-GB"/>
        </w:rPr>
        <w:t xml:space="preserve">) Measure of larval morphological traits: standard length, eye area and area of the swimming bladder. n=3 biological replicates, each consisting of at least 10 larvae. Bar graphs show the mean </w:t>
      </w:r>
      <w:r w:rsidRPr="00EF7D2D">
        <w:rPr>
          <w:rFonts w:ascii="Calibri" w:hAnsi="Calibri" w:cs="Calibri"/>
          <w:spacing w:val="-6"/>
          <w:lang w:val="en-US"/>
        </w:rPr>
        <w:t>± SEM</w:t>
      </w:r>
      <w:r w:rsidRPr="00EF7D2D">
        <w:rPr>
          <w:rFonts w:ascii="Calibri" w:hAnsi="Calibri" w:cs="Calibri"/>
          <w:spacing w:val="-6"/>
          <w:lang w:val="en-GB"/>
        </w:rPr>
        <w:t>.</w:t>
      </w:r>
      <w:r w:rsidRPr="00EF7D2D">
        <w:rPr>
          <w:rFonts w:ascii="Calibri" w:hAnsi="Calibri" w:cs="Calibri"/>
          <w:spacing w:val="-6"/>
          <w:lang w:val="en-US"/>
        </w:rPr>
        <w:t xml:space="preserve"> Statistical analysis was performed using unpaired Student’s t-test.</w:t>
      </w:r>
      <w:r w:rsidRPr="00EF7D2D">
        <w:rPr>
          <w:rFonts w:ascii="Calibri" w:hAnsi="Calibri" w:cs="Calibri"/>
          <w:spacing w:val="-6"/>
          <w:lang w:val="en-GB"/>
        </w:rPr>
        <w:t xml:space="preserve"> </w:t>
      </w:r>
      <w:r w:rsidRPr="00EF7D2D">
        <w:rPr>
          <w:rFonts w:ascii="Calibri" w:hAnsi="Calibri" w:cs="Calibri"/>
          <w:i/>
          <w:iCs/>
          <w:spacing w:val="-6"/>
          <w:lang w:val="en-GB"/>
        </w:rPr>
        <w:t>ns</w:t>
      </w:r>
      <w:r w:rsidRPr="00EF7D2D">
        <w:rPr>
          <w:rFonts w:ascii="Calibri" w:hAnsi="Calibri" w:cs="Calibri"/>
          <w:spacing w:val="-6"/>
          <w:lang w:val="en-GB"/>
        </w:rPr>
        <w:t xml:space="preserve">, not significant. </w:t>
      </w:r>
      <w:r w:rsidRPr="00EF7D2D">
        <w:rPr>
          <w:rFonts w:ascii="Calibri" w:hAnsi="Calibri" w:cs="Calibri"/>
          <w:b/>
          <w:bCs/>
          <w:spacing w:val="-6"/>
          <w:lang w:val="en-US"/>
        </w:rPr>
        <w:t>C</w:t>
      </w:r>
      <w:r w:rsidRPr="00EF7D2D">
        <w:rPr>
          <w:rFonts w:ascii="Calibri" w:hAnsi="Calibri" w:cs="Calibri"/>
          <w:spacing w:val="-6"/>
          <w:lang w:val="en-US"/>
        </w:rPr>
        <w:t xml:space="preserve">) Mass spectrometry analysis of lipid extracts from pooled heads and trunks of 5 dpf treated and control larvae. Numbers above the bars indicate the achieved internal concentration of </w:t>
      </w:r>
      <w:r w:rsidRPr="00EF7D2D">
        <w:rPr>
          <w:rFonts w:ascii="Calibri" w:hAnsi="Calibri" w:cs="Calibri"/>
          <w:spacing w:val="-6"/>
          <w:lang w:val="en-GB"/>
        </w:rPr>
        <w:t xml:space="preserve">BSSG. </w:t>
      </w:r>
    </w:p>
    <w:p w14:paraId="0DEDE5E1" w14:textId="77777777" w:rsidR="00BA34F2" w:rsidRPr="00EF7D2D" w:rsidRDefault="00BA34F2" w:rsidP="00BA34F2">
      <w:pPr>
        <w:spacing w:line="480" w:lineRule="auto"/>
        <w:jc w:val="both"/>
        <w:rPr>
          <w:rFonts w:ascii="Calibri" w:hAnsi="Calibri" w:cs="Calibri"/>
          <w:spacing w:val="-6"/>
          <w:lang w:val="en-US"/>
        </w:rPr>
      </w:pPr>
      <w:r w:rsidRPr="00EF7D2D">
        <w:rPr>
          <w:rFonts w:ascii="Calibri" w:hAnsi="Calibri" w:cs="Calibri"/>
          <w:b/>
          <w:bCs/>
          <w:spacing w:val="-6"/>
          <w:lang w:val="en-US"/>
        </w:rPr>
        <w:t xml:space="preserve">Figure S2. </w:t>
      </w:r>
      <w:r w:rsidRPr="00EF7D2D">
        <w:rPr>
          <w:rFonts w:ascii="Calibri" w:hAnsi="Calibri" w:cs="Calibri"/>
          <w:b/>
          <w:bCs/>
          <w:spacing w:val="-6"/>
          <w:lang w:val="en-GB"/>
        </w:rPr>
        <w:t>A</w:t>
      </w:r>
      <w:r w:rsidRPr="00EF7D2D">
        <w:rPr>
          <w:rFonts w:ascii="Calibri" w:hAnsi="Calibri" w:cs="Calibri"/>
          <w:spacing w:val="-6"/>
          <w:lang w:val="en-GB"/>
        </w:rPr>
        <w:t xml:space="preserve">) </w:t>
      </w:r>
      <w:r w:rsidRPr="00EF7D2D">
        <w:rPr>
          <w:rFonts w:ascii="Calibri" w:hAnsi="Calibri" w:cs="Calibri"/>
          <w:spacing w:val="-6"/>
          <w:lang w:val="en-US"/>
        </w:rPr>
        <w:t xml:space="preserve">Magnification of the zebrafish mid-intestine region stained </w:t>
      </w:r>
      <w:r w:rsidRPr="00EF7D2D">
        <w:rPr>
          <w:rFonts w:ascii="Calibri" w:hAnsi="Calibri" w:cs="Calibri"/>
          <w:i/>
          <w:iCs/>
          <w:spacing w:val="-6"/>
          <w:lang w:val="en-US"/>
        </w:rPr>
        <w:t xml:space="preserve">in vivo </w:t>
      </w:r>
      <w:r w:rsidRPr="00EF7D2D">
        <w:rPr>
          <w:rFonts w:ascii="Calibri" w:hAnsi="Calibri" w:cs="Calibri"/>
          <w:spacing w:val="-6"/>
          <w:lang w:val="en-US"/>
        </w:rPr>
        <w:t xml:space="preserve">with neutral red and quantification of its length in larvae treated with 10 µM </w:t>
      </w:r>
      <w:r w:rsidRPr="00EF7D2D">
        <w:rPr>
          <w:rFonts w:ascii="Calibri" w:hAnsi="Calibri" w:cs="Calibri"/>
          <w:spacing w:val="-6"/>
          <w:lang w:val="en-GB"/>
        </w:rPr>
        <w:sym w:font="Symbol" w:char="F062"/>
      </w:r>
      <w:r w:rsidRPr="00EF7D2D">
        <w:rPr>
          <w:rFonts w:ascii="Calibri" w:hAnsi="Calibri" w:cs="Calibri"/>
          <w:spacing w:val="-6"/>
          <w:lang w:val="en-GB"/>
        </w:rPr>
        <w:t>-sitosterol (</w:t>
      </w:r>
      <w:r w:rsidRPr="00EF7D2D">
        <w:rPr>
          <w:rFonts w:ascii="Calibri" w:hAnsi="Calibri" w:cs="Calibri"/>
          <w:spacing w:val="-6"/>
          <w:lang w:val="en-GB"/>
        </w:rPr>
        <w:sym w:font="Symbol" w:char="F062"/>
      </w:r>
      <w:r w:rsidRPr="00EF7D2D">
        <w:rPr>
          <w:rFonts w:ascii="Calibri" w:hAnsi="Calibri" w:cs="Calibri"/>
          <w:spacing w:val="-6"/>
          <w:lang w:val="en-GB"/>
        </w:rPr>
        <w:t>-Sito) compared to controls. n= 4 biological replicates, each consisting of at least 10 larvae. Scale bar: 200 µm.</w:t>
      </w:r>
      <w:r w:rsidRPr="00EF7D2D">
        <w:rPr>
          <w:rFonts w:ascii="Calibri" w:hAnsi="Calibri" w:cs="Calibri"/>
          <w:spacing w:val="-6"/>
          <w:lang w:val="en-US"/>
        </w:rPr>
        <w:t xml:space="preserve"> </w:t>
      </w:r>
      <w:r w:rsidRPr="00EF7D2D">
        <w:rPr>
          <w:rFonts w:ascii="Calibri" w:hAnsi="Calibri" w:cs="Calibri"/>
          <w:b/>
          <w:bCs/>
          <w:spacing w:val="-6"/>
          <w:lang w:val="en-US"/>
        </w:rPr>
        <w:t>B</w:t>
      </w:r>
      <w:r w:rsidRPr="00EF7D2D">
        <w:rPr>
          <w:rFonts w:ascii="Calibri" w:hAnsi="Calibri" w:cs="Calibri"/>
          <w:spacing w:val="-6"/>
          <w:lang w:val="en-US"/>
        </w:rPr>
        <w:t>) RT-qPCR analysis of autophagy-related genes in pooled 5-dpf CTR and BSSG-treated larvae. n</w:t>
      </w:r>
      <w:r w:rsidRPr="00EF7D2D">
        <w:rPr>
          <w:rFonts w:ascii="Calibri" w:hAnsi="Calibri" w:cs="Calibri"/>
          <w:spacing w:val="-6"/>
          <w:lang w:val="en-US"/>
        </w:rPr>
        <w:sym w:font="Symbol" w:char="F0B3"/>
      </w:r>
      <w:r w:rsidRPr="00EF7D2D">
        <w:rPr>
          <w:rFonts w:ascii="Calibri" w:hAnsi="Calibri" w:cs="Calibri"/>
          <w:spacing w:val="-6"/>
          <w:lang w:val="en-US"/>
        </w:rPr>
        <w:t xml:space="preserve">3 biological replicates. Data are expressed as mean ± SEM. Statistical analysis was performed using unpaired Student’s t-test: * </w:t>
      </w:r>
      <w:r w:rsidRPr="00EF7D2D">
        <w:rPr>
          <w:rFonts w:ascii="Calibri" w:hAnsi="Calibri" w:cs="Calibri"/>
          <w:i/>
          <w:iCs/>
          <w:spacing w:val="-6"/>
          <w:lang w:val="en-US"/>
        </w:rPr>
        <w:t>P &lt; 0.05; *** P &lt; 0.001</w:t>
      </w:r>
      <w:r w:rsidRPr="00EF7D2D">
        <w:rPr>
          <w:rFonts w:ascii="Calibri" w:hAnsi="Calibri" w:cs="Calibri"/>
          <w:spacing w:val="-6"/>
          <w:lang w:val="en-US"/>
        </w:rPr>
        <w:t xml:space="preserve">. </w:t>
      </w:r>
      <w:r w:rsidRPr="00EF7D2D">
        <w:rPr>
          <w:rFonts w:ascii="Calibri" w:hAnsi="Calibri" w:cs="Calibri"/>
          <w:b/>
          <w:bCs/>
          <w:spacing w:val="-6"/>
          <w:lang w:val="en-US"/>
        </w:rPr>
        <w:t>C</w:t>
      </w:r>
      <w:r w:rsidRPr="00EF7D2D">
        <w:rPr>
          <w:rFonts w:ascii="Calibri" w:hAnsi="Calibri" w:cs="Calibri"/>
          <w:spacing w:val="-6"/>
          <w:lang w:val="en-US"/>
        </w:rPr>
        <w:t>) Immunofluorescence staining of HuC/D</w:t>
      </w:r>
      <w:r w:rsidRPr="00EF7D2D">
        <w:rPr>
          <w:rFonts w:ascii="Calibri" w:hAnsi="Calibri" w:cs="Calibri"/>
          <w:spacing w:val="-6"/>
          <w:vertAlign w:val="superscript"/>
          <w:lang w:val="en-US"/>
        </w:rPr>
        <w:t>+</w:t>
      </w:r>
      <w:r w:rsidRPr="00EF7D2D">
        <w:rPr>
          <w:rFonts w:ascii="Calibri" w:hAnsi="Calibri" w:cs="Calibri"/>
          <w:spacing w:val="-6"/>
          <w:lang w:val="en-US"/>
        </w:rPr>
        <w:t xml:space="preserve"> enteric neurons and Sox10</w:t>
      </w:r>
      <w:r w:rsidRPr="00EF7D2D">
        <w:rPr>
          <w:rFonts w:ascii="Calibri" w:hAnsi="Calibri" w:cs="Calibri"/>
          <w:spacing w:val="-6"/>
          <w:vertAlign w:val="superscript"/>
          <w:lang w:val="en-US"/>
        </w:rPr>
        <w:t xml:space="preserve">+ </w:t>
      </w:r>
      <w:r w:rsidRPr="00EF7D2D">
        <w:rPr>
          <w:rFonts w:ascii="Calibri" w:hAnsi="Calibri" w:cs="Calibri"/>
          <w:spacing w:val="-6"/>
          <w:lang w:val="en-US"/>
        </w:rPr>
        <w:t xml:space="preserve">neuronal progenitors in 5 dpf zebrafish larval intestine (arrowheads). </w:t>
      </w:r>
      <w:r w:rsidRPr="00EF7D2D">
        <w:rPr>
          <w:rFonts w:ascii="Calibri" w:hAnsi="Calibri" w:cs="Calibri"/>
          <w:spacing w:val="-6"/>
          <w:lang w:val="en-GB"/>
        </w:rPr>
        <w:t xml:space="preserve">Bar graphs show the mean </w:t>
      </w:r>
      <w:r w:rsidRPr="00EF7D2D">
        <w:rPr>
          <w:rFonts w:ascii="Calibri" w:hAnsi="Calibri" w:cs="Calibri"/>
          <w:spacing w:val="-6"/>
          <w:lang w:val="en-US"/>
        </w:rPr>
        <w:t xml:space="preserve">± SEM. Statistical analysis was performed using unpaired Student’s t-test. </w:t>
      </w:r>
      <w:r w:rsidRPr="00EF7D2D">
        <w:rPr>
          <w:rFonts w:ascii="Calibri" w:hAnsi="Calibri" w:cs="Calibri"/>
          <w:i/>
          <w:iCs/>
          <w:spacing w:val="-6"/>
          <w:lang w:val="en-US"/>
        </w:rPr>
        <w:t>ns</w:t>
      </w:r>
      <w:r w:rsidRPr="00EF7D2D">
        <w:rPr>
          <w:rFonts w:ascii="Calibri" w:hAnsi="Calibri" w:cs="Calibri"/>
          <w:spacing w:val="-6"/>
          <w:lang w:val="en-US"/>
        </w:rPr>
        <w:t xml:space="preserve">, not significant. </w:t>
      </w:r>
      <w:r w:rsidRPr="00EF7D2D">
        <w:rPr>
          <w:rFonts w:ascii="Calibri" w:hAnsi="Calibri" w:cs="Calibri"/>
          <w:spacing w:val="-6"/>
          <w:lang w:val="en-GB"/>
        </w:rPr>
        <w:t xml:space="preserve">Scale bar: 200 µm </w:t>
      </w:r>
      <w:r w:rsidRPr="00EF7D2D">
        <w:rPr>
          <w:rFonts w:ascii="Calibri" w:hAnsi="Calibri" w:cs="Calibri"/>
          <w:b/>
          <w:bCs/>
          <w:spacing w:val="-6"/>
          <w:lang w:val="en-US"/>
        </w:rPr>
        <w:t>D</w:t>
      </w:r>
      <w:r w:rsidRPr="00EF7D2D">
        <w:rPr>
          <w:rFonts w:ascii="Calibri" w:hAnsi="Calibri" w:cs="Calibri"/>
          <w:spacing w:val="-6"/>
          <w:lang w:val="en-US"/>
        </w:rPr>
        <w:t xml:space="preserve">) Bar charts with RNAseq analysis from RNA samples of pooled 30 dpf chronically treated whole zebrafish larvae. GO Molecular function enrichment for the up- and downregulated genes. </w:t>
      </w:r>
      <w:r w:rsidRPr="00EF7D2D">
        <w:rPr>
          <w:rFonts w:ascii="Calibri" w:hAnsi="Calibri" w:cs="Calibri"/>
          <w:b/>
          <w:bCs/>
          <w:spacing w:val="-6"/>
          <w:lang w:val="en-US"/>
        </w:rPr>
        <w:t>E</w:t>
      </w:r>
      <w:r w:rsidRPr="00EF7D2D">
        <w:rPr>
          <w:rFonts w:ascii="Calibri" w:hAnsi="Calibri" w:cs="Calibri"/>
          <w:spacing w:val="-6"/>
          <w:lang w:val="en-US"/>
        </w:rPr>
        <w:t>)</w:t>
      </w:r>
      <w:r w:rsidRPr="00EF7D2D">
        <w:rPr>
          <w:rFonts w:ascii="Calibri" w:hAnsi="Calibri" w:cs="Calibri"/>
          <w:b/>
          <w:bCs/>
          <w:spacing w:val="-6"/>
          <w:lang w:val="en-US"/>
        </w:rPr>
        <w:t xml:space="preserve"> </w:t>
      </w:r>
      <w:r w:rsidRPr="00EF7D2D">
        <w:rPr>
          <w:rFonts w:ascii="Calibri" w:hAnsi="Calibri" w:cs="Calibri"/>
          <w:spacing w:val="-6"/>
          <w:lang w:val="en-US"/>
        </w:rPr>
        <w:t xml:space="preserve">GO Cellular </w:t>
      </w:r>
      <w:r w:rsidRPr="00EF7D2D">
        <w:rPr>
          <w:rFonts w:ascii="Calibri" w:hAnsi="Calibri" w:cs="Calibri"/>
          <w:spacing w:val="-6"/>
          <w:lang w:val="en-US"/>
        </w:rPr>
        <w:lastRenderedPageBreak/>
        <w:t xml:space="preserve">component enrichment for downregulated genes. </w:t>
      </w:r>
      <w:r w:rsidRPr="00EF7D2D">
        <w:rPr>
          <w:rFonts w:ascii="Calibri" w:hAnsi="Calibri" w:cs="Calibri"/>
          <w:b/>
          <w:bCs/>
          <w:spacing w:val="-6"/>
          <w:lang w:val="en-US"/>
        </w:rPr>
        <w:t>F</w:t>
      </w:r>
      <w:r w:rsidRPr="00EF7D2D">
        <w:rPr>
          <w:rFonts w:ascii="Calibri" w:hAnsi="Calibri" w:cs="Calibri"/>
          <w:spacing w:val="-6"/>
          <w:lang w:val="en-US"/>
        </w:rPr>
        <w:t xml:space="preserve">) </w:t>
      </w:r>
      <w:r w:rsidRPr="00EF7D2D">
        <w:rPr>
          <w:rFonts w:ascii="Calibri" w:hAnsi="Calibri" w:cs="Calibri"/>
          <w:spacing w:val="-6"/>
          <w:lang w:val="en-GB"/>
        </w:rPr>
        <w:t>Schematic representation of the radioligand binding assay performed for each steroid hormone receptor with its specific radiolabelled ligand. The heatmap indicates the percentage of inhibition of GR binding to its radiolabelled specific ligand following the interaction with BSSG.</w:t>
      </w:r>
      <w:r w:rsidRPr="00EF7D2D">
        <w:rPr>
          <w:rFonts w:ascii="Calibri" w:hAnsi="Calibri" w:cs="Calibri"/>
          <w:b/>
          <w:bCs/>
          <w:spacing w:val="-6"/>
          <w:lang w:val="en-GB"/>
        </w:rPr>
        <w:t xml:space="preserve"> </w:t>
      </w:r>
    </w:p>
    <w:p w14:paraId="7A98A4E7" w14:textId="77777777" w:rsidR="00BA34F2" w:rsidRPr="00EF7D2D" w:rsidRDefault="00BA34F2" w:rsidP="00BA34F2">
      <w:pPr>
        <w:spacing w:line="480" w:lineRule="auto"/>
        <w:jc w:val="both"/>
        <w:rPr>
          <w:rFonts w:ascii="Calibri" w:hAnsi="Calibri" w:cs="Calibri"/>
          <w:spacing w:val="-6"/>
          <w:lang w:val="en-GB"/>
        </w:rPr>
      </w:pPr>
      <w:r w:rsidRPr="00EF7D2D">
        <w:rPr>
          <w:rFonts w:ascii="Calibri" w:hAnsi="Calibri" w:cs="Calibri"/>
          <w:b/>
          <w:bCs/>
          <w:spacing w:val="-6"/>
          <w:lang w:val="en-US"/>
        </w:rPr>
        <w:t>Figure S3. A</w:t>
      </w:r>
      <w:r w:rsidRPr="00EF7D2D">
        <w:rPr>
          <w:rFonts w:ascii="Calibri" w:hAnsi="Calibri" w:cs="Calibri"/>
          <w:spacing w:val="-6"/>
          <w:lang w:val="en-US"/>
        </w:rPr>
        <w:t xml:space="preserve">) Immunofluorescence staining with the macrophage marker F4/80 on mouse small intestine histological sections. Arrowheads indicate macrophages in the </w:t>
      </w:r>
      <w:r w:rsidRPr="00EF7D2D">
        <w:rPr>
          <w:rFonts w:ascii="Calibri" w:hAnsi="Calibri" w:cs="Calibri"/>
          <w:i/>
          <w:iCs/>
          <w:spacing w:val="-6"/>
          <w:lang w:val="en-US"/>
        </w:rPr>
        <w:t>lamina propria</w:t>
      </w:r>
      <w:r w:rsidRPr="00EF7D2D">
        <w:rPr>
          <w:rFonts w:ascii="Calibri" w:hAnsi="Calibri" w:cs="Calibri"/>
          <w:spacing w:val="-6"/>
          <w:lang w:val="en-US"/>
        </w:rPr>
        <w:t xml:space="preserve">. Dotted lines define the outlines of the samples. </w:t>
      </w:r>
      <w:r w:rsidRPr="00EF7D2D">
        <w:rPr>
          <w:rFonts w:ascii="Calibri" w:hAnsi="Calibri" w:cs="Calibri"/>
          <w:spacing w:val="-6"/>
          <w:lang w:val="en-GB"/>
        </w:rPr>
        <w:t xml:space="preserve">Bar graph shows the mean </w:t>
      </w:r>
      <w:r w:rsidRPr="00EF7D2D">
        <w:rPr>
          <w:rFonts w:ascii="Calibri" w:hAnsi="Calibri" w:cs="Calibri"/>
          <w:spacing w:val="-6"/>
          <w:lang w:val="en-US"/>
        </w:rPr>
        <w:t>± SEM. Statistical analysis was performed on 5 sections obtained from 3 animals/condition using unpaired Student’s t-test. *</w:t>
      </w:r>
      <w:r w:rsidRPr="00EF7D2D">
        <w:rPr>
          <w:rFonts w:ascii="Calibri" w:hAnsi="Calibri" w:cs="Calibri"/>
          <w:i/>
          <w:iCs/>
          <w:spacing w:val="-6"/>
          <w:lang w:val="en-US"/>
        </w:rPr>
        <w:t>P&lt;</w:t>
      </w:r>
      <w:r w:rsidRPr="00EF7D2D">
        <w:rPr>
          <w:rFonts w:ascii="Calibri" w:hAnsi="Calibri" w:cs="Calibri"/>
          <w:spacing w:val="-6"/>
          <w:lang w:val="en-US"/>
        </w:rPr>
        <w:t xml:space="preserve">0.05. </w:t>
      </w:r>
      <w:r w:rsidRPr="00EF7D2D">
        <w:rPr>
          <w:rFonts w:ascii="Calibri" w:hAnsi="Calibri" w:cs="Calibri"/>
          <w:spacing w:val="-6"/>
          <w:lang w:val="en-GB"/>
        </w:rPr>
        <w:t>Scale bar: 200 µm.</w:t>
      </w:r>
      <w:r w:rsidRPr="00EF7D2D">
        <w:rPr>
          <w:rFonts w:ascii="Calibri" w:hAnsi="Calibri" w:cs="Calibri"/>
          <w:spacing w:val="-6"/>
          <w:lang w:val="en-US"/>
        </w:rPr>
        <w:t xml:space="preserve"> </w:t>
      </w:r>
      <w:r w:rsidRPr="00EF7D2D">
        <w:rPr>
          <w:rFonts w:ascii="Calibri" w:hAnsi="Calibri" w:cs="Calibri"/>
          <w:b/>
          <w:bCs/>
          <w:spacing w:val="-6"/>
          <w:lang w:val="en-US"/>
        </w:rPr>
        <w:t>B</w:t>
      </w:r>
      <w:r w:rsidRPr="00EF7D2D">
        <w:rPr>
          <w:rFonts w:ascii="Calibri" w:hAnsi="Calibri" w:cs="Calibri"/>
          <w:spacing w:val="-6"/>
          <w:lang w:val="en-US"/>
        </w:rPr>
        <w:t xml:space="preserve">) Representative plot of the cumulative amount of food (grams) consumed by BBSG-treated and control mice during the whole experimentation period. Food leftovers were weighed weekly to keep track of the amount of </w:t>
      </w:r>
      <w:r w:rsidRPr="00EF7D2D">
        <w:rPr>
          <w:rFonts w:ascii="Calibri" w:hAnsi="Calibri" w:cs="Calibri"/>
          <w:spacing w:val="-6"/>
          <w:lang w:val="en-GB"/>
        </w:rPr>
        <w:t xml:space="preserve">BSSG </w:t>
      </w:r>
      <w:r w:rsidRPr="00EF7D2D">
        <w:rPr>
          <w:rFonts w:ascii="Calibri" w:hAnsi="Calibri" w:cs="Calibri"/>
          <w:spacing w:val="-6"/>
          <w:lang w:val="en-US"/>
        </w:rPr>
        <w:t xml:space="preserve">ingested by the animals through the feed. </w:t>
      </w:r>
      <w:r w:rsidRPr="00EF7D2D">
        <w:rPr>
          <w:rFonts w:ascii="Calibri" w:hAnsi="Calibri" w:cs="Calibri"/>
          <w:b/>
          <w:bCs/>
          <w:spacing w:val="-6"/>
          <w:lang w:val="en-US"/>
        </w:rPr>
        <w:t>C</w:t>
      </w:r>
      <w:r w:rsidRPr="00EF7D2D">
        <w:rPr>
          <w:rFonts w:ascii="Calibri" w:hAnsi="Calibri" w:cs="Calibri"/>
          <w:spacing w:val="-6"/>
          <w:lang w:val="en-US"/>
        </w:rPr>
        <w:t>)</w:t>
      </w:r>
      <w:r w:rsidRPr="00EF7D2D">
        <w:rPr>
          <w:rFonts w:ascii="Calibri" w:hAnsi="Calibri" w:cs="Calibri"/>
          <w:spacing w:val="-6"/>
          <w:lang w:val="en-GB"/>
        </w:rPr>
        <w:t xml:space="preserve">Bar charts with </w:t>
      </w:r>
      <w:r w:rsidRPr="00EF7D2D">
        <w:rPr>
          <w:rFonts w:ascii="Calibri" w:hAnsi="Calibri" w:cs="Calibri"/>
          <w:spacing w:val="-6"/>
          <w:lang w:val="en-US"/>
        </w:rPr>
        <w:t xml:space="preserve">RNAseq analysis of RNA samples extracted from mouse small intestine. GO Molecular function enrichment of up- and downregulated genes. </w:t>
      </w:r>
      <w:r w:rsidRPr="00EF7D2D">
        <w:rPr>
          <w:rFonts w:ascii="Calibri" w:hAnsi="Calibri" w:cs="Calibri"/>
          <w:b/>
          <w:bCs/>
          <w:spacing w:val="-6"/>
          <w:lang w:val="en-US"/>
        </w:rPr>
        <w:t>D</w:t>
      </w:r>
      <w:r w:rsidRPr="00EF7D2D">
        <w:rPr>
          <w:rFonts w:ascii="Calibri" w:hAnsi="Calibri" w:cs="Calibri"/>
          <w:spacing w:val="-6"/>
          <w:lang w:val="en-US"/>
        </w:rPr>
        <w:t>) GO Cellular component enrichment of up- and downregulated genes.</w:t>
      </w:r>
      <w:r w:rsidRPr="00EF7D2D">
        <w:rPr>
          <w:rFonts w:ascii="Calibri" w:hAnsi="Calibri" w:cs="Calibri"/>
          <w:b/>
          <w:bCs/>
          <w:spacing w:val="-6"/>
          <w:lang w:val="en-US"/>
        </w:rPr>
        <w:t xml:space="preserve"> E</w:t>
      </w:r>
      <w:r w:rsidRPr="00EF7D2D">
        <w:rPr>
          <w:rFonts w:ascii="Calibri" w:hAnsi="Calibri" w:cs="Calibri"/>
          <w:spacing w:val="-6"/>
          <w:lang w:val="en-US"/>
        </w:rPr>
        <w:t>) Analysis of mice fecal microbiota. The bar graph shows the percentage of relative abundance of bacterial families in N=2</w:t>
      </w:r>
      <w:r w:rsidRPr="00EF7D2D">
        <w:rPr>
          <w:rFonts w:ascii="Calibri" w:hAnsi="Calibri" w:cs="Calibri"/>
          <w:spacing w:val="-6"/>
          <w:lang w:val="en-GB"/>
        </w:rPr>
        <w:t xml:space="preserve"> animals/condition.</w:t>
      </w:r>
    </w:p>
    <w:p w14:paraId="4CFB2CA6" w14:textId="77777777" w:rsidR="00BA34F2" w:rsidRPr="00EF7D2D" w:rsidRDefault="00BA34F2" w:rsidP="00BA34F2">
      <w:pPr>
        <w:spacing w:line="480" w:lineRule="auto"/>
        <w:jc w:val="both"/>
        <w:rPr>
          <w:rFonts w:ascii="Calibri" w:hAnsi="Calibri" w:cs="Calibri"/>
          <w:b/>
          <w:bCs/>
          <w:spacing w:val="-6"/>
          <w:lang w:val="en-US"/>
        </w:rPr>
      </w:pPr>
      <w:r w:rsidRPr="00EF7D2D">
        <w:rPr>
          <w:rFonts w:ascii="Calibri" w:hAnsi="Calibri" w:cs="Calibri"/>
          <w:b/>
          <w:bCs/>
          <w:spacing w:val="-6"/>
          <w:lang w:val="en-GB"/>
        </w:rPr>
        <w:t xml:space="preserve">Figure S4. </w:t>
      </w:r>
      <w:r w:rsidRPr="00EF7D2D">
        <w:rPr>
          <w:rFonts w:ascii="Calibri" w:hAnsi="Calibri" w:cs="Calibri"/>
          <w:b/>
          <w:bCs/>
          <w:spacing w:val="-6"/>
          <w:lang w:val="en-US"/>
        </w:rPr>
        <w:t>A</w:t>
      </w:r>
      <w:r w:rsidRPr="00EF7D2D">
        <w:rPr>
          <w:rFonts w:ascii="Calibri" w:hAnsi="Calibri" w:cs="Calibri"/>
          <w:spacing w:val="-6"/>
          <w:lang w:val="en-US"/>
        </w:rPr>
        <w:t xml:space="preserve">) Principal Component analysis (PCOA_2D) of adult zebrafish gut microbiota analyzed in four different conditions: WT control (CTR), WT </w:t>
      </w:r>
      <w:r w:rsidRPr="00EF7D2D">
        <w:rPr>
          <w:rFonts w:ascii="Calibri" w:hAnsi="Calibri" w:cs="Calibri"/>
          <w:spacing w:val="-6"/>
          <w:lang w:val="en-GB"/>
        </w:rPr>
        <w:t xml:space="preserve">BSSG, </w:t>
      </w:r>
      <w:r w:rsidRPr="00EF7D2D">
        <w:rPr>
          <w:rFonts w:ascii="Calibri" w:hAnsi="Calibri" w:cs="Calibri"/>
          <w:i/>
          <w:iCs/>
          <w:spacing w:val="-6"/>
          <w:lang w:val="en-GB"/>
        </w:rPr>
        <w:t>gr</w:t>
      </w:r>
      <w:r w:rsidRPr="00EF7D2D">
        <w:rPr>
          <w:rFonts w:ascii="Calibri" w:hAnsi="Calibri" w:cs="Calibri"/>
          <w:i/>
          <w:iCs/>
          <w:spacing w:val="-6"/>
          <w:vertAlign w:val="superscript"/>
          <w:lang w:val="en-GB"/>
        </w:rPr>
        <w:t>-/-</w:t>
      </w:r>
      <w:r w:rsidRPr="00EF7D2D">
        <w:rPr>
          <w:rFonts w:ascii="Calibri" w:hAnsi="Calibri" w:cs="Calibri"/>
          <w:spacing w:val="-6"/>
          <w:lang w:val="en-US"/>
        </w:rPr>
        <w:t xml:space="preserve"> CTR and</w:t>
      </w:r>
      <w:r w:rsidRPr="00EF7D2D">
        <w:rPr>
          <w:rFonts w:ascii="Calibri" w:hAnsi="Calibri" w:cs="Calibri"/>
          <w:spacing w:val="-6"/>
          <w:lang w:val="en-GB"/>
        </w:rPr>
        <w:t xml:space="preserve">, </w:t>
      </w:r>
      <w:r w:rsidRPr="00EF7D2D">
        <w:rPr>
          <w:rFonts w:ascii="Calibri" w:hAnsi="Calibri" w:cs="Calibri"/>
          <w:i/>
          <w:iCs/>
          <w:spacing w:val="-6"/>
          <w:lang w:val="en-GB"/>
        </w:rPr>
        <w:t>gr</w:t>
      </w:r>
      <w:r w:rsidRPr="00EF7D2D">
        <w:rPr>
          <w:rFonts w:ascii="Calibri" w:hAnsi="Calibri" w:cs="Calibri"/>
          <w:i/>
          <w:iCs/>
          <w:spacing w:val="-6"/>
          <w:vertAlign w:val="superscript"/>
          <w:lang w:val="en-GB"/>
        </w:rPr>
        <w:t>-/-</w:t>
      </w:r>
      <w:r w:rsidRPr="00EF7D2D">
        <w:rPr>
          <w:rFonts w:ascii="Calibri" w:hAnsi="Calibri" w:cs="Calibri"/>
          <w:spacing w:val="-6"/>
          <w:lang w:val="en-US"/>
        </w:rPr>
        <w:t xml:space="preserve"> </w:t>
      </w:r>
      <w:r w:rsidRPr="00EF7D2D">
        <w:rPr>
          <w:rFonts w:ascii="Calibri" w:hAnsi="Calibri" w:cs="Calibri"/>
          <w:spacing w:val="-6"/>
          <w:lang w:val="en-GB"/>
        </w:rPr>
        <w:t>BSSG</w:t>
      </w:r>
      <w:r w:rsidRPr="00EF7D2D">
        <w:rPr>
          <w:rFonts w:ascii="Calibri" w:hAnsi="Calibri" w:cs="Calibri"/>
          <w:spacing w:val="-6"/>
          <w:lang w:val="en-US"/>
        </w:rPr>
        <w:t xml:space="preserve">. The first (PCo1) and the second principal components (PCo2) are shown on the horizontal and vertical axes, respectively. </w:t>
      </w:r>
      <w:r w:rsidRPr="00EF7D2D">
        <w:rPr>
          <w:rFonts w:ascii="Calibri" w:hAnsi="Calibri" w:cs="Calibri"/>
          <w:b/>
          <w:bCs/>
          <w:spacing w:val="-6"/>
          <w:lang w:val="en-US"/>
        </w:rPr>
        <w:t>B</w:t>
      </w:r>
      <w:r w:rsidRPr="00EF7D2D">
        <w:rPr>
          <w:rFonts w:ascii="Calibri" w:hAnsi="Calibri" w:cs="Calibri"/>
          <w:spacing w:val="-6"/>
          <w:lang w:val="en-US"/>
        </w:rPr>
        <w:t xml:space="preserve">) Average ASVs in the four conditions. The number of ASVs and the Shannon index are plotted. </w:t>
      </w:r>
      <w:r w:rsidRPr="00EF7D2D">
        <w:rPr>
          <w:rFonts w:ascii="Calibri" w:hAnsi="Calibri" w:cs="Calibri"/>
          <w:b/>
          <w:bCs/>
          <w:spacing w:val="-6"/>
          <w:lang w:val="en-US"/>
        </w:rPr>
        <w:t>C</w:t>
      </w:r>
      <w:r w:rsidRPr="00EF7D2D">
        <w:rPr>
          <w:rFonts w:ascii="Calibri" w:hAnsi="Calibri" w:cs="Calibri"/>
          <w:spacing w:val="-6"/>
          <w:lang w:val="en-US"/>
        </w:rPr>
        <w:t>) Heatmap plotting the relative abundance of the ASVs that reach at least the 0.5%.</w:t>
      </w:r>
    </w:p>
    <w:p w14:paraId="5AECCA86" w14:textId="77777777" w:rsidR="00BA34F2" w:rsidRPr="00EF7D2D" w:rsidRDefault="00BA34F2" w:rsidP="00BA34F2">
      <w:pPr>
        <w:pStyle w:val="ListParagraph"/>
        <w:numPr>
          <w:ilvl w:val="0"/>
          <w:numId w:val="1"/>
        </w:numPr>
        <w:spacing w:line="480" w:lineRule="auto"/>
        <w:jc w:val="both"/>
        <w:rPr>
          <w:rFonts w:ascii="Calibri" w:hAnsi="Calibri" w:cs="Calibri"/>
          <w:b/>
          <w:bCs/>
          <w:spacing w:val="-6"/>
          <w:lang w:val="en-US"/>
        </w:rPr>
      </w:pPr>
      <w:r w:rsidRPr="00EF7D2D">
        <w:rPr>
          <w:rFonts w:ascii="Calibri" w:hAnsi="Calibri" w:cs="Calibri"/>
          <w:b/>
          <w:bCs/>
          <w:spacing w:val="-6"/>
          <w:lang w:val="en-US"/>
        </w:rPr>
        <w:t xml:space="preserve">Additional File 4.xlsx: Zebrafish DEGs. </w:t>
      </w:r>
      <w:r w:rsidRPr="00EF7D2D">
        <w:rPr>
          <w:rFonts w:ascii="Calibri" w:hAnsi="Calibri" w:cs="Calibri"/>
          <w:spacing w:val="-6"/>
          <w:lang w:val="en-US"/>
        </w:rPr>
        <w:t>Table with the complete list of zebrafish differentially expressed genes.</w:t>
      </w:r>
    </w:p>
    <w:p w14:paraId="492257F0" w14:textId="77777777" w:rsidR="00BA34F2" w:rsidRPr="00EF7D2D" w:rsidRDefault="00BA34F2" w:rsidP="00BA34F2">
      <w:pPr>
        <w:pStyle w:val="ListParagraph"/>
        <w:numPr>
          <w:ilvl w:val="0"/>
          <w:numId w:val="1"/>
        </w:numPr>
        <w:spacing w:line="480" w:lineRule="auto"/>
        <w:jc w:val="both"/>
        <w:rPr>
          <w:rFonts w:ascii="Calibri" w:hAnsi="Calibri" w:cs="Calibri"/>
          <w:b/>
          <w:bCs/>
          <w:spacing w:val="-6"/>
          <w:lang w:val="en-US"/>
        </w:rPr>
      </w:pPr>
      <w:r w:rsidRPr="00EF7D2D">
        <w:rPr>
          <w:rFonts w:ascii="Calibri" w:hAnsi="Calibri" w:cs="Calibri"/>
          <w:b/>
          <w:bCs/>
          <w:spacing w:val="-6"/>
          <w:lang w:val="en-US"/>
        </w:rPr>
        <w:lastRenderedPageBreak/>
        <w:t xml:space="preserve">Additional File 5.xlsx: Mouse DEGs. </w:t>
      </w:r>
      <w:r w:rsidRPr="00EF7D2D">
        <w:rPr>
          <w:rFonts w:ascii="Calibri" w:hAnsi="Calibri" w:cs="Calibri"/>
          <w:spacing w:val="-6"/>
          <w:lang w:val="en-US"/>
        </w:rPr>
        <w:t>Table with the complete list of mouse small intestine differentially expressed genes.</w:t>
      </w:r>
    </w:p>
    <w:p w14:paraId="57B4FAE5" w14:textId="77777777" w:rsidR="00DE6AE2" w:rsidRPr="00BA34F2" w:rsidRDefault="00DE6AE2">
      <w:pPr>
        <w:rPr>
          <w:lang w:val="en-US"/>
        </w:rPr>
      </w:pPr>
    </w:p>
    <w:sectPr w:rsidR="00DE6AE2" w:rsidRPr="00BA34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5064F"/>
    <w:multiLevelType w:val="hybridMultilevel"/>
    <w:tmpl w:val="B58663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83745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4F2"/>
    <w:rsid w:val="00195413"/>
    <w:rsid w:val="003D0186"/>
    <w:rsid w:val="007278E4"/>
    <w:rsid w:val="00A3738C"/>
    <w:rsid w:val="00AF3169"/>
    <w:rsid w:val="00BA34F2"/>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42C06"/>
  <w15:chartTrackingRefBased/>
  <w15:docId w15:val="{605EF81A-CA90-4928-8CAA-355B5EA89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4F2"/>
    <w:pPr>
      <w:spacing w:after="0" w:line="240" w:lineRule="auto"/>
    </w:pPr>
    <w:rPr>
      <w:rFonts w:ascii="Times New Roman" w:eastAsia="Times New Roman" w:hAnsi="Times New Roman" w:cs="Times New Roman"/>
      <w:kern w:val="0"/>
      <w:lang w:val="it-IT" w:eastAsia="it-IT"/>
      <w14:ligatures w14:val="none"/>
    </w:rPr>
  </w:style>
  <w:style w:type="paragraph" w:styleId="Heading1">
    <w:name w:val="heading 1"/>
    <w:basedOn w:val="Normal"/>
    <w:next w:val="Normal"/>
    <w:link w:val="Heading1Char"/>
    <w:uiPriority w:val="9"/>
    <w:qFormat/>
    <w:rsid w:val="00BA34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34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34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34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34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34F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34F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34F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34F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34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34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34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34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34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34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34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34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34F2"/>
    <w:rPr>
      <w:rFonts w:eastAsiaTheme="majorEastAsia" w:cstheme="majorBidi"/>
      <w:color w:val="272727" w:themeColor="text1" w:themeTint="D8"/>
    </w:rPr>
  </w:style>
  <w:style w:type="paragraph" w:styleId="Title">
    <w:name w:val="Title"/>
    <w:basedOn w:val="Normal"/>
    <w:next w:val="Normal"/>
    <w:link w:val="TitleChar"/>
    <w:uiPriority w:val="10"/>
    <w:qFormat/>
    <w:rsid w:val="00BA34F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34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34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34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34F2"/>
    <w:pPr>
      <w:spacing w:before="160"/>
      <w:jc w:val="center"/>
    </w:pPr>
    <w:rPr>
      <w:i/>
      <w:iCs/>
      <w:color w:val="404040" w:themeColor="text1" w:themeTint="BF"/>
    </w:rPr>
  </w:style>
  <w:style w:type="character" w:customStyle="1" w:styleId="QuoteChar">
    <w:name w:val="Quote Char"/>
    <w:basedOn w:val="DefaultParagraphFont"/>
    <w:link w:val="Quote"/>
    <w:uiPriority w:val="29"/>
    <w:rsid w:val="00BA34F2"/>
    <w:rPr>
      <w:i/>
      <w:iCs/>
      <w:color w:val="404040" w:themeColor="text1" w:themeTint="BF"/>
    </w:rPr>
  </w:style>
  <w:style w:type="paragraph" w:styleId="ListParagraph">
    <w:name w:val="List Paragraph"/>
    <w:basedOn w:val="Normal"/>
    <w:uiPriority w:val="34"/>
    <w:qFormat/>
    <w:rsid w:val="00BA34F2"/>
    <w:pPr>
      <w:ind w:left="720"/>
      <w:contextualSpacing/>
    </w:pPr>
  </w:style>
  <w:style w:type="character" w:styleId="IntenseEmphasis">
    <w:name w:val="Intense Emphasis"/>
    <w:basedOn w:val="DefaultParagraphFont"/>
    <w:uiPriority w:val="21"/>
    <w:qFormat/>
    <w:rsid w:val="00BA34F2"/>
    <w:rPr>
      <w:i/>
      <w:iCs/>
      <w:color w:val="0F4761" w:themeColor="accent1" w:themeShade="BF"/>
    </w:rPr>
  </w:style>
  <w:style w:type="paragraph" w:styleId="IntenseQuote">
    <w:name w:val="Intense Quote"/>
    <w:basedOn w:val="Normal"/>
    <w:next w:val="Normal"/>
    <w:link w:val="IntenseQuoteChar"/>
    <w:uiPriority w:val="30"/>
    <w:qFormat/>
    <w:rsid w:val="00BA34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34F2"/>
    <w:rPr>
      <w:i/>
      <w:iCs/>
      <w:color w:val="0F4761" w:themeColor="accent1" w:themeShade="BF"/>
    </w:rPr>
  </w:style>
  <w:style w:type="character" w:styleId="IntenseReference">
    <w:name w:val="Intense Reference"/>
    <w:basedOn w:val="DefaultParagraphFont"/>
    <w:uiPriority w:val="32"/>
    <w:qFormat/>
    <w:rsid w:val="00BA34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574</Words>
  <Characters>3401</Characters>
  <Application>Microsoft Office Word</Application>
  <DocSecurity>0</DocSecurity>
  <Lines>47</Lines>
  <Paragraphs>11</Paragraphs>
  <ScaleCrop>false</ScaleCrop>
  <Company>Springer Nature</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2026-03-24T07:46:00Z</dcterms:created>
  <dcterms:modified xsi:type="dcterms:W3CDTF">2026-03-24T07:46:00Z</dcterms:modified>
</cp:coreProperties>
</file>