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6Colorful"/>
        <w:tblpPr w:leftFromText="180" w:rightFromText="180" w:vertAnchor="text" w:horzAnchor="margin" w:tblpY="584"/>
        <w:tblW w:w="9073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1559"/>
        <w:gridCol w:w="1984"/>
        <w:gridCol w:w="1560"/>
        <w:gridCol w:w="992"/>
      </w:tblGrid>
      <w:tr w:rsidR="00F936E8" w:rsidRPr="005A5F07" w:rsidTr="003160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  <w:t>Age group</w:t>
            </w:r>
          </w:p>
        </w:tc>
        <w:tc>
          <w:tcPr>
            <w:tcW w:w="1701" w:type="dxa"/>
            <w:vAlign w:val="center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  <w:t>Sampling method</w:t>
            </w:r>
          </w:p>
        </w:tc>
        <w:tc>
          <w:tcPr>
            <w:tcW w:w="1559" w:type="dxa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 w:val="0"/>
                <w:bCs w:val="0"/>
                <w:sz w:val="18"/>
                <w:szCs w:val="18"/>
              </w:rPr>
              <w:t>Overall, n (%)</w:t>
            </w:r>
          </w:p>
        </w:tc>
        <w:tc>
          <w:tcPr>
            <w:tcW w:w="1984" w:type="dxa"/>
            <w:vAlign w:val="center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  <w:t>Non-diversion, n (%)</w:t>
            </w:r>
          </w:p>
        </w:tc>
        <w:tc>
          <w:tcPr>
            <w:tcW w:w="1560" w:type="dxa"/>
            <w:vAlign w:val="center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  <w:t>Diversion, n (%)</w:t>
            </w:r>
          </w:p>
        </w:tc>
        <w:tc>
          <w:tcPr>
            <w:tcW w:w="992" w:type="dxa"/>
            <w:vAlign w:val="center"/>
          </w:tcPr>
          <w:p w:rsidR="00F936E8" w:rsidRPr="00C834AF" w:rsidRDefault="00F936E8" w:rsidP="00316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i/>
                <w:iCs/>
                <w:color w:val="auto"/>
                <w:sz w:val="18"/>
                <w:szCs w:val="18"/>
              </w:rPr>
              <w:t xml:space="preserve">p </w:t>
            </w: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auto"/>
                <w:sz w:val="18"/>
                <w:szCs w:val="18"/>
              </w:rPr>
              <w:t>value</w:t>
            </w:r>
          </w:p>
        </w:tc>
      </w:tr>
      <w:tr w:rsidR="00F936E8" w:rsidRPr="005A5F07" w:rsidTr="003160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Merge w:val="restart"/>
            <w:tcBorders>
              <w:top w:val="single" w:sz="4" w:space="0" w:color="000000" w:themeColor="text1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C834AF" w:rsidRDefault="00F936E8" w:rsidP="003160D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Age &lt; 74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Newly inserted IV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FFFFFF" w:themeFill="background1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14/252 (5.6%)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3/61 (4.9)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11/191 (5.8)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</w:tr>
      <w:tr w:rsidR="00F936E8" w:rsidRPr="005A5F07" w:rsidTr="003160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Merge/>
            <w:tcBorders>
              <w:top w:val="nil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C834AF" w:rsidRDefault="00F936E8" w:rsidP="003160D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Venipuncture</w:t>
            </w:r>
          </w:p>
        </w:tc>
        <w:tc>
          <w:tcPr>
            <w:tcW w:w="1559" w:type="dxa"/>
            <w:tcBorders>
              <w:top w:val="nil"/>
              <w:bottom w:val="single" w:sz="6" w:space="0" w:color="000000"/>
            </w:tcBorders>
            <w:shd w:val="clear" w:color="auto" w:fill="FFFFFF" w:themeFill="background1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6/317 (1.9)</w:t>
            </w:r>
          </w:p>
        </w:tc>
        <w:tc>
          <w:tcPr>
            <w:tcW w:w="1984" w:type="dxa"/>
            <w:tcBorders>
              <w:top w:val="nil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1/6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</w:t>
            </w: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nil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5/256 (2)</w:t>
            </w:r>
          </w:p>
        </w:tc>
        <w:tc>
          <w:tcPr>
            <w:tcW w:w="992" w:type="dxa"/>
            <w:tcBorders>
              <w:top w:val="nil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</w:tr>
      <w:tr w:rsidR="00F936E8" w:rsidRPr="005A5F07" w:rsidTr="003160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Merge w:val="restart"/>
            <w:tcBorders>
              <w:top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C834AF" w:rsidRDefault="00F936E8" w:rsidP="003160D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834A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Age </w:t>
            </w:r>
            <w:r w:rsidRPr="00C834AF">
              <w:rPr>
                <w:rFonts w:asciiTheme="minorEastAsia" w:hAnsiTheme="minorEastAsia" w:cstheme="minorEastAsia" w:hint="eastAsia"/>
                <w:b w:val="0"/>
                <w:bCs w:val="0"/>
                <w:color w:val="auto"/>
                <w:sz w:val="18"/>
                <w:szCs w:val="18"/>
              </w:rPr>
              <w:t>≥</w:t>
            </w:r>
            <w:r w:rsidRPr="00C834A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74</w:t>
            </w: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Newly inserted IV</w:t>
            </w:r>
          </w:p>
        </w:tc>
        <w:tc>
          <w:tcPr>
            <w:tcW w:w="1559" w:type="dxa"/>
            <w:tcBorders>
              <w:top w:val="single" w:sz="6" w:space="0" w:color="000000"/>
            </w:tcBorders>
            <w:shd w:val="clear" w:color="auto" w:fill="FFFFFF" w:themeFill="background1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10/306 (3.2)</w:t>
            </w:r>
          </w:p>
        </w:tc>
        <w:tc>
          <w:tcPr>
            <w:tcW w:w="1984" w:type="dxa"/>
            <w:tcBorders>
              <w:top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6/77 (7.8)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4/229 (1.8)</w:t>
            </w:r>
          </w:p>
        </w:tc>
        <w:tc>
          <w:tcPr>
            <w:tcW w:w="992" w:type="dxa"/>
            <w:tcBorders>
              <w:top w:val="single" w:sz="6" w:space="0" w:color="000000"/>
            </w:tcBorders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0.02</w:t>
            </w:r>
          </w:p>
        </w:tc>
      </w:tr>
      <w:tr w:rsidR="00F936E8" w:rsidRPr="005A5F07" w:rsidTr="003160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Merge/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Venipuncture</w:t>
            </w:r>
          </w:p>
        </w:tc>
        <w:tc>
          <w:tcPr>
            <w:tcW w:w="1559" w:type="dxa"/>
            <w:shd w:val="clear" w:color="auto" w:fill="FFFFFF" w:themeFill="background1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5/281 (1.8)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1/67 (1.5)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4/214 (1.9)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F936E8" w:rsidRPr="005A5F07" w:rsidRDefault="00F936E8" w:rsidP="003160D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A5F0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</w:tr>
    </w:tbl>
    <w:p w:rsidR="00F936E8" w:rsidRPr="005A5F07" w:rsidRDefault="00F936E8" w:rsidP="00F936E8">
      <w:pPr>
        <w:spacing w:line="360" w:lineRule="auto"/>
        <w:rPr>
          <w:rFonts w:ascii="Times New Roman" w:eastAsia="Arial" w:hAnsi="Times New Roman" w:cs="Times New Roman"/>
          <w:sz w:val="22"/>
          <w:szCs w:val="22"/>
        </w:rPr>
      </w:pPr>
    </w:p>
    <w:p w:rsidR="00F936E8" w:rsidRPr="005A5F07" w:rsidRDefault="00F936E8" w:rsidP="00F936E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Arial" w:hAnsi="Times New Roman" w:cs="Times New Roman"/>
          <w:sz w:val="22"/>
          <w:szCs w:val="22"/>
        </w:rPr>
        <w:t>Supplemental table 1</w:t>
      </w:r>
      <w:r w:rsidRPr="005A5F07">
        <w:rPr>
          <w:rFonts w:ascii="Times New Roman" w:eastAsia="Arial" w:hAnsi="Times New Roman" w:cs="Times New Roman"/>
          <w:sz w:val="22"/>
          <w:szCs w:val="22"/>
        </w:rPr>
        <w:t xml:space="preserve">. </w:t>
      </w:r>
      <w:r w:rsidRPr="005A5F07">
        <w:rPr>
          <w:rFonts w:ascii="Times New Roman" w:hAnsi="Times New Roman" w:cs="Times New Roman"/>
          <w:sz w:val="22"/>
          <w:szCs w:val="22"/>
        </w:rPr>
        <w:t>Contamination rate among blood cultures drawn via IV peripheral catheter and venipuncture with and without diversion, stratified by age group.</w:t>
      </w:r>
    </w:p>
    <w:p w:rsidR="00D5676D" w:rsidRDefault="00D5676D" w:rsidP="00D5676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ListTable6Colorful"/>
        <w:tblW w:w="0" w:type="auto"/>
        <w:shd w:val="clear" w:color="auto" w:fill="FFFFFF" w:themeFill="background1"/>
        <w:tblLayout w:type="fixed"/>
        <w:tblLook w:val="0420" w:firstRow="1" w:lastRow="0" w:firstColumn="0" w:lastColumn="0" w:noHBand="0" w:noVBand="1"/>
      </w:tblPr>
      <w:tblGrid>
        <w:gridCol w:w="2383"/>
        <w:gridCol w:w="770"/>
        <w:gridCol w:w="1276"/>
        <w:gridCol w:w="1100"/>
      </w:tblGrid>
      <w:tr w:rsidR="00D5676D" w:rsidRPr="00952457" w:rsidTr="00E16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tcW w:w="2383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770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OR</w:t>
            </w:r>
          </w:p>
        </w:tc>
        <w:tc>
          <w:tcPr>
            <w:tcW w:w="1276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100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b w:val="0"/>
                <w:bCs w:val="0"/>
                <w:i/>
                <w:iCs/>
                <w:color w:val="000000"/>
                <w:sz w:val="20"/>
                <w:szCs w:val="20"/>
              </w:rPr>
              <w:t>p</w:t>
            </w:r>
            <w:r w:rsidRPr="00C834AF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D5676D" w:rsidRPr="00952457" w:rsidTr="00E16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tcW w:w="2383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Intravenous catheter (IV)</w:t>
            </w:r>
          </w:p>
        </w:tc>
        <w:tc>
          <w:tcPr>
            <w:tcW w:w="770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276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1.2, 5.1</w:t>
            </w:r>
          </w:p>
        </w:tc>
        <w:tc>
          <w:tcPr>
            <w:tcW w:w="1100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D5676D" w:rsidRPr="00952457" w:rsidTr="00E16805">
        <w:trPr>
          <w:trHeight w:val="270"/>
        </w:trPr>
        <w:tc>
          <w:tcPr>
            <w:tcW w:w="2383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Age ≥74</w:t>
            </w:r>
          </w:p>
        </w:tc>
        <w:tc>
          <w:tcPr>
            <w:tcW w:w="770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276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0.33, 1.32</w:t>
            </w:r>
          </w:p>
        </w:tc>
        <w:tc>
          <w:tcPr>
            <w:tcW w:w="1100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D5676D" w:rsidRPr="00952457" w:rsidTr="00E16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"/>
        </w:trPr>
        <w:tc>
          <w:tcPr>
            <w:tcW w:w="2383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Diversion</w:t>
            </w:r>
          </w:p>
        </w:tc>
        <w:tc>
          <w:tcPr>
            <w:tcW w:w="770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276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0.31, 1.35</w:t>
            </w:r>
          </w:p>
        </w:tc>
        <w:tc>
          <w:tcPr>
            <w:tcW w:w="1100" w:type="dxa"/>
            <w:shd w:val="clear" w:color="auto" w:fill="FFFFFF" w:themeFill="background1"/>
          </w:tcPr>
          <w:p w:rsidR="00D5676D" w:rsidRPr="00952457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95245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</w:tbl>
    <w:p w:rsidR="00D5676D" w:rsidRPr="00BC25B0" w:rsidRDefault="00D5676D" w:rsidP="00D567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 w:line="360" w:lineRule="auto"/>
        <w:ind w:right="100"/>
        <w:rPr>
          <w:rFonts w:ascii="Times New Roman" w:eastAsia="Arial" w:hAnsi="Times New Roman" w:cs="Times New Roman"/>
          <w:color w:val="000000"/>
          <w:sz w:val="20"/>
          <w:szCs w:val="20"/>
        </w:rPr>
      </w:pP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Supplemental table </w:t>
      </w:r>
      <w:r w:rsidR="00F936E8">
        <w:rPr>
          <w:rFonts w:ascii="Times New Roman" w:eastAsia="Arial" w:hAnsi="Times New Roman" w:cs="Times New Roman"/>
          <w:color w:val="000000"/>
          <w:sz w:val="22"/>
          <w:szCs w:val="22"/>
        </w:rPr>
        <w:t>2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>. Adjusted analysis of factors associated with blood culture contamination adjusted for age group ≥74 and use of diversion. CI, confidence interval; OR, odds ratio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>.</w:t>
      </w:r>
    </w:p>
    <w:p w:rsidR="00D5676D" w:rsidRDefault="00D5676D" w:rsidP="00D5676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ListTable2"/>
        <w:tblpPr w:leftFromText="180" w:rightFromText="180" w:vertAnchor="text" w:horzAnchor="margin" w:tblpY="126"/>
        <w:tblW w:w="7372" w:type="dxa"/>
        <w:tblLayout w:type="fixed"/>
        <w:tblLook w:val="0420" w:firstRow="1" w:lastRow="0" w:firstColumn="0" w:lastColumn="0" w:noHBand="0" w:noVBand="1"/>
      </w:tblPr>
      <w:tblGrid>
        <w:gridCol w:w="1844"/>
        <w:gridCol w:w="1700"/>
        <w:gridCol w:w="2694"/>
        <w:gridCol w:w="1134"/>
      </w:tblGrid>
      <w:tr w:rsidR="00D5676D" w:rsidRPr="00BC25B0" w:rsidTr="00E16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8"/>
        </w:trPr>
        <w:tc>
          <w:tcPr>
            <w:tcW w:w="1844" w:type="dxa"/>
            <w:shd w:val="clear" w:color="auto" w:fill="FFFFFF" w:themeFill="background1"/>
            <w:vAlign w:val="center"/>
          </w:tcPr>
          <w:p w:rsidR="00D5676D" w:rsidRPr="000D043B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100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:rsidR="00D5676D" w:rsidRPr="000D043B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True p</w:t>
            </w:r>
            <w:r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athogens</w:t>
            </w: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 (n=146)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D5676D" w:rsidRPr="000D043B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Contaminants and</w:t>
            </w:r>
            <w:r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 </w:t>
            </w: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negative cultures  (n=1</w:t>
            </w:r>
            <w:r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,</w:t>
            </w: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010)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76D" w:rsidRPr="000D043B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D043B">
              <w:rPr>
                <w:rFonts w:ascii="Times New Roman" w:eastAsia="Arial" w:hAnsi="Times New Roman" w:cs="Times New Roman"/>
                <w:b w:val="0"/>
                <w:bCs w:val="0"/>
                <w:i/>
                <w:iCs/>
                <w:color w:val="000000"/>
                <w:sz w:val="20"/>
                <w:szCs w:val="20"/>
              </w:rPr>
              <w:t xml:space="preserve">p </w:t>
            </w:r>
            <w:r w:rsidRPr="000D043B">
              <w:rPr>
                <w:rFonts w:ascii="Times New Roman" w:eastAsia="Arial" w:hAnsi="Times New Roman" w:cs="Times New Roman"/>
                <w:b w:val="0"/>
                <w:bCs w:val="0"/>
                <w:color w:val="000000"/>
                <w:sz w:val="20"/>
                <w:szCs w:val="20"/>
              </w:rPr>
              <w:t>value</w:t>
            </w:r>
          </w:p>
        </w:tc>
      </w:tr>
      <w:tr w:rsidR="00D5676D" w:rsidRPr="00BC25B0" w:rsidTr="00E16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tcW w:w="1844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Age, mean (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±</w:t>
            </w: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SD)</w:t>
            </w:r>
          </w:p>
        </w:tc>
        <w:tc>
          <w:tcPr>
            <w:tcW w:w="1700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74 (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±</w:t>
            </w: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269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67 (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±</w:t>
            </w: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22)</w:t>
            </w:r>
          </w:p>
        </w:tc>
        <w:tc>
          <w:tcPr>
            <w:tcW w:w="113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D5676D" w:rsidRPr="00BC25B0" w:rsidTr="00E16805">
        <w:trPr>
          <w:trHeight w:val="437"/>
        </w:trPr>
        <w:tc>
          <w:tcPr>
            <w:tcW w:w="1844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Age ≥ 74, n (%)</w:t>
            </w:r>
          </w:p>
        </w:tc>
        <w:tc>
          <w:tcPr>
            <w:tcW w:w="1700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93 (64%)</w:t>
            </w:r>
          </w:p>
        </w:tc>
        <w:tc>
          <w:tcPr>
            <w:tcW w:w="269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494 (49%)</w:t>
            </w:r>
          </w:p>
        </w:tc>
        <w:tc>
          <w:tcPr>
            <w:tcW w:w="113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5676D" w:rsidRPr="00BC25B0" w:rsidTr="00E16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tcW w:w="1844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Male, n (%)</w:t>
            </w:r>
          </w:p>
        </w:tc>
        <w:tc>
          <w:tcPr>
            <w:tcW w:w="1700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85 (58%)</w:t>
            </w:r>
          </w:p>
        </w:tc>
        <w:tc>
          <w:tcPr>
            <w:tcW w:w="269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557 (55%)</w:t>
            </w:r>
          </w:p>
        </w:tc>
        <w:tc>
          <w:tcPr>
            <w:tcW w:w="113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D5676D" w:rsidRPr="00BC25B0" w:rsidTr="00E16805">
        <w:trPr>
          <w:trHeight w:val="437"/>
        </w:trPr>
        <w:tc>
          <w:tcPr>
            <w:tcW w:w="1844" w:type="dxa"/>
            <w:shd w:val="clear" w:color="auto" w:fill="FFFFFF" w:themeFill="background1"/>
          </w:tcPr>
          <w:p w:rsidR="00D5676D" w:rsidRPr="00C834AF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834A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Diversion, n (%)</w:t>
            </w:r>
          </w:p>
        </w:tc>
        <w:tc>
          <w:tcPr>
            <w:tcW w:w="1700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</w:t>
            </w: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(81%)</w:t>
            </w:r>
          </w:p>
        </w:tc>
        <w:tc>
          <w:tcPr>
            <w:tcW w:w="269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77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</w:t>
            </w: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(77%)</w:t>
            </w:r>
          </w:p>
        </w:tc>
        <w:tc>
          <w:tcPr>
            <w:tcW w:w="1134" w:type="dxa"/>
            <w:shd w:val="clear" w:color="auto" w:fill="FFFFFF" w:themeFill="background1"/>
          </w:tcPr>
          <w:p w:rsidR="00D5676D" w:rsidRPr="00BC25B0" w:rsidRDefault="00D5676D" w:rsidP="00E168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C25B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</w:tbl>
    <w:p w:rsidR="00D5676D" w:rsidRDefault="00D5676D" w:rsidP="00D5676D">
      <w:pPr>
        <w:rPr>
          <w:rFonts w:ascii="Times New Roman" w:hAnsi="Times New Roman" w:cs="Times New Roman"/>
          <w:sz w:val="20"/>
          <w:szCs w:val="20"/>
        </w:rPr>
      </w:pPr>
    </w:p>
    <w:p w:rsidR="00D5676D" w:rsidRPr="00076A8C" w:rsidRDefault="00D5676D" w:rsidP="00D567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 w:line="360" w:lineRule="auto"/>
        <w:ind w:right="100"/>
        <w:rPr>
          <w:rFonts w:ascii="Times New Roman" w:eastAsia="Arial" w:hAnsi="Times New Roman" w:cs="Times New Roman"/>
          <w:color w:val="000000"/>
          <w:sz w:val="22"/>
          <w:szCs w:val="22"/>
        </w:rPr>
      </w:pP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Supplemental table </w:t>
      </w:r>
      <w:r w:rsidR="00F936E8">
        <w:rPr>
          <w:rFonts w:ascii="Times New Roman" w:eastAsia="Arial" w:hAnsi="Times New Roman" w:cs="Times New Roman"/>
          <w:color w:val="000000"/>
          <w:sz w:val="22"/>
          <w:szCs w:val="22"/>
        </w:rPr>
        <w:t>3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>. Demographics and use of diversion among true positive cultures versus contaminants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(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>n=35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) and 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>negative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blood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cultures (</w:t>
      </w:r>
      <w:r w:rsidRPr="00076A8C">
        <w:rPr>
          <w:rFonts w:ascii="Times New Roman" w:eastAsia="Arial" w:hAnsi="Times New Roman" w:cs="Times New Roman"/>
          <w:color w:val="000000"/>
          <w:sz w:val="22"/>
          <w:szCs w:val="22"/>
        </w:rPr>
        <w:t>n=976).</w:t>
      </w:r>
    </w:p>
    <w:p w:rsidR="00D5676D" w:rsidRDefault="00D5676D" w:rsidP="00D5676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8F390E" w:rsidRDefault="008F390E"/>
    <w:sectPr w:rsidR="008F390E" w:rsidSect="007A41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76D"/>
    <w:rsid w:val="00354A5D"/>
    <w:rsid w:val="00593482"/>
    <w:rsid w:val="007A4149"/>
    <w:rsid w:val="007C0800"/>
    <w:rsid w:val="008F390E"/>
    <w:rsid w:val="00987000"/>
    <w:rsid w:val="00B24BE7"/>
    <w:rsid w:val="00B85320"/>
    <w:rsid w:val="00B948A1"/>
    <w:rsid w:val="00C92E44"/>
    <w:rsid w:val="00D111CF"/>
    <w:rsid w:val="00D43D9B"/>
    <w:rsid w:val="00D5676D"/>
    <w:rsid w:val="00F30320"/>
    <w:rsid w:val="00F9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C19D0"/>
  <w15:chartTrackingRefBased/>
  <w15:docId w15:val="{D3065EAB-4940-4AF0-A3FE-3ED4225E3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76D"/>
    <w:pPr>
      <w:spacing w:after="0"/>
    </w:pPr>
    <w:rPr>
      <w:rFonts w:eastAsiaTheme="minorEastAsia"/>
      <w:kern w:val="0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BE7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BE7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BE7"/>
    <w:pPr>
      <w:keepNext/>
      <w:keepLines/>
      <w:spacing w:before="16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B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B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B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B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B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B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24B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BE7"/>
    <w:rPr>
      <w:rFonts w:eastAsiaTheme="majorEastAsia" w:cstheme="majorBidi"/>
      <w:color w:val="2F5496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rong">
    <w:name w:val="Strong"/>
    <w:basedOn w:val="DefaultParagraphFont"/>
    <w:uiPriority w:val="22"/>
    <w:qFormat/>
    <w:rsid w:val="00B24BE7"/>
    <w:rPr>
      <w:b/>
      <w:bCs/>
    </w:rPr>
  </w:style>
  <w:style w:type="character" w:styleId="Emphasis">
    <w:name w:val="Emphasis"/>
    <w:basedOn w:val="DefaultParagraphFont"/>
    <w:uiPriority w:val="20"/>
    <w:qFormat/>
    <w:rsid w:val="00B24BE7"/>
    <w:rPr>
      <w:i/>
      <w:iCs/>
    </w:rPr>
  </w:style>
  <w:style w:type="paragraph" w:styleId="ListParagraph">
    <w:name w:val="List Paragraph"/>
    <w:basedOn w:val="Normal"/>
    <w:uiPriority w:val="34"/>
    <w:qFormat/>
    <w:rsid w:val="00B24BE7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B24B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B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BE7"/>
    <w:rPr>
      <w:rFonts w:eastAsiaTheme="majorEastAsia" w:cstheme="majorBidi"/>
      <w:color w:val="272727" w:themeColor="text1" w:themeTint="D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4BE7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24BE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B24BE7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B24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BE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B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BE7"/>
    <w:rPr>
      <w:i/>
      <w:iCs/>
      <w:color w:val="2F5496" w:themeColor="accent1" w:themeShade="BF"/>
    </w:rPr>
  </w:style>
  <w:style w:type="character" w:styleId="SubtleEmphasis">
    <w:name w:val="Subtle Emphasis"/>
    <w:basedOn w:val="DefaultParagraphFont"/>
    <w:uiPriority w:val="19"/>
    <w:qFormat/>
    <w:rsid w:val="00B24BE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4BE7"/>
    <w:rPr>
      <w:i/>
      <w:iCs/>
      <w:color w:val="2F5496" w:themeColor="accent1" w:themeShade="BF"/>
    </w:rPr>
  </w:style>
  <w:style w:type="character" w:styleId="SubtleReference">
    <w:name w:val="Subtle Reference"/>
    <w:basedOn w:val="DefaultParagraphFont"/>
    <w:uiPriority w:val="31"/>
    <w:qFormat/>
    <w:rsid w:val="00B24BE7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B24BE7"/>
    <w:rPr>
      <w:b/>
      <w:bCs/>
      <w:smallCaps/>
      <w:color w:val="2F5496" w:themeColor="accent1" w:themeShade="BF"/>
      <w:spacing w:val="5"/>
    </w:rPr>
  </w:style>
  <w:style w:type="character" w:styleId="BookTitle">
    <w:name w:val="Book Title"/>
    <w:basedOn w:val="DefaultParagraphFont"/>
    <w:uiPriority w:val="33"/>
    <w:qFormat/>
    <w:rsid w:val="00B24BE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4BE7"/>
    <w:pPr>
      <w:spacing w:before="240"/>
      <w:outlineLvl w:val="9"/>
    </w:pPr>
    <w:rPr>
      <w:sz w:val="32"/>
      <w:szCs w:val="32"/>
    </w:rPr>
  </w:style>
  <w:style w:type="table" w:styleId="ListTable6Colorful">
    <w:name w:val="List Table 6 Colorful"/>
    <w:basedOn w:val="TableNormal"/>
    <w:uiPriority w:val="51"/>
    <w:rsid w:val="00D5676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D5676D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Ben-Chetrit</dc:creator>
  <cp:keywords/>
  <dc:description/>
  <cp:lastModifiedBy>Eli Ben-Chetrit</cp:lastModifiedBy>
  <cp:revision>2</cp:revision>
  <dcterms:created xsi:type="dcterms:W3CDTF">2025-12-26T12:45:00Z</dcterms:created>
  <dcterms:modified xsi:type="dcterms:W3CDTF">2026-03-18T18:21:00Z</dcterms:modified>
</cp:coreProperties>
</file>