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CAD8" w14:textId="1D628312" w:rsidR="00A37EBB" w:rsidRPr="00A37EBB" w:rsidRDefault="00A37EBB" w:rsidP="00A37EBB">
      <w:pPr>
        <w:spacing w:line="360" w:lineRule="auto"/>
        <w:jc w:val="center"/>
        <w:rPr>
          <w:rFonts w:ascii="Times New Roman" w:hAnsi="Times New Roman" w:cs="Times New Roman"/>
          <w:b/>
          <w:bCs/>
          <w:sz w:val="24"/>
          <w:szCs w:val="24"/>
        </w:rPr>
      </w:pPr>
      <w:r w:rsidRPr="00A37EBB">
        <w:rPr>
          <w:rFonts w:ascii="Times New Roman" w:hAnsi="Times New Roman" w:cs="Times New Roman"/>
          <w:b/>
          <w:bCs/>
          <w:sz w:val="24"/>
          <w:szCs w:val="24"/>
        </w:rPr>
        <w:t xml:space="preserve">Appendix A. Supplementary </w:t>
      </w:r>
      <w:r w:rsidR="000C1FA4">
        <w:rPr>
          <w:rFonts w:ascii="Times New Roman" w:hAnsi="Times New Roman" w:cs="Times New Roman"/>
          <w:b/>
          <w:bCs/>
          <w:sz w:val="24"/>
          <w:szCs w:val="24"/>
        </w:rPr>
        <w:t>D</w:t>
      </w:r>
      <w:r w:rsidRPr="00A37EBB">
        <w:rPr>
          <w:rFonts w:ascii="Times New Roman" w:hAnsi="Times New Roman" w:cs="Times New Roman"/>
          <w:b/>
          <w:bCs/>
          <w:sz w:val="24"/>
          <w:szCs w:val="24"/>
        </w:rPr>
        <w:t>ata</w:t>
      </w:r>
    </w:p>
    <w:p w14:paraId="7E798B9E" w14:textId="77777777" w:rsidR="00A37EBB" w:rsidRPr="00A37EBB" w:rsidRDefault="00A37EBB" w:rsidP="00A37EBB">
      <w:pPr>
        <w:spacing w:line="360" w:lineRule="auto"/>
        <w:jc w:val="center"/>
        <w:rPr>
          <w:rFonts w:ascii="Times New Roman" w:hAnsi="Times New Roman" w:cs="Times New Roman"/>
          <w:sz w:val="24"/>
          <w:szCs w:val="24"/>
        </w:rPr>
      </w:pPr>
      <w:r w:rsidRPr="00A37EBB">
        <w:rPr>
          <w:rFonts w:ascii="Times New Roman" w:hAnsi="Times New Roman" w:cs="Times New Roman"/>
          <w:sz w:val="24"/>
          <w:szCs w:val="24"/>
        </w:rPr>
        <w:t>The following is the Supplementary data to this article.</w:t>
      </w:r>
    </w:p>
    <w:p w14:paraId="6320B2E9" w14:textId="142D0643" w:rsidR="00A37EBB" w:rsidRPr="00A37EBB" w:rsidRDefault="00A37EBB" w:rsidP="00A37EBB">
      <w:pPr>
        <w:spacing w:line="360" w:lineRule="auto"/>
        <w:jc w:val="center"/>
        <w:rPr>
          <w:rFonts w:ascii="Times New Roman" w:hAnsi="Times New Roman" w:cs="Times New Roman"/>
          <w:sz w:val="24"/>
          <w:szCs w:val="24"/>
        </w:rPr>
      </w:pPr>
      <w:r w:rsidRPr="00A37EBB">
        <w:rPr>
          <w:rFonts w:ascii="Times New Roman" w:hAnsi="Times New Roman" w:cs="Times New Roman"/>
          <w:b/>
          <w:bCs/>
          <w:sz w:val="24"/>
          <w:szCs w:val="24"/>
        </w:rPr>
        <w:t xml:space="preserve">Table A.1. </w:t>
      </w:r>
      <w:r w:rsidRPr="00A37EBB">
        <w:rPr>
          <w:rFonts w:ascii="Times New Roman" w:hAnsi="Times New Roman" w:cs="Times New Roman"/>
          <w:sz w:val="24"/>
          <w:szCs w:val="24"/>
        </w:rPr>
        <w:t>Reliability statistics for the 13‑item perceived‑impact questionnaire.</w:t>
      </w:r>
    </w:p>
    <w:tbl>
      <w:tblPr>
        <w:tblStyle w:val="PlainTable2"/>
        <w:tblW w:w="0" w:type="auto"/>
        <w:jc w:val="center"/>
        <w:tblLook w:val="04A0" w:firstRow="1" w:lastRow="0" w:firstColumn="1" w:lastColumn="0" w:noHBand="0" w:noVBand="1"/>
      </w:tblPr>
      <w:tblGrid>
        <w:gridCol w:w="3116"/>
        <w:gridCol w:w="3117"/>
        <w:gridCol w:w="152"/>
        <w:gridCol w:w="2970"/>
      </w:tblGrid>
      <w:tr w:rsidR="00A37EBB" w:rsidRPr="00A37EBB" w14:paraId="5A146C4B" w14:textId="77777777" w:rsidTr="00A37E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5" w:type="dxa"/>
            <w:gridSpan w:val="4"/>
          </w:tcPr>
          <w:p w14:paraId="787C77FF" w14:textId="77777777" w:rsidR="00A37EBB" w:rsidRPr="00A37EBB" w:rsidRDefault="00A37EBB" w:rsidP="00A37EBB">
            <w:pPr>
              <w:spacing w:line="360" w:lineRule="auto"/>
              <w:jc w:val="center"/>
              <w:rPr>
                <w:rStyle w:val="Strong"/>
                <w:rFonts w:ascii="Times New Roman" w:hAnsi="Times New Roman" w:cs="Times New Roman"/>
                <w:sz w:val="24"/>
                <w:szCs w:val="24"/>
                <w:shd w:val="clear" w:color="auto" w:fill="FFFFFF"/>
              </w:rPr>
            </w:pPr>
            <w:r w:rsidRPr="00A37EBB">
              <w:rPr>
                <w:rFonts w:ascii="Times New Roman" w:hAnsi="Times New Roman" w:cs="Times New Roman"/>
                <w:i/>
                <w:iCs/>
                <w:sz w:val="24"/>
                <w:szCs w:val="24"/>
              </w:rPr>
              <w:t>Reliability Statistics</w:t>
            </w:r>
          </w:p>
        </w:tc>
      </w:tr>
      <w:tr w:rsidR="00A37EBB" w:rsidRPr="00A37EBB" w14:paraId="5616BD7D" w14:textId="77777777" w:rsidTr="00A37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5C8B606C"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sz w:val="24"/>
                <w:szCs w:val="24"/>
              </w:rPr>
              <w:t>Cronbach's Alpha</w:t>
            </w:r>
          </w:p>
        </w:tc>
        <w:tc>
          <w:tcPr>
            <w:tcW w:w="3269" w:type="dxa"/>
            <w:gridSpan w:val="2"/>
          </w:tcPr>
          <w:p w14:paraId="69FEEDA4"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Cronbach's Alpha Based on Standardized Items</w:t>
            </w:r>
          </w:p>
        </w:tc>
        <w:tc>
          <w:tcPr>
            <w:tcW w:w="2970" w:type="dxa"/>
          </w:tcPr>
          <w:p w14:paraId="73EFA7AF" w14:textId="77777777" w:rsidR="00A37EBB" w:rsidRPr="00A37EBB" w:rsidRDefault="00A37EBB" w:rsidP="00A37EB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37EBB">
              <w:rPr>
                <w:rFonts w:ascii="Times New Roman" w:hAnsi="Times New Roman" w:cs="Times New Roman"/>
                <w:sz w:val="24"/>
                <w:szCs w:val="24"/>
              </w:rPr>
              <w:t>N of Items</w:t>
            </w:r>
          </w:p>
          <w:p w14:paraId="4C00CF1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p>
        </w:tc>
      </w:tr>
      <w:tr w:rsidR="00A37EBB" w:rsidRPr="00A37EBB" w14:paraId="3A440C03" w14:textId="77777777" w:rsidTr="00A37EBB">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41704D76"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sz w:val="24"/>
                <w:szCs w:val="24"/>
              </w:rPr>
              <w:t>0.820</w:t>
            </w:r>
          </w:p>
        </w:tc>
        <w:tc>
          <w:tcPr>
            <w:tcW w:w="3117" w:type="dxa"/>
          </w:tcPr>
          <w:p w14:paraId="0C5874AC"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0.818</w:t>
            </w:r>
          </w:p>
        </w:tc>
        <w:tc>
          <w:tcPr>
            <w:tcW w:w="3122" w:type="dxa"/>
            <w:gridSpan w:val="2"/>
          </w:tcPr>
          <w:p w14:paraId="3880A4EE"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Style w:val="Strong"/>
                <w:rFonts w:ascii="Times New Roman" w:hAnsi="Times New Roman" w:cs="Times New Roman"/>
                <w:sz w:val="24"/>
                <w:szCs w:val="24"/>
                <w:shd w:val="clear" w:color="auto" w:fill="FFFFFF"/>
              </w:rPr>
              <w:t>13</w:t>
            </w:r>
          </w:p>
        </w:tc>
      </w:tr>
    </w:tbl>
    <w:p w14:paraId="5F8DA8DA" w14:textId="77777777" w:rsidR="00A37EBB" w:rsidRPr="00A37EBB" w:rsidRDefault="00A37EBB" w:rsidP="00A37EBB">
      <w:pPr>
        <w:spacing w:line="360" w:lineRule="auto"/>
        <w:jc w:val="center"/>
        <w:rPr>
          <w:rStyle w:val="Strong"/>
          <w:rFonts w:ascii="Times New Roman" w:hAnsi="Times New Roman" w:cs="Times New Roman"/>
          <w:sz w:val="24"/>
          <w:szCs w:val="24"/>
          <w:shd w:val="clear" w:color="auto" w:fill="FFFFFF"/>
        </w:rPr>
      </w:pPr>
    </w:p>
    <w:p w14:paraId="5893A443" w14:textId="7DBE6096" w:rsidR="00A37EBB" w:rsidRPr="00A37EBB" w:rsidRDefault="00A37EBB" w:rsidP="00A37EBB">
      <w:pPr>
        <w:spacing w:line="360" w:lineRule="auto"/>
        <w:jc w:val="center"/>
        <w:rPr>
          <w:rFonts w:ascii="Times New Roman" w:hAnsi="Times New Roman" w:cs="Times New Roman"/>
          <w:sz w:val="24"/>
          <w:szCs w:val="24"/>
          <w:shd w:val="clear" w:color="auto" w:fill="FFFFFF"/>
        </w:rPr>
      </w:pPr>
      <w:r w:rsidRPr="00A37EBB">
        <w:rPr>
          <w:rStyle w:val="Strong"/>
          <w:rFonts w:ascii="Times New Roman" w:hAnsi="Times New Roman" w:cs="Times New Roman"/>
          <w:sz w:val="24"/>
          <w:szCs w:val="24"/>
          <w:shd w:val="clear" w:color="auto" w:fill="FFFFFF"/>
        </w:rPr>
        <w:t xml:space="preserve">Table A.2. </w:t>
      </w:r>
      <w:r w:rsidRPr="004579F5">
        <w:rPr>
          <w:rStyle w:val="Strong"/>
          <w:rFonts w:ascii="Times New Roman" w:hAnsi="Times New Roman" w:cs="Times New Roman"/>
          <w:b w:val="0"/>
          <w:bCs w:val="0"/>
          <w:sz w:val="24"/>
          <w:szCs w:val="24"/>
          <w:shd w:val="clear" w:color="auto" w:fill="FFFFFF"/>
        </w:rPr>
        <w:t>Item</w:t>
      </w:r>
      <w:r w:rsidRPr="004579F5">
        <w:rPr>
          <w:rFonts w:ascii="Times New Roman" w:hAnsi="Times New Roman" w:cs="Times New Roman"/>
          <w:b/>
          <w:bCs/>
          <w:sz w:val="24"/>
          <w:szCs w:val="24"/>
          <w:shd w:val="clear" w:color="auto" w:fill="FFFFFF"/>
        </w:rPr>
        <w:noBreakHyphen/>
      </w:r>
      <w:r w:rsidRPr="00A37EBB">
        <w:rPr>
          <w:rFonts w:ascii="Times New Roman" w:hAnsi="Times New Roman" w:cs="Times New Roman"/>
          <w:sz w:val="24"/>
          <w:szCs w:val="24"/>
          <w:shd w:val="clear" w:color="auto" w:fill="FFFFFF"/>
        </w:rPr>
        <w:t xml:space="preserve">total and reliability diagnostics for the 13-item </w:t>
      </w:r>
      <w:r w:rsidR="004579F5" w:rsidRPr="00A37EBB">
        <w:rPr>
          <w:rFonts w:ascii="Times New Roman" w:hAnsi="Times New Roman" w:cs="Times New Roman"/>
          <w:sz w:val="24"/>
          <w:szCs w:val="24"/>
        </w:rPr>
        <w:t>perceived‑impact questionnaire.</w:t>
      </w:r>
    </w:p>
    <w:tbl>
      <w:tblPr>
        <w:tblStyle w:val="PlainTable2"/>
        <w:tblW w:w="9277" w:type="dxa"/>
        <w:jc w:val="center"/>
        <w:tblLook w:val="04A0" w:firstRow="1" w:lastRow="0" w:firstColumn="1" w:lastColumn="0" w:noHBand="0" w:noVBand="1"/>
      </w:tblPr>
      <w:tblGrid>
        <w:gridCol w:w="2190"/>
        <w:gridCol w:w="1351"/>
        <w:gridCol w:w="1274"/>
        <w:gridCol w:w="1496"/>
        <w:gridCol w:w="1496"/>
        <w:gridCol w:w="1470"/>
      </w:tblGrid>
      <w:tr w:rsidR="00A37EBB" w:rsidRPr="00A37EBB" w14:paraId="31A0DBA5" w14:textId="77777777" w:rsidTr="00A37EBB">
        <w:trPr>
          <w:cnfStyle w:val="100000000000" w:firstRow="1" w:lastRow="0" w:firstColumn="0" w:lastColumn="0" w:oddVBand="0" w:evenVBand="0" w:oddHBand="0"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541" w:type="dxa"/>
            <w:gridSpan w:val="2"/>
            <w:noWrap/>
            <w:hideMark/>
          </w:tcPr>
          <w:p w14:paraId="33117BDA" w14:textId="77777777" w:rsidR="00A37EBB" w:rsidRPr="00A37EBB" w:rsidRDefault="00A37EBB" w:rsidP="00A37EBB">
            <w:pPr>
              <w:spacing w:line="360" w:lineRule="auto"/>
              <w:jc w:val="center"/>
              <w:rPr>
                <w:rFonts w:ascii="Times New Roman" w:eastAsia="Times New Roman" w:hAnsi="Times New Roman" w:cs="Times New Roman"/>
                <w:i/>
                <w:iCs/>
                <w:kern w:val="0"/>
                <w:sz w:val="24"/>
                <w:szCs w:val="24"/>
                <w14:ligatures w14:val="none"/>
              </w:rPr>
            </w:pPr>
            <w:r w:rsidRPr="00A37EBB">
              <w:rPr>
                <w:rFonts w:ascii="Times New Roman" w:eastAsia="Times New Roman" w:hAnsi="Times New Roman" w:cs="Times New Roman"/>
                <w:i/>
                <w:iCs/>
                <w:kern w:val="0"/>
                <w:sz w:val="24"/>
                <w:szCs w:val="24"/>
                <w14:ligatures w14:val="none"/>
              </w:rPr>
              <w:t>Item-Total Statistics</w:t>
            </w:r>
          </w:p>
        </w:tc>
        <w:tc>
          <w:tcPr>
            <w:tcW w:w="1274" w:type="dxa"/>
            <w:noWrap/>
            <w:hideMark/>
          </w:tcPr>
          <w:p w14:paraId="40C9280C" w14:textId="77777777" w:rsidR="00A37EBB" w:rsidRPr="00A37EBB" w:rsidRDefault="00A37EBB" w:rsidP="00A37E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sz w:val="24"/>
                <w:szCs w:val="24"/>
                <w14:ligatures w14:val="none"/>
              </w:rPr>
            </w:pPr>
          </w:p>
        </w:tc>
        <w:tc>
          <w:tcPr>
            <w:tcW w:w="1496" w:type="dxa"/>
            <w:noWrap/>
            <w:hideMark/>
          </w:tcPr>
          <w:p w14:paraId="001223A3" w14:textId="77777777" w:rsidR="00A37EBB" w:rsidRPr="00A37EBB" w:rsidRDefault="00A37EBB" w:rsidP="00A37E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496" w:type="dxa"/>
            <w:noWrap/>
            <w:hideMark/>
          </w:tcPr>
          <w:p w14:paraId="52EDDE6F" w14:textId="77777777" w:rsidR="00A37EBB" w:rsidRPr="00A37EBB" w:rsidRDefault="00A37EBB" w:rsidP="00A37E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470" w:type="dxa"/>
            <w:noWrap/>
            <w:hideMark/>
          </w:tcPr>
          <w:p w14:paraId="0A7B2757" w14:textId="77777777" w:rsidR="00A37EBB" w:rsidRPr="00A37EBB" w:rsidRDefault="00A37EBB" w:rsidP="00A37E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r>
      <w:tr w:rsidR="00A37EBB" w:rsidRPr="00A37EBB" w14:paraId="439BBF25" w14:textId="77777777" w:rsidTr="00A37EBB">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031714C6" w14:textId="79362FBC" w:rsidR="00A37EBB" w:rsidRPr="00A37EBB" w:rsidRDefault="00A37EBB" w:rsidP="00A37EBB">
            <w:pPr>
              <w:spacing w:line="360" w:lineRule="auto"/>
              <w:jc w:val="center"/>
              <w:rPr>
                <w:rFonts w:ascii="Times New Roman" w:eastAsia="Times New Roman" w:hAnsi="Times New Roman" w:cs="Times New Roman"/>
                <w:kern w:val="0"/>
                <w:sz w:val="24"/>
                <w:szCs w:val="24"/>
                <w14:ligatures w14:val="none"/>
              </w:rPr>
            </w:pPr>
          </w:p>
        </w:tc>
        <w:tc>
          <w:tcPr>
            <w:tcW w:w="1350" w:type="dxa"/>
            <w:hideMark/>
          </w:tcPr>
          <w:p w14:paraId="27849C84"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Scale Mean if Item Deleted</w:t>
            </w:r>
          </w:p>
        </w:tc>
        <w:tc>
          <w:tcPr>
            <w:tcW w:w="1274" w:type="dxa"/>
            <w:hideMark/>
          </w:tcPr>
          <w:p w14:paraId="25752A5B"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Scale Variance if Item Deleted</w:t>
            </w:r>
          </w:p>
        </w:tc>
        <w:tc>
          <w:tcPr>
            <w:tcW w:w="1496" w:type="dxa"/>
            <w:hideMark/>
          </w:tcPr>
          <w:p w14:paraId="1AE6AA98"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Corrected Item-Total Correlation</w:t>
            </w:r>
          </w:p>
        </w:tc>
        <w:tc>
          <w:tcPr>
            <w:tcW w:w="1496" w:type="dxa"/>
            <w:hideMark/>
          </w:tcPr>
          <w:p w14:paraId="1E2B5247"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Squared Multiple Correlation</w:t>
            </w:r>
          </w:p>
        </w:tc>
        <w:tc>
          <w:tcPr>
            <w:tcW w:w="1470" w:type="dxa"/>
            <w:hideMark/>
          </w:tcPr>
          <w:p w14:paraId="7F002516"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Cronbach's Alpha if Item Deleted</w:t>
            </w:r>
          </w:p>
        </w:tc>
      </w:tr>
      <w:tr w:rsidR="00A37EBB" w:rsidRPr="00A37EBB" w14:paraId="2AC570AA" w14:textId="77777777" w:rsidTr="00A37EBB">
        <w:trPr>
          <w:trHeight w:val="198"/>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4900B58C"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Daily life</w:t>
            </w:r>
          </w:p>
        </w:tc>
        <w:tc>
          <w:tcPr>
            <w:tcW w:w="1350" w:type="dxa"/>
            <w:hideMark/>
          </w:tcPr>
          <w:p w14:paraId="3B41A429"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35.92</w:t>
            </w:r>
          </w:p>
        </w:tc>
        <w:tc>
          <w:tcPr>
            <w:tcW w:w="1274" w:type="dxa"/>
            <w:hideMark/>
          </w:tcPr>
          <w:p w14:paraId="60438CBD"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94.24</w:t>
            </w:r>
          </w:p>
        </w:tc>
        <w:tc>
          <w:tcPr>
            <w:tcW w:w="1496" w:type="dxa"/>
            <w:hideMark/>
          </w:tcPr>
          <w:p w14:paraId="1A7B1251"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0.505</w:t>
            </w:r>
          </w:p>
        </w:tc>
        <w:tc>
          <w:tcPr>
            <w:tcW w:w="1496" w:type="dxa"/>
            <w:hideMark/>
          </w:tcPr>
          <w:p w14:paraId="7E7A773A"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0.319</w:t>
            </w:r>
          </w:p>
        </w:tc>
        <w:tc>
          <w:tcPr>
            <w:tcW w:w="1470" w:type="dxa"/>
            <w:hideMark/>
          </w:tcPr>
          <w:p w14:paraId="3B3CE90D"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0.805</w:t>
            </w:r>
          </w:p>
        </w:tc>
      </w:tr>
      <w:tr w:rsidR="00A37EBB" w:rsidRPr="00A37EBB" w14:paraId="2412AA83" w14:textId="77777777" w:rsidTr="00A37EBB">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737FF489"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Physical health</w:t>
            </w:r>
          </w:p>
        </w:tc>
        <w:tc>
          <w:tcPr>
            <w:tcW w:w="1350" w:type="dxa"/>
            <w:hideMark/>
          </w:tcPr>
          <w:p w14:paraId="0ED51040"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37.95</w:t>
            </w:r>
          </w:p>
        </w:tc>
        <w:tc>
          <w:tcPr>
            <w:tcW w:w="1274" w:type="dxa"/>
            <w:hideMark/>
          </w:tcPr>
          <w:p w14:paraId="1EDD310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97.179</w:t>
            </w:r>
          </w:p>
        </w:tc>
        <w:tc>
          <w:tcPr>
            <w:tcW w:w="1496" w:type="dxa"/>
            <w:hideMark/>
          </w:tcPr>
          <w:p w14:paraId="26AFBCB4"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0.447</w:t>
            </w:r>
          </w:p>
        </w:tc>
        <w:tc>
          <w:tcPr>
            <w:tcW w:w="1496" w:type="dxa"/>
            <w:hideMark/>
          </w:tcPr>
          <w:p w14:paraId="3EE71E55"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0.288</w:t>
            </w:r>
          </w:p>
        </w:tc>
        <w:tc>
          <w:tcPr>
            <w:tcW w:w="1470" w:type="dxa"/>
            <w:hideMark/>
          </w:tcPr>
          <w:p w14:paraId="43836DA8"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0.81</w:t>
            </w:r>
          </w:p>
        </w:tc>
      </w:tr>
      <w:tr w:rsidR="00A37EBB" w:rsidRPr="00A37EBB" w14:paraId="5E9FDE26" w14:textId="77777777" w:rsidTr="00A37EBB">
        <w:trPr>
          <w:trHeight w:val="260"/>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7B242D51"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Mental health</w:t>
            </w:r>
          </w:p>
        </w:tc>
        <w:tc>
          <w:tcPr>
            <w:tcW w:w="1350" w:type="dxa"/>
            <w:hideMark/>
          </w:tcPr>
          <w:p w14:paraId="35EB7270"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36.87</w:t>
            </w:r>
          </w:p>
        </w:tc>
        <w:tc>
          <w:tcPr>
            <w:tcW w:w="1274" w:type="dxa"/>
            <w:hideMark/>
          </w:tcPr>
          <w:p w14:paraId="24920FD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93.489</w:t>
            </w:r>
          </w:p>
        </w:tc>
        <w:tc>
          <w:tcPr>
            <w:tcW w:w="1496" w:type="dxa"/>
            <w:hideMark/>
          </w:tcPr>
          <w:p w14:paraId="1275E307"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0.446</w:t>
            </w:r>
          </w:p>
        </w:tc>
        <w:tc>
          <w:tcPr>
            <w:tcW w:w="1496" w:type="dxa"/>
            <w:hideMark/>
          </w:tcPr>
          <w:p w14:paraId="4F93410F"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0.356</w:t>
            </w:r>
          </w:p>
        </w:tc>
        <w:tc>
          <w:tcPr>
            <w:tcW w:w="1470" w:type="dxa"/>
            <w:hideMark/>
          </w:tcPr>
          <w:p w14:paraId="5F33BB28"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0.81</w:t>
            </w:r>
          </w:p>
        </w:tc>
      </w:tr>
      <w:tr w:rsidR="00A37EBB" w:rsidRPr="00A37EBB" w14:paraId="74AF31D2" w14:textId="77777777" w:rsidTr="00A37EBB">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361A31DF"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Children's schooling/education</w:t>
            </w:r>
          </w:p>
        </w:tc>
        <w:tc>
          <w:tcPr>
            <w:tcW w:w="1350" w:type="dxa"/>
            <w:hideMark/>
          </w:tcPr>
          <w:p w14:paraId="25F7F83A"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36.45</w:t>
            </w:r>
          </w:p>
        </w:tc>
        <w:tc>
          <w:tcPr>
            <w:tcW w:w="1274" w:type="dxa"/>
            <w:hideMark/>
          </w:tcPr>
          <w:p w14:paraId="34FA9619"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86.101</w:t>
            </w:r>
          </w:p>
        </w:tc>
        <w:tc>
          <w:tcPr>
            <w:tcW w:w="1496" w:type="dxa"/>
            <w:hideMark/>
          </w:tcPr>
          <w:p w14:paraId="0C5D0C6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0.641</w:t>
            </w:r>
          </w:p>
        </w:tc>
        <w:tc>
          <w:tcPr>
            <w:tcW w:w="1496" w:type="dxa"/>
            <w:hideMark/>
          </w:tcPr>
          <w:p w14:paraId="68B2BF82"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0.5</w:t>
            </w:r>
          </w:p>
        </w:tc>
        <w:tc>
          <w:tcPr>
            <w:tcW w:w="1470" w:type="dxa"/>
            <w:hideMark/>
          </w:tcPr>
          <w:p w14:paraId="2C69DF7B"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0.792</w:t>
            </w:r>
          </w:p>
        </w:tc>
      </w:tr>
      <w:tr w:rsidR="00A37EBB" w:rsidRPr="00A37EBB" w14:paraId="5187CA29" w14:textId="77777777" w:rsidTr="00A37EBB">
        <w:trPr>
          <w:trHeight w:val="198"/>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001731B7"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Work/Job</w:t>
            </w:r>
          </w:p>
        </w:tc>
        <w:tc>
          <w:tcPr>
            <w:tcW w:w="1350" w:type="dxa"/>
            <w:hideMark/>
          </w:tcPr>
          <w:p w14:paraId="14DAE6AA"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36.83</w:t>
            </w:r>
          </w:p>
        </w:tc>
        <w:tc>
          <w:tcPr>
            <w:tcW w:w="1274" w:type="dxa"/>
            <w:hideMark/>
          </w:tcPr>
          <w:p w14:paraId="2CCFCF8B"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89.827</w:t>
            </w:r>
          </w:p>
        </w:tc>
        <w:tc>
          <w:tcPr>
            <w:tcW w:w="1496" w:type="dxa"/>
            <w:hideMark/>
          </w:tcPr>
          <w:p w14:paraId="3B59C914"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0.541</w:t>
            </w:r>
          </w:p>
        </w:tc>
        <w:tc>
          <w:tcPr>
            <w:tcW w:w="1496" w:type="dxa"/>
            <w:hideMark/>
          </w:tcPr>
          <w:p w14:paraId="7E83D3C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0.37</w:t>
            </w:r>
          </w:p>
        </w:tc>
        <w:tc>
          <w:tcPr>
            <w:tcW w:w="1470" w:type="dxa"/>
            <w:hideMark/>
          </w:tcPr>
          <w:p w14:paraId="225FD554"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0.801</w:t>
            </w:r>
          </w:p>
        </w:tc>
      </w:tr>
      <w:tr w:rsidR="00A37EBB" w:rsidRPr="00A37EBB" w14:paraId="0E4E9642" w14:textId="77777777" w:rsidTr="00A37EBB">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61636E25"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Religious gathering</w:t>
            </w:r>
          </w:p>
        </w:tc>
        <w:tc>
          <w:tcPr>
            <w:tcW w:w="1350" w:type="dxa"/>
            <w:hideMark/>
          </w:tcPr>
          <w:p w14:paraId="3E8566D2"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37.6</w:t>
            </w:r>
          </w:p>
        </w:tc>
        <w:tc>
          <w:tcPr>
            <w:tcW w:w="1274" w:type="dxa"/>
            <w:hideMark/>
          </w:tcPr>
          <w:p w14:paraId="1EC656EA"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93.384</w:t>
            </w:r>
          </w:p>
        </w:tc>
        <w:tc>
          <w:tcPr>
            <w:tcW w:w="1496" w:type="dxa"/>
            <w:hideMark/>
          </w:tcPr>
          <w:p w14:paraId="3A011391"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0.458</w:t>
            </w:r>
          </w:p>
        </w:tc>
        <w:tc>
          <w:tcPr>
            <w:tcW w:w="1496" w:type="dxa"/>
            <w:hideMark/>
          </w:tcPr>
          <w:p w14:paraId="5658833B"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0.331</w:t>
            </w:r>
          </w:p>
        </w:tc>
        <w:tc>
          <w:tcPr>
            <w:tcW w:w="1470" w:type="dxa"/>
            <w:hideMark/>
          </w:tcPr>
          <w:p w14:paraId="1CAF5B4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0.809</w:t>
            </w:r>
          </w:p>
        </w:tc>
      </w:tr>
      <w:tr w:rsidR="00A37EBB" w:rsidRPr="00A37EBB" w14:paraId="3452480A" w14:textId="77777777" w:rsidTr="00A37EBB">
        <w:trPr>
          <w:trHeight w:val="287"/>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77E70A0F"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Local transportation</w:t>
            </w:r>
          </w:p>
        </w:tc>
        <w:tc>
          <w:tcPr>
            <w:tcW w:w="1350" w:type="dxa"/>
            <w:hideMark/>
          </w:tcPr>
          <w:p w14:paraId="7579E878"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35.74</w:t>
            </w:r>
          </w:p>
        </w:tc>
        <w:tc>
          <w:tcPr>
            <w:tcW w:w="1274" w:type="dxa"/>
            <w:hideMark/>
          </w:tcPr>
          <w:p w14:paraId="60D829B8"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93.877</w:t>
            </w:r>
          </w:p>
        </w:tc>
        <w:tc>
          <w:tcPr>
            <w:tcW w:w="1496" w:type="dxa"/>
            <w:hideMark/>
          </w:tcPr>
          <w:p w14:paraId="5FC567DC"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0.499</w:t>
            </w:r>
          </w:p>
        </w:tc>
        <w:tc>
          <w:tcPr>
            <w:tcW w:w="1496" w:type="dxa"/>
            <w:hideMark/>
          </w:tcPr>
          <w:p w14:paraId="332E51F7"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0.356</w:t>
            </w:r>
          </w:p>
        </w:tc>
        <w:tc>
          <w:tcPr>
            <w:tcW w:w="1470" w:type="dxa"/>
            <w:hideMark/>
          </w:tcPr>
          <w:p w14:paraId="130B51EA"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0.805</w:t>
            </w:r>
          </w:p>
        </w:tc>
      </w:tr>
      <w:tr w:rsidR="00A37EBB" w:rsidRPr="00A37EBB" w14:paraId="5D61D26E" w14:textId="77777777" w:rsidTr="00A37EBB">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53A26CCA"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Energy supply</w:t>
            </w:r>
          </w:p>
        </w:tc>
        <w:tc>
          <w:tcPr>
            <w:tcW w:w="1350" w:type="dxa"/>
            <w:hideMark/>
          </w:tcPr>
          <w:p w14:paraId="19347453"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35.32</w:t>
            </w:r>
          </w:p>
        </w:tc>
        <w:tc>
          <w:tcPr>
            <w:tcW w:w="1274" w:type="dxa"/>
            <w:hideMark/>
          </w:tcPr>
          <w:p w14:paraId="0C5F600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100.05</w:t>
            </w:r>
          </w:p>
        </w:tc>
        <w:tc>
          <w:tcPr>
            <w:tcW w:w="1496" w:type="dxa"/>
            <w:hideMark/>
          </w:tcPr>
          <w:p w14:paraId="41F4D300"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0.387</w:t>
            </w:r>
          </w:p>
        </w:tc>
        <w:tc>
          <w:tcPr>
            <w:tcW w:w="1496" w:type="dxa"/>
            <w:hideMark/>
          </w:tcPr>
          <w:p w14:paraId="684F7FA3"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0.407</w:t>
            </w:r>
          </w:p>
        </w:tc>
        <w:tc>
          <w:tcPr>
            <w:tcW w:w="1470" w:type="dxa"/>
            <w:hideMark/>
          </w:tcPr>
          <w:p w14:paraId="4CE08BD9"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0.814</w:t>
            </w:r>
          </w:p>
        </w:tc>
      </w:tr>
      <w:tr w:rsidR="00A37EBB" w:rsidRPr="00A37EBB" w14:paraId="0B7687F2" w14:textId="77777777" w:rsidTr="00A37EBB">
        <w:trPr>
          <w:trHeight w:val="353"/>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0CD2B48F"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Drinking water supply</w:t>
            </w:r>
          </w:p>
        </w:tc>
        <w:tc>
          <w:tcPr>
            <w:tcW w:w="1350" w:type="dxa"/>
            <w:hideMark/>
          </w:tcPr>
          <w:p w14:paraId="0A65895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35.16</w:t>
            </w:r>
          </w:p>
        </w:tc>
        <w:tc>
          <w:tcPr>
            <w:tcW w:w="1274" w:type="dxa"/>
            <w:hideMark/>
          </w:tcPr>
          <w:p w14:paraId="7451F18B"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101.037</w:t>
            </w:r>
          </w:p>
        </w:tc>
        <w:tc>
          <w:tcPr>
            <w:tcW w:w="1496" w:type="dxa"/>
            <w:hideMark/>
          </w:tcPr>
          <w:p w14:paraId="06AC4AC6"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0.391</w:t>
            </w:r>
          </w:p>
        </w:tc>
        <w:tc>
          <w:tcPr>
            <w:tcW w:w="1496" w:type="dxa"/>
            <w:hideMark/>
          </w:tcPr>
          <w:p w14:paraId="1ABD495A"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0.328</w:t>
            </w:r>
          </w:p>
        </w:tc>
        <w:tc>
          <w:tcPr>
            <w:tcW w:w="1470" w:type="dxa"/>
            <w:hideMark/>
          </w:tcPr>
          <w:p w14:paraId="6AB3B6BE"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0.814</w:t>
            </w:r>
          </w:p>
        </w:tc>
      </w:tr>
      <w:tr w:rsidR="00A37EBB" w:rsidRPr="00A37EBB" w14:paraId="681E18BD" w14:textId="77777777" w:rsidTr="00A37EBB">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5D49F820"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Food supply</w:t>
            </w:r>
          </w:p>
        </w:tc>
        <w:tc>
          <w:tcPr>
            <w:tcW w:w="1350" w:type="dxa"/>
            <w:hideMark/>
          </w:tcPr>
          <w:p w14:paraId="79C0B9B7"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36.25</w:t>
            </w:r>
          </w:p>
        </w:tc>
        <w:tc>
          <w:tcPr>
            <w:tcW w:w="1274" w:type="dxa"/>
            <w:hideMark/>
          </w:tcPr>
          <w:p w14:paraId="71A1965E"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89.808</w:t>
            </w:r>
          </w:p>
        </w:tc>
        <w:tc>
          <w:tcPr>
            <w:tcW w:w="1496" w:type="dxa"/>
            <w:hideMark/>
          </w:tcPr>
          <w:p w14:paraId="5F127BC6"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0.588</w:t>
            </w:r>
          </w:p>
        </w:tc>
        <w:tc>
          <w:tcPr>
            <w:tcW w:w="1496" w:type="dxa"/>
            <w:hideMark/>
          </w:tcPr>
          <w:p w14:paraId="63233CDC"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0.395</w:t>
            </w:r>
          </w:p>
        </w:tc>
        <w:tc>
          <w:tcPr>
            <w:tcW w:w="1470" w:type="dxa"/>
            <w:hideMark/>
          </w:tcPr>
          <w:p w14:paraId="59E2AD45"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0.797</w:t>
            </w:r>
          </w:p>
        </w:tc>
      </w:tr>
      <w:tr w:rsidR="00A37EBB" w:rsidRPr="00A37EBB" w14:paraId="48745EA8" w14:textId="77777777" w:rsidTr="00A37EBB">
        <w:trPr>
          <w:trHeight w:val="260"/>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65A80158"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Damage to the house</w:t>
            </w:r>
          </w:p>
        </w:tc>
        <w:tc>
          <w:tcPr>
            <w:tcW w:w="1350" w:type="dxa"/>
            <w:hideMark/>
          </w:tcPr>
          <w:p w14:paraId="79488261"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37.68</w:t>
            </w:r>
          </w:p>
        </w:tc>
        <w:tc>
          <w:tcPr>
            <w:tcW w:w="1274" w:type="dxa"/>
            <w:hideMark/>
          </w:tcPr>
          <w:p w14:paraId="6DBEB547"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93.275</w:t>
            </w:r>
          </w:p>
        </w:tc>
        <w:tc>
          <w:tcPr>
            <w:tcW w:w="1496" w:type="dxa"/>
            <w:hideMark/>
          </w:tcPr>
          <w:p w14:paraId="483D5051"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0.532</w:t>
            </w:r>
          </w:p>
        </w:tc>
        <w:tc>
          <w:tcPr>
            <w:tcW w:w="1496" w:type="dxa"/>
            <w:hideMark/>
          </w:tcPr>
          <w:p w14:paraId="733F001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0.36</w:t>
            </w:r>
          </w:p>
        </w:tc>
        <w:tc>
          <w:tcPr>
            <w:tcW w:w="1470" w:type="dxa"/>
            <w:hideMark/>
          </w:tcPr>
          <w:p w14:paraId="52F2D22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0.803</w:t>
            </w:r>
          </w:p>
        </w:tc>
      </w:tr>
      <w:tr w:rsidR="00A37EBB" w:rsidRPr="00A37EBB" w14:paraId="7BB6F50D" w14:textId="77777777" w:rsidTr="00A37EB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336039FC"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lastRenderedPageBreak/>
              <w:t>Damage to farming land</w:t>
            </w:r>
          </w:p>
        </w:tc>
        <w:tc>
          <w:tcPr>
            <w:tcW w:w="1350" w:type="dxa"/>
            <w:hideMark/>
          </w:tcPr>
          <w:p w14:paraId="0D9D420E"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37.87</w:t>
            </w:r>
          </w:p>
        </w:tc>
        <w:tc>
          <w:tcPr>
            <w:tcW w:w="1274" w:type="dxa"/>
            <w:hideMark/>
          </w:tcPr>
          <w:p w14:paraId="64FBCDD4"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97.571</w:t>
            </w:r>
          </w:p>
        </w:tc>
        <w:tc>
          <w:tcPr>
            <w:tcW w:w="1496" w:type="dxa"/>
            <w:hideMark/>
          </w:tcPr>
          <w:p w14:paraId="2B142771"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0.379</w:t>
            </w:r>
          </w:p>
        </w:tc>
        <w:tc>
          <w:tcPr>
            <w:tcW w:w="1496" w:type="dxa"/>
            <w:hideMark/>
          </w:tcPr>
          <w:p w14:paraId="3F39E355"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0.226</w:t>
            </w:r>
          </w:p>
        </w:tc>
        <w:tc>
          <w:tcPr>
            <w:tcW w:w="1470" w:type="dxa"/>
            <w:hideMark/>
          </w:tcPr>
          <w:p w14:paraId="2AD30015"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0.814</w:t>
            </w:r>
          </w:p>
        </w:tc>
      </w:tr>
      <w:tr w:rsidR="00A37EBB" w:rsidRPr="00A37EBB" w14:paraId="73AC9458" w14:textId="77777777" w:rsidTr="00A37EBB">
        <w:trPr>
          <w:trHeight w:val="435"/>
          <w:jc w:val="center"/>
        </w:trPr>
        <w:tc>
          <w:tcPr>
            <w:cnfStyle w:val="001000000000" w:firstRow="0" w:lastRow="0" w:firstColumn="1" w:lastColumn="0" w:oddVBand="0" w:evenVBand="0" w:oddHBand="0" w:evenHBand="0" w:firstRowFirstColumn="0" w:firstRowLastColumn="0" w:lastRowFirstColumn="0" w:lastRowLastColumn="0"/>
            <w:tcW w:w="2190" w:type="dxa"/>
            <w:hideMark/>
          </w:tcPr>
          <w:p w14:paraId="34E3E23E" w14:textId="77777777" w:rsidR="00A37EBB" w:rsidRPr="00A37EBB" w:rsidRDefault="00A37EBB" w:rsidP="00A37EBB">
            <w:pPr>
              <w:spacing w:line="360" w:lineRule="auto"/>
              <w:jc w:val="center"/>
              <w:rPr>
                <w:rFonts w:ascii="Times New Roman" w:eastAsia="Times New Roman" w:hAnsi="Times New Roman" w:cs="Times New Roman"/>
                <w:b w:val="0"/>
                <w:bCs w:val="0"/>
                <w:kern w:val="0"/>
                <w:sz w:val="24"/>
                <w:szCs w:val="24"/>
                <w14:ligatures w14:val="none"/>
              </w:rPr>
            </w:pPr>
            <w:r w:rsidRPr="00A37EBB">
              <w:rPr>
                <w:rFonts w:ascii="Times New Roman" w:eastAsia="Times New Roman" w:hAnsi="Times New Roman" w:cs="Times New Roman"/>
                <w:b w:val="0"/>
                <w:bCs w:val="0"/>
                <w:kern w:val="0"/>
                <w:sz w:val="24"/>
                <w:szCs w:val="24"/>
                <w14:ligatures w14:val="none"/>
              </w:rPr>
              <w:t>Damage to non-farming land</w:t>
            </w:r>
          </w:p>
        </w:tc>
        <w:tc>
          <w:tcPr>
            <w:tcW w:w="1350" w:type="dxa"/>
            <w:hideMark/>
          </w:tcPr>
          <w:p w14:paraId="256B3B5E"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35.71</w:t>
            </w:r>
          </w:p>
        </w:tc>
        <w:tc>
          <w:tcPr>
            <w:tcW w:w="1274" w:type="dxa"/>
            <w:hideMark/>
          </w:tcPr>
          <w:p w14:paraId="1DD14CA2"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103.457</w:t>
            </w:r>
          </w:p>
        </w:tc>
        <w:tc>
          <w:tcPr>
            <w:tcW w:w="1496" w:type="dxa"/>
            <w:hideMark/>
          </w:tcPr>
          <w:p w14:paraId="0175A145"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0.153</w:t>
            </w:r>
          </w:p>
        </w:tc>
        <w:tc>
          <w:tcPr>
            <w:tcW w:w="1496" w:type="dxa"/>
            <w:hideMark/>
          </w:tcPr>
          <w:p w14:paraId="18B8934F"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0.129</w:t>
            </w:r>
          </w:p>
        </w:tc>
        <w:tc>
          <w:tcPr>
            <w:tcW w:w="1470" w:type="dxa"/>
            <w:hideMark/>
          </w:tcPr>
          <w:p w14:paraId="7BF7FCDD"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A37EBB">
              <w:rPr>
                <w:rFonts w:ascii="Times New Roman" w:eastAsia="Times New Roman" w:hAnsi="Times New Roman" w:cs="Times New Roman"/>
                <w:kern w:val="0"/>
                <w:sz w:val="24"/>
                <w:szCs w:val="24"/>
                <w14:ligatures w14:val="none"/>
              </w:rPr>
              <w:t>0.831</w:t>
            </w:r>
          </w:p>
        </w:tc>
      </w:tr>
    </w:tbl>
    <w:p w14:paraId="3EC3E556" w14:textId="77777777" w:rsidR="00A37EBB" w:rsidRPr="00A37EBB" w:rsidRDefault="00A37EBB" w:rsidP="009F5E3A">
      <w:pPr>
        <w:spacing w:line="360" w:lineRule="auto"/>
        <w:jc w:val="both"/>
        <w:rPr>
          <w:rFonts w:ascii="Times New Roman" w:hAnsi="Times New Roman" w:cs="Times New Roman"/>
          <w:b/>
          <w:bCs/>
          <w:sz w:val="24"/>
          <w:szCs w:val="24"/>
        </w:rPr>
      </w:pPr>
    </w:p>
    <w:p w14:paraId="7C41E756" w14:textId="704BA9E7" w:rsidR="00A37EBB" w:rsidRPr="00A37EBB" w:rsidRDefault="00A37EBB" w:rsidP="009F5E3A">
      <w:pPr>
        <w:spacing w:line="360" w:lineRule="auto"/>
        <w:jc w:val="center"/>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b/>
          <w:bCs/>
          <w:sz w:val="24"/>
          <w:szCs w:val="24"/>
        </w:rPr>
        <w:t xml:space="preserve">Table A.3. </w:t>
      </w:r>
      <w:r w:rsidRPr="00A37EBB">
        <w:rPr>
          <w:rFonts w:ascii="Times New Roman" w:hAnsi="Times New Roman" w:cs="Times New Roman"/>
          <w:sz w:val="24"/>
          <w:szCs w:val="24"/>
        </w:rPr>
        <w:t>Communalities for extracted component(s)</w:t>
      </w:r>
      <w:r w:rsidR="009F5E3A">
        <w:rPr>
          <w:rFonts w:ascii="Times New Roman" w:hAnsi="Times New Roman" w:cs="Times New Roman"/>
          <w:sz w:val="24"/>
          <w:szCs w:val="24"/>
        </w:rPr>
        <w:t xml:space="preserve">, </w:t>
      </w:r>
      <w:r w:rsidR="009F5E3A" w:rsidRPr="009F5E3A">
        <w:rPr>
          <w:rFonts w:ascii="Times New Roman" w:hAnsi="Times New Roman" w:cs="Times New Roman"/>
          <w:sz w:val="24"/>
          <w:szCs w:val="24"/>
        </w:rPr>
        <w:t xml:space="preserve"> indicating the proportion of variance in each of the 13 perceived‑impact items explained by the retained facto</w:t>
      </w:r>
      <w:r w:rsidR="009F5E3A">
        <w:rPr>
          <w:rFonts w:ascii="Times New Roman" w:hAnsi="Times New Roman" w:cs="Times New Roman"/>
          <w:sz w:val="24"/>
          <w:szCs w:val="24"/>
        </w:rPr>
        <w:t>r.</w:t>
      </w:r>
    </w:p>
    <w:tbl>
      <w:tblPr>
        <w:tblStyle w:val="PlainTable2"/>
        <w:tblW w:w="0" w:type="auto"/>
        <w:jc w:val="center"/>
        <w:tblLook w:val="04A0" w:firstRow="1" w:lastRow="0" w:firstColumn="1" w:lastColumn="0" w:noHBand="0" w:noVBand="1"/>
      </w:tblPr>
      <w:tblGrid>
        <w:gridCol w:w="6030"/>
        <w:gridCol w:w="2970"/>
      </w:tblGrid>
      <w:tr w:rsidR="00A37EBB" w:rsidRPr="00A37EBB" w14:paraId="53F217C3" w14:textId="77777777" w:rsidTr="009F5E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0754B8F2"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p>
        </w:tc>
        <w:tc>
          <w:tcPr>
            <w:tcW w:w="2970" w:type="dxa"/>
          </w:tcPr>
          <w:p w14:paraId="5847C234" w14:textId="77777777" w:rsidR="00A37EBB" w:rsidRPr="00A37EBB" w:rsidRDefault="00A37EBB" w:rsidP="00A37EBB">
            <w:pPr>
              <w:spacing w:line="360" w:lineRule="auto"/>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bCs/>
                <w:sz w:val="24"/>
                <w:szCs w:val="24"/>
                <w:shd w:val="clear" w:color="auto" w:fill="FFFFFF"/>
              </w:rPr>
            </w:pPr>
            <w:r w:rsidRPr="00A37EBB">
              <w:rPr>
                <w:rFonts w:ascii="Times New Roman" w:hAnsi="Times New Roman" w:cs="Times New Roman"/>
                <w:sz w:val="24"/>
                <w:szCs w:val="24"/>
              </w:rPr>
              <w:t>Extraction</w:t>
            </w:r>
          </w:p>
        </w:tc>
      </w:tr>
      <w:tr w:rsidR="00A37EBB" w:rsidRPr="00A37EBB" w14:paraId="0751CA66"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098669A3"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Daily life</w:t>
            </w:r>
          </w:p>
        </w:tc>
        <w:tc>
          <w:tcPr>
            <w:tcW w:w="2970" w:type="dxa"/>
          </w:tcPr>
          <w:p w14:paraId="048F44D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0.354</w:t>
            </w:r>
          </w:p>
        </w:tc>
      </w:tr>
      <w:tr w:rsidR="00A37EBB" w:rsidRPr="00A37EBB" w14:paraId="5C0D2A24" w14:textId="77777777" w:rsidTr="009F5E3A">
        <w:trPr>
          <w:jc w:val="center"/>
        </w:trPr>
        <w:tc>
          <w:tcPr>
            <w:cnfStyle w:val="001000000000" w:firstRow="0" w:lastRow="0" w:firstColumn="1" w:lastColumn="0" w:oddVBand="0" w:evenVBand="0" w:oddHBand="0" w:evenHBand="0" w:firstRowFirstColumn="0" w:firstRowLastColumn="0" w:lastRowFirstColumn="0" w:lastRowLastColumn="0"/>
            <w:tcW w:w="6030" w:type="dxa"/>
          </w:tcPr>
          <w:p w14:paraId="67CE650C"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Physical health</w:t>
            </w:r>
          </w:p>
        </w:tc>
        <w:tc>
          <w:tcPr>
            <w:tcW w:w="2970" w:type="dxa"/>
          </w:tcPr>
          <w:p w14:paraId="74076DD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0.286</w:t>
            </w:r>
          </w:p>
        </w:tc>
      </w:tr>
      <w:tr w:rsidR="00A37EBB" w:rsidRPr="00A37EBB" w14:paraId="680615C5"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001695E7"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Mental health</w:t>
            </w:r>
          </w:p>
        </w:tc>
        <w:tc>
          <w:tcPr>
            <w:tcW w:w="2970" w:type="dxa"/>
          </w:tcPr>
          <w:p w14:paraId="7D8164D4"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0.311</w:t>
            </w:r>
          </w:p>
        </w:tc>
      </w:tr>
      <w:tr w:rsidR="00A37EBB" w:rsidRPr="00A37EBB" w14:paraId="47C6C25C" w14:textId="77777777" w:rsidTr="009F5E3A">
        <w:trPr>
          <w:jc w:val="center"/>
        </w:trPr>
        <w:tc>
          <w:tcPr>
            <w:cnfStyle w:val="001000000000" w:firstRow="0" w:lastRow="0" w:firstColumn="1" w:lastColumn="0" w:oddVBand="0" w:evenVBand="0" w:oddHBand="0" w:evenHBand="0" w:firstRowFirstColumn="0" w:firstRowLastColumn="0" w:lastRowFirstColumn="0" w:lastRowLastColumn="0"/>
            <w:tcW w:w="6030" w:type="dxa"/>
          </w:tcPr>
          <w:p w14:paraId="4C7E1EAD"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Children's schooling/education</w:t>
            </w:r>
          </w:p>
        </w:tc>
        <w:tc>
          <w:tcPr>
            <w:tcW w:w="2970" w:type="dxa"/>
          </w:tcPr>
          <w:p w14:paraId="1D6BB335"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0.567</w:t>
            </w:r>
          </w:p>
        </w:tc>
      </w:tr>
      <w:tr w:rsidR="00A37EBB" w:rsidRPr="00A37EBB" w14:paraId="26604B7D"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2F1B0F8D"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Work/Job</w:t>
            </w:r>
          </w:p>
        </w:tc>
        <w:tc>
          <w:tcPr>
            <w:tcW w:w="2970" w:type="dxa"/>
          </w:tcPr>
          <w:p w14:paraId="3C305CAE"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0.418</w:t>
            </w:r>
          </w:p>
        </w:tc>
      </w:tr>
      <w:tr w:rsidR="00A37EBB" w:rsidRPr="00A37EBB" w14:paraId="08636C28" w14:textId="77777777" w:rsidTr="009F5E3A">
        <w:trPr>
          <w:jc w:val="center"/>
        </w:trPr>
        <w:tc>
          <w:tcPr>
            <w:cnfStyle w:val="001000000000" w:firstRow="0" w:lastRow="0" w:firstColumn="1" w:lastColumn="0" w:oddVBand="0" w:evenVBand="0" w:oddHBand="0" w:evenHBand="0" w:firstRowFirstColumn="0" w:firstRowLastColumn="0" w:lastRowFirstColumn="0" w:lastRowLastColumn="0"/>
            <w:tcW w:w="6030" w:type="dxa"/>
          </w:tcPr>
          <w:p w14:paraId="573CD0CD"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Religious gathering</w:t>
            </w:r>
          </w:p>
        </w:tc>
        <w:tc>
          <w:tcPr>
            <w:tcW w:w="2970" w:type="dxa"/>
          </w:tcPr>
          <w:p w14:paraId="532332DF"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0.319</w:t>
            </w:r>
          </w:p>
        </w:tc>
      </w:tr>
      <w:tr w:rsidR="00A37EBB" w:rsidRPr="00A37EBB" w14:paraId="4DAB6E8F"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6938F785"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Local transportation</w:t>
            </w:r>
          </w:p>
        </w:tc>
        <w:tc>
          <w:tcPr>
            <w:tcW w:w="2970" w:type="dxa"/>
          </w:tcPr>
          <w:p w14:paraId="497CA3F9"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0.380</w:t>
            </w:r>
          </w:p>
        </w:tc>
      </w:tr>
      <w:tr w:rsidR="00A37EBB" w:rsidRPr="00A37EBB" w14:paraId="47F0F5F9" w14:textId="77777777" w:rsidTr="009F5E3A">
        <w:trPr>
          <w:jc w:val="center"/>
        </w:trPr>
        <w:tc>
          <w:tcPr>
            <w:cnfStyle w:val="001000000000" w:firstRow="0" w:lastRow="0" w:firstColumn="1" w:lastColumn="0" w:oddVBand="0" w:evenVBand="0" w:oddHBand="0" w:evenHBand="0" w:firstRowFirstColumn="0" w:firstRowLastColumn="0" w:lastRowFirstColumn="0" w:lastRowLastColumn="0"/>
            <w:tcW w:w="6030" w:type="dxa"/>
          </w:tcPr>
          <w:p w14:paraId="44BD3B64"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Energy supply</w:t>
            </w:r>
          </w:p>
        </w:tc>
        <w:tc>
          <w:tcPr>
            <w:tcW w:w="2970" w:type="dxa"/>
          </w:tcPr>
          <w:p w14:paraId="2A9C4432"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0.254</w:t>
            </w:r>
          </w:p>
        </w:tc>
      </w:tr>
      <w:tr w:rsidR="00A37EBB" w:rsidRPr="00A37EBB" w14:paraId="36722402"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02193A10"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Drinking water supply</w:t>
            </w:r>
          </w:p>
        </w:tc>
        <w:tc>
          <w:tcPr>
            <w:tcW w:w="2970" w:type="dxa"/>
          </w:tcPr>
          <w:p w14:paraId="1CD51ACE"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0.252</w:t>
            </w:r>
          </w:p>
        </w:tc>
      </w:tr>
      <w:tr w:rsidR="00A37EBB" w:rsidRPr="00A37EBB" w14:paraId="793F535D" w14:textId="77777777" w:rsidTr="009F5E3A">
        <w:trPr>
          <w:jc w:val="center"/>
        </w:trPr>
        <w:tc>
          <w:tcPr>
            <w:cnfStyle w:val="001000000000" w:firstRow="0" w:lastRow="0" w:firstColumn="1" w:lastColumn="0" w:oddVBand="0" w:evenVBand="0" w:oddHBand="0" w:evenHBand="0" w:firstRowFirstColumn="0" w:firstRowLastColumn="0" w:lastRowFirstColumn="0" w:lastRowLastColumn="0"/>
            <w:tcW w:w="6030" w:type="dxa"/>
          </w:tcPr>
          <w:p w14:paraId="53DC4308"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Food supply</w:t>
            </w:r>
          </w:p>
        </w:tc>
        <w:tc>
          <w:tcPr>
            <w:tcW w:w="2970" w:type="dxa"/>
          </w:tcPr>
          <w:p w14:paraId="44046FBC"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0.489</w:t>
            </w:r>
          </w:p>
        </w:tc>
      </w:tr>
      <w:tr w:rsidR="00A37EBB" w:rsidRPr="00A37EBB" w14:paraId="4FF5118A"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0D6E0F59"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Damage to the house</w:t>
            </w:r>
          </w:p>
        </w:tc>
        <w:tc>
          <w:tcPr>
            <w:tcW w:w="2970" w:type="dxa"/>
          </w:tcPr>
          <w:p w14:paraId="524F86D9"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0.383</w:t>
            </w:r>
          </w:p>
        </w:tc>
      </w:tr>
      <w:tr w:rsidR="00A37EBB" w:rsidRPr="00A37EBB" w14:paraId="30013824" w14:textId="77777777" w:rsidTr="009F5E3A">
        <w:trPr>
          <w:jc w:val="center"/>
        </w:trPr>
        <w:tc>
          <w:tcPr>
            <w:cnfStyle w:val="001000000000" w:firstRow="0" w:lastRow="0" w:firstColumn="1" w:lastColumn="0" w:oddVBand="0" w:evenVBand="0" w:oddHBand="0" w:evenHBand="0" w:firstRowFirstColumn="0" w:firstRowLastColumn="0" w:lastRowFirstColumn="0" w:lastRowLastColumn="0"/>
            <w:tcW w:w="6030" w:type="dxa"/>
          </w:tcPr>
          <w:p w14:paraId="07AECBC1"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Damage to farming land</w:t>
            </w:r>
          </w:p>
        </w:tc>
        <w:tc>
          <w:tcPr>
            <w:tcW w:w="2970" w:type="dxa"/>
          </w:tcPr>
          <w:p w14:paraId="57CB5ED0"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0.210</w:t>
            </w:r>
          </w:p>
        </w:tc>
      </w:tr>
      <w:tr w:rsidR="00A37EBB" w:rsidRPr="00A37EBB" w14:paraId="7AADCF14" w14:textId="77777777" w:rsidTr="009F5E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0" w:type="dxa"/>
          </w:tcPr>
          <w:p w14:paraId="39D38A1B" w14:textId="77777777" w:rsidR="00A37EBB" w:rsidRPr="00A37EBB" w:rsidRDefault="00A37EBB" w:rsidP="00A37EBB">
            <w:pPr>
              <w:spacing w:line="360" w:lineRule="auto"/>
              <w:jc w:val="center"/>
              <w:rPr>
                <w:rFonts w:ascii="Times New Roman" w:hAnsi="Times New Roman" w:cs="Times New Roman"/>
                <w:b w:val="0"/>
                <w:bCs w:val="0"/>
                <w:sz w:val="24"/>
                <w:szCs w:val="24"/>
              </w:rPr>
            </w:pPr>
            <w:r w:rsidRPr="00A37EBB">
              <w:rPr>
                <w:rFonts w:ascii="Times New Roman" w:hAnsi="Times New Roman" w:cs="Times New Roman"/>
                <w:b w:val="0"/>
                <w:bCs w:val="0"/>
                <w:sz w:val="24"/>
                <w:szCs w:val="24"/>
              </w:rPr>
              <w:t>Damage to non-farming land</w:t>
            </w:r>
          </w:p>
        </w:tc>
        <w:tc>
          <w:tcPr>
            <w:tcW w:w="2970" w:type="dxa"/>
          </w:tcPr>
          <w:p w14:paraId="0365FD29"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0.037</w:t>
            </w:r>
          </w:p>
        </w:tc>
      </w:tr>
    </w:tbl>
    <w:p w14:paraId="653B3587" w14:textId="45A85C6D" w:rsidR="00A37EBB" w:rsidRPr="00A37EBB" w:rsidRDefault="00A37EBB" w:rsidP="00A37EBB">
      <w:pPr>
        <w:spacing w:line="360" w:lineRule="auto"/>
        <w:jc w:val="center"/>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noProof/>
          <w:sz w:val="24"/>
          <w:szCs w:val="24"/>
        </w:rPr>
        <w:lastRenderedPageBreak/>
        <mc:AlternateContent>
          <mc:Choice Requires="wps">
            <w:drawing>
              <wp:anchor distT="0" distB="0" distL="114300" distR="114300" simplePos="0" relativeHeight="251660288" behindDoc="1" locked="0" layoutInCell="1" allowOverlap="1" wp14:anchorId="51AC545B" wp14:editId="52EAE388">
                <wp:simplePos x="0" y="0"/>
                <wp:positionH relativeFrom="column">
                  <wp:posOffset>450850</wp:posOffset>
                </wp:positionH>
                <wp:positionV relativeFrom="paragraph">
                  <wp:posOffset>3098800</wp:posOffset>
                </wp:positionV>
                <wp:extent cx="5289550" cy="2051050"/>
                <wp:effectExtent l="0" t="0" r="6350" b="6350"/>
                <wp:wrapTight wrapText="bothSides">
                  <wp:wrapPolygon edited="0">
                    <wp:start x="0" y="0"/>
                    <wp:lineTo x="0" y="21466"/>
                    <wp:lineTo x="21548" y="21466"/>
                    <wp:lineTo x="21548" y="0"/>
                    <wp:lineTo x="0" y="0"/>
                  </wp:wrapPolygon>
                </wp:wrapTight>
                <wp:docPr id="1071948667" name="Text Box 1"/>
                <wp:cNvGraphicFramePr/>
                <a:graphic xmlns:a="http://schemas.openxmlformats.org/drawingml/2006/main">
                  <a:graphicData uri="http://schemas.microsoft.com/office/word/2010/wordprocessingShape">
                    <wps:wsp>
                      <wps:cNvSpPr txBox="1"/>
                      <wps:spPr>
                        <a:xfrm>
                          <a:off x="0" y="0"/>
                          <a:ext cx="5289550" cy="2051050"/>
                        </a:xfrm>
                        <a:prstGeom prst="rect">
                          <a:avLst/>
                        </a:prstGeom>
                        <a:solidFill>
                          <a:prstClr val="white"/>
                        </a:solidFill>
                        <a:ln>
                          <a:noFill/>
                        </a:ln>
                      </wps:spPr>
                      <wps:txbx>
                        <w:txbxContent>
                          <w:p w14:paraId="1CB92593" w14:textId="5A9520E3" w:rsidR="00A37EBB" w:rsidRPr="004579F5" w:rsidRDefault="00A37EBB" w:rsidP="004579F5">
                            <w:pPr>
                              <w:pStyle w:val="Caption"/>
                              <w:spacing w:line="360" w:lineRule="auto"/>
                              <w:jc w:val="both"/>
                              <w:rPr>
                                <w:rFonts w:ascii="Times New Roman" w:hAnsi="Times New Roman" w:cs="Times New Roman"/>
                                <w:i w:val="0"/>
                                <w:iCs w:val="0"/>
                                <w:noProof/>
                                <w:color w:val="auto"/>
                                <w:sz w:val="24"/>
                                <w:szCs w:val="24"/>
                              </w:rPr>
                            </w:pPr>
                            <w:r w:rsidRPr="004579F5">
                              <w:rPr>
                                <w:rFonts w:ascii="Times New Roman" w:hAnsi="Times New Roman" w:cs="Times New Roman"/>
                                <w:b/>
                                <w:bCs/>
                                <w:i w:val="0"/>
                                <w:iCs w:val="0"/>
                                <w:color w:val="auto"/>
                                <w:sz w:val="24"/>
                                <w:szCs w:val="24"/>
                              </w:rPr>
                              <w:t>Fig. A.1.</w:t>
                            </w:r>
                            <w:r w:rsidRPr="004579F5">
                              <w:rPr>
                                <w:rFonts w:ascii="Times New Roman" w:hAnsi="Times New Roman" w:cs="Times New Roman"/>
                                <w:i w:val="0"/>
                                <w:iCs w:val="0"/>
                                <w:color w:val="auto"/>
                                <w:sz w:val="24"/>
                                <w:szCs w:val="24"/>
                              </w:rPr>
                              <w:t xml:space="preserve"> </w:t>
                            </w:r>
                            <w:r w:rsidR="004579F5" w:rsidRPr="004579F5">
                              <w:rPr>
                                <w:rFonts w:ascii="Times New Roman" w:hAnsi="Times New Roman" w:cs="Times New Roman"/>
                                <w:i w:val="0"/>
                                <w:iCs w:val="0"/>
                                <w:color w:val="auto"/>
                                <w:sz w:val="24"/>
                                <w:szCs w:val="24"/>
                                <w:shd w:val="clear" w:color="auto" w:fill="FFFFFF"/>
                              </w:rPr>
                              <w:t>Scree plot illustrating the distribution of eigenvalues generated from the Principal Component Analysis of the 13‑item perceived‑impact questionnaire. The y‑axis represents the eigenvalues, indicating the proportion of variance explained by each component, while the x‑axis lists the component numbers in descending order of extracted variance. The sharp decline in eigenvalues after the first component demonstrates a clear inflection point, supporting the retention of a single dominant underlying factor in accordance with the Kaiser criterion (eigenvalues ≥ 1) and the elbow test</w:t>
                            </w:r>
                            <w:r w:rsidR="004579F5" w:rsidRPr="004579F5">
                              <w:rPr>
                                <w:rFonts w:ascii="Times New Roman" w:hAnsi="Times New Roman" w:cs="Times New Roman"/>
                                <w:i w:val="0"/>
                                <w:iCs w:val="0"/>
                                <w:color w:val="auto"/>
                                <w:sz w:val="24"/>
                                <w:szCs w:val="24"/>
                                <w:shd w:val="clear" w:color="auto" w:fill="FFFFFF"/>
                              </w:rPr>
                              <w:t>.</w:t>
                            </w:r>
                          </w:p>
                          <w:p w14:paraId="05E34249" w14:textId="77777777" w:rsidR="00A37EBB" w:rsidRPr="004579F5" w:rsidRDefault="00A37EBB" w:rsidP="004579F5">
                            <w:pPr>
                              <w:pStyle w:val="Caption"/>
                              <w:spacing w:line="360" w:lineRule="auto"/>
                              <w:jc w:val="both"/>
                              <w:rPr>
                                <w:rFonts w:ascii="Times New Roman" w:hAnsi="Times New Roman" w:cs="Times New Roman"/>
                                <w:i w:val="0"/>
                                <w:iCs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C545B" id="_x0000_t202" coordsize="21600,21600" o:spt="202" path="m,l,21600r21600,l21600,xe">
                <v:stroke joinstyle="miter"/>
                <v:path gradientshapeok="t" o:connecttype="rect"/>
              </v:shapetype>
              <v:shape id="Text Box 1" o:spid="_x0000_s1026" type="#_x0000_t202" style="position:absolute;left:0;text-align:left;margin-left:35.5pt;margin-top:244pt;width:416.5pt;height:1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" stroked="f">
                <v:textbox inset="0,0,0,0">
                  <w:txbxContent>
                    <w:p w14:paraId="1CB92593" w14:textId="5A9520E3" w:rsidR="00A37EBB" w:rsidRPr="004579F5" w:rsidRDefault="00A37EBB" w:rsidP="004579F5">
                      <w:pPr>
                        <w:pStyle w:val="Caption"/>
                        <w:spacing w:line="360" w:lineRule="auto"/>
                        <w:jc w:val="both"/>
                        <w:rPr>
                          <w:rFonts w:ascii="Times New Roman" w:hAnsi="Times New Roman" w:cs="Times New Roman"/>
                          <w:i w:val="0"/>
                          <w:iCs w:val="0"/>
                          <w:noProof/>
                          <w:color w:val="auto"/>
                          <w:sz w:val="24"/>
                          <w:szCs w:val="24"/>
                        </w:rPr>
                      </w:pPr>
                      <w:r w:rsidRPr="004579F5">
                        <w:rPr>
                          <w:rFonts w:ascii="Times New Roman" w:hAnsi="Times New Roman" w:cs="Times New Roman"/>
                          <w:b/>
                          <w:bCs/>
                          <w:i w:val="0"/>
                          <w:iCs w:val="0"/>
                          <w:color w:val="auto"/>
                          <w:sz w:val="24"/>
                          <w:szCs w:val="24"/>
                        </w:rPr>
                        <w:t>Fig. A.1.</w:t>
                      </w:r>
                      <w:r w:rsidRPr="004579F5">
                        <w:rPr>
                          <w:rFonts w:ascii="Times New Roman" w:hAnsi="Times New Roman" w:cs="Times New Roman"/>
                          <w:i w:val="0"/>
                          <w:iCs w:val="0"/>
                          <w:color w:val="auto"/>
                          <w:sz w:val="24"/>
                          <w:szCs w:val="24"/>
                        </w:rPr>
                        <w:t xml:space="preserve"> </w:t>
                      </w:r>
                      <w:r w:rsidR="004579F5" w:rsidRPr="004579F5">
                        <w:rPr>
                          <w:rFonts w:ascii="Times New Roman" w:hAnsi="Times New Roman" w:cs="Times New Roman"/>
                          <w:i w:val="0"/>
                          <w:iCs w:val="0"/>
                          <w:color w:val="auto"/>
                          <w:sz w:val="24"/>
                          <w:szCs w:val="24"/>
                          <w:shd w:val="clear" w:color="auto" w:fill="FFFFFF"/>
                        </w:rPr>
                        <w:t>Scree plot illustrating the distribution of eigenvalues generated from the Principal Component Analysis of the 13‑item perceived‑impact questionnaire. The y‑axis represents the eigenvalues, indicating the proportion of variance explained by each component, while the x‑axis lists the component numbers in descending order of extracted variance. The sharp decline in eigenvalues after the first component demonstrates a clear inflection point, supporting the retention of a single dominant underlying factor in accordance with the Kaiser criterion (eigenvalues ≥ 1) and the elbow test</w:t>
                      </w:r>
                      <w:r w:rsidR="004579F5" w:rsidRPr="004579F5">
                        <w:rPr>
                          <w:rFonts w:ascii="Times New Roman" w:hAnsi="Times New Roman" w:cs="Times New Roman"/>
                          <w:i w:val="0"/>
                          <w:iCs w:val="0"/>
                          <w:color w:val="auto"/>
                          <w:sz w:val="24"/>
                          <w:szCs w:val="24"/>
                          <w:shd w:val="clear" w:color="auto" w:fill="FFFFFF"/>
                        </w:rPr>
                        <w:t>.</w:t>
                      </w:r>
                    </w:p>
                    <w:p w14:paraId="05E34249" w14:textId="77777777" w:rsidR="00A37EBB" w:rsidRPr="004579F5" w:rsidRDefault="00A37EBB" w:rsidP="004579F5">
                      <w:pPr>
                        <w:pStyle w:val="Caption"/>
                        <w:spacing w:line="360" w:lineRule="auto"/>
                        <w:jc w:val="both"/>
                        <w:rPr>
                          <w:rFonts w:ascii="Times New Roman" w:hAnsi="Times New Roman" w:cs="Times New Roman"/>
                          <w:i w:val="0"/>
                          <w:iCs w:val="0"/>
                          <w:noProof/>
                          <w:color w:val="auto"/>
                          <w:sz w:val="24"/>
                          <w:szCs w:val="24"/>
                        </w:rPr>
                      </w:pPr>
                    </w:p>
                  </w:txbxContent>
                </v:textbox>
                <w10:wrap type="tight"/>
              </v:shape>
            </w:pict>
          </mc:Fallback>
        </mc:AlternateContent>
      </w:r>
      <w:r w:rsidRPr="00A37EBB">
        <w:rPr>
          <w:rFonts w:ascii="Times New Roman" w:hAnsi="Times New Roman" w:cs="Times New Roman"/>
          <w:noProof/>
          <w:sz w:val="24"/>
          <w:szCs w:val="24"/>
        </w:rPr>
        <w:drawing>
          <wp:anchor distT="0" distB="0" distL="114300" distR="114300" simplePos="0" relativeHeight="251659264" behindDoc="1" locked="0" layoutInCell="1" allowOverlap="1" wp14:anchorId="6ADB4E74" wp14:editId="7A5DAED3">
            <wp:simplePos x="0" y="0"/>
            <wp:positionH relativeFrom="column">
              <wp:posOffset>47413</wp:posOffset>
            </wp:positionH>
            <wp:positionV relativeFrom="paragraph">
              <wp:posOffset>424</wp:posOffset>
            </wp:positionV>
            <wp:extent cx="5731510" cy="3162935"/>
            <wp:effectExtent l="0" t="0" r="2540" b="0"/>
            <wp:wrapTight wrapText="bothSides">
              <wp:wrapPolygon edited="0">
                <wp:start x="0" y="0"/>
                <wp:lineTo x="0" y="21466"/>
                <wp:lineTo x="21538" y="21466"/>
                <wp:lineTo x="21538" y="0"/>
                <wp:lineTo x="0" y="0"/>
              </wp:wrapPolygon>
            </wp:wrapTight>
            <wp:docPr id="223729151" name="Picture 2"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9151" name="Picture 2" descr="A graph with a line&#10;&#10;AI-generated content may be incorrect."/>
                    <pic:cNvPicPr>
                      <a:picLocks noChangeAspect="1" noChangeArrowheads="1"/>
                    </pic:cNvPicPr>
                  </pic:nvPicPr>
                  <pic:blipFill rotWithShape="1">
                    <a:blip r:embed="rId4">
                      <a:extLst>
                        <a:ext uri="{28A0092B-C50C-407E-A947-70E740481C1C}">
                          <a14:useLocalDpi xmlns:a14="http://schemas.microsoft.com/office/drawing/2010/main" val="0"/>
                        </a:ext>
                      </a:extLst>
                    </a:blip>
                    <a:srcRect t="6225"/>
                    <a:stretch/>
                  </pic:blipFill>
                  <pic:spPr bwMode="auto">
                    <a:xfrm>
                      <a:off x="0" y="0"/>
                      <a:ext cx="5731510" cy="316293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B816F82" w14:textId="77777777" w:rsidR="00A37EBB" w:rsidRPr="00A37EBB" w:rsidRDefault="00A37EBB" w:rsidP="00A37EBB">
      <w:pPr>
        <w:spacing w:line="360" w:lineRule="auto"/>
        <w:jc w:val="center"/>
        <w:rPr>
          <w:rStyle w:val="Strong"/>
          <w:rFonts w:ascii="Times New Roman" w:hAnsi="Times New Roman" w:cs="Times New Roman"/>
          <w:sz w:val="24"/>
          <w:szCs w:val="24"/>
          <w:shd w:val="clear" w:color="auto" w:fill="FFFFFF"/>
        </w:rPr>
      </w:pPr>
    </w:p>
    <w:p w14:paraId="5C4FE5B9" w14:textId="77777777" w:rsidR="004579F5" w:rsidRDefault="004579F5" w:rsidP="00A37EBB">
      <w:pPr>
        <w:spacing w:line="360" w:lineRule="auto"/>
        <w:jc w:val="center"/>
        <w:rPr>
          <w:rStyle w:val="Strong"/>
          <w:rFonts w:ascii="Times New Roman" w:hAnsi="Times New Roman" w:cs="Times New Roman"/>
          <w:sz w:val="24"/>
          <w:szCs w:val="24"/>
          <w:shd w:val="clear" w:color="auto" w:fill="FFFFFF"/>
        </w:rPr>
      </w:pPr>
    </w:p>
    <w:p w14:paraId="505B72AD" w14:textId="77777777" w:rsidR="004579F5" w:rsidRDefault="004579F5" w:rsidP="00A37EBB">
      <w:pPr>
        <w:spacing w:line="360" w:lineRule="auto"/>
        <w:jc w:val="center"/>
        <w:rPr>
          <w:rStyle w:val="Strong"/>
        </w:rPr>
      </w:pPr>
    </w:p>
    <w:p w14:paraId="1F9FA48C" w14:textId="2C0BCA94" w:rsidR="00A37EBB" w:rsidRPr="00A37EBB" w:rsidRDefault="00A37EBB" w:rsidP="0098004B">
      <w:pPr>
        <w:spacing w:line="360" w:lineRule="auto"/>
        <w:jc w:val="center"/>
        <w:rPr>
          <w:rFonts w:ascii="Times New Roman" w:hAnsi="Times New Roman" w:cs="Times New Roman"/>
          <w:sz w:val="24"/>
          <w:szCs w:val="24"/>
          <w:shd w:val="clear" w:color="auto" w:fill="FFFFFF"/>
        </w:rPr>
      </w:pPr>
      <w:r w:rsidRPr="00A37EBB">
        <w:rPr>
          <w:rStyle w:val="Strong"/>
          <w:rFonts w:ascii="Times New Roman" w:hAnsi="Times New Roman" w:cs="Times New Roman"/>
          <w:sz w:val="24"/>
          <w:szCs w:val="24"/>
          <w:shd w:val="clear" w:color="auto" w:fill="FFFFFF"/>
        </w:rPr>
        <w:t>Table A.4.</w:t>
      </w:r>
      <w:r w:rsidRPr="00A37EBB">
        <w:rPr>
          <w:rFonts w:ascii="Times New Roman" w:hAnsi="Times New Roman" w:cs="Times New Roman"/>
          <w:sz w:val="24"/>
          <w:szCs w:val="24"/>
          <w:shd w:val="clear" w:color="auto" w:fill="FFFFFF"/>
        </w:rPr>
        <w:t> Component matrix derived from principal</w:t>
      </w:r>
      <w:r w:rsidRPr="00A37EBB">
        <w:rPr>
          <w:rFonts w:ascii="Times New Roman" w:hAnsi="Times New Roman" w:cs="Times New Roman"/>
          <w:sz w:val="24"/>
          <w:szCs w:val="24"/>
          <w:shd w:val="clear" w:color="auto" w:fill="FFFFFF"/>
        </w:rPr>
        <w:noBreakHyphen/>
        <w:t>component analysis</w:t>
      </w:r>
      <w:r w:rsidR="00934F72">
        <w:rPr>
          <w:rFonts w:ascii="Times New Roman" w:hAnsi="Times New Roman" w:cs="Times New Roman"/>
          <w:sz w:val="24"/>
          <w:szCs w:val="24"/>
          <w:shd w:val="clear" w:color="auto" w:fill="FFFFFF"/>
        </w:rPr>
        <w:t xml:space="preserve"> </w:t>
      </w:r>
      <w:r w:rsidR="00934F72" w:rsidRPr="00934F72">
        <w:rPr>
          <w:rFonts w:ascii="Times New Roman" w:hAnsi="Times New Roman" w:cs="Times New Roman"/>
          <w:sz w:val="24"/>
          <w:szCs w:val="24"/>
          <w:shd w:val="clear" w:color="auto" w:fill="FFFFFF"/>
        </w:rPr>
        <w:t xml:space="preserve">of the 13-item </w:t>
      </w:r>
      <w:r w:rsidR="004579F5" w:rsidRPr="00A37EBB">
        <w:rPr>
          <w:rFonts w:ascii="Times New Roman" w:hAnsi="Times New Roman" w:cs="Times New Roman"/>
          <w:sz w:val="24"/>
          <w:szCs w:val="24"/>
        </w:rPr>
        <w:t>perceived‑impact questionnaire.</w:t>
      </w:r>
    </w:p>
    <w:tbl>
      <w:tblPr>
        <w:tblStyle w:val="PlainTable2"/>
        <w:tblW w:w="0" w:type="auto"/>
        <w:jc w:val="center"/>
        <w:tblLook w:val="04A0" w:firstRow="1" w:lastRow="0" w:firstColumn="1" w:lastColumn="0" w:noHBand="0" w:noVBand="1"/>
      </w:tblPr>
      <w:tblGrid>
        <w:gridCol w:w="3055"/>
        <w:gridCol w:w="5765"/>
      </w:tblGrid>
      <w:tr w:rsidR="00A37EBB" w:rsidRPr="00A37EBB" w14:paraId="1963D13D" w14:textId="77777777" w:rsidTr="004A35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vMerge w:val="restart"/>
          </w:tcPr>
          <w:p w14:paraId="4A784BED" w14:textId="241145F2" w:rsidR="00A37EBB" w:rsidRPr="00A37EBB" w:rsidRDefault="00A37EBB" w:rsidP="00A37EBB">
            <w:pPr>
              <w:spacing w:line="360" w:lineRule="auto"/>
              <w:jc w:val="center"/>
              <w:rPr>
                <w:rStyle w:val="Strong"/>
                <w:rFonts w:ascii="Times New Roman" w:hAnsi="Times New Roman" w:cs="Times New Roman"/>
                <w:sz w:val="24"/>
                <w:szCs w:val="24"/>
                <w:shd w:val="clear" w:color="auto" w:fill="FFFFFF"/>
              </w:rPr>
            </w:pPr>
            <w:r w:rsidRPr="00A37EBB">
              <w:rPr>
                <w:rFonts w:ascii="Times New Roman" w:hAnsi="Times New Roman" w:cs="Times New Roman"/>
                <w:i/>
                <w:iCs/>
                <w:sz w:val="24"/>
                <w:szCs w:val="24"/>
              </w:rPr>
              <w:t xml:space="preserve">Component </w:t>
            </w:r>
            <w:proofErr w:type="spellStart"/>
            <w:r w:rsidRPr="00A37EBB">
              <w:rPr>
                <w:rFonts w:ascii="Times New Roman" w:hAnsi="Times New Roman" w:cs="Times New Roman"/>
                <w:i/>
                <w:iCs/>
                <w:sz w:val="24"/>
                <w:szCs w:val="24"/>
              </w:rPr>
              <w:t>Matrix</w:t>
            </w:r>
            <w:r w:rsidRPr="00A37EBB">
              <w:rPr>
                <w:rFonts w:ascii="Times New Roman" w:hAnsi="Times New Roman" w:cs="Times New Roman"/>
                <w:i/>
                <w:iCs/>
                <w:sz w:val="24"/>
                <w:szCs w:val="24"/>
                <w:vertAlign w:val="superscript"/>
              </w:rPr>
              <w:t>a</w:t>
            </w:r>
            <w:proofErr w:type="spellEnd"/>
            <w:r w:rsidR="00934F72">
              <w:rPr>
                <w:rFonts w:ascii="Times New Roman" w:hAnsi="Times New Roman" w:cs="Times New Roman"/>
                <w:i/>
                <w:iCs/>
                <w:sz w:val="24"/>
                <w:szCs w:val="24"/>
                <w:vertAlign w:val="superscript"/>
              </w:rPr>
              <w:t>*</w:t>
            </w:r>
          </w:p>
          <w:p w14:paraId="04059E5D" w14:textId="2ED2347C"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p>
        </w:tc>
        <w:tc>
          <w:tcPr>
            <w:tcW w:w="5765" w:type="dxa"/>
          </w:tcPr>
          <w:p w14:paraId="66991266" w14:textId="77777777" w:rsidR="00A37EBB" w:rsidRPr="00A37EBB" w:rsidRDefault="00A37EBB" w:rsidP="00A37EB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37EBB">
              <w:rPr>
                <w:rFonts w:ascii="Times New Roman" w:hAnsi="Times New Roman" w:cs="Times New Roman"/>
                <w:sz w:val="24"/>
                <w:szCs w:val="24"/>
              </w:rPr>
              <w:t>Component</w:t>
            </w:r>
          </w:p>
        </w:tc>
      </w:tr>
      <w:tr w:rsidR="00A37EBB" w:rsidRPr="00A37EBB" w14:paraId="3085766A"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vMerge/>
          </w:tcPr>
          <w:p w14:paraId="255EC024"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p>
        </w:tc>
        <w:tc>
          <w:tcPr>
            <w:tcW w:w="5765" w:type="dxa"/>
          </w:tcPr>
          <w:p w14:paraId="3EFDFAA6"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37EBB">
              <w:rPr>
                <w:rFonts w:ascii="Times New Roman" w:hAnsi="Times New Roman" w:cs="Times New Roman"/>
                <w:sz w:val="24"/>
                <w:szCs w:val="24"/>
              </w:rPr>
              <w:t>1</w:t>
            </w:r>
          </w:p>
        </w:tc>
      </w:tr>
      <w:tr w:rsidR="00A37EBB" w:rsidRPr="00A37EBB" w14:paraId="20520586"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0B1C9E9F"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Daily life</w:t>
            </w:r>
          </w:p>
        </w:tc>
        <w:tc>
          <w:tcPr>
            <w:tcW w:w="5765" w:type="dxa"/>
          </w:tcPr>
          <w:p w14:paraId="63FDF2A1"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0.753</w:t>
            </w:r>
          </w:p>
        </w:tc>
      </w:tr>
      <w:tr w:rsidR="00A37EBB" w:rsidRPr="00A37EBB" w14:paraId="48731B11"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05AAA2E6"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Physical health</w:t>
            </w:r>
          </w:p>
        </w:tc>
        <w:tc>
          <w:tcPr>
            <w:tcW w:w="5765" w:type="dxa"/>
          </w:tcPr>
          <w:p w14:paraId="7E381463"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0.699</w:t>
            </w:r>
          </w:p>
        </w:tc>
      </w:tr>
      <w:tr w:rsidR="00A37EBB" w:rsidRPr="00A37EBB" w14:paraId="582982C4"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02E233D2"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Mental health</w:t>
            </w:r>
          </w:p>
        </w:tc>
        <w:tc>
          <w:tcPr>
            <w:tcW w:w="5765" w:type="dxa"/>
          </w:tcPr>
          <w:p w14:paraId="3AEAAE32"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0.647</w:t>
            </w:r>
          </w:p>
        </w:tc>
      </w:tr>
      <w:tr w:rsidR="00A37EBB" w:rsidRPr="00A37EBB" w14:paraId="6C7AC7A3"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4B8A7870"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Children's schooling/education</w:t>
            </w:r>
          </w:p>
        </w:tc>
        <w:tc>
          <w:tcPr>
            <w:tcW w:w="5765" w:type="dxa"/>
          </w:tcPr>
          <w:p w14:paraId="1A3B355C"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0.619</w:t>
            </w:r>
          </w:p>
        </w:tc>
      </w:tr>
      <w:tr w:rsidR="00A37EBB" w:rsidRPr="00A37EBB" w14:paraId="52415B73"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3D49A16A"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Work/Job</w:t>
            </w:r>
          </w:p>
        </w:tc>
        <w:tc>
          <w:tcPr>
            <w:tcW w:w="5765" w:type="dxa"/>
          </w:tcPr>
          <w:p w14:paraId="4CC23A3F"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0.617</w:t>
            </w:r>
          </w:p>
        </w:tc>
      </w:tr>
      <w:tr w:rsidR="00A37EBB" w:rsidRPr="00A37EBB" w14:paraId="6F2207C9"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305E3F71"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lastRenderedPageBreak/>
              <w:t>Religious gathering</w:t>
            </w:r>
          </w:p>
        </w:tc>
        <w:tc>
          <w:tcPr>
            <w:tcW w:w="5765" w:type="dxa"/>
          </w:tcPr>
          <w:p w14:paraId="2AB4A4C6"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0.595</w:t>
            </w:r>
          </w:p>
        </w:tc>
      </w:tr>
      <w:tr w:rsidR="00A37EBB" w:rsidRPr="00A37EBB" w14:paraId="07D33387"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07918B48"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Local transportation</w:t>
            </w:r>
          </w:p>
        </w:tc>
        <w:tc>
          <w:tcPr>
            <w:tcW w:w="5765" w:type="dxa"/>
          </w:tcPr>
          <w:p w14:paraId="7598F3F0"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0.565</w:t>
            </w:r>
          </w:p>
        </w:tc>
      </w:tr>
      <w:tr w:rsidR="00A37EBB" w:rsidRPr="00A37EBB" w14:paraId="20CAF9F0"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4C6C86E7"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Energy supply</w:t>
            </w:r>
          </w:p>
        </w:tc>
        <w:tc>
          <w:tcPr>
            <w:tcW w:w="5765" w:type="dxa"/>
          </w:tcPr>
          <w:p w14:paraId="7A8022FB"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0.558</w:t>
            </w:r>
          </w:p>
        </w:tc>
      </w:tr>
      <w:tr w:rsidR="00A37EBB" w:rsidRPr="00A37EBB" w14:paraId="746B7951"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25E31E51"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Drinking water supply</w:t>
            </w:r>
          </w:p>
        </w:tc>
        <w:tc>
          <w:tcPr>
            <w:tcW w:w="5765" w:type="dxa"/>
          </w:tcPr>
          <w:p w14:paraId="150ED0C3"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0.535</w:t>
            </w:r>
          </w:p>
        </w:tc>
      </w:tr>
      <w:tr w:rsidR="00A37EBB" w:rsidRPr="00A37EBB" w14:paraId="544228D0"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5A1A0645"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Food supply</w:t>
            </w:r>
          </w:p>
        </w:tc>
        <w:tc>
          <w:tcPr>
            <w:tcW w:w="5765" w:type="dxa"/>
          </w:tcPr>
          <w:p w14:paraId="336F69FF"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0.504</w:t>
            </w:r>
          </w:p>
        </w:tc>
      </w:tr>
      <w:tr w:rsidR="00A37EBB" w:rsidRPr="00A37EBB" w14:paraId="536CA4B7"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092490DA"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Damage to the house</w:t>
            </w:r>
          </w:p>
        </w:tc>
        <w:tc>
          <w:tcPr>
            <w:tcW w:w="5765" w:type="dxa"/>
          </w:tcPr>
          <w:p w14:paraId="5AD5B424"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0.502</w:t>
            </w:r>
          </w:p>
        </w:tc>
      </w:tr>
      <w:tr w:rsidR="00A37EBB" w:rsidRPr="00A37EBB" w14:paraId="716C870E"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5" w:type="dxa"/>
          </w:tcPr>
          <w:p w14:paraId="09F7DFF1" w14:textId="77777777" w:rsidR="00A37EBB" w:rsidRPr="00A37EBB" w:rsidRDefault="00A37EBB" w:rsidP="00A37EBB">
            <w:pPr>
              <w:spacing w:line="360" w:lineRule="auto"/>
              <w:jc w:val="center"/>
              <w:rPr>
                <w:rStyle w:val="Strong"/>
                <w:rFonts w:ascii="Times New Roman" w:hAnsi="Times New Roman" w:cs="Times New Roman"/>
                <w:b/>
                <w:bCs/>
                <w:sz w:val="24"/>
                <w:szCs w:val="24"/>
                <w:shd w:val="clear" w:color="auto" w:fill="FFFFFF"/>
              </w:rPr>
            </w:pPr>
            <w:r w:rsidRPr="00A37EBB">
              <w:rPr>
                <w:rFonts w:ascii="Times New Roman" w:hAnsi="Times New Roman" w:cs="Times New Roman"/>
                <w:b w:val="0"/>
                <w:bCs w:val="0"/>
                <w:sz w:val="24"/>
                <w:szCs w:val="24"/>
              </w:rPr>
              <w:t>Damage to farming land</w:t>
            </w:r>
          </w:p>
        </w:tc>
        <w:tc>
          <w:tcPr>
            <w:tcW w:w="5765" w:type="dxa"/>
          </w:tcPr>
          <w:p w14:paraId="0556E3C4" w14:textId="77777777" w:rsidR="00A37EBB" w:rsidRPr="00A37EBB" w:rsidRDefault="00A37EBB" w:rsidP="00A37EBB">
            <w:pPr>
              <w:spacing w:line="360" w:lineRule="auto"/>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0.458</w:t>
            </w:r>
          </w:p>
        </w:tc>
      </w:tr>
      <w:tr w:rsidR="00A37EBB" w:rsidRPr="00A37EBB" w14:paraId="07D9C4DA"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3055" w:type="dxa"/>
          </w:tcPr>
          <w:p w14:paraId="6B860E68" w14:textId="77777777" w:rsidR="00A37EBB" w:rsidRPr="00A37EBB" w:rsidRDefault="00A37EBB" w:rsidP="00A37EBB">
            <w:pPr>
              <w:spacing w:line="360" w:lineRule="auto"/>
              <w:jc w:val="center"/>
              <w:rPr>
                <w:rFonts w:ascii="Times New Roman" w:hAnsi="Times New Roman" w:cs="Times New Roman"/>
                <w:b w:val="0"/>
                <w:bCs w:val="0"/>
                <w:sz w:val="24"/>
                <w:szCs w:val="24"/>
              </w:rPr>
            </w:pPr>
            <w:r w:rsidRPr="00A37EBB">
              <w:rPr>
                <w:rFonts w:ascii="Times New Roman" w:hAnsi="Times New Roman" w:cs="Times New Roman"/>
                <w:b w:val="0"/>
                <w:bCs w:val="0"/>
                <w:sz w:val="24"/>
                <w:szCs w:val="24"/>
              </w:rPr>
              <w:t>Damage to non-farming land</w:t>
            </w:r>
          </w:p>
        </w:tc>
        <w:tc>
          <w:tcPr>
            <w:tcW w:w="5765" w:type="dxa"/>
          </w:tcPr>
          <w:p w14:paraId="10E3A265" w14:textId="77777777" w:rsidR="00A37EBB" w:rsidRPr="00A37EBB" w:rsidRDefault="00A37EBB" w:rsidP="00A37EBB">
            <w:pPr>
              <w:spacing w:line="360" w:lineRule="auto"/>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sz w:val="24"/>
                <w:szCs w:val="24"/>
                <w:shd w:val="clear" w:color="auto" w:fill="FFFFFF"/>
              </w:rPr>
            </w:pPr>
            <w:r w:rsidRPr="00A37EBB">
              <w:rPr>
                <w:rFonts w:ascii="Times New Roman" w:hAnsi="Times New Roman" w:cs="Times New Roman"/>
                <w:sz w:val="24"/>
                <w:szCs w:val="24"/>
              </w:rPr>
              <w:t>0.192</w:t>
            </w:r>
          </w:p>
        </w:tc>
      </w:tr>
      <w:tr w:rsidR="00A37EBB" w:rsidRPr="00A37EBB" w14:paraId="61CEC775" w14:textId="77777777" w:rsidTr="004A35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0" w:type="dxa"/>
            <w:gridSpan w:val="2"/>
          </w:tcPr>
          <w:p w14:paraId="48618F99" w14:textId="77777777" w:rsidR="00A37EBB" w:rsidRPr="00A37EBB" w:rsidRDefault="00A37EBB" w:rsidP="00A37EBB">
            <w:pPr>
              <w:spacing w:line="360" w:lineRule="auto"/>
              <w:jc w:val="center"/>
              <w:rPr>
                <w:rFonts w:ascii="Times New Roman" w:hAnsi="Times New Roman" w:cs="Times New Roman"/>
                <w:b w:val="0"/>
                <w:bCs w:val="0"/>
                <w:sz w:val="24"/>
                <w:szCs w:val="24"/>
              </w:rPr>
            </w:pPr>
            <w:r w:rsidRPr="00A37EBB">
              <w:rPr>
                <w:rFonts w:ascii="Times New Roman" w:hAnsi="Times New Roman" w:cs="Times New Roman"/>
                <w:b w:val="0"/>
                <w:bCs w:val="0"/>
                <w:sz w:val="24"/>
                <w:szCs w:val="24"/>
              </w:rPr>
              <w:t>Extraction Method: Principal Component Analysis.</w:t>
            </w:r>
          </w:p>
        </w:tc>
      </w:tr>
      <w:tr w:rsidR="00A37EBB" w:rsidRPr="00A37EBB" w14:paraId="6736A0A5" w14:textId="77777777" w:rsidTr="004A3591">
        <w:trPr>
          <w:jc w:val="center"/>
        </w:trPr>
        <w:tc>
          <w:tcPr>
            <w:cnfStyle w:val="001000000000" w:firstRow="0" w:lastRow="0" w:firstColumn="1" w:lastColumn="0" w:oddVBand="0" w:evenVBand="0" w:oddHBand="0" w:evenHBand="0" w:firstRowFirstColumn="0" w:firstRowLastColumn="0" w:lastRowFirstColumn="0" w:lastRowLastColumn="0"/>
            <w:tcW w:w="8820" w:type="dxa"/>
            <w:gridSpan w:val="2"/>
          </w:tcPr>
          <w:p w14:paraId="54C6BC67" w14:textId="77777777" w:rsidR="00A37EBB" w:rsidRPr="00A37EBB" w:rsidRDefault="00A37EBB" w:rsidP="00A37EBB">
            <w:pPr>
              <w:spacing w:line="360" w:lineRule="auto"/>
              <w:jc w:val="center"/>
              <w:rPr>
                <w:rFonts w:ascii="Times New Roman" w:hAnsi="Times New Roman" w:cs="Times New Roman"/>
                <w:b w:val="0"/>
                <w:bCs w:val="0"/>
                <w:sz w:val="24"/>
                <w:szCs w:val="24"/>
              </w:rPr>
            </w:pPr>
            <w:r w:rsidRPr="00A37EBB">
              <w:rPr>
                <w:rFonts w:ascii="Times New Roman" w:hAnsi="Times New Roman" w:cs="Times New Roman"/>
                <w:b w:val="0"/>
                <w:bCs w:val="0"/>
                <w:sz w:val="24"/>
                <w:szCs w:val="24"/>
              </w:rPr>
              <w:t>a. 1 components extracted.</w:t>
            </w:r>
          </w:p>
        </w:tc>
      </w:tr>
    </w:tbl>
    <w:p w14:paraId="35BDC2FE" w14:textId="6089C26E" w:rsidR="00A37EBB" w:rsidRPr="00934F72" w:rsidRDefault="00934F72" w:rsidP="00934F72">
      <w:pPr>
        <w:spacing w:line="360" w:lineRule="auto"/>
        <w:jc w:val="both"/>
        <w:rPr>
          <w:rStyle w:val="Strong"/>
          <w:rFonts w:ascii="Times New Roman" w:hAnsi="Times New Roman" w:cs="Times New Roman"/>
          <w:b w:val="0"/>
          <w:bCs w:val="0"/>
          <w:sz w:val="24"/>
          <w:szCs w:val="24"/>
          <w:shd w:val="clear" w:color="auto" w:fill="FFFFFF"/>
        </w:rPr>
      </w:pPr>
      <w:r w:rsidRPr="00934F72">
        <w:rPr>
          <w:rStyle w:val="Strong"/>
          <w:rFonts w:ascii="Times New Roman" w:hAnsi="Times New Roman" w:cs="Times New Roman"/>
          <w:b w:val="0"/>
          <w:bCs w:val="0"/>
          <w:sz w:val="24"/>
          <w:szCs w:val="24"/>
          <w:shd w:val="clear" w:color="auto" w:fill="FFFFFF"/>
        </w:rPr>
        <w:t xml:space="preserve">Note: </w:t>
      </w:r>
      <w:r w:rsidRPr="00934F72">
        <w:rPr>
          <w:rStyle w:val="Strong"/>
          <w:rFonts w:ascii="Times New Roman" w:hAnsi="Times New Roman" w:cs="Times New Roman"/>
          <w:b w:val="0"/>
          <w:bCs w:val="0"/>
          <w:sz w:val="24"/>
          <w:szCs w:val="24"/>
          <w:shd w:val="clear" w:color="auto" w:fill="FFFFFF"/>
          <w:vertAlign w:val="superscript"/>
        </w:rPr>
        <w:t>a*</w:t>
      </w:r>
      <w:r w:rsidRPr="00934F72">
        <w:rPr>
          <w:rStyle w:val="Strong"/>
          <w:rFonts w:ascii="Times New Roman" w:hAnsi="Times New Roman" w:cs="Times New Roman"/>
          <w:b w:val="0"/>
          <w:bCs w:val="0"/>
          <w:sz w:val="24"/>
          <w:szCs w:val="24"/>
          <w:shd w:val="clear" w:color="auto" w:fill="FFFFFF"/>
        </w:rPr>
        <w:t xml:space="preserve"> </w:t>
      </w:r>
      <w:r w:rsidRPr="00934F72">
        <w:rPr>
          <w:rFonts w:ascii="Times New Roman" w:hAnsi="Times New Roman" w:cs="Times New Roman"/>
          <w:sz w:val="24"/>
          <w:szCs w:val="24"/>
        </w:rPr>
        <w:t>The principal component analysis yielded a single extracted component. Consequently, all factor loadings presented in the table reflect the contribution of each item to this singular underlying latent construct</w:t>
      </w:r>
      <w:r>
        <w:rPr>
          <w:rFonts w:ascii="Times New Roman" w:hAnsi="Times New Roman" w:cs="Times New Roman"/>
          <w:sz w:val="24"/>
          <w:szCs w:val="24"/>
        </w:rPr>
        <w:t>.</w:t>
      </w:r>
    </w:p>
    <w:sectPr w:rsidR="00A37EBB" w:rsidRPr="00934F72" w:rsidSect="004A3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BB"/>
    <w:rsid w:val="000C1FA4"/>
    <w:rsid w:val="001F14DA"/>
    <w:rsid w:val="002B1BC4"/>
    <w:rsid w:val="003A5D00"/>
    <w:rsid w:val="003A5EAF"/>
    <w:rsid w:val="004579F5"/>
    <w:rsid w:val="004A3591"/>
    <w:rsid w:val="005A7974"/>
    <w:rsid w:val="00644A9D"/>
    <w:rsid w:val="00934F72"/>
    <w:rsid w:val="0098004B"/>
    <w:rsid w:val="009F5E3A"/>
    <w:rsid w:val="00A37EBB"/>
    <w:rsid w:val="00A61C44"/>
    <w:rsid w:val="00B013D5"/>
    <w:rsid w:val="00FC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0DDE"/>
  <w15:chartTrackingRefBased/>
  <w15:docId w15:val="{7A65C66B-BD08-4791-ACE8-5D78CEB0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E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7EBB"/>
    <w:rPr>
      <w:b/>
      <w:bCs/>
    </w:rPr>
  </w:style>
  <w:style w:type="table" w:styleId="PlainTable2">
    <w:name w:val="Plain Table 2"/>
    <w:basedOn w:val="TableNormal"/>
    <w:uiPriority w:val="42"/>
    <w:rsid w:val="00A37E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A37EBB"/>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98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Aaliya Aaliya</dc:creator>
  <cp:keywords/>
  <dc:description/>
  <cp:lastModifiedBy>Aaliya Aaliya</cp:lastModifiedBy>
  <cp:revision>8</cp:revision>
  <dcterms:created xsi:type="dcterms:W3CDTF">2026-03-18T16:02:00Z</dcterms:created>
  <dcterms:modified xsi:type="dcterms:W3CDTF">2026-03-18T16:46:00Z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ccad142c-e1bd-4f2e-a5df-9cfe7c9eb88c</vt:lpwstr>
  </property>
</Properties>
</file>