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D808" w14:textId="334A6701" w:rsidR="00F125EE" w:rsidRPr="00DC623A" w:rsidRDefault="00F125EE" w:rsidP="009A670E">
      <w:pPr>
        <w:jc w:val="center"/>
        <w:rPr>
          <w:rFonts w:ascii="Arial" w:hAnsi="Arial" w:cs="Arial"/>
          <w:sz w:val="20"/>
        </w:rPr>
      </w:pPr>
    </w:p>
    <w:p w14:paraId="46F72BDF" w14:textId="5BB644BA" w:rsidR="00B16F99" w:rsidRPr="00DC623A" w:rsidRDefault="00B16F99" w:rsidP="00B16F99">
      <w:pPr>
        <w:rPr>
          <w:rFonts w:ascii="Arial" w:hAnsi="Arial" w:cs="Arial"/>
          <w:b/>
          <w:sz w:val="28"/>
          <w:szCs w:val="28"/>
        </w:rPr>
      </w:pPr>
      <w:r w:rsidRPr="00DC623A">
        <w:rPr>
          <w:rFonts w:ascii="Arial" w:hAnsi="Arial" w:cs="Arial"/>
          <w:b/>
          <w:sz w:val="28"/>
          <w:szCs w:val="28"/>
        </w:rPr>
        <w:t>Supp</w:t>
      </w:r>
      <w:r w:rsidR="00B73A1C">
        <w:rPr>
          <w:rFonts w:ascii="Arial" w:hAnsi="Arial" w:cs="Arial"/>
          <w:b/>
          <w:sz w:val="28"/>
          <w:szCs w:val="28"/>
        </w:rPr>
        <w:t>orting</w:t>
      </w:r>
      <w:r w:rsidRPr="00DC623A">
        <w:rPr>
          <w:rFonts w:ascii="Arial" w:hAnsi="Arial" w:cs="Arial"/>
          <w:b/>
          <w:sz w:val="28"/>
          <w:szCs w:val="28"/>
        </w:rPr>
        <w:t xml:space="preserve"> Information for</w:t>
      </w:r>
    </w:p>
    <w:p w14:paraId="773A15B7" w14:textId="41332AC8" w:rsidR="00015F74" w:rsidRPr="00DC623A" w:rsidRDefault="00AF3786" w:rsidP="007B5946">
      <w:pPr>
        <w:rPr>
          <w:rFonts w:ascii="Arial" w:hAnsi="Arial" w:cs="Arial"/>
          <w:sz w:val="20"/>
        </w:rPr>
      </w:pPr>
      <w:r w:rsidRPr="00AF3786">
        <w:rPr>
          <w:rFonts w:ascii="Arial" w:hAnsi="Arial" w:cs="Arial"/>
          <w:sz w:val="28"/>
          <w:szCs w:val="28"/>
        </w:rPr>
        <w:t>Machine Theory of Mind and How Large Language Models Mimic Human Mind Perception but Mask Representational Divergence</w:t>
      </w:r>
    </w:p>
    <w:p w14:paraId="6985025A" w14:textId="77777777" w:rsidR="00B16F99" w:rsidRPr="00DC623A" w:rsidRDefault="00B16F99" w:rsidP="007B5946">
      <w:pPr>
        <w:rPr>
          <w:rFonts w:ascii="Arial" w:hAnsi="Arial" w:cs="Arial"/>
          <w:sz w:val="20"/>
        </w:rPr>
      </w:pPr>
    </w:p>
    <w:p w14:paraId="41FAE993" w14:textId="77777777" w:rsidR="002C030F" w:rsidRPr="00DC623A" w:rsidRDefault="002C030F">
      <w:pPr>
        <w:rPr>
          <w:rFonts w:ascii="Arial" w:hAnsi="Arial" w:cs="Arial"/>
          <w:sz w:val="20"/>
        </w:rPr>
      </w:pPr>
      <w:bookmarkStart w:id="0" w:name="_GoBack"/>
      <w:bookmarkEnd w:id="0"/>
    </w:p>
    <w:p w14:paraId="51DF9633" w14:textId="77777777" w:rsidR="00015F74" w:rsidRPr="00DC623A" w:rsidRDefault="00015F74">
      <w:pPr>
        <w:rPr>
          <w:rFonts w:ascii="Arial" w:hAnsi="Arial" w:cs="Arial"/>
          <w:b/>
          <w:sz w:val="20"/>
        </w:rPr>
      </w:pPr>
    </w:p>
    <w:p w14:paraId="09920EA7" w14:textId="77777777" w:rsidR="002C030F" w:rsidRPr="00DC623A" w:rsidRDefault="009743A9">
      <w:pPr>
        <w:rPr>
          <w:rFonts w:ascii="Arial" w:hAnsi="Arial" w:cs="Arial"/>
          <w:b/>
          <w:sz w:val="20"/>
        </w:rPr>
      </w:pPr>
      <w:r w:rsidRPr="00DC623A">
        <w:rPr>
          <w:rFonts w:ascii="Arial" w:hAnsi="Arial" w:cs="Arial"/>
          <w:b/>
          <w:sz w:val="20"/>
        </w:rPr>
        <w:t xml:space="preserve">This PDF file </w:t>
      </w:r>
      <w:r w:rsidR="002C030F" w:rsidRPr="00DC623A">
        <w:rPr>
          <w:rFonts w:ascii="Arial" w:hAnsi="Arial" w:cs="Arial"/>
          <w:b/>
          <w:sz w:val="20"/>
        </w:rPr>
        <w:t>includes:</w:t>
      </w:r>
    </w:p>
    <w:p w14:paraId="4348D444" w14:textId="77777777" w:rsidR="002C030F" w:rsidRPr="00DC623A" w:rsidRDefault="002C030F">
      <w:pPr>
        <w:rPr>
          <w:rFonts w:ascii="Arial" w:hAnsi="Arial" w:cs="Arial"/>
          <w:sz w:val="20"/>
        </w:rPr>
      </w:pPr>
    </w:p>
    <w:p w14:paraId="5C040600" w14:textId="424843AA" w:rsidR="002C030F" w:rsidRPr="00DC623A" w:rsidRDefault="00B73A1C" w:rsidP="00262D72">
      <w:pPr>
        <w:ind w:left="720"/>
        <w:rPr>
          <w:rFonts w:ascii="Arial" w:hAnsi="Arial" w:cs="Arial"/>
          <w:sz w:val="20"/>
        </w:rPr>
      </w:pPr>
      <w:r>
        <w:rPr>
          <w:rFonts w:ascii="Arial" w:hAnsi="Arial" w:cs="Arial"/>
          <w:sz w:val="20"/>
        </w:rPr>
        <w:t>Supporting</w:t>
      </w:r>
      <w:r w:rsidR="007B5946" w:rsidRPr="00DC623A">
        <w:rPr>
          <w:rFonts w:ascii="Arial" w:hAnsi="Arial" w:cs="Arial"/>
          <w:sz w:val="20"/>
        </w:rPr>
        <w:t xml:space="preserve"> </w:t>
      </w:r>
      <w:r w:rsidR="00D346C2" w:rsidRPr="00DC623A">
        <w:rPr>
          <w:rFonts w:ascii="Arial" w:hAnsi="Arial" w:cs="Arial"/>
          <w:sz w:val="20"/>
        </w:rPr>
        <w:t>t</w:t>
      </w:r>
      <w:r w:rsidR="002C030F" w:rsidRPr="00DC623A">
        <w:rPr>
          <w:rFonts w:ascii="Arial" w:hAnsi="Arial" w:cs="Arial"/>
          <w:sz w:val="20"/>
        </w:rPr>
        <w:t>ext</w:t>
      </w:r>
    </w:p>
    <w:p w14:paraId="21670AEA" w14:textId="6E372882" w:rsidR="002C030F" w:rsidRDefault="00DA59EA" w:rsidP="00262D72">
      <w:pPr>
        <w:ind w:left="720"/>
        <w:rPr>
          <w:rFonts w:ascii="Arial" w:hAnsi="Arial" w:cs="Arial"/>
          <w:sz w:val="20"/>
        </w:rPr>
      </w:pPr>
      <w:r w:rsidRPr="00DC623A">
        <w:rPr>
          <w:rFonts w:ascii="Arial" w:hAnsi="Arial" w:cs="Arial"/>
          <w:sz w:val="20"/>
        </w:rPr>
        <w:t>Figures</w:t>
      </w:r>
      <w:r w:rsidR="00A3403B" w:rsidRPr="00DC623A">
        <w:rPr>
          <w:rFonts w:ascii="Arial" w:hAnsi="Arial" w:cs="Arial"/>
          <w:sz w:val="20"/>
        </w:rPr>
        <w:t xml:space="preserve"> </w:t>
      </w:r>
      <w:r w:rsidR="002C030F" w:rsidRPr="00DC623A">
        <w:rPr>
          <w:rFonts w:ascii="Arial" w:hAnsi="Arial" w:cs="Arial"/>
          <w:sz w:val="20"/>
        </w:rPr>
        <w:t>S1</w:t>
      </w:r>
      <w:r w:rsidR="00A3403B" w:rsidRPr="00DC623A">
        <w:rPr>
          <w:rFonts w:ascii="Arial" w:hAnsi="Arial" w:cs="Arial"/>
          <w:sz w:val="20"/>
        </w:rPr>
        <w:t xml:space="preserve"> to </w:t>
      </w:r>
      <w:r w:rsidR="002C030F" w:rsidRPr="00DC623A">
        <w:rPr>
          <w:rFonts w:ascii="Arial" w:hAnsi="Arial" w:cs="Arial"/>
          <w:sz w:val="20"/>
        </w:rPr>
        <w:t>S</w:t>
      </w:r>
      <w:r w:rsidR="00AF3786">
        <w:rPr>
          <w:rFonts w:ascii="Arial" w:hAnsi="Arial" w:cs="Arial"/>
          <w:sz w:val="20"/>
        </w:rPr>
        <w:t>5</w:t>
      </w:r>
    </w:p>
    <w:p w14:paraId="5519F6D7" w14:textId="3A7B30CE" w:rsidR="00AF3786" w:rsidRPr="00DC623A" w:rsidRDefault="00AF3786" w:rsidP="00262D72">
      <w:pPr>
        <w:ind w:left="720"/>
        <w:rPr>
          <w:rFonts w:ascii="Arial" w:hAnsi="Arial" w:cs="Arial"/>
          <w:sz w:val="20"/>
        </w:rPr>
      </w:pPr>
      <w:r>
        <w:rPr>
          <w:rFonts w:ascii="Arial" w:hAnsi="Arial" w:cs="Arial"/>
          <w:sz w:val="20"/>
        </w:rPr>
        <w:t>Tables</w:t>
      </w:r>
      <w:r w:rsidR="00A76BDB">
        <w:rPr>
          <w:rFonts w:ascii="Arial" w:hAnsi="Arial" w:cs="Arial"/>
          <w:sz w:val="20"/>
        </w:rPr>
        <w:t xml:space="preserve"> S1 to S</w:t>
      </w:r>
      <w:r w:rsidR="00394D47">
        <w:rPr>
          <w:rFonts w:ascii="Arial" w:hAnsi="Arial" w:cs="Arial"/>
          <w:sz w:val="20"/>
        </w:rPr>
        <w:t>4</w:t>
      </w:r>
      <w:r>
        <w:rPr>
          <w:rFonts w:ascii="Arial" w:hAnsi="Arial" w:cs="Arial"/>
          <w:sz w:val="20"/>
        </w:rPr>
        <w:t xml:space="preserve"> </w:t>
      </w:r>
    </w:p>
    <w:p w14:paraId="77BBB45A" w14:textId="7B7DD38A" w:rsidR="001C0520" w:rsidRPr="00DC623A" w:rsidRDefault="00CF16C9" w:rsidP="00262D72">
      <w:pPr>
        <w:ind w:left="720"/>
        <w:rPr>
          <w:rFonts w:ascii="Arial" w:hAnsi="Arial" w:cs="Arial"/>
          <w:sz w:val="20"/>
        </w:rPr>
      </w:pPr>
      <w:r w:rsidRPr="00DC623A">
        <w:rPr>
          <w:rFonts w:ascii="Arial" w:hAnsi="Arial" w:cs="Arial"/>
          <w:sz w:val="20"/>
        </w:rPr>
        <w:t xml:space="preserve">SI </w:t>
      </w:r>
      <w:r w:rsidR="001C0520" w:rsidRPr="00DC623A">
        <w:rPr>
          <w:rFonts w:ascii="Arial" w:hAnsi="Arial" w:cs="Arial"/>
          <w:sz w:val="20"/>
        </w:rPr>
        <w:t xml:space="preserve">References </w:t>
      </w:r>
    </w:p>
    <w:p w14:paraId="7702D235" w14:textId="77777777" w:rsidR="002C030F" w:rsidRPr="00DC623A" w:rsidRDefault="002C030F">
      <w:pPr>
        <w:rPr>
          <w:rFonts w:ascii="Arial" w:hAnsi="Arial" w:cs="Arial"/>
          <w:sz w:val="20"/>
        </w:rPr>
      </w:pPr>
    </w:p>
    <w:p w14:paraId="547ABAA7" w14:textId="77777777" w:rsidR="00943C3C" w:rsidRPr="00DC623A" w:rsidRDefault="00015F74" w:rsidP="00017C53">
      <w:pPr>
        <w:ind w:left="720"/>
        <w:rPr>
          <w:rFonts w:ascii="Arial" w:hAnsi="Arial" w:cs="Arial"/>
          <w:sz w:val="20"/>
        </w:rPr>
      </w:pPr>
      <w:r w:rsidRPr="00DC623A">
        <w:rPr>
          <w:rFonts w:ascii="Arial" w:hAnsi="Arial" w:cs="Arial"/>
          <w:sz w:val="20"/>
        </w:rPr>
        <w:br/>
      </w:r>
    </w:p>
    <w:p w14:paraId="62CB8284" w14:textId="5534E68C" w:rsidR="00355362" w:rsidRPr="00DC623A" w:rsidRDefault="00355362" w:rsidP="00D269AB">
      <w:pPr>
        <w:pStyle w:val="SMHeading"/>
        <w:rPr>
          <w:rFonts w:ascii="Arial" w:hAnsi="Arial" w:cs="Arial"/>
          <w:sz w:val="20"/>
          <w:szCs w:val="20"/>
        </w:rPr>
      </w:pPr>
      <w:bookmarkStart w:id="1" w:name="Tables"/>
      <w:bookmarkStart w:id="2" w:name="MaterialsMethods"/>
      <w:bookmarkEnd w:id="1"/>
      <w:bookmarkEnd w:id="2"/>
    </w:p>
    <w:p w14:paraId="697D767A" w14:textId="77777777" w:rsidR="00CF16C9" w:rsidRPr="00DC623A" w:rsidRDefault="00CF16C9" w:rsidP="00D269AB">
      <w:pPr>
        <w:pStyle w:val="SMHeading"/>
        <w:rPr>
          <w:rFonts w:ascii="Arial" w:hAnsi="Arial" w:cs="Arial"/>
          <w:sz w:val="20"/>
          <w:szCs w:val="20"/>
        </w:rPr>
      </w:pPr>
    </w:p>
    <w:p w14:paraId="345AECF4" w14:textId="77777777" w:rsidR="009A5287" w:rsidRPr="00DC623A" w:rsidRDefault="009A5287" w:rsidP="009A5287">
      <w:pPr>
        <w:pStyle w:val="SMText"/>
        <w:ind w:firstLine="0"/>
        <w:rPr>
          <w:rFonts w:ascii="Arial" w:hAnsi="Arial" w:cs="Arial"/>
          <w:sz w:val="20"/>
        </w:rPr>
      </w:pPr>
    </w:p>
    <w:p w14:paraId="1A62E49D" w14:textId="77777777" w:rsidR="00B73A1C" w:rsidRDefault="00B73A1C">
      <w:pPr>
        <w:rPr>
          <w:rFonts w:ascii="Arial" w:hAnsi="Arial" w:cs="Arial"/>
          <w:b/>
          <w:bCs/>
          <w:kern w:val="32"/>
          <w:sz w:val="20"/>
        </w:rPr>
      </w:pPr>
      <w:r>
        <w:rPr>
          <w:rFonts w:ascii="Arial" w:hAnsi="Arial" w:cs="Arial"/>
          <w:sz w:val="20"/>
        </w:rPr>
        <w:br w:type="page"/>
      </w:r>
    </w:p>
    <w:p w14:paraId="43AC7D05" w14:textId="77777777" w:rsidR="00AF3786" w:rsidRPr="00AF3786" w:rsidRDefault="00AF3786" w:rsidP="00AF3786">
      <w:pPr>
        <w:spacing w:line="360" w:lineRule="auto"/>
        <w:contextualSpacing/>
        <w:jc w:val="both"/>
        <w:outlineLvl w:val="2"/>
        <w:rPr>
          <w:rFonts w:ascii="Arial" w:hAnsi="Arial" w:cs="Arial"/>
          <w:b/>
          <w:bCs/>
          <w:sz w:val="22"/>
        </w:rPr>
      </w:pPr>
      <w:r w:rsidRPr="00AF3786">
        <w:rPr>
          <w:rFonts w:ascii="Arial" w:hAnsi="Arial" w:cs="Arial"/>
          <w:b/>
          <w:bCs/>
          <w:sz w:val="22"/>
        </w:rPr>
        <w:lastRenderedPageBreak/>
        <w:t>SI1. Prompt universe and stimulus construction</w:t>
      </w:r>
    </w:p>
    <w:p w14:paraId="4B45123D"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To ensure full transparency and exact reproducibility, we specified the complete stimulus universe before any modeling. The prompt space was defined by crossing a fixed set of target entities with a fixed set of mental-capacity statements, yielding a closed and fully enumerated design. This procedure ensured that every inference in the paper is anchored to an explicit and immutable set of prompts rather than to ad hoc or dynamically generated queries.</w:t>
      </w:r>
    </w:p>
    <w:p w14:paraId="33D99DCE" w14:textId="4EFBE2A9"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The target-entity universe comprised 16 agents organized into five conceptual families: human, animal, machine, organization, and supernatural. This grouping was specified ex ante to support theoretically meaningful comparisons across qualitatively different kinds of entities, including biological individuals, artificial systems, collective actors, and metaphysical targets. The grouping structure was used as a descriptive and robustness scaffold, not as a post hoc recording device.</w:t>
      </w:r>
    </w:p>
    <w:p w14:paraId="3E87B40A" w14:textId="670DAAA5"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The statement universe comprised 65 items drawn from three established source domains (Gray, Malle S1, and Malle S2). Domain provenance was preserved for each item</w:t>
      </w:r>
      <w:r w:rsidR="00B65834">
        <w:rPr>
          <w:rFonts w:ascii="Arial" w:hAnsi="Arial" w:cs="Arial"/>
          <w:sz w:val="20"/>
        </w:rPr>
        <w:t>,</w:t>
      </w:r>
      <w:r w:rsidRPr="00AF3786">
        <w:rPr>
          <w:rFonts w:ascii="Arial" w:hAnsi="Arial" w:cs="Arial"/>
          <w:sz w:val="20"/>
        </w:rPr>
        <w:t xml:space="preserve"> </w:t>
      </w:r>
      <w:r w:rsidR="00B65834">
        <w:rPr>
          <w:rFonts w:ascii="Arial" w:hAnsi="Arial" w:cs="Arial"/>
          <w:sz w:val="20"/>
        </w:rPr>
        <w:t>enabling</w:t>
      </w:r>
      <w:r w:rsidRPr="00AF3786">
        <w:rPr>
          <w:rFonts w:ascii="Arial" w:hAnsi="Arial" w:cs="Arial"/>
          <w:sz w:val="20"/>
        </w:rPr>
        <w:t xml:space="preserve"> cross-framework correspondences </w:t>
      </w:r>
      <w:r w:rsidR="00B65834">
        <w:rPr>
          <w:rFonts w:ascii="Arial" w:hAnsi="Arial" w:cs="Arial"/>
          <w:sz w:val="20"/>
        </w:rPr>
        <w:t>to</w:t>
      </w:r>
      <w:r w:rsidRPr="00AF3786">
        <w:rPr>
          <w:rFonts w:ascii="Arial" w:hAnsi="Arial" w:cs="Arial"/>
          <w:sz w:val="20"/>
        </w:rPr>
        <w:t xml:space="preserve"> be inspected directly and robustness checks </w:t>
      </w:r>
      <w:r w:rsidR="00B65834">
        <w:rPr>
          <w:rFonts w:ascii="Arial" w:hAnsi="Arial" w:cs="Arial"/>
          <w:sz w:val="20"/>
        </w:rPr>
        <w:t>to</w:t>
      </w:r>
      <w:r w:rsidRPr="00AF3786">
        <w:rPr>
          <w:rFonts w:ascii="Arial" w:hAnsi="Arial" w:cs="Arial"/>
          <w:sz w:val="20"/>
        </w:rPr>
        <w:t xml:space="preserve"> be conducted within and across source traditions. Item wording was retained in its original validated form to preserve conceptual comparability with prior work and to avoid introducing researcher-driven lexical shifts.</w:t>
      </w:r>
    </w:p>
    <w:p w14:paraId="7712B30E"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All prompts were instantiated from a single canonical query frame that asked for truth evaluation on a bounded 0–7 agreement scale and constrained outputs to a single numeric response. The template wording was held constant across all prompts; only the statement content varied. Because the target entity was embedded in the statement itself, each prompt was semantically self-contained and required no additional contextual resolution at inference time.</w:t>
      </w:r>
    </w:p>
    <w:p w14:paraId="236C0E9B" w14:textId="6E5707E8"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Crossing 16 agents with 65 items produced 1,040 unique prompts. Each agent–item combination appeared exactly once in the master prompt universe, with no omissions and no duplicates. Prompt generation followed deterministic rules, so the same construction procedure always yields the same 1,040 prompts in the same structure. This design choice eliminates ambiguity about stimulus inclusion and </w:t>
      </w:r>
      <w:r w:rsidR="00B65834">
        <w:rPr>
          <w:rFonts w:ascii="Arial" w:hAnsi="Arial" w:cs="Arial"/>
          <w:sz w:val="20"/>
        </w:rPr>
        <w:t>enabl</w:t>
      </w:r>
      <w:r w:rsidRPr="00AF3786">
        <w:rPr>
          <w:rFonts w:ascii="Arial" w:hAnsi="Arial" w:cs="Arial"/>
          <w:sz w:val="20"/>
        </w:rPr>
        <w:t>es complete replay.</w:t>
      </w:r>
    </w:p>
    <w:p w14:paraId="03792728" w14:textId="21BAEA45"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For execution control, prompts were </w:t>
      </w:r>
      <w:r w:rsidR="00B65834">
        <w:rPr>
          <w:rFonts w:ascii="Arial" w:hAnsi="Arial" w:cs="Arial"/>
          <w:sz w:val="20"/>
        </w:rPr>
        <w:t>divid</w:t>
      </w:r>
      <w:r w:rsidRPr="00AF3786">
        <w:rPr>
          <w:rFonts w:ascii="Arial" w:hAnsi="Arial" w:cs="Arial"/>
          <w:sz w:val="20"/>
        </w:rPr>
        <w:t xml:space="preserve">ed into </w:t>
      </w:r>
      <w:r w:rsidR="00B65834">
        <w:rPr>
          <w:rFonts w:ascii="Arial" w:hAnsi="Arial" w:cs="Arial"/>
          <w:sz w:val="20"/>
        </w:rPr>
        <w:t>8</w:t>
      </w:r>
      <w:r w:rsidRPr="00AF3786">
        <w:rPr>
          <w:rFonts w:ascii="Arial" w:hAnsi="Arial" w:cs="Arial"/>
          <w:sz w:val="20"/>
        </w:rPr>
        <w:t xml:space="preserve"> equal blocks of 130 </w:t>
      </w:r>
      <w:r w:rsidR="00B65834">
        <w:rPr>
          <w:rFonts w:ascii="Arial" w:hAnsi="Arial" w:cs="Arial"/>
          <w:sz w:val="20"/>
        </w:rPr>
        <w:t>each</w:t>
      </w:r>
      <w:r w:rsidRPr="00AF3786">
        <w:rPr>
          <w:rFonts w:ascii="Arial" w:hAnsi="Arial" w:cs="Arial"/>
          <w:sz w:val="20"/>
        </w:rPr>
        <w:t>. Each block contained two full agent profiles crossed with the entire 65-item set, and item order within block was fixed. Blocking served operational batching and deterministic run control rather than substantive treatment variation. In other words, block assignment governed administration logistics, not theoretical content.</w:t>
      </w:r>
    </w:p>
    <w:p w14:paraId="59DFCAA6"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We conducted integrity checks on the full stimulus specification before analysis. These checks confirmed complete coverage of all predefined agents and items, one-to-one correspondence between intended and instantiated prompts, and absence of unresolved template placeholders. Together, these verifications establish that the empirical analyses rest on a fully auditable prompt universe with exact traceability from conceptual design to executable query text.</w:t>
      </w:r>
    </w:p>
    <w:p w14:paraId="796E2714"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lastRenderedPageBreak/>
        <w:t>Finally, this SI1 specification defines the invariant backbone of the study: a fixed stimulus lattice over which repeated judgments were collected. By separating stimulus construction from inferential modeling, the study preserves a clear boundary between design reproducibility and statistical uncertainty, which is essential for cumulative work on machine-attributed mental capacities.</w:t>
      </w:r>
    </w:p>
    <w:p w14:paraId="11DE363C" w14:textId="77777777" w:rsidR="00AF3786" w:rsidRPr="00AF3786" w:rsidRDefault="00AF3786" w:rsidP="00AF3786">
      <w:pPr>
        <w:spacing w:line="360" w:lineRule="auto"/>
        <w:ind w:firstLine="567"/>
        <w:contextualSpacing/>
        <w:jc w:val="both"/>
        <w:rPr>
          <w:rFonts w:ascii="Arial" w:hAnsi="Arial" w:cs="Arial"/>
          <w:sz w:val="20"/>
        </w:rPr>
      </w:pPr>
    </w:p>
    <w:p w14:paraId="14D35AF7" w14:textId="77777777" w:rsidR="00AF3786" w:rsidRPr="00AF3786" w:rsidRDefault="00AF3786" w:rsidP="00AF3786">
      <w:pPr>
        <w:spacing w:line="360" w:lineRule="auto"/>
        <w:contextualSpacing/>
        <w:outlineLvl w:val="2"/>
        <w:rPr>
          <w:rFonts w:ascii="Arial" w:hAnsi="Arial" w:cs="Arial"/>
          <w:b/>
          <w:bCs/>
          <w:sz w:val="22"/>
        </w:rPr>
      </w:pPr>
      <w:r w:rsidRPr="00AF3786">
        <w:rPr>
          <w:rFonts w:ascii="Arial" w:hAnsi="Arial" w:cs="Arial"/>
          <w:b/>
          <w:bCs/>
          <w:sz w:val="22"/>
        </w:rPr>
        <w:t>SI2. Inter-rater reliability and diagnostic checks</w:t>
      </w:r>
    </w:p>
    <w:p w14:paraId="0B556DEE"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To evaluate reliability, we treated the full scoring structure as a crossed matrix of 1,040 agent–item judgments, each judged 178 times, yielding 185,120 scalar ratings. The scale was fully observed, with no missing entries and no out-of-range values; all scores lay in the predefined interval ([0, 7]). The global mean score was 3.1786, with a pooled standard deviation of 3.0970, indicating both substantial dispersion and strong use of the full response scale.</w:t>
      </w:r>
    </w:p>
    <w:p w14:paraId="6766FFC7" w14:textId="03826DA0"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We estimated six </w:t>
      </w:r>
      <w:proofErr w:type="spellStart"/>
      <w:r w:rsidRPr="00AF3786">
        <w:rPr>
          <w:rFonts w:ascii="Arial" w:hAnsi="Arial" w:cs="Arial"/>
          <w:sz w:val="20"/>
        </w:rPr>
        <w:t>Shrout</w:t>
      </w:r>
      <w:proofErr w:type="spellEnd"/>
      <w:r w:rsidRPr="00AF3786">
        <w:rPr>
          <w:rFonts w:ascii="Arial" w:hAnsi="Arial" w:cs="Arial"/>
          <w:sz w:val="20"/>
        </w:rPr>
        <w:t>–Fleiss ICC forms</w:t>
      </w:r>
      <w:r w:rsidR="00B65834">
        <w:rPr>
          <w:rFonts w:ascii="Arial" w:hAnsi="Arial" w:cs="Arial"/>
          <w:sz w:val="20"/>
        </w:rPr>
        <w:t xml:space="preserve"> </w:t>
      </w:r>
      <w:r w:rsidR="00B65834">
        <w:rPr>
          <w:rFonts w:ascii="Arial" w:hAnsi="Arial" w:cs="Arial"/>
          <w:sz w:val="20"/>
        </w:rPr>
        <w:fldChar w:fldCharType="begin"/>
      </w:r>
      <w:r w:rsidR="00B65834">
        <w:rPr>
          <w:rFonts w:ascii="Arial" w:hAnsi="Arial" w:cs="Arial"/>
          <w:sz w:val="20"/>
        </w:rPr>
        <w:instrText xml:space="preserve"> ADDIN ZOTERO_ITEM CSL_CITATION {"citationID":"TSJdAstu","properties":{"formattedCitation":"(Shrout &amp; Fleiss, 1979)","plainCitation":"(Shrout &amp; Fleiss, 1979)","noteIndex":0},"citationItems":[{"id":398,"uris":["http://zotero.org/users/17689459/items/5VTWM7XA"],"itemData":{"id":398,"type":"article-journal","abstract":"Reliability coefficients often take the form of intraclass correlation coefficients. In this article, guidelines are given for choosing among 6 different forms of the intraclass correlation for reliability studies in which n targets are rated by k judges. Relevant to the choice of the coefficient are the appropriate statistical model for the reliability study and the applications to be made of the reliability results. Confidence intervals for each of the forms are reviewed. (23 ref) (PsycInfo Database Record (c) 2025 APA, all rights reserved)","container-title":"Psychological Bulletin","DOI":"10.1037/0033-2909.86.2.420","ISSN":"1939-1455","issue":"2","note":"publisher-place: US\npublisher: American Psychological Association","page":"420-428","source":"APA PsycNet","title":"Intraclass correlations: Uses in assessing rater reliability","title-short":"Intraclass correlations","volume":"86","author":[{"family":"Shrout","given":"Patrick E."},{"family":"Fleiss","given":"Joseph L."}],"issued":{"date-parts":[["1979"]]}}}],"schema":"https://github.com/citation-style-language/schema/raw/master/csl-citation.json"} </w:instrText>
      </w:r>
      <w:r w:rsidR="00B65834">
        <w:rPr>
          <w:rFonts w:ascii="Arial" w:hAnsi="Arial" w:cs="Arial"/>
          <w:sz w:val="20"/>
        </w:rPr>
        <w:fldChar w:fldCharType="separate"/>
      </w:r>
      <w:r w:rsidR="00B65834">
        <w:rPr>
          <w:rFonts w:ascii="Arial" w:hAnsi="Arial" w:cs="Arial"/>
          <w:noProof/>
          <w:sz w:val="20"/>
        </w:rPr>
        <w:t>(Shrout &amp; Fleiss, 1979)</w:t>
      </w:r>
      <w:r w:rsidR="00B65834">
        <w:rPr>
          <w:rFonts w:ascii="Arial" w:hAnsi="Arial" w:cs="Arial"/>
          <w:sz w:val="20"/>
        </w:rPr>
        <w:fldChar w:fldCharType="end"/>
      </w:r>
      <w:r w:rsidRPr="00AF3786">
        <w:rPr>
          <w:rFonts w:ascii="Arial" w:hAnsi="Arial" w:cs="Arial"/>
          <w:sz w:val="20"/>
        </w:rPr>
        <w:t xml:space="preserve"> to separate absolute agreement, random-effects consistency, and fixed-effects consistency, at both single-rater and average-rater levels. The full-sample ICCs are reported in Table </w:t>
      </w:r>
      <w:r w:rsidR="009F54D2">
        <w:rPr>
          <w:rFonts w:ascii="Arial" w:hAnsi="Arial" w:cs="Arial"/>
          <w:sz w:val="20"/>
        </w:rPr>
        <w:t>S</w:t>
      </w:r>
      <w:r w:rsidRPr="00AF3786">
        <w:rPr>
          <w:rFonts w:ascii="Arial" w:hAnsi="Arial" w:cs="Arial"/>
          <w:sz w:val="20"/>
        </w:rPr>
        <w:t xml:space="preserve">1. At the single-rater level, reliability was high for this type of semantic judgment task: </w:t>
      </w:r>
      <w:proofErr w:type="gramStart"/>
      <w:r w:rsidRPr="00AF3786">
        <w:rPr>
          <w:rFonts w:ascii="Arial" w:hAnsi="Arial" w:cs="Arial"/>
          <w:sz w:val="20"/>
        </w:rPr>
        <w:t>ICC(</w:t>
      </w:r>
      <w:proofErr w:type="gramEnd"/>
      <w:r w:rsidRPr="00AF3786">
        <w:rPr>
          <w:rFonts w:ascii="Arial" w:hAnsi="Arial" w:cs="Arial"/>
          <w:sz w:val="20"/>
        </w:rPr>
        <w:t>1) (=0.6659), ICC(2) (=0.6660), and ICC(3) (=0.6766), all with extremely large (F)-statistics and effectively zero (p)-values at machine precision. At the average-rater level, all coefficients were near ceiling (0.9972–0.9973), as expected when aggregating many replications.</w:t>
      </w:r>
    </w:p>
    <w:p w14:paraId="756F5799" w14:textId="77777777" w:rsidR="00AF3786" w:rsidRPr="00AF3786" w:rsidRDefault="00AF3786" w:rsidP="00AF3786">
      <w:pPr>
        <w:spacing w:line="360" w:lineRule="auto"/>
        <w:ind w:firstLine="567"/>
        <w:contextualSpacing/>
        <w:jc w:val="both"/>
        <w:rPr>
          <w:rFonts w:ascii="Arial" w:hAnsi="Arial" w:cs="Arial"/>
          <w:sz w:val="20"/>
        </w:rPr>
      </w:pPr>
    </w:p>
    <w:p w14:paraId="4B806E69" w14:textId="068F981C" w:rsidR="00AF3786" w:rsidRPr="00AF3786" w:rsidRDefault="00AF3786" w:rsidP="00AF3786">
      <w:pPr>
        <w:spacing w:line="360" w:lineRule="auto"/>
        <w:contextualSpacing/>
        <w:jc w:val="center"/>
        <w:rPr>
          <w:rFonts w:ascii="Arial" w:hAnsi="Arial" w:cs="Arial"/>
          <w:b/>
          <w:bCs/>
          <w:sz w:val="20"/>
        </w:rPr>
      </w:pPr>
      <w:r w:rsidRPr="00AF3786">
        <w:rPr>
          <w:rFonts w:ascii="Arial" w:hAnsi="Arial" w:cs="Arial"/>
          <w:b/>
          <w:bCs/>
          <w:sz w:val="20"/>
        </w:rPr>
        <w:t>Table S</w:t>
      </w:r>
      <w:r>
        <w:rPr>
          <w:rFonts w:ascii="Arial" w:hAnsi="Arial" w:cs="Arial"/>
          <w:b/>
          <w:bCs/>
          <w:sz w:val="20"/>
        </w:rPr>
        <w:t>1</w:t>
      </w:r>
      <w:r w:rsidRPr="00AF3786">
        <w:rPr>
          <w:rFonts w:ascii="Arial" w:hAnsi="Arial" w:cs="Arial"/>
          <w:b/>
          <w:bCs/>
          <w:sz w:val="20"/>
        </w:rPr>
        <w:t>. Full-sample ICCs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7"/>
        <w:gridCol w:w="1087"/>
        <w:gridCol w:w="1085"/>
        <w:gridCol w:w="674"/>
        <w:gridCol w:w="854"/>
        <w:gridCol w:w="2363"/>
      </w:tblGrid>
      <w:tr w:rsidR="00AF3786" w:rsidRPr="00AF3786" w14:paraId="10B8681F" w14:textId="77777777" w:rsidTr="00AF3786">
        <w:trPr>
          <w:tblHeader/>
          <w:tblCellSpacing w:w="15" w:type="dxa"/>
        </w:trPr>
        <w:tc>
          <w:tcPr>
            <w:tcW w:w="1466" w:type="pct"/>
            <w:tcBorders>
              <w:bottom w:val="double" w:sz="4" w:space="0" w:color="auto"/>
            </w:tcBorders>
            <w:vAlign w:val="center"/>
            <w:hideMark/>
          </w:tcPr>
          <w:p w14:paraId="1918864B" w14:textId="77777777" w:rsidR="00AF3786" w:rsidRPr="00AF3786" w:rsidRDefault="00AF3786" w:rsidP="00AF3786">
            <w:pPr>
              <w:contextualSpacing/>
              <w:jc w:val="both"/>
              <w:rPr>
                <w:rFonts w:ascii="Arial" w:hAnsi="Arial" w:cs="Arial"/>
                <w:b/>
                <w:bCs/>
                <w:sz w:val="20"/>
              </w:rPr>
            </w:pPr>
            <w:r w:rsidRPr="00AF3786">
              <w:rPr>
                <w:rFonts w:ascii="Arial" w:hAnsi="Arial" w:cs="Arial"/>
                <w:b/>
                <w:bCs/>
                <w:sz w:val="20"/>
              </w:rPr>
              <w:t>ICC form</w:t>
            </w:r>
          </w:p>
        </w:tc>
        <w:tc>
          <w:tcPr>
            <w:tcW w:w="613" w:type="pct"/>
            <w:tcBorders>
              <w:bottom w:val="double" w:sz="4" w:space="0" w:color="auto"/>
            </w:tcBorders>
            <w:vAlign w:val="center"/>
            <w:hideMark/>
          </w:tcPr>
          <w:p w14:paraId="5CE49E0C"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ICC</w:t>
            </w:r>
          </w:p>
        </w:tc>
        <w:tc>
          <w:tcPr>
            <w:tcW w:w="612" w:type="pct"/>
            <w:tcBorders>
              <w:bottom w:val="double" w:sz="4" w:space="0" w:color="auto"/>
            </w:tcBorders>
            <w:vAlign w:val="center"/>
            <w:hideMark/>
          </w:tcPr>
          <w:p w14:paraId="4990120B"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F</w:t>
            </w:r>
          </w:p>
        </w:tc>
        <w:tc>
          <w:tcPr>
            <w:tcW w:w="373" w:type="pct"/>
            <w:tcBorders>
              <w:bottom w:val="double" w:sz="4" w:space="0" w:color="auto"/>
            </w:tcBorders>
            <w:vAlign w:val="center"/>
            <w:hideMark/>
          </w:tcPr>
          <w:p w14:paraId="3711081D"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df1</w:t>
            </w:r>
          </w:p>
        </w:tc>
        <w:tc>
          <w:tcPr>
            <w:tcW w:w="478" w:type="pct"/>
            <w:tcBorders>
              <w:bottom w:val="double" w:sz="4" w:space="0" w:color="auto"/>
            </w:tcBorders>
            <w:vAlign w:val="center"/>
            <w:hideMark/>
          </w:tcPr>
          <w:p w14:paraId="23710B64"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df2</w:t>
            </w:r>
          </w:p>
        </w:tc>
        <w:tc>
          <w:tcPr>
            <w:tcW w:w="1343" w:type="pct"/>
            <w:tcBorders>
              <w:bottom w:val="double" w:sz="4" w:space="0" w:color="auto"/>
            </w:tcBorders>
            <w:vAlign w:val="center"/>
            <w:hideMark/>
          </w:tcPr>
          <w:p w14:paraId="42CEC06A"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95% CI</w:t>
            </w:r>
          </w:p>
        </w:tc>
      </w:tr>
      <w:tr w:rsidR="00AF3786" w:rsidRPr="00AF3786" w14:paraId="6E3F032F" w14:textId="77777777" w:rsidTr="00AF3786">
        <w:trPr>
          <w:tblCellSpacing w:w="15" w:type="dxa"/>
        </w:trPr>
        <w:tc>
          <w:tcPr>
            <w:tcW w:w="1466" w:type="pct"/>
            <w:vAlign w:val="center"/>
            <w:hideMark/>
          </w:tcPr>
          <w:p w14:paraId="0D7F16ED"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Single Raters Absolute </w:t>
            </w:r>
          </w:p>
          <w:p w14:paraId="5F9F3546" w14:textId="77777777" w:rsidR="00AF3786" w:rsidRPr="00AF3786" w:rsidRDefault="00AF3786" w:rsidP="00AF3786">
            <w:pPr>
              <w:contextualSpacing/>
              <w:jc w:val="both"/>
              <w:rPr>
                <w:rFonts w:ascii="Arial" w:hAnsi="Arial" w:cs="Arial"/>
                <w:sz w:val="20"/>
              </w:rPr>
            </w:pPr>
            <w:r w:rsidRPr="00AF3786">
              <w:rPr>
                <w:rFonts w:ascii="Arial" w:hAnsi="Arial" w:cs="Arial"/>
                <w:sz w:val="20"/>
              </w:rPr>
              <w:t>(ICC1)</w:t>
            </w:r>
          </w:p>
        </w:tc>
        <w:tc>
          <w:tcPr>
            <w:tcW w:w="613" w:type="pct"/>
            <w:vAlign w:val="center"/>
            <w:hideMark/>
          </w:tcPr>
          <w:p w14:paraId="79CB9A97"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0.665926</w:t>
            </w:r>
          </w:p>
        </w:tc>
        <w:tc>
          <w:tcPr>
            <w:tcW w:w="612" w:type="pct"/>
            <w:vAlign w:val="center"/>
            <w:hideMark/>
          </w:tcPr>
          <w:p w14:paraId="12F67CBB" w14:textId="77777777" w:rsidR="00AF3786" w:rsidRPr="00AF3786" w:rsidRDefault="00AF3786" w:rsidP="00AF3786">
            <w:pPr>
              <w:contextualSpacing/>
              <w:jc w:val="center"/>
              <w:rPr>
                <w:rFonts w:ascii="Arial" w:hAnsi="Arial" w:cs="Arial"/>
                <w:sz w:val="20"/>
              </w:rPr>
            </w:pPr>
            <w:r w:rsidRPr="00AF3786">
              <w:rPr>
                <w:rFonts w:ascii="Arial" w:hAnsi="Arial" w:cs="Arial"/>
                <w:sz w:val="20"/>
              </w:rPr>
              <w:t>355.8161</w:t>
            </w:r>
          </w:p>
        </w:tc>
        <w:tc>
          <w:tcPr>
            <w:tcW w:w="373" w:type="pct"/>
            <w:vAlign w:val="center"/>
            <w:hideMark/>
          </w:tcPr>
          <w:p w14:paraId="151BDEBD"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693CB31A"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184080</w:t>
            </w:r>
          </w:p>
        </w:tc>
        <w:tc>
          <w:tcPr>
            <w:tcW w:w="1343" w:type="pct"/>
            <w:vAlign w:val="center"/>
            <w:hideMark/>
          </w:tcPr>
          <w:p w14:paraId="58AFE05C"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[0.646835, 0.685290]</w:t>
            </w:r>
          </w:p>
        </w:tc>
      </w:tr>
      <w:tr w:rsidR="00AF3786" w:rsidRPr="00AF3786" w14:paraId="03517A35" w14:textId="77777777" w:rsidTr="00AF3786">
        <w:trPr>
          <w:tblCellSpacing w:w="15" w:type="dxa"/>
        </w:trPr>
        <w:tc>
          <w:tcPr>
            <w:tcW w:w="1466" w:type="pct"/>
            <w:vAlign w:val="center"/>
            <w:hideMark/>
          </w:tcPr>
          <w:p w14:paraId="026A1325"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Single Random Raters </w:t>
            </w:r>
          </w:p>
          <w:p w14:paraId="3A6D29AA" w14:textId="77777777" w:rsidR="00AF3786" w:rsidRPr="00AF3786" w:rsidRDefault="00AF3786" w:rsidP="00AF3786">
            <w:pPr>
              <w:contextualSpacing/>
              <w:jc w:val="both"/>
              <w:rPr>
                <w:rFonts w:ascii="Arial" w:hAnsi="Arial" w:cs="Arial"/>
                <w:sz w:val="20"/>
              </w:rPr>
            </w:pPr>
            <w:r w:rsidRPr="00AF3786">
              <w:rPr>
                <w:rFonts w:ascii="Arial" w:hAnsi="Arial" w:cs="Arial"/>
                <w:sz w:val="20"/>
              </w:rPr>
              <w:t>(ICC2)</w:t>
            </w:r>
          </w:p>
        </w:tc>
        <w:tc>
          <w:tcPr>
            <w:tcW w:w="613" w:type="pct"/>
            <w:vAlign w:val="center"/>
            <w:hideMark/>
          </w:tcPr>
          <w:p w14:paraId="08E43395"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0.665955</w:t>
            </w:r>
          </w:p>
        </w:tc>
        <w:tc>
          <w:tcPr>
            <w:tcW w:w="612" w:type="pct"/>
            <w:vAlign w:val="center"/>
            <w:hideMark/>
          </w:tcPr>
          <w:p w14:paraId="359B96EC" w14:textId="77777777" w:rsidR="00AF3786" w:rsidRPr="00AF3786" w:rsidRDefault="00AF3786" w:rsidP="00AF3786">
            <w:pPr>
              <w:contextualSpacing/>
              <w:jc w:val="center"/>
              <w:rPr>
                <w:rFonts w:ascii="Arial" w:hAnsi="Arial" w:cs="Arial"/>
                <w:sz w:val="20"/>
              </w:rPr>
            </w:pPr>
            <w:r w:rsidRPr="00AF3786">
              <w:rPr>
                <w:rFonts w:ascii="Arial" w:hAnsi="Arial" w:cs="Arial"/>
                <w:sz w:val="20"/>
              </w:rPr>
              <w:t>373.3924</w:t>
            </w:r>
          </w:p>
        </w:tc>
        <w:tc>
          <w:tcPr>
            <w:tcW w:w="373" w:type="pct"/>
            <w:vAlign w:val="center"/>
            <w:hideMark/>
          </w:tcPr>
          <w:p w14:paraId="2CF9B3A0"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026CDD71"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183903</w:t>
            </w:r>
          </w:p>
        </w:tc>
        <w:tc>
          <w:tcPr>
            <w:tcW w:w="1343" w:type="pct"/>
            <w:vAlign w:val="center"/>
            <w:hideMark/>
          </w:tcPr>
          <w:p w14:paraId="2577E323"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[0.646736, 0.685431]</w:t>
            </w:r>
          </w:p>
        </w:tc>
      </w:tr>
      <w:tr w:rsidR="00AF3786" w:rsidRPr="00AF3786" w14:paraId="26D6A405" w14:textId="77777777" w:rsidTr="00AF3786">
        <w:trPr>
          <w:tblCellSpacing w:w="15" w:type="dxa"/>
        </w:trPr>
        <w:tc>
          <w:tcPr>
            <w:tcW w:w="1466" w:type="pct"/>
            <w:vAlign w:val="center"/>
            <w:hideMark/>
          </w:tcPr>
          <w:p w14:paraId="67C9E81E"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Single Fixed Raters </w:t>
            </w:r>
          </w:p>
          <w:p w14:paraId="47DAAED3" w14:textId="77777777" w:rsidR="00AF3786" w:rsidRPr="00AF3786" w:rsidRDefault="00AF3786" w:rsidP="00AF3786">
            <w:pPr>
              <w:contextualSpacing/>
              <w:jc w:val="both"/>
              <w:rPr>
                <w:rFonts w:ascii="Arial" w:hAnsi="Arial" w:cs="Arial"/>
                <w:sz w:val="20"/>
              </w:rPr>
            </w:pPr>
            <w:r w:rsidRPr="00AF3786">
              <w:rPr>
                <w:rFonts w:ascii="Arial" w:hAnsi="Arial" w:cs="Arial"/>
                <w:sz w:val="20"/>
              </w:rPr>
              <w:t>(ICC3)</w:t>
            </w:r>
          </w:p>
        </w:tc>
        <w:tc>
          <w:tcPr>
            <w:tcW w:w="613" w:type="pct"/>
            <w:vAlign w:val="center"/>
            <w:hideMark/>
          </w:tcPr>
          <w:p w14:paraId="2B71C306"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0.676594</w:t>
            </w:r>
          </w:p>
        </w:tc>
        <w:tc>
          <w:tcPr>
            <w:tcW w:w="612" w:type="pct"/>
            <w:vAlign w:val="center"/>
            <w:hideMark/>
          </w:tcPr>
          <w:p w14:paraId="46538603" w14:textId="77777777" w:rsidR="00AF3786" w:rsidRPr="00AF3786" w:rsidRDefault="00AF3786" w:rsidP="00AF3786">
            <w:pPr>
              <w:contextualSpacing/>
              <w:jc w:val="center"/>
              <w:rPr>
                <w:rFonts w:ascii="Arial" w:hAnsi="Arial" w:cs="Arial"/>
                <w:sz w:val="20"/>
              </w:rPr>
            </w:pPr>
            <w:r w:rsidRPr="00AF3786">
              <w:rPr>
                <w:rFonts w:ascii="Arial" w:hAnsi="Arial" w:cs="Arial"/>
                <w:sz w:val="20"/>
              </w:rPr>
              <w:t>373.3924</w:t>
            </w:r>
          </w:p>
        </w:tc>
        <w:tc>
          <w:tcPr>
            <w:tcW w:w="373" w:type="pct"/>
            <w:vAlign w:val="center"/>
            <w:hideMark/>
          </w:tcPr>
          <w:p w14:paraId="0D48E9D9"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413FEB9F"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183903</w:t>
            </w:r>
          </w:p>
        </w:tc>
        <w:tc>
          <w:tcPr>
            <w:tcW w:w="1343" w:type="pct"/>
            <w:vAlign w:val="center"/>
            <w:hideMark/>
          </w:tcPr>
          <w:p w14:paraId="4C3EF8AB"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[0.657803, 0.695621]</w:t>
            </w:r>
          </w:p>
        </w:tc>
      </w:tr>
      <w:tr w:rsidR="00AF3786" w:rsidRPr="00AF3786" w14:paraId="5E1E7569" w14:textId="77777777" w:rsidTr="00AF3786">
        <w:trPr>
          <w:tblCellSpacing w:w="15" w:type="dxa"/>
        </w:trPr>
        <w:tc>
          <w:tcPr>
            <w:tcW w:w="1466" w:type="pct"/>
            <w:vAlign w:val="center"/>
            <w:hideMark/>
          </w:tcPr>
          <w:p w14:paraId="135F1CE0"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Average Raters Absolute </w:t>
            </w:r>
          </w:p>
          <w:p w14:paraId="42E374AC" w14:textId="77777777" w:rsidR="00AF3786" w:rsidRPr="00AF3786" w:rsidRDefault="00AF3786" w:rsidP="00AF3786">
            <w:pPr>
              <w:contextualSpacing/>
              <w:jc w:val="both"/>
              <w:rPr>
                <w:rFonts w:ascii="Arial" w:hAnsi="Arial" w:cs="Arial"/>
                <w:sz w:val="20"/>
              </w:rPr>
            </w:pPr>
            <w:r w:rsidRPr="00AF3786">
              <w:rPr>
                <w:rFonts w:ascii="Arial" w:hAnsi="Arial" w:cs="Arial"/>
                <w:sz w:val="20"/>
              </w:rPr>
              <w:t>(ICC1k)</w:t>
            </w:r>
          </w:p>
        </w:tc>
        <w:tc>
          <w:tcPr>
            <w:tcW w:w="613" w:type="pct"/>
            <w:vAlign w:val="center"/>
            <w:hideMark/>
          </w:tcPr>
          <w:p w14:paraId="2AFFC646"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0.997190</w:t>
            </w:r>
          </w:p>
        </w:tc>
        <w:tc>
          <w:tcPr>
            <w:tcW w:w="612" w:type="pct"/>
            <w:vAlign w:val="center"/>
            <w:hideMark/>
          </w:tcPr>
          <w:p w14:paraId="31663277" w14:textId="77777777" w:rsidR="00AF3786" w:rsidRPr="00AF3786" w:rsidRDefault="00AF3786" w:rsidP="00AF3786">
            <w:pPr>
              <w:contextualSpacing/>
              <w:jc w:val="center"/>
              <w:rPr>
                <w:rFonts w:ascii="Arial" w:hAnsi="Arial" w:cs="Arial"/>
                <w:sz w:val="20"/>
              </w:rPr>
            </w:pPr>
            <w:r w:rsidRPr="00AF3786">
              <w:rPr>
                <w:rFonts w:ascii="Arial" w:hAnsi="Arial" w:cs="Arial"/>
                <w:sz w:val="20"/>
              </w:rPr>
              <w:t>355.8161</w:t>
            </w:r>
          </w:p>
        </w:tc>
        <w:tc>
          <w:tcPr>
            <w:tcW w:w="373" w:type="pct"/>
            <w:vAlign w:val="center"/>
            <w:hideMark/>
          </w:tcPr>
          <w:p w14:paraId="38AABA33"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08B60E7F"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184080</w:t>
            </w:r>
          </w:p>
        </w:tc>
        <w:tc>
          <w:tcPr>
            <w:tcW w:w="1343" w:type="pct"/>
            <w:vAlign w:val="center"/>
            <w:hideMark/>
          </w:tcPr>
          <w:p w14:paraId="4B56DB0E"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[0.996942, 0.997427]</w:t>
            </w:r>
          </w:p>
        </w:tc>
      </w:tr>
      <w:tr w:rsidR="00AF3786" w:rsidRPr="00AF3786" w14:paraId="56A58A3D" w14:textId="77777777" w:rsidTr="00AF3786">
        <w:trPr>
          <w:tblCellSpacing w:w="15" w:type="dxa"/>
        </w:trPr>
        <w:tc>
          <w:tcPr>
            <w:tcW w:w="1466" w:type="pct"/>
            <w:vAlign w:val="center"/>
            <w:hideMark/>
          </w:tcPr>
          <w:p w14:paraId="518B285E"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Average Random Raters </w:t>
            </w:r>
          </w:p>
          <w:p w14:paraId="62987537" w14:textId="77777777" w:rsidR="00AF3786" w:rsidRPr="00AF3786" w:rsidRDefault="00AF3786" w:rsidP="00AF3786">
            <w:pPr>
              <w:contextualSpacing/>
              <w:jc w:val="both"/>
              <w:rPr>
                <w:rFonts w:ascii="Arial" w:hAnsi="Arial" w:cs="Arial"/>
                <w:sz w:val="20"/>
              </w:rPr>
            </w:pPr>
            <w:r w:rsidRPr="00AF3786">
              <w:rPr>
                <w:rFonts w:ascii="Arial" w:hAnsi="Arial" w:cs="Arial"/>
                <w:sz w:val="20"/>
              </w:rPr>
              <w:t>(ICC2k)</w:t>
            </w:r>
          </w:p>
        </w:tc>
        <w:tc>
          <w:tcPr>
            <w:tcW w:w="613" w:type="pct"/>
            <w:vAlign w:val="center"/>
            <w:hideMark/>
          </w:tcPr>
          <w:p w14:paraId="0DD59B5F"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0.997190</w:t>
            </w:r>
          </w:p>
        </w:tc>
        <w:tc>
          <w:tcPr>
            <w:tcW w:w="612" w:type="pct"/>
            <w:vAlign w:val="center"/>
            <w:hideMark/>
          </w:tcPr>
          <w:p w14:paraId="56B63D90" w14:textId="77777777" w:rsidR="00AF3786" w:rsidRPr="00AF3786" w:rsidRDefault="00AF3786" w:rsidP="00AF3786">
            <w:pPr>
              <w:contextualSpacing/>
              <w:jc w:val="center"/>
              <w:rPr>
                <w:rFonts w:ascii="Arial" w:hAnsi="Arial" w:cs="Arial"/>
                <w:sz w:val="20"/>
              </w:rPr>
            </w:pPr>
            <w:r w:rsidRPr="00AF3786">
              <w:rPr>
                <w:rFonts w:ascii="Arial" w:hAnsi="Arial" w:cs="Arial"/>
                <w:sz w:val="20"/>
              </w:rPr>
              <w:t>373.3924</w:t>
            </w:r>
          </w:p>
        </w:tc>
        <w:tc>
          <w:tcPr>
            <w:tcW w:w="373" w:type="pct"/>
            <w:vAlign w:val="center"/>
            <w:hideMark/>
          </w:tcPr>
          <w:p w14:paraId="2864A40A"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37F5EE99"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183903</w:t>
            </w:r>
          </w:p>
        </w:tc>
        <w:tc>
          <w:tcPr>
            <w:tcW w:w="1343" w:type="pct"/>
            <w:vAlign w:val="center"/>
            <w:hideMark/>
          </w:tcPr>
          <w:p w14:paraId="70CF2AB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[0.996941, 0.997428]</w:t>
            </w:r>
          </w:p>
        </w:tc>
      </w:tr>
      <w:tr w:rsidR="00AF3786" w:rsidRPr="00AF3786" w14:paraId="7A0C2D72" w14:textId="77777777" w:rsidTr="00AF3786">
        <w:trPr>
          <w:tblCellSpacing w:w="15" w:type="dxa"/>
        </w:trPr>
        <w:tc>
          <w:tcPr>
            <w:tcW w:w="1466" w:type="pct"/>
            <w:vAlign w:val="center"/>
            <w:hideMark/>
          </w:tcPr>
          <w:p w14:paraId="27B51A02" w14:textId="77777777" w:rsidR="00AF3786" w:rsidRPr="00AF3786" w:rsidRDefault="00AF3786" w:rsidP="00AF3786">
            <w:pPr>
              <w:contextualSpacing/>
              <w:jc w:val="both"/>
              <w:rPr>
                <w:rFonts w:ascii="Arial" w:hAnsi="Arial" w:cs="Arial"/>
                <w:sz w:val="20"/>
              </w:rPr>
            </w:pPr>
            <w:r w:rsidRPr="00AF3786">
              <w:rPr>
                <w:rFonts w:ascii="Arial" w:hAnsi="Arial" w:cs="Arial"/>
                <w:sz w:val="20"/>
              </w:rPr>
              <w:t xml:space="preserve">Average Fixed Raters </w:t>
            </w:r>
          </w:p>
          <w:p w14:paraId="69B37C04" w14:textId="77777777" w:rsidR="00AF3786" w:rsidRPr="00AF3786" w:rsidRDefault="00AF3786" w:rsidP="00AF3786">
            <w:pPr>
              <w:contextualSpacing/>
              <w:jc w:val="both"/>
              <w:rPr>
                <w:rFonts w:ascii="Arial" w:hAnsi="Arial" w:cs="Arial"/>
                <w:sz w:val="20"/>
              </w:rPr>
            </w:pPr>
            <w:r w:rsidRPr="00AF3786">
              <w:rPr>
                <w:rFonts w:ascii="Arial" w:hAnsi="Arial" w:cs="Arial"/>
                <w:sz w:val="20"/>
              </w:rPr>
              <w:t>(ICC3k)</w:t>
            </w:r>
          </w:p>
        </w:tc>
        <w:tc>
          <w:tcPr>
            <w:tcW w:w="613" w:type="pct"/>
            <w:vAlign w:val="center"/>
            <w:hideMark/>
          </w:tcPr>
          <w:p w14:paraId="25A9959F"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0.997322</w:t>
            </w:r>
          </w:p>
        </w:tc>
        <w:tc>
          <w:tcPr>
            <w:tcW w:w="612" w:type="pct"/>
            <w:vAlign w:val="center"/>
            <w:hideMark/>
          </w:tcPr>
          <w:p w14:paraId="75DDCB60" w14:textId="77777777" w:rsidR="00AF3786" w:rsidRPr="00AF3786" w:rsidRDefault="00AF3786" w:rsidP="00AF3786">
            <w:pPr>
              <w:contextualSpacing/>
              <w:jc w:val="center"/>
              <w:rPr>
                <w:rFonts w:ascii="Arial" w:hAnsi="Arial" w:cs="Arial"/>
                <w:sz w:val="20"/>
              </w:rPr>
            </w:pPr>
            <w:r w:rsidRPr="00AF3786">
              <w:rPr>
                <w:rFonts w:ascii="Arial" w:hAnsi="Arial" w:cs="Arial"/>
                <w:sz w:val="20"/>
              </w:rPr>
              <w:t>373.3924</w:t>
            </w:r>
          </w:p>
        </w:tc>
        <w:tc>
          <w:tcPr>
            <w:tcW w:w="373" w:type="pct"/>
            <w:vAlign w:val="center"/>
            <w:hideMark/>
          </w:tcPr>
          <w:p w14:paraId="58D0212D"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1039</w:t>
            </w:r>
          </w:p>
        </w:tc>
        <w:tc>
          <w:tcPr>
            <w:tcW w:w="478" w:type="pct"/>
            <w:vAlign w:val="center"/>
            <w:hideMark/>
          </w:tcPr>
          <w:p w14:paraId="4395AC90"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183903</w:t>
            </w:r>
          </w:p>
        </w:tc>
        <w:tc>
          <w:tcPr>
            <w:tcW w:w="1343" w:type="pct"/>
            <w:vAlign w:val="center"/>
            <w:hideMark/>
          </w:tcPr>
          <w:p w14:paraId="6009FBC2"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[0.997086, 0.997548]</w:t>
            </w:r>
          </w:p>
        </w:tc>
      </w:tr>
      <w:tr w:rsidR="00AF3786" w:rsidRPr="00AF3786" w14:paraId="2FADE171" w14:textId="77777777" w:rsidTr="00AF3786">
        <w:trPr>
          <w:tblCellSpacing w:w="15" w:type="dxa"/>
        </w:trPr>
        <w:tc>
          <w:tcPr>
            <w:tcW w:w="1466" w:type="pct"/>
            <w:vAlign w:val="center"/>
          </w:tcPr>
          <w:p w14:paraId="403864CD" w14:textId="77777777" w:rsidR="00AF3786" w:rsidRPr="00AF3786" w:rsidRDefault="00AF3786" w:rsidP="00AF3786">
            <w:pPr>
              <w:contextualSpacing/>
              <w:jc w:val="both"/>
              <w:rPr>
                <w:rFonts w:ascii="Arial" w:hAnsi="Arial" w:cs="Arial"/>
                <w:sz w:val="20"/>
              </w:rPr>
            </w:pPr>
          </w:p>
        </w:tc>
        <w:tc>
          <w:tcPr>
            <w:tcW w:w="613" w:type="pct"/>
            <w:vAlign w:val="center"/>
          </w:tcPr>
          <w:p w14:paraId="4E7FE603" w14:textId="77777777" w:rsidR="00AF3786" w:rsidRPr="00AF3786" w:rsidRDefault="00AF3786" w:rsidP="00AF3786">
            <w:pPr>
              <w:contextualSpacing/>
              <w:jc w:val="center"/>
              <w:rPr>
                <w:rFonts w:ascii="Arial" w:hAnsi="Arial" w:cs="Arial"/>
                <w:sz w:val="20"/>
              </w:rPr>
            </w:pPr>
          </w:p>
        </w:tc>
        <w:tc>
          <w:tcPr>
            <w:tcW w:w="612" w:type="pct"/>
            <w:vAlign w:val="center"/>
          </w:tcPr>
          <w:p w14:paraId="1BA7DD41" w14:textId="77777777" w:rsidR="00AF3786" w:rsidRPr="00AF3786" w:rsidRDefault="00AF3786" w:rsidP="00AF3786">
            <w:pPr>
              <w:contextualSpacing/>
              <w:jc w:val="center"/>
              <w:rPr>
                <w:rFonts w:ascii="Arial" w:hAnsi="Arial" w:cs="Arial"/>
                <w:sz w:val="20"/>
              </w:rPr>
            </w:pPr>
          </w:p>
        </w:tc>
        <w:tc>
          <w:tcPr>
            <w:tcW w:w="373" w:type="pct"/>
            <w:vAlign w:val="center"/>
          </w:tcPr>
          <w:p w14:paraId="11DFCA20" w14:textId="77777777" w:rsidR="00AF3786" w:rsidRPr="00AF3786" w:rsidRDefault="00AF3786" w:rsidP="00AF3786">
            <w:pPr>
              <w:contextualSpacing/>
              <w:jc w:val="center"/>
              <w:rPr>
                <w:rFonts w:ascii="Arial" w:hAnsi="Arial" w:cs="Arial"/>
                <w:sz w:val="20"/>
              </w:rPr>
            </w:pPr>
          </w:p>
        </w:tc>
        <w:tc>
          <w:tcPr>
            <w:tcW w:w="478" w:type="pct"/>
            <w:vAlign w:val="center"/>
          </w:tcPr>
          <w:p w14:paraId="5159FA5A" w14:textId="77777777" w:rsidR="00AF3786" w:rsidRPr="00AF3786" w:rsidRDefault="00AF3786" w:rsidP="00AF3786">
            <w:pPr>
              <w:contextualSpacing/>
              <w:jc w:val="center"/>
              <w:rPr>
                <w:rFonts w:ascii="Arial" w:hAnsi="Arial" w:cs="Arial"/>
                <w:sz w:val="20"/>
              </w:rPr>
            </w:pPr>
          </w:p>
        </w:tc>
        <w:tc>
          <w:tcPr>
            <w:tcW w:w="1343" w:type="pct"/>
            <w:vAlign w:val="center"/>
          </w:tcPr>
          <w:p w14:paraId="03E6288A" w14:textId="77777777" w:rsidR="00AF3786" w:rsidRPr="00AF3786" w:rsidRDefault="00AF3786" w:rsidP="00AF3786">
            <w:pPr>
              <w:contextualSpacing/>
              <w:jc w:val="center"/>
              <w:rPr>
                <w:rFonts w:ascii="Arial" w:hAnsi="Arial" w:cs="Arial"/>
                <w:sz w:val="20"/>
              </w:rPr>
            </w:pPr>
          </w:p>
        </w:tc>
      </w:tr>
    </w:tbl>
    <w:p w14:paraId="5584B604" w14:textId="77777777" w:rsidR="00B65834" w:rsidRDefault="00B65834" w:rsidP="00AF3786">
      <w:pPr>
        <w:spacing w:line="360" w:lineRule="auto"/>
        <w:ind w:firstLine="567"/>
        <w:contextualSpacing/>
        <w:jc w:val="both"/>
        <w:rPr>
          <w:rFonts w:ascii="Arial" w:hAnsi="Arial" w:cs="Arial"/>
          <w:sz w:val="20"/>
        </w:rPr>
      </w:pPr>
    </w:p>
    <w:p w14:paraId="3CAE8571" w14:textId="09677CEC"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To test whether reliability was uniform rather than driven by a subset of cases, we recomputed ICCs within each agent and within each item. Across agents (</w:t>
      </w:r>
      <w:r w:rsidRPr="00AF3786">
        <w:rPr>
          <w:rFonts w:ascii="Arial" w:hAnsi="Arial" w:cs="Arial"/>
          <w:i/>
          <w:iCs/>
          <w:sz w:val="20"/>
        </w:rPr>
        <w:t>n</w:t>
      </w:r>
      <w:r w:rsidRPr="00AF3786">
        <w:rPr>
          <w:rFonts w:ascii="Arial" w:hAnsi="Arial" w:cs="Arial"/>
          <w:sz w:val="20"/>
        </w:rPr>
        <w:t xml:space="preserve"> = 16), single-rater coefficients were heterogeneous but mostly moderate-to-high: mean </w:t>
      </w:r>
      <w:proofErr w:type="gramStart"/>
      <w:r w:rsidRPr="00AF3786">
        <w:rPr>
          <w:rFonts w:ascii="Arial" w:hAnsi="Arial" w:cs="Arial"/>
          <w:sz w:val="20"/>
        </w:rPr>
        <w:t>ICC(</w:t>
      </w:r>
      <w:proofErr w:type="gramEnd"/>
      <w:r w:rsidRPr="00AF3786">
        <w:rPr>
          <w:rFonts w:ascii="Arial" w:hAnsi="Arial" w:cs="Arial"/>
          <w:sz w:val="20"/>
        </w:rPr>
        <w:t xml:space="preserve">1) (= 0.5641), median (= 0.6403), range ([-0.0639, 0.7890]). The one negative value appeared for the most semantically </w:t>
      </w:r>
      <w:r w:rsidRPr="00AF3786">
        <w:rPr>
          <w:rFonts w:ascii="Arial" w:hAnsi="Arial" w:cs="Arial"/>
          <w:sz w:val="20"/>
        </w:rPr>
        <w:lastRenderedPageBreak/>
        <w:t>atypical agent profile, while the highest values were observed for more socially canonical profiles.</w:t>
      </w:r>
      <w:r w:rsidR="00B65834">
        <w:rPr>
          <w:rFonts w:ascii="Arial" w:hAnsi="Arial" w:cs="Arial"/>
          <w:sz w:val="20"/>
        </w:rPr>
        <w:t xml:space="preserve"> </w:t>
      </w:r>
      <w:r w:rsidR="00B65834" w:rsidRPr="00B65834">
        <w:rPr>
          <w:rFonts w:ascii="Arial" w:hAnsi="Arial" w:cs="Arial"/>
          <w:sz w:val="20"/>
        </w:rPr>
        <w:t>The negative ICC value observed in one atypical agent profile reflects a known phenomenon in high-dimensional semantic data</w:t>
      </w:r>
      <w:r w:rsidR="00B65834">
        <w:rPr>
          <w:rFonts w:ascii="Arial" w:hAnsi="Arial" w:cs="Arial"/>
          <w:sz w:val="20"/>
        </w:rPr>
        <w:t>,</w:t>
      </w:r>
      <w:r w:rsidR="00B65834" w:rsidRPr="00B65834">
        <w:rPr>
          <w:rFonts w:ascii="Arial" w:hAnsi="Arial" w:cs="Arial"/>
          <w:sz w:val="20"/>
        </w:rPr>
        <w:t xml:space="preserve"> </w:t>
      </w:r>
      <w:r w:rsidR="00B65834">
        <w:rPr>
          <w:rFonts w:ascii="Arial" w:hAnsi="Arial" w:cs="Arial"/>
          <w:sz w:val="20"/>
        </w:rPr>
        <w:t>in which</w:t>
      </w:r>
      <w:r w:rsidR="00B65834" w:rsidRPr="00B65834">
        <w:rPr>
          <w:rFonts w:ascii="Arial" w:hAnsi="Arial" w:cs="Arial"/>
          <w:sz w:val="20"/>
        </w:rPr>
        <w:t xml:space="preserve"> within-target variance dwarfs between-target variance, effectively indicating "semantic ambiguity" rather than measurement failure</w:t>
      </w:r>
      <w:r w:rsidR="00B65834">
        <w:rPr>
          <w:rFonts w:ascii="Arial" w:hAnsi="Arial" w:cs="Arial"/>
          <w:sz w:val="20"/>
        </w:rPr>
        <w:t xml:space="preserve"> </w:t>
      </w:r>
      <w:r w:rsidR="00B65834">
        <w:rPr>
          <w:rFonts w:ascii="Arial" w:hAnsi="Arial" w:cs="Arial"/>
          <w:sz w:val="20"/>
        </w:rPr>
        <w:fldChar w:fldCharType="begin"/>
      </w:r>
      <w:r w:rsidR="00B65834">
        <w:rPr>
          <w:rFonts w:ascii="Arial" w:hAnsi="Arial" w:cs="Arial"/>
          <w:sz w:val="20"/>
        </w:rPr>
        <w:instrText xml:space="preserve"> ADDIN ZOTERO_ITEM CSL_CITATION {"citationID":"AFxxiOcf","properties":{"formattedCitation":"(Revelle &amp; Condon, 2019)","plainCitation":"(Revelle &amp; Condon, 2019)","noteIndex":0},"citationItems":[{"id":400,"uris":["http://zotero.org/users/17689459/items/TT456HHW"],"itemData":{"id":400,"type":"article-journal","container-title":"Psychological Assessment","issue":"12","title":"Reliability from α to ω: A tutorial.","URL":"https://psycnet.apa.org/buy/2019-45061-001","volume":"31","author":[{"family":"Revelle","given":"William"},{"family":"Condon","given":"David"}],"accessed":{"date-parts":[["2026",2,19]]},"issued":{"date-parts":[["2019"]]}}}],"schema":"https://github.com/citation-style-language/schema/raw/master/csl-citation.json"} </w:instrText>
      </w:r>
      <w:r w:rsidR="00B65834">
        <w:rPr>
          <w:rFonts w:ascii="Arial" w:hAnsi="Arial" w:cs="Arial"/>
          <w:sz w:val="20"/>
        </w:rPr>
        <w:fldChar w:fldCharType="separate"/>
      </w:r>
      <w:r w:rsidR="00B65834">
        <w:rPr>
          <w:rFonts w:ascii="Arial" w:hAnsi="Arial" w:cs="Arial"/>
          <w:noProof/>
          <w:sz w:val="20"/>
        </w:rPr>
        <w:t>(Revelle &amp; Condon, 2019)</w:t>
      </w:r>
      <w:r w:rsidR="00B65834">
        <w:rPr>
          <w:rFonts w:ascii="Arial" w:hAnsi="Arial" w:cs="Arial"/>
          <w:sz w:val="20"/>
        </w:rPr>
        <w:fldChar w:fldCharType="end"/>
      </w:r>
      <w:r w:rsidR="00B65834">
        <w:rPr>
          <w:rFonts w:ascii="Arial" w:hAnsi="Arial" w:cs="Arial"/>
          <w:sz w:val="20"/>
        </w:rPr>
        <w:t>.</w:t>
      </w:r>
      <w:r w:rsidRPr="00AF3786">
        <w:rPr>
          <w:rFonts w:ascii="Arial" w:hAnsi="Arial" w:cs="Arial"/>
          <w:sz w:val="20"/>
        </w:rPr>
        <w:t xml:space="preserve"> Across items (</w:t>
      </w:r>
      <w:r w:rsidRPr="00AF3786">
        <w:rPr>
          <w:rFonts w:ascii="Arial" w:hAnsi="Arial" w:cs="Arial"/>
          <w:i/>
          <w:iCs/>
          <w:sz w:val="20"/>
        </w:rPr>
        <w:t>n</w:t>
      </w:r>
      <w:r w:rsidRPr="00AF3786">
        <w:rPr>
          <w:rFonts w:ascii="Arial" w:hAnsi="Arial" w:cs="Arial"/>
          <w:sz w:val="20"/>
        </w:rPr>
        <w:t xml:space="preserve"> = 65), single-rater reliability was more homogeneous and strictly positive: mean </w:t>
      </w:r>
      <w:proofErr w:type="gramStart"/>
      <w:r w:rsidRPr="00AF3786">
        <w:rPr>
          <w:rFonts w:ascii="Arial" w:hAnsi="Arial" w:cs="Arial"/>
          <w:sz w:val="20"/>
        </w:rPr>
        <w:t>ICC(</w:t>
      </w:r>
      <w:proofErr w:type="gramEnd"/>
      <w:r w:rsidRPr="00AF3786">
        <w:rPr>
          <w:rFonts w:ascii="Arial" w:hAnsi="Arial" w:cs="Arial"/>
          <w:sz w:val="20"/>
        </w:rPr>
        <w:t xml:space="preserve">1) (= 0.4845), median (= 0.5034), range ([0.2705, 0.7190]). Average-rater ICCs were near ceiling in both decompositions, although agent-level ICC(1k) showed a known instability in one edge case (minimum -15.4230) when the corresponding single-rater absolute-agreement term approached zero; importantly, this artifact did not appear in ICC(2k)/ICC(3k), which remained tightly concentrated </w:t>
      </w:r>
      <m:oMath>
        <m:r>
          <w:rPr>
            <w:rFonts w:ascii="Cambria Math" w:hAnsi="Cambria Math" w:cs="Arial"/>
            <w:sz w:val="20"/>
          </w:rPr>
          <m:t>≥</m:t>
        </m:r>
      </m:oMath>
      <w:r w:rsidRPr="00AF3786">
        <w:rPr>
          <w:rFonts w:ascii="Arial" w:hAnsi="Arial" w:cs="Arial"/>
          <w:sz w:val="20"/>
        </w:rPr>
        <w:t xml:space="preserve"> 0.4457 and </w:t>
      </w:r>
      <m:oMath>
        <m:r>
          <w:rPr>
            <w:rFonts w:ascii="Cambria Math" w:hAnsi="Cambria Math" w:cs="Arial"/>
            <w:sz w:val="20"/>
          </w:rPr>
          <m:t>≥</m:t>
        </m:r>
      </m:oMath>
      <w:r w:rsidRPr="00AF3786">
        <w:rPr>
          <w:rFonts w:ascii="Arial" w:hAnsi="Arial" w:cs="Arial"/>
          <w:sz w:val="20"/>
        </w:rPr>
        <w:t xml:space="preserve"> 0.452, respectively). The full distributional summaries are shown in Table S2.</w:t>
      </w:r>
    </w:p>
    <w:p w14:paraId="0E420E47" w14:textId="77777777" w:rsidR="00AF3786" w:rsidRPr="00AF3786" w:rsidRDefault="00AF3786" w:rsidP="00AF3786">
      <w:pPr>
        <w:spacing w:line="360" w:lineRule="auto"/>
        <w:contextualSpacing/>
        <w:jc w:val="both"/>
        <w:rPr>
          <w:rFonts w:ascii="Arial" w:hAnsi="Arial" w:cs="Arial"/>
          <w:sz w:val="20"/>
        </w:rPr>
      </w:pPr>
    </w:p>
    <w:p w14:paraId="172A858C" w14:textId="021DF36C" w:rsidR="00AF3786" w:rsidRPr="00AF3786" w:rsidRDefault="00AF3786" w:rsidP="00AF3786">
      <w:pPr>
        <w:spacing w:line="360" w:lineRule="auto"/>
        <w:contextualSpacing/>
        <w:jc w:val="center"/>
        <w:rPr>
          <w:rFonts w:ascii="Arial" w:hAnsi="Arial" w:cs="Arial"/>
          <w:b/>
          <w:bCs/>
          <w:sz w:val="20"/>
        </w:rPr>
      </w:pPr>
      <w:r w:rsidRPr="00AF3786">
        <w:rPr>
          <w:rFonts w:ascii="Arial" w:hAnsi="Arial" w:cs="Arial"/>
          <w:b/>
          <w:bCs/>
          <w:sz w:val="20"/>
        </w:rPr>
        <w:t>Table S2. Full Distributional Summaries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1746"/>
        <w:gridCol w:w="1837"/>
        <w:gridCol w:w="1651"/>
        <w:gridCol w:w="1740"/>
      </w:tblGrid>
      <w:tr w:rsidR="00AF3786" w:rsidRPr="00AF3786" w14:paraId="6EDBF607" w14:textId="77777777" w:rsidTr="00AF3786">
        <w:trPr>
          <w:tblHeader/>
          <w:tblCellSpacing w:w="15" w:type="dxa"/>
        </w:trPr>
        <w:tc>
          <w:tcPr>
            <w:tcW w:w="0" w:type="auto"/>
            <w:tcBorders>
              <w:bottom w:val="double" w:sz="4" w:space="0" w:color="auto"/>
            </w:tcBorders>
            <w:vAlign w:val="center"/>
            <w:hideMark/>
          </w:tcPr>
          <w:p w14:paraId="555217D6" w14:textId="77777777" w:rsidR="00AF3786" w:rsidRPr="00AF3786" w:rsidRDefault="00AF3786" w:rsidP="00AF3786">
            <w:pPr>
              <w:contextualSpacing/>
              <w:jc w:val="both"/>
              <w:rPr>
                <w:rFonts w:ascii="Arial" w:hAnsi="Arial" w:cs="Arial"/>
                <w:b/>
                <w:bCs/>
                <w:sz w:val="20"/>
              </w:rPr>
            </w:pPr>
            <w:r w:rsidRPr="00AF3786">
              <w:rPr>
                <w:rFonts w:ascii="Arial" w:hAnsi="Arial" w:cs="Arial"/>
                <w:b/>
                <w:bCs/>
                <w:sz w:val="20"/>
              </w:rPr>
              <w:t>Metric</w:t>
            </w:r>
          </w:p>
        </w:tc>
        <w:tc>
          <w:tcPr>
            <w:tcW w:w="0" w:type="auto"/>
            <w:tcBorders>
              <w:bottom w:val="double" w:sz="4" w:space="0" w:color="auto"/>
            </w:tcBorders>
            <w:vAlign w:val="center"/>
            <w:hideMark/>
          </w:tcPr>
          <w:p w14:paraId="49694DA0"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Agents (n=16): mean ± SD</w:t>
            </w:r>
          </w:p>
        </w:tc>
        <w:tc>
          <w:tcPr>
            <w:tcW w:w="0" w:type="auto"/>
            <w:tcBorders>
              <w:bottom w:val="double" w:sz="4" w:space="0" w:color="auto"/>
            </w:tcBorders>
            <w:vAlign w:val="center"/>
            <w:hideMark/>
          </w:tcPr>
          <w:p w14:paraId="67D3C7A4"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Agents: median [min, max]</w:t>
            </w:r>
          </w:p>
        </w:tc>
        <w:tc>
          <w:tcPr>
            <w:tcW w:w="0" w:type="auto"/>
            <w:tcBorders>
              <w:bottom w:val="double" w:sz="4" w:space="0" w:color="auto"/>
            </w:tcBorders>
            <w:vAlign w:val="center"/>
            <w:hideMark/>
          </w:tcPr>
          <w:p w14:paraId="429EDA96"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Items (n=65): mean ± SD</w:t>
            </w:r>
          </w:p>
        </w:tc>
        <w:tc>
          <w:tcPr>
            <w:tcW w:w="0" w:type="auto"/>
            <w:tcBorders>
              <w:bottom w:val="double" w:sz="4" w:space="0" w:color="auto"/>
            </w:tcBorders>
            <w:vAlign w:val="center"/>
            <w:hideMark/>
          </w:tcPr>
          <w:p w14:paraId="63347792"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Items: median [min, max]</w:t>
            </w:r>
          </w:p>
        </w:tc>
      </w:tr>
      <w:tr w:rsidR="00AF3786" w:rsidRPr="00AF3786" w14:paraId="12978D0C" w14:textId="77777777" w:rsidTr="00AF3786">
        <w:trPr>
          <w:trHeight w:val="690"/>
          <w:tblCellSpacing w:w="15" w:type="dxa"/>
        </w:trPr>
        <w:tc>
          <w:tcPr>
            <w:tcW w:w="0" w:type="auto"/>
            <w:vAlign w:val="center"/>
            <w:hideMark/>
          </w:tcPr>
          <w:p w14:paraId="077A4A28" w14:textId="77777777" w:rsidR="00AF3786" w:rsidRPr="00AF3786" w:rsidRDefault="00AF3786" w:rsidP="00AF3786">
            <w:pPr>
              <w:contextualSpacing/>
              <w:rPr>
                <w:rFonts w:ascii="Arial" w:hAnsi="Arial" w:cs="Arial"/>
                <w:sz w:val="20"/>
              </w:rPr>
            </w:pPr>
            <w:r w:rsidRPr="00AF3786">
              <w:rPr>
                <w:rFonts w:ascii="Arial" w:hAnsi="Arial" w:cs="Arial"/>
                <w:sz w:val="20"/>
              </w:rPr>
              <w:t>Single Raters Absolute</w:t>
            </w:r>
          </w:p>
        </w:tc>
        <w:tc>
          <w:tcPr>
            <w:tcW w:w="0" w:type="auto"/>
            <w:vAlign w:val="center"/>
            <w:hideMark/>
          </w:tcPr>
          <w:p w14:paraId="797B8B5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0.5641 ± 0.1999</w:t>
            </w:r>
          </w:p>
        </w:tc>
        <w:tc>
          <w:tcPr>
            <w:tcW w:w="0" w:type="auto"/>
            <w:vAlign w:val="center"/>
            <w:hideMark/>
          </w:tcPr>
          <w:p w14:paraId="139C7167"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0.6403 </w:t>
            </w:r>
          </w:p>
          <w:p w14:paraId="73B74146" w14:textId="77777777" w:rsidR="00AF3786" w:rsidRPr="00AF3786" w:rsidRDefault="00AF3786" w:rsidP="00AF3786">
            <w:pPr>
              <w:contextualSpacing/>
              <w:jc w:val="center"/>
              <w:rPr>
                <w:rFonts w:ascii="Arial" w:hAnsi="Arial" w:cs="Arial"/>
                <w:sz w:val="20"/>
              </w:rPr>
            </w:pPr>
            <w:r w:rsidRPr="00AF3786">
              <w:rPr>
                <w:rFonts w:ascii="Arial" w:hAnsi="Arial" w:cs="Arial"/>
                <w:sz w:val="20"/>
              </w:rPr>
              <w:t>[-0.0639, 0.7890]</w:t>
            </w:r>
          </w:p>
        </w:tc>
        <w:tc>
          <w:tcPr>
            <w:tcW w:w="0" w:type="auto"/>
            <w:vAlign w:val="center"/>
            <w:hideMark/>
          </w:tcPr>
          <w:p w14:paraId="585017DC" w14:textId="77777777" w:rsidR="00AF3786" w:rsidRPr="00AF3786" w:rsidRDefault="00AF3786" w:rsidP="00AF3786">
            <w:pPr>
              <w:contextualSpacing/>
              <w:jc w:val="center"/>
              <w:rPr>
                <w:rFonts w:ascii="Arial" w:hAnsi="Arial" w:cs="Arial"/>
                <w:sz w:val="20"/>
              </w:rPr>
            </w:pPr>
            <w:r w:rsidRPr="00AF3786">
              <w:rPr>
                <w:rFonts w:ascii="Arial" w:hAnsi="Arial" w:cs="Arial"/>
                <w:sz w:val="20"/>
              </w:rPr>
              <w:t>0.4845 ± 0.0751</w:t>
            </w:r>
          </w:p>
        </w:tc>
        <w:tc>
          <w:tcPr>
            <w:tcW w:w="0" w:type="auto"/>
            <w:vAlign w:val="center"/>
            <w:hideMark/>
          </w:tcPr>
          <w:p w14:paraId="13B02F76"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0.5034 </w:t>
            </w:r>
          </w:p>
          <w:p w14:paraId="691981DB" w14:textId="77777777" w:rsidR="00AF3786" w:rsidRPr="00AF3786" w:rsidRDefault="00AF3786" w:rsidP="00AF3786">
            <w:pPr>
              <w:contextualSpacing/>
              <w:jc w:val="center"/>
              <w:rPr>
                <w:rFonts w:ascii="Arial" w:hAnsi="Arial" w:cs="Arial"/>
                <w:sz w:val="20"/>
              </w:rPr>
            </w:pPr>
            <w:r w:rsidRPr="00AF3786">
              <w:rPr>
                <w:rFonts w:ascii="Arial" w:hAnsi="Arial" w:cs="Arial"/>
                <w:sz w:val="20"/>
              </w:rPr>
              <w:t>[0.2705, 0.7190]</w:t>
            </w:r>
          </w:p>
        </w:tc>
      </w:tr>
      <w:tr w:rsidR="00AF3786" w:rsidRPr="00AF3786" w14:paraId="266623E9" w14:textId="77777777" w:rsidTr="00AF3786">
        <w:trPr>
          <w:trHeight w:val="644"/>
          <w:tblCellSpacing w:w="15" w:type="dxa"/>
        </w:trPr>
        <w:tc>
          <w:tcPr>
            <w:tcW w:w="0" w:type="auto"/>
            <w:vAlign w:val="center"/>
            <w:hideMark/>
          </w:tcPr>
          <w:p w14:paraId="5B0ABAB5" w14:textId="77777777" w:rsidR="00AF3786" w:rsidRPr="00AF3786" w:rsidRDefault="00AF3786" w:rsidP="00AF3786">
            <w:pPr>
              <w:contextualSpacing/>
              <w:rPr>
                <w:rFonts w:ascii="Arial" w:hAnsi="Arial" w:cs="Arial"/>
                <w:sz w:val="20"/>
              </w:rPr>
            </w:pPr>
            <w:r w:rsidRPr="00AF3786">
              <w:rPr>
                <w:rFonts w:ascii="Arial" w:hAnsi="Arial" w:cs="Arial"/>
                <w:sz w:val="20"/>
              </w:rPr>
              <w:t>Single Random Raters</w:t>
            </w:r>
          </w:p>
        </w:tc>
        <w:tc>
          <w:tcPr>
            <w:tcW w:w="0" w:type="auto"/>
            <w:vAlign w:val="center"/>
            <w:hideMark/>
          </w:tcPr>
          <w:p w14:paraId="45A9982E"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0.5733 ± 0.1823</w:t>
            </w:r>
          </w:p>
        </w:tc>
        <w:tc>
          <w:tcPr>
            <w:tcW w:w="0" w:type="auto"/>
            <w:vAlign w:val="center"/>
            <w:hideMark/>
          </w:tcPr>
          <w:p w14:paraId="1640022B"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0.6635 </w:t>
            </w:r>
          </w:p>
          <w:p w14:paraId="309FDCDA" w14:textId="77777777" w:rsidR="00AF3786" w:rsidRPr="00AF3786" w:rsidRDefault="00AF3786" w:rsidP="00AF3786">
            <w:pPr>
              <w:contextualSpacing/>
              <w:jc w:val="center"/>
              <w:rPr>
                <w:rFonts w:ascii="Arial" w:hAnsi="Arial" w:cs="Arial"/>
                <w:sz w:val="20"/>
              </w:rPr>
            </w:pPr>
            <w:r w:rsidRPr="00AF3786">
              <w:rPr>
                <w:rFonts w:ascii="Arial" w:hAnsi="Arial" w:cs="Arial"/>
                <w:sz w:val="20"/>
              </w:rPr>
              <w:t>[0.0206, 0.7973]</w:t>
            </w:r>
          </w:p>
        </w:tc>
        <w:tc>
          <w:tcPr>
            <w:tcW w:w="0" w:type="auto"/>
            <w:vAlign w:val="center"/>
            <w:hideMark/>
          </w:tcPr>
          <w:p w14:paraId="7FE857A1"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0.5087 ± 0.0681</w:t>
            </w:r>
          </w:p>
        </w:tc>
        <w:tc>
          <w:tcPr>
            <w:tcW w:w="0" w:type="auto"/>
            <w:vAlign w:val="center"/>
            <w:hideMark/>
          </w:tcPr>
          <w:p w14:paraId="0F76C3C9"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0.5331 </w:t>
            </w:r>
          </w:p>
          <w:p w14:paraId="5A41B914" w14:textId="77777777" w:rsidR="00AF3786" w:rsidRPr="00AF3786" w:rsidRDefault="00AF3786" w:rsidP="00AF3786">
            <w:pPr>
              <w:contextualSpacing/>
              <w:jc w:val="center"/>
              <w:rPr>
                <w:rFonts w:ascii="Arial" w:hAnsi="Arial" w:cs="Arial"/>
                <w:sz w:val="20"/>
              </w:rPr>
            </w:pPr>
            <w:r w:rsidRPr="00AF3786">
              <w:rPr>
                <w:rFonts w:ascii="Arial" w:hAnsi="Arial" w:cs="Arial"/>
                <w:sz w:val="20"/>
              </w:rPr>
              <w:t>[0.3040, 0.7435]</w:t>
            </w:r>
          </w:p>
        </w:tc>
      </w:tr>
      <w:tr w:rsidR="00AF3786" w:rsidRPr="00AF3786" w14:paraId="02FBACE0" w14:textId="77777777" w:rsidTr="00AF3786">
        <w:trPr>
          <w:trHeight w:val="654"/>
          <w:tblCellSpacing w:w="15" w:type="dxa"/>
        </w:trPr>
        <w:tc>
          <w:tcPr>
            <w:tcW w:w="0" w:type="auto"/>
            <w:vAlign w:val="center"/>
            <w:hideMark/>
          </w:tcPr>
          <w:p w14:paraId="377C6DD9" w14:textId="77777777" w:rsidR="00AF3786" w:rsidRPr="00AF3786" w:rsidRDefault="00AF3786" w:rsidP="00AF3786">
            <w:pPr>
              <w:contextualSpacing/>
              <w:rPr>
                <w:rFonts w:ascii="Arial" w:hAnsi="Arial" w:cs="Arial"/>
                <w:sz w:val="20"/>
              </w:rPr>
            </w:pPr>
            <w:r w:rsidRPr="00AF3786">
              <w:rPr>
                <w:rFonts w:ascii="Arial" w:hAnsi="Arial" w:cs="Arial"/>
                <w:sz w:val="20"/>
              </w:rPr>
              <w:t>Single Fixed Raters</w:t>
            </w:r>
          </w:p>
        </w:tc>
        <w:tc>
          <w:tcPr>
            <w:tcW w:w="0" w:type="auto"/>
            <w:vAlign w:val="center"/>
            <w:hideMark/>
          </w:tcPr>
          <w:p w14:paraId="3B8EED42"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0.5746 ± 0.1815</w:t>
            </w:r>
          </w:p>
        </w:tc>
        <w:tc>
          <w:tcPr>
            <w:tcW w:w="0" w:type="auto"/>
            <w:vAlign w:val="center"/>
            <w:hideMark/>
          </w:tcPr>
          <w:p w14:paraId="7530C521"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0.6642 </w:t>
            </w:r>
          </w:p>
          <w:p w14:paraId="6B07801E" w14:textId="77777777" w:rsidR="00AF3786" w:rsidRPr="00AF3786" w:rsidRDefault="00AF3786" w:rsidP="00AF3786">
            <w:pPr>
              <w:contextualSpacing/>
              <w:jc w:val="center"/>
              <w:rPr>
                <w:rFonts w:ascii="Arial" w:hAnsi="Arial" w:cs="Arial"/>
                <w:sz w:val="20"/>
              </w:rPr>
            </w:pPr>
            <w:r w:rsidRPr="00AF3786">
              <w:rPr>
                <w:rFonts w:ascii="Arial" w:hAnsi="Arial" w:cs="Arial"/>
                <w:sz w:val="20"/>
              </w:rPr>
              <w:t>[0.0210, 0.7977]</w:t>
            </w:r>
          </w:p>
        </w:tc>
        <w:tc>
          <w:tcPr>
            <w:tcW w:w="0" w:type="auto"/>
            <w:vAlign w:val="center"/>
            <w:hideMark/>
          </w:tcPr>
          <w:p w14:paraId="19CAE5ED"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0.5138 ± 0.0674</w:t>
            </w:r>
          </w:p>
        </w:tc>
        <w:tc>
          <w:tcPr>
            <w:tcW w:w="0" w:type="auto"/>
            <w:vAlign w:val="center"/>
            <w:hideMark/>
          </w:tcPr>
          <w:p w14:paraId="17E385A6"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0.5381 </w:t>
            </w:r>
          </w:p>
          <w:p w14:paraId="0E8AEEE6" w14:textId="77777777" w:rsidR="00AF3786" w:rsidRPr="00AF3786" w:rsidRDefault="00AF3786" w:rsidP="00AF3786">
            <w:pPr>
              <w:contextualSpacing/>
              <w:jc w:val="center"/>
              <w:rPr>
                <w:rFonts w:ascii="Arial" w:hAnsi="Arial" w:cs="Arial"/>
                <w:sz w:val="20"/>
              </w:rPr>
            </w:pPr>
            <w:r w:rsidRPr="00AF3786">
              <w:rPr>
                <w:rFonts w:ascii="Arial" w:hAnsi="Arial" w:cs="Arial"/>
                <w:sz w:val="20"/>
              </w:rPr>
              <w:t>[0.3113, 0.7477]</w:t>
            </w:r>
          </w:p>
        </w:tc>
      </w:tr>
      <w:tr w:rsidR="00AF3786" w:rsidRPr="00AF3786" w14:paraId="2260C1AA" w14:textId="77777777" w:rsidTr="00AF3786">
        <w:trPr>
          <w:trHeight w:val="650"/>
          <w:tblCellSpacing w:w="15" w:type="dxa"/>
        </w:trPr>
        <w:tc>
          <w:tcPr>
            <w:tcW w:w="0" w:type="auto"/>
            <w:vAlign w:val="center"/>
            <w:hideMark/>
          </w:tcPr>
          <w:p w14:paraId="0C23AD26" w14:textId="77777777" w:rsidR="00AF3786" w:rsidRPr="00AF3786" w:rsidRDefault="00AF3786" w:rsidP="00AF3786">
            <w:pPr>
              <w:contextualSpacing/>
              <w:rPr>
                <w:rFonts w:ascii="Arial" w:hAnsi="Arial" w:cs="Arial"/>
                <w:sz w:val="20"/>
              </w:rPr>
            </w:pPr>
            <w:r w:rsidRPr="00AF3786">
              <w:rPr>
                <w:rFonts w:ascii="Arial" w:hAnsi="Arial" w:cs="Arial"/>
                <w:sz w:val="20"/>
              </w:rPr>
              <w:t>Average Raters Absolute</w:t>
            </w:r>
          </w:p>
        </w:tc>
        <w:tc>
          <w:tcPr>
            <w:tcW w:w="0" w:type="auto"/>
            <w:vAlign w:val="center"/>
            <w:hideMark/>
          </w:tcPr>
          <w:p w14:paraId="4FB63EE2" w14:textId="77777777" w:rsidR="00AF3786" w:rsidRPr="00AF3786" w:rsidRDefault="00AF3786" w:rsidP="00AF3786">
            <w:pPr>
              <w:contextualSpacing/>
              <w:jc w:val="center"/>
              <w:rPr>
                <w:rFonts w:ascii="Arial" w:hAnsi="Arial" w:cs="Arial"/>
                <w:sz w:val="20"/>
              </w:rPr>
            </w:pPr>
            <w:r w:rsidRPr="00AF3786">
              <w:rPr>
                <w:rFonts w:ascii="Arial" w:hAnsi="Arial" w:cs="Arial"/>
                <w:sz w:val="20"/>
              </w:rPr>
              <w:t>-0.0030 ± 4.0906</w:t>
            </w:r>
          </w:p>
        </w:tc>
        <w:tc>
          <w:tcPr>
            <w:tcW w:w="0" w:type="auto"/>
            <w:vAlign w:val="center"/>
            <w:hideMark/>
          </w:tcPr>
          <w:p w14:paraId="1D9737CA"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0.9853 </w:t>
            </w:r>
          </w:p>
          <w:p w14:paraId="4D4406D1" w14:textId="77777777" w:rsidR="00AF3786" w:rsidRPr="00AF3786" w:rsidRDefault="00AF3786" w:rsidP="00AF3786">
            <w:pPr>
              <w:contextualSpacing/>
              <w:jc w:val="center"/>
              <w:rPr>
                <w:rFonts w:ascii="Arial" w:hAnsi="Arial" w:cs="Arial"/>
                <w:sz w:val="20"/>
              </w:rPr>
            </w:pPr>
            <w:r w:rsidRPr="00AF3786">
              <w:rPr>
                <w:rFonts w:ascii="Arial" w:hAnsi="Arial" w:cs="Arial"/>
                <w:sz w:val="20"/>
              </w:rPr>
              <w:t>[-15.4230, 0.9979]</w:t>
            </w:r>
          </w:p>
        </w:tc>
        <w:tc>
          <w:tcPr>
            <w:tcW w:w="0" w:type="auto"/>
            <w:vAlign w:val="center"/>
            <w:hideMark/>
          </w:tcPr>
          <w:p w14:paraId="45C64FE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0.9900 ± 0.0076</w:t>
            </w:r>
          </w:p>
        </w:tc>
        <w:tc>
          <w:tcPr>
            <w:tcW w:w="0" w:type="auto"/>
            <w:vAlign w:val="center"/>
            <w:hideMark/>
          </w:tcPr>
          <w:p w14:paraId="63F316F2"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0.9918 </w:t>
            </w:r>
          </w:p>
          <w:p w14:paraId="7FC42231"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[0.9562, 0.9953]</w:t>
            </w:r>
          </w:p>
        </w:tc>
      </w:tr>
      <w:tr w:rsidR="00AF3786" w:rsidRPr="00AF3786" w14:paraId="011DF9E3" w14:textId="77777777" w:rsidTr="00AF3786">
        <w:trPr>
          <w:trHeight w:val="789"/>
          <w:tblCellSpacing w:w="15" w:type="dxa"/>
        </w:trPr>
        <w:tc>
          <w:tcPr>
            <w:tcW w:w="0" w:type="auto"/>
            <w:vAlign w:val="center"/>
            <w:hideMark/>
          </w:tcPr>
          <w:p w14:paraId="74F26701" w14:textId="77777777" w:rsidR="00AF3786" w:rsidRPr="00AF3786" w:rsidRDefault="00AF3786" w:rsidP="00AF3786">
            <w:pPr>
              <w:contextualSpacing/>
              <w:rPr>
                <w:rFonts w:ascii="Arial" w:hAnsi="Arial" w:cs="Arial"/>
                <w:sz w:val="20"/>
              </w:rPr>
            </w:pPr>
            <w:r w:rsidRPr="00AF3786">
              <w:rPr>
                <w:rFonts w:ascii="Arial" w:hAnsi="Arial" w:cs="Arial"/>
                <w:sz w:val="20"/>
              </w:rPr>
              <w:t>Average Random Raters</w:t>
            </w:r>
          </w:p>
        </w:tc>
        <w:tc>
          <w:tcPr>
            <w:tcW w:w="0" w:type="auto"/>
            <w:vAlign w:val="center"/>
            <w:hideMark/>
          </w:tcPr>
          <w:p w14:paraId="12667FD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0.9821 ± 0.0430</w:t>
            </w:r>
          </w:p>
        </w:tc>
        <w:tc>
          <w:tcPr>
            <w:tcW w:w="0" w:type="auto"/>
            <w:vAlign w:val="center"/>
            <w:hideMark/>
          </w:tcPr>
          <w:p w14:paraId="0141F827"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0.9973 </w:t>
            </w:r>
          </w:p>
          <w:p w14:paraId="5AD99C6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[0.4457, 0.9986]</w:t>
            </w:r>
          </w:p>
        </w:tc>
        <w:tc>
          <w:tcPr>
            <w:tcW w:w="0" w:type="auto"/>
            <w:vAlign w:val="center"/>
            <w:hideMark/>
          </w:tcPr>
          <w:p w14:paraId="6950EF28"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0.9907 ± 0.0059</w:t>
            </w:r>
          </w:p>
        </w:tc>
        <w:tc>
          <w:tcPr>
            <w:tcW w:w="0" w:type="auto"/>
            <w:vAlign w:val="center"/>
            <w:hideMark/>
          </w:tcPr>
          <w:p w14:paraId="60F3C67E"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0.9921 </w:t>
            </w:r>
          </w:p>
          <w:p w14:paraId="0312BE5F"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[0.9641, 0.9957]</w:t>
            </w:r>
          </w:p>
        </w:tc>
      </w:tr>
      <w:tr w:rsidR="00AF3786" w:rsidRPr="00AF3786" w14:paraId="7C29DB1B" w14:textId="77777777" w:rsidTr="00AF3786">
        <w:trPr>
          <w:tblCellSpacing w:w="15" w:type="dxa"/>
        </w:trPr>
        <w:tc>
          <w:tcPr>
            <w:tcW w:w="0" w:type="auto"/>
            <w:vAlign w:val="center"/>
            <w:hideMark/>
          </w:tcPr>
          <w:p w14:paraId="760835DB" w14:textId="77777777" w:rsidR="00AF3786" w:rsidRPr="00AF3786" w:rsidRDefault="00AF3786" w:rsidP="00AF3786">
            <w:pPr>
              <w:contextualSpacing/>
              <w:rPr>
                <w:rFonts w:ascii="Arial" w:hAnsi="Arial" w:cs="Arial"/>
                <w:sz w:val="20"/>
              </w:rPr>
            </w:pPr>
            <w:r w:rsidRPr="00AF3786">
              <w:rPr>
                <w:rFonts w:ascii="Arial" w:hAnsi="Arial" w:cs="Arial"/>
                <w:sz w:val="20"/>
              </w:rPr>
              <w:t>Average Fixed Raters</w:t>
            </w:r>
          </w:p>
        </w:tc>
        <w:tc>
          <w:tcPr>
            <w:tcW w:w="0" w:type="auto"/>
            <w:vAlign w:val="center"/>
            <w:hideMark/>
          </w:tcPr>
          <w:p w14:paraId="340712D5"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0.9822 ± 0.0427</w:t>
            </w:r>
          </w:p>
        </w:tc>
        <w:tc>
          <w:tcPr>
            <w:tcW w:w="0" w:type="auto"/>
            <w:vAlign w:val="center"/>
            <w:hideMark/>
          </w:tcPr>
          <w:p w14:paraId="0E6A3AFE"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0.9973 </w:t>
            </w:r>
          </w:p>
          <w:p w14:paraId="1C65CBF0" w14:textId="77777777" w:rsidR="00AF3786" w:rsidRPr="00AF3786" w:rsidRDefault="00AF3786" w:rsidP="00AF3786">
            <w:pPr>
              <w:contextualSpacing/>
              <w:jc w:val="center"/>
              <w:rPr>
                <w:rFonts w:ascii="Arial" w:hAnsi="Arial" w:cs="Arial"/>
                <w:sz w:val="20"/>
              </w:rPr>
            </w:pPr>
            <w:r w:rsidRPr="00AF3786">
              <w:rPr>
                <w:rFonts w:ascii="Arial" w:hAnsi="Arial" w:cs="Arial"/>
                <w:sz w:val="20"/>
              </w:rPr>
              <w:t>[0.4521, 0.9986]</w:t>
            </w:r>
          </w:p>
        </w:tc>
        <w:tc>
          <w:tcPr>
            <w:tcW w:w="0" w:type="auto"/>
            <w:vAlign w:val="center"/>
            <w:hideMark/>
          </w:tcPr>
          <w:p w14:paraId="084D695E"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0.9908 ± 0.0058</w:t>
            </w:r>
          </w:p>
        </w:tc>
        <w:tc>
          <w:tcPr>
            <w:tcW w:w="0" w:type="auto"/>
            <w:vAlign w:val="center"/>
            <w:hideMark/>
          </w:tcPr>
          <w:p w14:paraId="1CCFF0F3" w14:textId="77777777" w:rsidR="00AF3786" w:rsidRPr="00AF3786" w:rsidRDefault="00AF3786" w:rsidP="00AF3786">
            <w:pPr>
              <w:contextualSpacing/>
              <w:jc w:val="center"/>
              <w:rPr>
                <w:rFonts w:ascii="Arial" w:hAnsi="Arial" w:cs="Arial"/>
                <w:sz w:val="20"/>
              </w:rPr>
            </w:pPr>
            <w:r w:rsidRPr="00AF3786">
              <w:rPr>
                <w:rFonts w:ascii="Arial" w:hAnsi="Arial" w:cs="Arial"/>
                <w:sz w:val="20"/>
              </w:rPr>
              <w:t xml:space="preserve">0.9922 </w:t>
            </w:r>
          </w:p>
          <w:p w14:paraId="705B5DC9"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[0.9652, 0.9958]</w:t>
            </w:r>
          </w:p>
        </w:tc>
      </w:tr>
      <w:tr w:rsidR="00AF3786" w:rsidRPr="00AF3786" w14:paraId="50F3D25A" w14:textId="77777777" w:rsidTr="00AF3786">
        <w:trPr>
          <w:tblCellSpacing w:w="15" w:type="dxa"/>
        </w:trPr>
        <w:tc>
          <w:tcPr>
            <w:tcW w:w="0" w:type="auto"/>
            <w:vAlign w:val="center"/>
          </w:tcPr>
          <w:p w14:paraId="6CC79B02" w14:textId="77777777" w:rsidR="00AF3786" w:rsidRPr="00AF3786" w:rsidRDefault="00AF3786" w:rsidP="00AF3786">
            <w:pPr>
              <w:contextualSpacing/>
              <w:rPr>
                <w:rFonts w:ascii="Arial" w:hAnsi="Arial" w:cs="Arial"/>
                <w:sz w:val="20"/>
              </w:rPr>
            </w:pPr>
          </w:p>
        </w:tc>
        <w:tc>
          <w:tcPr>
            <w:tcW w:w="0" w:type="auto"/>
            <w:vAlign w:val="center"/>
          </w:tcPr>
          <w:p w14:paraId="409293D6" w14:textId="77777777" w:rsidR="00AF3786" w:rsidRPr="00AF3786" w:rsidRDefault="00AF3786" w:rsidP="00AF3786">
            <w:pPr>
              <w:contextualSpacing/>
              <w:jc w:val="center"/>
              <w:rPr>
                <w:rFonts w:ascii="Arial" w:hAnsi="Arial" w:cs="Arial"/>
                <w:sz w:val="20"/>
              </w:rPr>
            </w:pPr>
          </w:p>
        </w:tc>
        <w:tc>
          <w:tcPr>
            <w:tcW w:w="0" w:type="auto"/>
            <w:vAlign w:val="center"/>
          </w:tcPr>
          <w:p w14:paraId="523E592D" w14:textId="77777777" w:rsidR="00AF3786" w:rsidRPr="00AF3786" w:rsidRDefault="00AF3786" w:rsidP="00AF3786">
            <w:pPr>
              <w:contextualSpacing/>
              <w:jc w:val="center"/>
              <w:rPr>
                <w:rFonts w:ascii="Arial" w:hAnsi="Arial" w:cs="Arial"/>
                <w:sz w:val="20"/>
              </w:rPr>
            </w:pPr>
          </w:p>
        </w:tc>
        <w:tc>
          <w:tcPr>
            <w:tcW w:w="0" w:type="auto"/>
            <w:vAlign w:val="center"/>
          </w:tcPr>
          <w:p w14:paraId="3CEFE46C" w14:textId="77777777" w:rsidR="00AF3786" w:rsidRPr="00AF3786" w:rsidRDefault="00AF3786" w:rsidP="00AF3786">
            <w:pPr>
              <w:contextualSpacing/>
              <w:jc w:val="center"/>
              <w:rPr>
                <w:rFonts w:ascii="Arial" w:hAnsi="Arial" w:cs="Arial"/>
                <w:sz w:val="20"/>
              </w:rPr>
            </w:pPr>
          </w:p>
        </w:tc>
        <w:tc>
          <w:tcPr>
            <w:tcW w:w="0" w:type="auto"/>
            <w:vAlign w:val="center"/>
          </w:tcPr>
          <w:p w14:paraId="5A1ACB3D" w14:textId="77777777" w:rsidR="00AF3786" w:rsidRPr="00AF3786" w:rsidRDefault="00AF3786" w:rsidP="00AF3786">
            <w:pPr>
              <w:contextualSpacing/>
              <w:jc w:val="center"/>
              <w:rPr>
                <w:rFonts w:ascii="Arial" w:hAnsi="Arial" w:cs="Arial"/>
                <w:sz w:val="20"/>
              </w:rPr>
            </w:pPr>
          </w:p>
        </w:tc>
      </w:tr>
    </w:tbl>
    <w:p w14:paraId="551E5FEE" w14:textId="77777777" w:rsidR="00B65834" w:rsidRDefault="00B65834" w:rsidP="00AF3786">
      <w:pPr>
        <w:spacing w:line="360" w:lineRule="auto"/>
        <w:ind w:firstLine="567"/>
        <w:contextualSpacing/>
        <w:jc w:val="both"/>
        <w:rPr>
          <w:rFonts w:ascii="Arial" w:hAnsi="Arial" w:cs="Arial"/>
          <w:sz w:val="20"/>
        </w:rPr>
      </w:pPr>
    </w:p>
    <w:p w14:paraId="17A132D6" w14:textId="62301BDC" w:rsidR="00BA5F4E" w:rsidRDefault="00AF3786" w:rsidP="00B65834">
      <w:pPr>
        <w:spacing w:line="360" w:lineRule="auto"/>
        <w:ind w:firstLine="567"/>
        <w:contextualSpacing/>
        <w:jc w:val="both"/>
        <w:rPr>
          <w:rFonts w:ascii="Arial" w:hAnsi="Arial" w:cs="Arial"/>
          <w:sz w:val="20"/>
        </w:rPr>
      </w:pPr>
      <w:r w:rsidRPr="00AF3786">
        <w:rPr>
          <w:rFonts w:ascii="Arial" w:hAnsi="Arial" w:cs="Arial"/>
          <w:sz w:val="20"/>
        </w:rPr>
        <w:t xml:space="preserve">We then </w:t>
      </w:r>
      <w:r w:rsidRPr="00BA5F4E">
        <w:rPr>
          <w:rFonts w:ascii="Arial" w:hAnsi="Arial" w:cs="Arial"/>
          <w:sz w:val="20"/>
        </w:rPr>
        <w:t>performed row-level diagnostics across the 178 replications per judgment. The distribution of row ranges (Fig. S</w:t>
      </w:r>
      <w:r w:rsidR="00BA5F4E" w:rsidRPr="00BA5F4E">
        <w:rPr>
          <w:rFonts w:ascii="Arial" w:hAnsi="Arial" w:cs="Arial"/>
          <w:sz w:val="20"/>
        </w:rPr>
        <w:t>1</w:t>
      </w:r>
      <w:r w:rsidRPr="00BA5F4E">
        <w:rPr>
          <w:rFonts w:ascii="Arial" w:hAnsi="Arial" w:cs="Arial"/>
          <w:sz w:val="20"/>
        </w:rPr>
        <w:t>A) showed both concentration and extremity: 157 rows had range (= 0) (15.1%), 147 had range (= 1) (14.1%), 133 had range (= 2) (12.8%), and 322 had full-scale range (= 7) (31.0%). Intermediate ranges were also frequent (range (= 3): 7.0%; 4: 6.6%; 5: 6.4%; 6: 6.9%). Row-level standard deviations (Fig. S</w:t>
      </w:r>
      <w:r w:rsidR="00BA5F4E" w:rsidRPr="00BA5F4E">
        <w:rPr>
          <w:rFonts w:ascii="Arial" w:hAnsi="Arial" w:cs="Arial"/>
          <w:sz w:val="20"/>
        </w:rPr>
        <w:t>1</w:t>
      </w:r>
      <w:r w:rsidRPr="00BA5F4E">
        <w:rPr>
          <w:rFonts w:ascii="Arial" w:hAnsi="Arial" w:cs="Arial"/>
          <w:sz w:val="20"/>
        </w:rPr>
        <w:t>B) were broad</w:t>
      </w:r>
      <w:r w:rsidRPr="00AF3786">
        <w:rPr>
          <w:rFonts w:ascii="Arial" w:hAnsi="Arial" w:cs="Arial"/>
          <w:sz w:val="20"/>
        </w:rPr>
        <w:t xml:space="preserve">, with median (= 1.6568), interquartile range (= 0.7900) to (2.5934), 5th percentile (= 0.1843), 95th percentile (= 3.2888), minimum (= 0.0408), and maximum (= 3.4986). The minimum score was exactly 0 in 735 of 1,040 rows (70.7%), the maximum score was exactly 7 in 456 rows (43.8%), and both endpoints appeared </w:t>
      </w:r>
      <w:r w:rsidRPr="00AF3786">
        <w:rPr>
          <w:rFonts w:ascii="Arial" w:hAnsi="Arial" w:cs="Arial"/>
          <w:sz w:val="20"/>
        </w:rPr>
        <w:lastRenderedPageBreak/>
        <w:t>jointly in 451 rows (43.4%), confirming that disagreement, when present, was often substantive rather than localized.</w:t>
      </w:r>
    </w:p>
    <w:p w14:paraId="0151E3BA" w14:textId="77777777" w:rsidR="00BA5F4E" w:rsidRDefault="00BA5F4E" w:rsidP="00AF3786">
      <w:pPr>
        <w:spacing w:line="360" w:lineRule="auto"/>
        <w:ind w:firstLine="567"/>
        <w:contextualSpacing/>
        <w:jc w:val="both"/>
        <w:rPr>
          <w:rFonts w:ascii="Arial" w:hAnsi="Arial" w:cs="Arial"/>
          <w:sz w:val="20"/>
        </w:rPr>
      </w:pPr>
    </w:p>
    <w:p w14:paraId="573E7A07" w14:textId="107A74E5" w:rsidR="00BA5F4E" w:rsidRPr="00BA5F4E" w:rsidRDefault="00BA5F4E" w:rsidP="00BA5F4E">
      <w:pPr>
        <w:spacing w:line="360" w:lineRule="auto"/>
        <w:contextualSpacing/>
        <w:jc w:val="center"/>
        <w:rPr>
          <w:rFonts w:ascii="Arial" w:hAnsi="Arial" w:cs="Arial"/>
          <w:b/>
          <w:bCs/>
          <w:sz w:val="20"/>
        </w:rPr>
      </w:pPr>
      <w:r>
        <w:rPr>
          <w:rFonts w:ascii="Arial" w:hAnsi="Arial" w:cs="Arial"/>
          <w:b/>
          <w:bCs/>
          <w:sz w:val="20"/>
        </w:rPr>
        <w:t>Figure</w:t>
      </w:r>
      <w:r w:rsidRPr="00AF3786">
        <w:rPr>
          <w:rFonts w:ascii="Arial" w:hAnsi="Arial" w:cs="Arial"/>
          <w:b/>
          <w:bCs/>
          <w:sz w:val="20"/>
        </w:rPr>
        <w:t xml:space="preserve"> S</w:t>
      </w:r>
      <w:r>
        <w:rPr>
          <w:rFonts w:ascii="Arial" w:hAnsi="Arial" w:cs="Arial"/>
          <w:b/>
          <w:bCs/>
          <w:sz w:val="20"/>
        </w:rPr>
        <w:t>1</w:t>
      </w:r>
      <w:r w:rsidRPr="00AF3786">
        <w:rPr>
          <w:rFonts w:ascii="Arial" w:hAnsi="Arial" w:cs="Arial"/>
          <w:b/>
          <w:bCs/>
          <w:sz w:val="20"/>
        </w:rPr>
        <w:t xml:space="preserve">. </w:t>
      </w:r>
      <w:r>
        <w:rPr>
          <w:rFonts w:ascii="Arial" w:hAnsi="Arial" w:cs="Arial"/>
          <w:b/>
          <w:bCs/>
          <w:sz w:val="20"/>
        </w:rPr>
        <w:t>Diagnostic Summary of Model Replications</w:t>
      </w:r>
    </w:p>
    <w:p w14:paraId="7EEE338B" w14:textId="6CD40D9A" w:rsidR="00BA5F4E" w:rsidRPr="00AF3786" w:rsidRDefault="00BA5F4E" w:rsidP="00BA5F4E">
      <w:pPr>
        <w:spacing w:line="360" w:lineRule="auto"/>
        <w:contextualSpacing/>
        <w:jc w:val="both"/>
        <w:rPr>
          <w:rFonts w:ascii="Arial" w:hAnsi="Arial" w:cs="Arial"/>
          <w:sz w:val="20"/>
        </w:rPr>
      </w:pPr>
      <w:r w:rsidRPr="00BA5F4E">
        <w:rPr>
          <w:rFonts w:ascii="Arial" w:hAnsi="Arial" w:cs="Arial"/>
          <w:noProof/>
          <w:sz w:val="20"/>
        </w:rPr>
        <w:drawing>
          <wp:inline distT="0" distB="0" distL="0" distR="0" wp14:anchorId="1E1ABBFE" wp14:editId="3FFAB83B">
            <wp:extent cx="5438051" cy="3963469"/>
            <wp:effectExtent l="0" t="0" r="0" b="0"/>
            <wp:docPr id="237987059" name="Picture 1" descr="A group of graphs showing different le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87059" name="Picture 1" descr="A group of graphs showing different levels&#10;&#10;AI-generated content may be incorrect."/>
                    <pic:cNvPicPr/>
                  </pic:nvPicPr>
                  <pic:blipFill rotWithShape="1">
                    <a:blip r:embed="rId8"/>
                    <a:srcRect t="4853"/>
                    <a:stretch>
                      <a:fillRect/>
                    </a:stretch>
                  </pic:blipFill>
                  <pic:spPr bwMode="auto">
                    <a:xfrm>
                      <a:off x="0" y="0"/>
                      <a:ext cx="5448337" cy="3970966"/>
                    </a:xfrm>
                    <a:prstGeom prst="rect">
                      <a:avLst/>
                    </a:prstGeom>
                    <a:ln>
                      <a:noFill/>
                    </a:ln>
                    <a:extLst>
                      <a:ext uri="{53640926-AAD7-44D8-BBD7-CCE9431645EC}">
                        <a14:shadowObscured xmlns:a14="http://schemas.microsoft.com/office/drawing/2010/main"/>
                      </a:ext>
                    </a:extLst>
                  </pic:spPr>
                </pic:pic>
              </a:graphicData>
            </a:graphic>
          </wp:inline>
        </w:drawing>
      </w:r>
    </w:p>
    <w:p w14:paraId="1F20D4B7"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A complementary check used all pairwise correlations </w:t>
      </w:r>
      <w:r w:rsidRPr="00BA5F4E">
        <w:rPr>
          <w:rFonts w:ascii="Arial" w:hAnsi="Arial" w:cs="Arial"/>
          <w:sz w:val="20"/>
        </w:rPr>
        <w:t>among replication columns (</w:t>
      </w:r>
      <m:oMath>
        <m:m>
          <m:mPr>
            <m:mcs>
              <m:mc>
                <m:mcPr>
                  <m:count m:val="1"/>
                  <m:mcJc m:val="center"/>
                </m:mcPr>
              </m:mc>
            </m:mcs>
            <m:ctrlPr>
              <w:rPr>
                <w:rFonts w:ascii="Cambria Math" w:hAnsi="Cambria Math" w:cs="Arial"/>
                <w:i/>
                <w:sz w:val="20"/>
              </w:rPr>
            </m:ctrlPr>
          </m:mPr>
          <m:mr>
            <m:e>
              <m:r>
                <w:rPr>
                  <w:rFonts w:ascii="Cambria Math" w:hAnsi="Cambria Math" w:cs="Arial"/>
                  <w:sz w:val="20"/>
                </w:rPr>
                <m:t>178</m:t>
              </m:r>
            </m:e>
          </m:mr>
          <m:mr>
            <m:e>
              <m:r>
                <w:rPr>
                  <w:rFonts w:ascii="Cambria Math" w:hAnsi="Cambria Math" w:cs="Arial"/>
                  <w:sz w:val="20"/>
                </w:rPr>
                <m:t>2</m:t>
              </m:r>
            </m:e>
          </m:mr>
        </m:m>
        <m:r>
          <w:rPr>
            <w:rFonts w:ascii="Cambria Math" w:hAnsi="Cambria Math" w:cs="Arial"/>
            <w:sz w:val="20"/>
          </w:rPr>
          <m:t xml:space="preserve"> </m:t>
        </m:r>
      </m:oMath>
      <w:r w:rsidRPr="00BA5F4E">
        <w:rPr>
          <w:rFonts w:ascii="Arial" w:hAnsi="Arial" w:cs="Arial"/>
          <w:sz w:val="20"/>
        </w:rPr>
        <w:t>= 15,753 pairs). The mean correlation was 0.6370 (SD = 0.1386); m</w:t>
      </w:r>
      <w:proofErr w:type="spellStart"/>
      <w:r w:rsidRPr="00AF3786">
        <w:rPr>
          <w:rFonts w:ascii="Arial" w:hAnsi="Arial" w:cs="Arial"/>
          <w:sz w:val="20"/>
        </w:rPr>
        <w:t>edian</w:t>
      </w:r>
      <w:proofErr w:type="spellEnd"/>
      <w:r w:rsidRPr="00AF3786">
        <w:rPr>
          <w:rFonts w:ascii="Arial" w:hAnsi="Arial" w:cs="Arial"/>
          <w:sz w:val="20"/>
        </w:rPr>
        <w:t xml:space="preserve"> = 0.6506; min = 0.0692; max = 0.9554. The 10th and 90th percentiles were 0.4462 and 0.8150, respectively; the 1st and 99th percentiles were 0.2947 and 0.9079. Most pairs exceeded moderate association thresholds: 77.97% were </w:t>
      </w:r>
      <m:oMath>
        <m:r>
          <w:rPr>
            <w:rFonts w:ascii="Cambria Math" w:hAnsi="Cambria Math" w:cs="Arial"/>
            <w:sz w:val="20"/>
          </w:rPr>
          <m:t xml:space="preserve">≥ </m:t>
        </m:r>
      </m:oMath>
      <w:r w:rsidRPr="00AF3786">
        <w:rPr>
          <w:rFonts w:ascii="Arial" w:hAnsi="Arial" w:cs="Arial"/>
          <w:sz w:val="20"/>
        </w:rPr>
        <w:t xml:space="preserve">0.50, 61.80% were </w:t>
      </w:r>
      <m:oMath>
        <m:r>
          <w:rPr>
            <w:rFonts w:ascii="Cambria Math" w:hAnsi="Cambria Math" w:cs="Arial"/>
            <w:sz w:val="20"/>
          </w:rPr>
          <m:t>≥</m:t>
        </m:r>
      </m:oMath>
      <w:r w:rsidRPr="00AF3786">
        <w:rPr>
          <w:rFonts w:ascii="Arial" w:hAnsi="Arial" w:cs="Arial"/>
          <w:sz w:val="20"/>
        </w:rPr>
        <w:t xml:space="preserve"> 0.60, 40.42% were </w:t>
      </w:r>
      <m:oMath>
        <m:r>
          <w:rPr>
            <w:rFonts w:ascii="Cambria Math" w:hAnsi="Cambria Math" w:cs="Arial"/>
            <w:sz w:val="20"/>
          </w:rPr>
          <m:t xml:space="preserve">≥ </m:t>
        </m:r>
      </m:oMath>
      <w:r w:rsidRPr="00AF3786">
        <w:rPr>
          <w:rFonts w:ascii="Arial" w:hAnsi="Arial" w:cs="Arial"/>
          <w:sz w:val="20"/>
        </w:rPr>
        <w:t xml:space="preserve">0.70, and 12.35% were </w:t>
      </w:r>
      <m:oMath>
        <m:r>
          <w:rPr>
            <w:rFonts w:ascii="Cambria Math" w:hAnsi="Cambria Math" w:cs="Arial"/>
            <w:sz w:val="20"/>
          </w:rPr>
          <m:t xml:space="preserve">≥ </m:t>
        </m:r>
      </m:oMath>
      <w:r w:rsidRPr="00AF3786">
        <w:rPr>
          <w:rFonts w:ascii="Arial" w:hAnsi="Arial" w:cs="Arial"/>
          <w:sz w:val="20"/>
        </w:rPr>
        <w:t>0.80. Only 6.85% fell below 0.40.</w:t>
      </w:r>
    </w:p>
    <w:p w14:paraId="498D3663" w14:textId="7F90006F"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Finally, we estimated split-half reliability by random partitioning of replication columns over 1,000 iterations and applying Spearman–Brown correction. The corrected </w:t>
      </w:r>
      <w:r w:rsidRPr="00BA5F4E">
        <w:rPr>
          <w:rFonts w:ascii="Arial" w:hAnsi="Arial" w:cs="Arial"/>
          <w:sz w:val="20"/>
        </w:rPr>
        <w:t>coefficients (Fig. S</w:t>
      </w:r>
      <w:r w:rsidR="00BA5F4E" w:rsidRPr="00BA5F4E">
        <w:rPr>
          <w:rFonts w:ascii="Arial" w:hAnsi="Arial" w:cs="Arial"/>
          <w:sz w:val="20"/>
        </w:rPr>
        <w:t>1</w:t>
      </w:r>
      <w:r w:rsidRPr="00BA5F4E">
        <w:rPr>
          <w:rFonts w:ascii="Arial" w:hAnsi="Arial" w:cs="Arial"/>
          <w:sz w:val="20"/>
        </w:rPr>
        <w:t>C)</w:t>
      </w:r>
      <w:r w:rsidRPr="00AF3786">
        <w:rPr>
          <w:rFonts w:ascii="Arial" w:hAnsi="Arial" w:cs="Arial"/>
          <w:sz w:val="20"/>
        </w:rPr>
        <w:t xml:space="preserve"> were extremely high and tightly distributed: mean = 0.9956, SD = 0.0010, median = 0.9958, minimum = 0.9868, maximum = 0.9979. Quantiles remained high throughout (5th percentile =0.9938, 95th percentile = 0.9968, 99th percentile = 0.9971); 99.7% of iterations were at least 0.99, and all iterations exceeded 0.98. This confirms that the reliability conclusions are not sensitive to a specific subset of replications and that the observed structure is stable under random partitioning.</w:t>
      </w:r>
    </w:p>
    <w:p w14:paraId="496C5FDD"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lastRenderedPageBreak/>
        <w:t>Together, these diagnostics show a coherent pattern: substantial single-replication agreement, near-ceiling reliability under aggregation, controlled heterogeneity across agents and items, and strong stability under both pairwise and split-half checks.</w:t>
      </w:r>
    </w:p>
    <w:p w14:paraId="5DA66A57" w14:textId="77777777" w:rsidR="00AF3786" w:rsidRPr="00AF3786" w:rsidRDefault="00AF3786" w:rsidP="00AF3786">
      <w:pPr>
        <w:spacing w:line="360" w:lineRule="auto"/>
        <w:ind w:firstLine="567"/>
        <w:contextualSpacing/>
        <w:jc w:val="both"/>
        <w:rPr>
          <w:rFonts w:ascii="Arial" w:hAnsi="Arial" w:cs="Arial"/>
          <w:sz w:val="20"/>
        </w:rPr>
      </w:pPr>
    </w:p>
    <w:p w14:paraId="544A6944" w14:textId="77777777" w:rsidR="00AF3786" w:rsidRPr="00AF3786" w:rsidRDefault="00AF3786" w:rsidP="00AF3786">
      <w:pPr>
        <w:spacing w:line="360" w:lineRule="auto"/>
        <w:contextualSpacing/>
        <w:jc w:val="both"/>
        <w:outlineLvl w:val="2"/>
        <w:rPr>
          <w:rFonts w:ascii="Arial" w:hAnsi="Arial" w:cs="Arial"/>
          <w:b/>
          <w:bCs/>
          <w:sz w:val="22"/>
        </w:rPr>
      </w:pPr>
      <w:r w:rsidRPr="00AF3786">
        <w:rPr>
          <w:rFonts w:ascii="Arial" w:hAnsi="Arial" w:cs="Arial"/>
          <w:b/>
          <w:bCs/>
          <w:sz w:val="22"/>
        </w:rPr>
        <w:t>SI3. Dimensionality, loading structure, and rotation robustness</w:t>
      </w:r>
    </w:p>
    <w:p w14:paraId="45B5317E" w14:textId="384C0D3E" w:rsid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To assess the latent structure of the judgment space, we estimated principal components and evaluated dimensional retention using a 95th percentile parallel criterion</w:t>
      </w:r>
      <w:r w:rsidR="00627225">
        <w:rPr>
          <w:rFonts w:ascii="Arial" w:hAnsi="Arial" w:cs="Arial"/>
          <w:sz w:val="20"/>
        </w:rPr>
        <w:t xml:space="preserve"> </w:t>
      </w:r>
      <w:r w:rsidR="00627225">
        <w:rPr>
          <w:rFonts w:ascii="Arial" w:hAnsi="Arial" w:cs="Arial"/>
          <w:sz w:val="20"/>
        </w:rPr>
        <w:fldChar w:fldCharType="begin"/>
      </w:r>
      <w:r w:rsidR="00627225">
        <w:rPr>
          <w:rFonts w:ascii="Arial" w:hAnsi="Arial" w:cs="Arial"/>
          <w:sz w:val="20"/>
        </w:rPr>
        <w:instrText xml:space="preserve"> ADDIN ZOTERO_ITEM CSL_CITATION {"citationID":"zDVoIb8n","properties":{"formattedCitation":"(Lim &amp; Jahng, 2019)","plainCitation":"(Lim &amp; Jahng, 2019)","noteIndex":0},"citationItems":[{"id":387,"uris":["http://zotero.org/users/17689459/items/NSLKQ43K"],"itemData":{"id":387,"type":"article-journal","abstract":"Parallel analysis (PA) is recommended as one of the best procedures to determine the number of factors but its theoretical justification has long been questioned. The current study discussed theoretical issues on the use of eigenvalues for dimensionality assessment and reviewed the development of PA and its recent variants proposed to address the issues. The performances of 13 different PAs including PA with minimum rank factor analysis, revised PA, and comparison data method were investigated through a Monte Carlo simulation under a wide range of factor structures that produce small factor-representing and nonrepresenting eigenvalues for different types of measurement scales. Results showed that the traditional PA using full correlation matrices performed best in most of the conditions, especially when population error was involved. However, the overall accuracy of PA was not satisfactory when factor-representing eigenvalues were small, that is, when factor loadings were low and factor correlations were high. From these results, we suggest that the original PA be used to determine the number of factors but the estimated number should not be taken as a fixed estimate. The number of factors within ±1 range of the estimate can be considered as viable candidates and interpretational validity of the competing models should be consulted for the decision. (PsycInfo Database Record (c) 2025 APA, all rights reserved)","container-title":"Psychological Methods","DOI":"10.1037/met0000230","ISSN":"1939-1463","issue":"4","note":"publisher-place: US\npublisher: American Psychological Association","page":"452-467","source":"APA PsycNet","title":"Determining the number of factors using parallel analysis and its recent variants","volume":"24","author":[{"family":"Lim","given":"Sangdon"},{"family":"Jahng","given":"Seungmin"}],"issued":{"date-parts":[["2019"]]}}}],"schema":"https://github.com/citation-style-language/schema/raw/master/csl-citation.json"} </w:instrText>
      </w:r>
      <w:r w:rsidR="00627225">
        <w:rPr>
          <w:rFonts w:ascii="Arial" w:hAnsi="Arial" w:cs="Arial"/>
          <w:sz w:val="20"/>
        </w:rPr>
        <w:fldChar w:fldCharType="separate"/>
      </w:r>
      <w:r w:rsidR="00627225">
        <w:rPr>
          <w:rFonts w:ascii="Arial" w:hAnsi="Arial" w:cs="Arial"/>
          <w:noProof/>
          <w:sz w:val="20"/>
        </w:rPr>
        <w:t>(Lim &amp; Jahng, 2019)</w:t>
      </w:r>
      <w:r w:rsidR="00627225">
        <w:rPr>
          <w:rFonts w:ascii="Arial" w:hAnsi="Arial" w:cs="Arial"/>
          <w:sz w:val="20"/>
        </w:rPr>
        <w:fldChar w:fldCharType="end"/>
      </w:r>
      <w:r w:rsidR="00627225">
        <w:rPr>
          <w:rFonts w:ascii="Arial" w:hAnsi="Arial" w:cs="Arial"/>
          <w:sz w:val="20"/>
        </w:rPr>
        <w:t>, as shown</w:t>
      </w:r>
      <w:r w:rsidR="00A76BDB">
        <w:rPr>
          <w:rFonts w:ascii="Arial" w:hAnsi="Arial" w:cs="Arial"/>
          <w:sz w:val="20"/>
        </w:rPr>
        <w:t xml:space="preserve"> </w:t>
      </w:r>
      <w:r w:rsidR="00627225">
        <w:rPr>
          <w:rFonts w:ascii="Arial" w:hAnsi="Arial" w:cs="Arial"/>
          <w:sz w:val="20"/>
        </w:rPr>
        <w:t xml:space="preserve">in </w:t>
      </w:r>
      <w:r w:rsidR="00A76BDB">
        <w:rPr>
          <w:rFonts w:ascii="Arial" w:hAnsi="Arial" w:cs="Arial"/>
          <w:sz w:val="20"/>
        </w:rPr>
        <w:t>tables S3A and S3B</w:t>
      </w:r>
      <w:r w:rsidRPr="00AF3786">
        <w:rPr>
          <w:rFonts w:ascii="Arial" w:hAnsi="Arial" w:cs="Arial"/>
          <w:sz w:val="20"/>
        </w:rPr>
        <w:t xml:space="preserve">. The eigenvalue spectrum showed a strong dominant first component (37.320), followed by a steep drop to component 2 (10.012), and then a gradual tail (component 3 = 4.341; component 4 = 2.835; component 5 = 1.374). As </w:t>
      </w:r>
      <w:r w:rsidRPr="00BA5F4E">
        <w:rPr>
          <w:rFonts w:ascii="Arial" w:hAnsi="Arial" w:cs="Arial"/>
          <w:sz w:val="20"/>
        </w:rPr>
        <w:t>shown in Fig. S</w:t>
      </w:r>
      <w:r w:rsidR="00BA5F4E" w:rsidRPr="00BA5F4E">
        <w:rPr>
          <w:rFonts w:ascii="Arial" w:hAnsi="Arial" w:cs="Arial"/>
          <w:sz w:val="20"/>
        </w:rPr>
        <w:t>2</w:t>
      </w:r>
      <w:r w:rsidRPr="00BA5F4E">
        <w:rPr>
          <w:rFonts w:ascii="Arial" w:hAnsi="Arial" w:cs="Arial"/>
          <w:sz w:val="20"/>
        </w:rPr>
        <w:t>, the</w:t>
      </w:r>
      <w:r w:rsidRPr="00AF3786">
        <w:rPr>
          <w:rFonts w:ascii="Arial" w:hAnsi="Arial" w:cs="Arial"/>
          <w:sz w:val="20"/>
        </w:rPr>
        <w:t xml:space="preserve"> elbow occurs at the transition between the fourth and fifth components, and separation from the simulated reference distribution is no longer present after component 4</w:t>
      </w:r>
      <w:r w:rsidR="00627225">
        <w:rPr>
          <w:rFonts w:ascii="Arial" w:hAnsi="Arial" w:cs="Arial"/>
          <w:sz w:val="20"/>
        </w:rPr>
        <w:t xml:space="preserve"> </w:t>
      </w:r>
      <w:r w:rsidR="00627225">
        <w:rPr>
          <w:rFonts w:ascii="Arial" w:hAnsi="Arial" w:cs="Arial"/>
          <w:sz w:val="20"/>
        </w:rPr>
        <w:fldChar w:fldCharType="begin"/>
      </w:r>
      <w:r w:rsidR="00627225">
        <w:rPr>
          <w:rFonts w:ascii="Arial" w:hAnsi="Arial" w:cs="Arial"/>
          <w:sz w:val="20"/>
        </w:rPr>
        <w:instrText xml:space="preserve"> ADDIN ZOTERO_ITEM CSL_CITATION {"citationID":"8sPbwwVk","properties":{"formattedCitation":"(Auerswald &amp; Moshagen, 2019)","plainCitation":"(Auerswald &amp; Moshagen, 2019)","noteIndex":0},"citationItems":[{"id":402,"uris":["http://zotero.org/users/17689459/items/5PTZI5Y4"],"itemData":{"id":402,"type":"article-journal","abstract":"Exploratory factor analyses are commonly used to determine the underlying factors of multiple observed variables. Many criteria have been suggested to determine how many factors should be retained. In this study, we present an extensive Monte Carlo simulation to investigate the performance of extraction criteria under varying sample sizes, numbers of indicators per factor, loading magnitudes, underlying multivariate distributions of observed variables, as well as how the performance of the extraction criteria are influenced by the presence of cross-loadings and minor factors for unidimensional, orthogonal, and correlated factor models. We compared several variants of traditional parallel analysis (PA), the Kaiser-Guttman Criterion, and sequential χ2 model tests (SMT) with 4 recently suggested methods: revised PA, comparison data (CD), the Hull method, and the Empirical Kaiser Criterion (EKC). No single extraction criterion performed best for every factor model. In unidimensional and orthogonal models, traditional PA, EKC, and Hull consistently displayed high hit rates even in small samples. Models with correlated factors were more challenging, where CD and SMT outperformed other methods, especially for shorter scales. Whereas the presence of cross-loadings generally increased accuracy, non-normality had virtually no effect on most criteria. We suggest researchers use a combination of SMT and either Hull, the EKC, or traditional PA, because the number of factors was almost always correctly retrieved if those methods converged. When the results of this combination rule are inconclusive, traditional PA, CD, and the EKC performed comparatively well. However, disagreement also suggests that factors will be harder to detect, increasing sample size requirements to N ≥ 500. (PsycInfo Database Record (c) 2025 APA, all rights reserved)","container-title":"Psychological Methods","DOI":"10.1037/met0000200","ISSN":"1939-1463","issue":"4","note":"publisher-place: US\npublisher: American Psychological Association","page":"468-491","source":"APA PsycNet","title":"How to determine the number of factors to retain in exploratory factor analysis: A comparison of extraction methods under realistic conditions","title-short":"How to determine the number of factors to retain in exploratory factor analysis","volume":"24","author":[{"family":"Auerswald","given":"Max"},{"family":"Moshagen","given":"Morten"}],"issued":{"date-parts":[["2019"]]}}}],"schema":"https://github.com/citation-style-language/schema/raw/master/csl-citation.json"} </w:instrText>
      </w:r>
      <w:r w:rsidR="00627225">
        <w:rPr>
          <w:rFonts w:ascii="Arial" w:hAnsi="Arial" w:cs="Arial"/>
          <w:sz w:val="20"/>
        </w:rPr>
        <w:fldChar w:fldCharType="separate"/>
      </w:r>
      <w:r w:rsidR="00627225">
        <w:rPr>
          <w:rFonts w:ascii="Arial" w:hAnsi="Arial" w:cs="Arial"/>
          <w:noProof/>
          <w:sz w:val="20"/>
        </w:rPr>
        <w:t>(Auerswald &amp; Moshagen, 2019)</w:t>
      </w:r>
      <w:r w:rsidR="00627225">
        <w:rPr>
          <w:rFonts w:ascii="Arial" w:hAnsi="Arial" w:cs="Arial"/>
          <w:sz w:val="20"/>
        </w:rPr>
        <w:fldChar w:fldCharType="end"/>
      </w:r>
      <w:r w:rsidRPr="00AF3786">
        <w:rPr>
          <w:rFonts w:ascii="Arial" w:hAnsi="Arial" w:cs="Arial"/>
          <w:sz w:val="20"/>
        </w:rPr>
        <w:t>.</w:t>
      </w:r>
    </w:p>
    <w:p w14:paraId="11E7B643" w14:textId="77777777" w:rsidR="00BA5F4E" w:rsidRDefault="00BA5F4E" w:rsidP="00AF3786">
      <w:pPr>
        <w:spacing w:line="360" w:lineRule="auto"/>
        <w:ind w:firstLine="567"/>
        <w:contextualSpacing/>
        <w:jc w:val="both"/>
        <w:rPr>
          <w:rFonts w:ascii="Arial" w:hAnsi="Arial" w:cs="Arial"/>
          <w:sz w:val="20"/>
        </w:rPr>
      </w:pPr>
    </w:p>
    <w:p w14:paraId="5929752F" w14:textId="2B3E41D8" w:rsidR="00BA5F4E" w:rsidRPr="00BA5F4E" w:rsidRDefault="00BA5F4E" w:rsidP="00BA5F4E">
      <w:pPr>
        <w:spacing w:line="360" w:lineRule="auto"/>
        <w:contextualSpacing/>
        <w:jc w:val="center"/>
        <w:rPr>
          <w:rFonts w:ascii="Arial" w:hAnsi="Arial" w:cs="Arial"/>
          <w:b/>
          <w:bCs/>
          <w:sz w:val="20"/>
        </w:rPr>
      </w:pPr>
      <w:r>
        <w:rPr>
          <w:rFonts w:ascii="Arial" w:hAnsi="Arial" w:cs="Arial"/>
          <w:b/>
          <w:bCs/>
          <w:sz w:val="20"/>
        </w:rPr>
        <w:t>Figure</w:t>
      </w:r>
      <w:r w:rsidRPr="00AF3786">
        <w:rPr>
          <w:rFonts w:ascii="Arial" w:hAnsi="Arial" w:cs="Arial"/>
          <w:b/>
          <w:bCs/>
          <w:sz w:val="20"/>
        </w:rPr>
        <w:t xml:space="preserve"> S</w:t>
      </w:r>
      <w:r>
        <w:rPr>
          <w:rFonts w:ascii="Arial" w:hAnsi="Arial" w:cs="Arial"/>
          <w:b/>
          <w:bCs/>
          <w:sz w:val="20"/>
        </w:rPr>
        <w:t>2</w:t>
      </w:r>
      <w:r w:rsidRPr="00AF3786">
        <w:rPr>
          <w:rFonts w:ascii="Arial" w:hAnsi="Arial" w:cs="Arial"/>
          <w:b/>
          <w:bCs/>
          <w:sz w:val="20"/>
        </w:rPr>
        <w:t xml:space="preserve">. </w:t>
      </w:r>
      <w:r>
        <w:rPr>
          <w:rFonts w:ascii="Arial" w:hAnsi="Arial" w:cs="Arial"/>
          <w:b/>
          <w:bCs/>
          <w:sz w:val="20"/>
        </w:rPr>
        <w:t>First 20 Principal Components</w:t>
      </w:r>
    </w:p>
    <w:p w14:paraId="543478E0" w14:textId="376FC275" w:rsidR="00BA5F4E" w:rsidRDefault="00BA5F4E" w:rsidP="00AF3786">
      <w:pPr>
        <w:spacing w:line="360" w:lineRule="auto"/>
        <w:ind w:firstLine="567"/>
        <w:contextualSpacing/>
        <w:jc w:val="both"/>
        <w:rPr>
          <w:rFonts w:ascii="Arial" w:hAnsi="Arial" w:cs="Arial"/>
          <w:sz w:val="20"/>
        </w:rPr>
      </w:pPr>
      <w:r w:rsidRPr="00BA5F4E">
        <w:rPr>
          <w:rFonts w:ascii="Arial" w:hAnsi="Arial" w:cs="Arial"/>
          <w:noProof/>
          <w:sz w:val="20"/>
        </w:rPr>
        <w:drawing>
          <wp:inline distT="0" distB="0" distL="0" distR="0" wp14:anchorId="5583C710" wp14:editId="10691B05">
            <wp:extent cx="4737100" cy="3416167"/>
            <wp:effectExtent l="0" t="0" r="0" b="635"/>
            <wp:docPr id="145840799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07992" name="Picture 1" descr="A graph with a line&#10;&#10;AI-generated content may be incorrect."/>
                    <pic:cNvPicPr/>
                  </pic:nvPicPr>
                  <pic:blipFill rotWithShape="1">
                    <a:blip r:embed="rId9"/>
                    <a:srcRect t="8507"/>
                    <a:stretch>
                      <a:fillRect/>
                    </a:stretch>
                  </pic:blipFill>
                  <pic:spPr bwMode="auto">
                    <a:xfrm>
                      <a:off x="0" y="0"/>
                      <a:ext cx="4737100" cy="3416167"/>
                    </a:xfrm>
                    <a:prstGeom prst="rect">
                      <a:avLst/>
                    </a:prstGeom>
                    <a:ln>
                      <a:noFill/>
                    </a:ln>
                    <a:extLst>
                      <a:ext uri="{53640926-AAD7-44D8-BBD7-CCE9431645EC}">
                        <a14:shadowObscured xmlns:a14="http://schemas.microsoft.com/office/drawing/2010/main"/>
                      </a:ext>
                    </a:extLst>
                  </pic:spPr>
                </pic:pic>
              </a:graphicData>
            </a:graphic>
          </wp:inline>
        </w:drawing>
      </w:r>
    </w:p>
    <w:p w14:paraId="49EF8EB7" w14:textId="77777777" w:rsidR="00BA5F4E" w:rsidRPr="00AF3786" w:rsidRDefault="00BA5F4E" w:rsidP="00AF3786">
      <w:pPr>
        <w:spacing w:line="360" w:lineRule="auto"/>
        <w:ind w:firstLine="567"/>
        <w:contextualSpacing/>
        <w:jc w:val="both"/>
        <w:rPr>
          <w:rFonts w:ascii="Arial" w:hAnsi="Arial" w:cs="Arial"/>
          <w:sz w:val="20"/>
        </w:rPr>
      </w:pPr>
    </w:p>
    <w:p w14:paraId="533875CE" w14:textId="0A029611" w:rsid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The first four components explained 81.335% of total variance (57.415% + 15.403% + 6.679% + 1.839%). The fifth component increased cumulative explained variance to 83.449%, and although it remained above the Kaiser threshold (&gt;1), it did not exceed the parallel-analysis cutoff. We therefore treated the fifth dimension as borderline and used it only in sensitivity checks.</w:t>
      </w:r>
    </w:p>
    <w:p w14:paraId="4D3EF0A4" w14:textId="77777777" w:rsidR="00BA5F4E" w:rsidRDefault="00BA5F4E" w:rsidP="00AF3786">
      <w:pPr>
        <w:spacing w:line="360" w:lineRule="auto"/>
        <w:ind w:firstLine="567"/>
        <w:contextualSpacing/>
        <w:jc w:val="both"/>
        <w:rPr>
          <w:rFonts w:ascii="Arial" w:hAnsi="Arial" w:cs="Arial"/>
          <w:sz w:val="20"/>
        </w:rPr>
      </w:pPr>
    </w:p>
    <w:p w14:paraId="37075ACE" w14:textId="77777777" w:rsidR="00BA5F4E" w:rsidRDefault="00BA5F4E" w:rsidP="00AF3786">
      <w:pPr>
        <w:spacing w:line="360" w:lineRule="auto"/>
        <w:ind w:firstLine="567"/>
        <w:contextualSpacing/>
        <w:jc w:val="both"/>
        <w:rPr>
          <w:rFonts w:ascii="Arial" w:hAnsi="Arial" w:cs="Arial"/>
          <w:sz w:val="20"/>
        </w:rPr>
      </w:pPr>
    </w:p>
    <w:p w14:paraId="406DAD91" w14:textId="77777777" w:rsidR="00BA5F4E" w:rsidRDefault="00BA5F4E" w:rsidP="00AF3786">
      <w:pPr>
        <w:spacing w:line="360" w:lineRule="auto"/>
        <w:ind w:firstLine="567"/>
        <w:contextualSpacing/>
        <w:jc w:val="both"/>
        <w:rPr>
          <w:rFonts w:ascii="Arial" w:hAnsi="Arial" w:cs="Arial"/>
          <w:sz w:val="20"/>
        </w:rPr>
      </w:pPr>
    </w:p>
    <w:p w14:paraId="37819507" w14:textId="77777777" w:rsidR="00BA5F4E" w:rsidRDefault="00BA5F4E" w:rsidP="00AF3786">
      <w:pPr>
        <w:spacing w:line="360" w:lineRule="auto"/>
        <w:ind w:firstLine="567"/>
        <w:contextualSpacing/>
        <w:jc w:val="both"/>
        <w:rPr>
          <w:rFonts w:ascii="Arial" w:hAnsi="Arial" w:cs="Arial"/>
          <w:sz w:val="20"/>
        </w:rPr>
      </w:pPr>
    </w:p>
    <w:p w14:paraId="6787293E" w14:textId="77777777" w:rsidR="00BA5F4E" w:rsidRDefault="00BA5F4E" w:rsidP="00AF3786">
      <w:pPr>
        <w:spacing w:line="360" w:lineRule="auto"/>
        <w:ind w:firstLine="567"/>
        <w:contextualSpacing/>
        <w:jc w:val="both"/>
        <w:rPr>
          <w:rFonts w:ascii="Arial" w:hAnsi="Arial" w:cs="Arial"/>
          <w:sz w:val="20"/>
        </w:rPr>
      </w:pPr>
    </w:p>
    <w:p w14:paraId="380C412B" w14:textId="77777777" w:rsidR="00AF3786" w:rsidRPr="00AF3786" w:rsidRDefault="00AF3786" w:rsidP="00AF3786">
      <w:pPr>
        <w:spacing w:line="360" w:lineRule="auto"/>
        <w:ind w:firstLine="567"/>
        <w:contextualSpacing/>
        <w:jc w:val="both"/>
        <w:rPr>
          <w:rFonts w:ascii="Arial" w:hAnsi="Arial" w:cs="Arial"/>
          <w:sz w:val="20"/>
        </w:rPr>
      </w:pPr>
    </w:p>
    <w:p w14:paraId="492CE696" w14:textId="77777777" w:rsidR="00AF3786" w:rsidRPr="00AF3786" w:rsidRDefault="00AF3786" w:rsidP="00AF3786">
      <w:pPr>
        <w:spacing w:line="360" w:lineRule="auto"/>
        <w:contextualSpacing/>
        <w:jc w:val="center"/>
        <w:outlineLvl w:val="3"/>
        <w:rPr>
          <w:rFonts w:ascii="Arial" w:hAnsi="Arial" w:cs="Arial"/>
          <w:b/>
          <w:bCs/>
          <w:sz w:val="20"/>
        </w:rPr>
      </w:pPr>
      <w:r w:rsidRPr="00AF3786">
        <w:rPr>
          <w:rFonts w:ascii="Arial" w:hAnsi="Arial" w:cs="Arial"/>
          <w:b/>
          <w:bCs/>
          <w:sz w:val="20"/>
        </w:rPr>
        <w:t>Table S3A. PCA and parallel-analysis retention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gridCol w:w="1242"/>
        <w:gridCol w:w="1238"/>
        <w:gridCol w:w="1266"/>
        <w:gridCol w:w="1193"/>
        <w:gridCol w:w="1173"/>
        <w:gridCol w:w="1341"/>
      </w:tblGrid>
      <w:tr w:rsidR="00AF3786" w:rsidRPr="00AF3786" w14:paraId="1803CCEF" w14:textId="77777777" w:rsidTr="00AF3786">
        <w:trPr>
          <w:tblHeader/>
          <w:tblCellSpacing w:w="15" w:type="dxa"/>
        </w:trPr>
        <w:tc>
          <w:tcPr>
            <w:tcW w:w="0" w:type="auto"/>
            <w:tcBorders>
              <w:bottom w:val="double" w:sz="4" w:space="0" w:color="auto"/>
            </w:tcBorders>
            <w:vAlign w:val="center"/>
            <w:hideMark/>
          </w:tcPr>
          <w:p w14:paraId="5A96EBC5"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Component</w:t>
            </w:r>
          </w:p>
        </w:tc>
        <w:tc>
          <w:tcPr>
            <w:tcW w:w="0" w:type="auto"/>
            <w:tcBorders>
              <w:bottom w:val="double" w:sz="4" w:space="0" w:color="auto"/>
            </w:tcBorders>
            <w:vAlign w:val="center"/>
            <w:hideMark/>
          </w:tcPr>
          <w:p w14:paraId="6ADFD841"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Observed eigenvalue</w:t>
            </w:r>
          </w:p>
        </w:tc>
        <w:tc>
          <w:tcPr>
            <w:tcW w:w="0" w:type="auto"/>
            <w:tcBorders>
              <w:bottom w:val="double" w:sz="4" w:space="0" w:color="auto"/>
            </w:tcBorders>
            <w:vAlign w:val="center"/>
            <w:hideMark/>
          </w:tcPr>
          <w:p w14:paraId="287820D6"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Simulated 95th percentile</w:t>
            </w:r>
          </w:p>
        </w:tc>
        <w:tc>
          <w:tcPr>
            <w:tcW w:w="0" w:type="auto"/>
            <w:tcBorders>
              <w:bottom w:val="double" w:sz="4" w:space="0" w:color="auto"/>
            </w:tcBorders>
            <w:vAlign w:val="center"/>
            <w:hideMark/>
          </w:tcPr>
          <w:p w14:paraId="239088E3"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Delta (Observed − Sim95)</w:t>
            </w:r>
          </w:p>
        </w:tc>
        <w:tc>
          <w:tcPr>
            <w:tcW w:w="0" w:type="auto"/>
            <w:tcBorders>
              <w:bottom w:val="double" w:sz="4" w:space="0" w:color="auto"/>
            </w:tcBorders>
            <w:vAlign w:val="center"/>
            <w:hideMark/>
          </w:tcPr>
          <w:p w14:paraId="7AE02974"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Retained by parallel criterion</w:t>
            </w:r>
          </w:p>
        </w:tc>
        <w:tc>
          <w:tcPr>
            <w:tcW w:w="0" w:type="auto"/>
            <w:tcBorders>
              <w:bottom w:val="double" w:sz="4" w:space="0" w:color="auto"/>
            </w:tcBorders>
            <w:vAlign w:val="center"/>
            <w:hideMark/>
          </w:tcPr>
          <w:p w14:paraId="04A341CD"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Variance explained (%)</w:t>
            </w:r>
          </w:p>
        </w:tc>
        <w:tc>
          <w:tcPr>
            <w:tcW w:w="0" w:type="auto"/>
            <w:tcBorders>
              <w:bottom w:val="double" w:sz="4" w:space="0" w:color="auto"/>
            </w:tcBorders>
            <w:vAlign w:val="center"/>
            <w:hideMark/>
          </w:tcPr>
          <w:p w14:paraId="0620164A"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Cumulative variance (%)</w:t>
            </w:r>
          </w:p>
        </w:tc>
      </w:tr>
      <w:tr w:rsidR="00AF3786" w:rsidRPr="00AF3786" w14:paraId="539827F3" w14:textId="77777777" w:rsidTr="00AF3786">
        <w:trPr>
          <w:tblCellSpacing w:w="15" w:type="dxa"/>
        </w:trPr>
        <w:tc>
          <w:tcPr>
            <w:tcW w:w="0" w:type="auto"/>
            <w:vAlign w:val="center"/>
            <w:hideMark/>
          </w:tcPr>
          <w:p w14:paraId="64D99B34" w14:textId="77777777" w:rsidR="00AF3786" w:rsidRPr="00AF3786" w:rsidRDefault="00AF3786" w:rsidP="00AF3786">
            <w:pPr>
              <w:contextualSpacing/>
              <w:jc w:val="center"/>
              <w:rPr>
                <w:rFonts w:ascii="Arial" w:hAnsi="Arial" w:cs="Arial"/>
                <w:sz w:val="20"/>
              </w:rPr>
            </w:pPr>
            <w:r w:rsidRPr="00AF3786">
              <w:rPr>
                <w:rFonts w:ascii="Arial" w:hAnsi="Arial" w:cs="Arial"/>
                <w:sz w:val="20"/>
              </w:rPr>
              <w:t>1</w:t>
            </w:r>
          </w:p>
        </w:tc>
        <w:tc>
          <w:tcPr>
            <w:tcW w:w="0" w:type="auto"/>
            <w:vAlign w:val="center"/>
            <w:hideMark/>
          </w:tcPr>
          <w:p w14:paraId="0B240471" w14:textId="77777777" w:rsidR="00AF3786" w:rsidRPr="00AF3786" w:rsidRDefault="00AF3786" w:rsidP="00AF3786">
            <w:pPr>
              <w:contextualSpacing/>
              <w:jc w:val="center"/>
              <w:rPr>
                <w:rFonts w:ascii="Arial" w:hAnsi="Arial" w:cs="Arial"/>
                <w:sz w:val="20"/>
              </w:rPr>
            </w:pPr>
            <w:r w:rsidRPr="00AF3786">
              <w:rPr>
                <w:rFonts w:ascii="Arial" w:hAnsi="Arial" w:cs="Arial"/>
                <w:sz w:val="20"/>
              </w:rPr>
              <w:t>37.3197</w:t>
            </w:r>
          </w:p>
        </w:tc>
        <w:tc>
          <w:tcPr>
            <w:tcW w:w="0" w:type="auto"/>
            <w:vAlign w:val="center"/>
            <w:hideMark/>
          </w:tcPr>
          <w:p w14:paraId="7FCB21C3" w14:textId="77777777" w:rsidR="00AF3786" w:rsidRPr="00AF3786" w:rsidRDefault="00AF3786" w:rsidP="00AF3786">
            <w:pPr>
              <w:contextualSpacing/>
              <w:jc w:val="center"/>
              <w:rPr>
                <w:rFonts w:ascii="Arial" w:hAnsi="Arial" w:cs="Arial"/>
                <w:sz w:val="20"/>
              </w:rPr>
            </w:pPr>
            <w:r w:rsidRPr="00AF3786">
              <w:rPr>
                <w:rFonts w:ascii="Arial" w:hAnsi="Arial" w:cs="Arial"/>
                <w:sz w:val="20"/>
              </w:rPr>
              <w:t>2.0846</w:t>
            </w:r>
          </w:p>
        </w:tc>
        <w:tc>
          <w:tcPr>
            <w:tcW w:w="0" w:type="auto"/>
            <w:vAlign w:val="center"/>
            <w:hideMark/>
          </w:tcPr>
          <w:p w14:paraId="2EDB3751" w14:textId="77777777" w:rsidR="00AF3786" w:rsidRPr="00AF3786" w:rsidRDefault="00AF3786" w:rsidP="00AF3786">
            <w:pPr>
              <w:contextualSpacing/>
              <w:jc w:val="center"/>
              <w:rPr>
                <w:rFonts w:ascii="Arial" w:hAnsi="Arial" w:cs="Arial"/>
                <w:sz w:val="20"/>
              </w:rPr>
            </w:pPr>
            <w:r w:rsidRPr="00AF3786">
              <w:rPr>
                <w:rFonts w:ascii="Arial" w:hAnsi="Arial" w:cs="Arial"/>
                <w:sz w:val="20"/>
              </w:rPr>
              <w:t>35.2352</w:t>
            </w:r>
          </w:p>
        </w:tc>
        <w:tc>
          <w:tcPr>
            <w:tcW w:w="0" w:type="auto"/>
            <w:vAlign w:val="center"/>
            <w:hideMark/>
          </w:tcPr>
          <w:p w14:paraId="2AE5F379" w14:textId="77777777" w:rsidR="00AF3786" w:rsidRPr="00AF3786" w:rsidRDefault="00AF3786" w:rsidP="00AF3786">
            <w:pPr>
              <w:contextualSpacing/>
              <w:jc w:val="center"/>
              <w:rPr>
                <w:rFonts w:ascii="Arial" w:hAnsi="Arial" w:cs="Arial"/>
                <w:sz w:val="20"/>
              </w:rPr>
            </w:pPr>
            <w:r w:rsidRPr="00AF3786">
              <w:rPr>
                <w:rFonts w:ascii="Arial" w:hAnsi="Arial" w:cs="Arial"/>
                <w:sz w:val="20"/>
              </w:rPr>
              <w:t>TRUE</w:t>
            </w:r>
          </w:p>
        </w:tc>
        <w:tc>
          <w:tcPr>
            <w:tcW w:w="0" w:type="auto"/>
            <w:vAlign w:val="center"/>
            <w:hideMark/>
          </w:tcPr>
          <w:p w14:paraId="52BA22A7" w14:textId="77777777" w:rsidR="00AF3786" w:rsidRPr="00AF3786" w:rsidRDefault="00AF3786" w:rsidP="00AF3786">
            <w:pPr>
              <w:contextualSpacing/>
              <w:jc w:val="center"/>
              <w:rPr>
                <w:rFonts w:ascii="Arial" w:hAnsi="Arial" w:cs="Arial"/>
                <w:sz w:val="20"/>
              </w:rPr>
            </w:pPr>
            <w:r w:rsidRPr="00AF3786">
              <w:rPr>
                <w:rFonts w:ascii="Arial" w:hAnsi="Arial" w:cs="Arial"/>
                <w:sz w:val="20"/>
              </w:rPr>
              <w:t>57.415</w:t>
            </w:r>
          </w:p>
        </w:tc>
        <w:tc>
          <w:tcPr>
            <w:tcW w:w="0" w:type="auto"/>
            <w:vAlign w:val="center"/>
            <w:hideMark/>
          </w:tcPr>
          <w:p w14:paraId="49D03543" w14:textId="77777777" w:rsidR="00AF3786" w:rsidRPr="00AF3786" w:rsidRDefault="00AF3786" w:rsidP="00AF3786">
            <w:pPr>
              <w:contextualSpacing/>
              <w:jc w:val="center"/>
              <w:rPr>
                <w:rFonts w:ascii="Arial" w:hAnsi="Arial" w:cs="Arial"/>
                <w:sz w:val="20"/>
              </w:rPr>
            </w:pPr>
            <w:r w:rsidRPr="00AF3786">
              <w:rPr>
                <w:rFonts w:ascii="Arial" w:hAnsi="Arial" w:cs="Arial"/>
                <w:sz w:val="20"/>
              </w:rPr>
              <w:t>57.415</w:t>
            </w:r>
          </w:p>
        </w:tc>
      </w:tr>
      <w:tr w:rsidR="00AF3786" w:rsidRPr="00AF3786" w14:paraId="64842CDF" w14:textId="77777777" w:rsidTr="00AF3786">
        <w:trPr>
          <w:tblCellSpacing w:w="15" w:type="dxa"/>
        </w:trPr>
        <w:tc>
          <w:tcPr>
            <w:tcW w:w="0" w:type="auto"/>
            <w:vAlign w:val="center"/>
            <w:hideMark/>
          </w:tcPr>
          <w:p w14:paraId="0F41829A" w14:textId="77777777" w:rsidR="00AF3786" w:rsidRPr="00AF3786" w:rsidRDefault="00AF3786" w:rsidP="00AF3786">
            <w:pPr>
              <w:contextualSpacing/>
              <w:jc w:val="center"/>
              <w:rPr>
                <w:rFonts w:ascii="Arial" w:hAnsi="Arial" w:cs="Arial"/>
                <w:sz w:val="20"/>
              </w:rPr>
            </w:pPr>
            <w:r w:rsidRPr="00AF3786">
              <w:rPr>
                <w:rFonts w:ascii="Arial" w:hAnsi="Arial" w:cs="Arial"/>
                <w:sz w:val="20"/>
              </w:rPr>
              <w:t>2</w:t>
            </w:r>
          </w:p>
        </w:tc>
        <w:tc>
          <w:tcPr>
            <w:tcW w:w="0" w:type="auto"/>
            <w:vAlign w:val="center"/>
            <w:hideMark/>
          </w:tcPr>
          <w:p w14:paraId="5F3C01F2"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10.0122</w:t>
            </w:r>
          </w:p>
        </w:tc>
        <w:tc>
          <w:tcPr>
            <w:tcW w:w="0" w:type="auto"/>
            <w:vAlign w:val="center"/>
            <w:hideMark/>
          </w:tcPr>
          <w:p w14:paraId="1C237D01" w14:textId="77777777" w:rsidR="00AF3786" w:rsidRPr="00AF3786" w:rsidRDefault="00AF3786" w:rsidP="00AF3786">
            <w:pPr>
              <w:contextualSpacing/>
              <w:jc w:val="center"/>
              <w:rPr>
                <w:rFonts w:ascii="Arial" w:hAnsi="Arial" w:cs="Arial"/>
                <w:sz w:val="20"/>
              </w:rPr>
            </w:pPr>
            <w:r w:rsidRPr="00AF3786">
              <w:rPr>
                <w:rFonts w:ascii="Arial" w:hAnsi="Arial" w:cs="Arial"/>
                <w:sz w:val="20"/>
              </w:rPr>
              <w:t>1.9438</w:t>
            </w:r>
          </w:p>
        </w:tc>
        <w:tc>
          <w:tcPr>
            <w:tcW w:w="0" w:type="auto"/>
            <w:vAlign w:val="center"/>
            <w:hideMark/>
          </w:tcPr>
          <w:p w14:paraId="187F4BE8" w14:textId="77777777" w:rsidR="00AF3786" w:rsidRPr="00AF3786" w:rsidRDefault="00AF3786" w:rsidP="00AF3786">
            <w:pPr>
              <w:contextualSpacing/>
              <w:jc w:val="center"/>
              <w:rPr>
                <w:rFonts w:ascii="Arial" w:hAnsi="Arial" w:cs="Arial"/>
                <w:sz w:val="20"/>
              </w:rPr>
            </w:pPr>
            <w:r w:rsidRPr="00AF3786">
              <w:rPr>
                <w:rFonts w:ascii="Arial" w:hAnsi="Arial" w:cs="Arial"/>
                <w:sz w:val="20"/>
              </w:rPr>
              <w:t>8.0684</w:t>
            </w:r>
          </w:p>
        </w:tc>
        <w:tc>
          <w:tcPr>
            <w:tcW w:w="0" w:type="auto"/>
            <w:vAlign w:val="center"/>
            <w:hideMark/>
          </w:tcPr>
          <w:p w14:paraId="668FD420" w14:textId="77777777" w:rsidR="00AF3786" w:rsidRPr="00AF3786" w:rsidRDefault="00AF3786" w:rsidP="00AF3786">
            <w:pPr>
              <w:contextualSpacing/>
              <w:jc w:val="center"/>
              <w:rPr>
                <w:rFonts w:ascii="Arial" w:hAnsi="Arial" w:cs="Arial"/>
                <w:sz w:val="20"/>
              </w:rPr>
            </w:pPr>
            <w:r w:rsidRPr="00AF3786">
              <w:rPr>
                <w:rFonts w:ascii="Arial" w:hAnsi="Arial" w:cs="Arial"/>
                <w:sz w:val="20"/>
              </w:rPr>
              <w:t>TRUE</w:t>
            </w:r>
          </w:p>
        </w:tc>
        <w:tc>
          <w:tcPr>
            <w:tcW w:w="0" w:type="auto"/>
            <w:vAlign w:val="center"/>
            <w:hideMark/>
          </w:tcPr>
          <w:p w14:paraId="36C9CF74" w14:textId="77777777" w:rsidR="00AF3786" w:rsidRPr="00AF3786" w:rsidRDefault="00AF3786" w:rsidP="00AF3786">
            <w:pPr>
              <w:contextualSpacing/>
              <w:jc w:val="center"/>
              <w:rPr>
                <w:rFonts w:ascii="Arial" w:hAnsi="Arial" w:cs="Arial"/>
                <w:sz w:val="20"/>
              </w:rPr>
            </w:pPr>
            <w:r w:rsidRPr="00AF3786">
              <w:rPr>
                <w:rFonts w:ascii="Arial" w:hAnsi="Arial" w:cs="Arial"/>
                <w:sz w:val="20"/>
              </w:rPr>
              <w:t>15.403</w:t>
            </w:r>
          </w:p>
        </w:tc>
        <w:tc>
          <w:tcPr>
            <w:tcW w:w="0" w:type="auto"/>
            <w:vAlign w:val="center"/>
            <w:hideMark/>
          </w:tcPr>
          <w:p w14:paraId="77286A55" w14:textId="77777777" w:rsidR="00AF3786" w:rsidRPr="00AF3786" w:rsidRDefault="00AF3786" w:rsidP="00AF3786">
            <w:pPr>
              <w:contextualSpacing/>
              <w:jc w:val="center"/>
              <w:rPr>
                <w:rFonts w:ascii="Arial" w:hAnsi="Arial" w:cs="Arial"/>
                <w:sz w:val="20"/>
              </w:rPr>
            </w:pPr>
            <w:r w:rsidRPr="00AF3786">
              <w:rPr>
                <w:rFonts w:ascii="Arial" w:hAnsi="Arial" w:cs="Arial"/>
                <w:sz w:val="20"/>
              </w:rPr>
              <w:t>72.818</w:t>
            </w:r>
          </w:p>
        </w:tc>
      </w:tr>
      <w:tr w:rsidR="00AF3786" w:rsidRPr="00AF3786" w14:paraId="15B664F3" w14:textId="77777777" w:rsidTr="00AF3786">
        <w:trPr>
          <w:tblCellSpacing w:w="15" w:type="dxa"/>
        </w:trPr>
        <w:tc>
          <w:tcPr>
            <w:tcW w:w="0" w:type="auto"/>
            <w:vAlign w:val="center"/>
            <w:hideMark/>
          </w:tcPr>
          <w:p w14:paraId="3DBA59BA" w14:textId="77777777" w:rsidR="00AF3786" w:rsidRPr="00AF3786" w:rsidRDefault="00AF3786" w:rsidP="00AF3786">
            <w:pPr>
              <w:contextualSpacing/>
              <w:jc w:val="center"/>
              <w:rPr>
                <w:rFonts w:ascii="Arial" w:hAnsi="Arial" w:cs="Arial"/>
                <w:sz w:val="20"/>
              </w:rPr>
            </w:pPr>
            <w:r w:rsidRPr="00AF3786">
              <w:rPr>
                <w:rFonts w:ascii="Arial" w:hAnsi="Arial" w:cs="Arial"/>
                <w:sz w:val="20"/>
              </w:rPr>
              <w:t>3</w:t>
            </w:r>
          </w:p>
        </w:tc>
        <w:tc>
          <w:tcPr>
            <w:tcW w:w="0" w:type="auto"/>
            <w:vAlign w:val="center"/>
            <w:hideMark/>
          </w:tcPr>
          <w:p w14:paraId="311111EF" w14:textId="77777777" w:rsidR="00AF3786" w:rsidRPr="00AF3786" w:rsidRDefault="00AF3786" w:rsidP="00AF3786">
            <w:pPr>
              <w:contextualSpacing/>
              <w:jc w:val="center"/>
              <w:rPr>
                <w:rFonts w:ascii="Arial" w:hAnsi="Arial" w:cs="Arial"/>
                <w:sz w:val="20"/>
              </w:rPr>
            </w:pPr>
            <w:r w:rsidRPr="00AF3786">
              <w:rPr>
                <w:rFonts w:ascii="Arial" w:hAnsi="Arial" w:cs="Arial"/>
                <w:sz w:val="20"/>
              </w:rPr>
              <w:t>4.3411</w:t>
            </w:r>
          </w:p>
        </w:tc>
        <w:tc>
          <w:tcPr>
            <w:tcW w:w="0" w:type="auto"/>
            <w:vAlign w:val="center"/>
            <w:hideMark/>
          </w:tcPr>
          <w:p w14:paraId="76E9BDBC"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1.8722</w:t>
            </w:r>
          </w:p>
        </w:tc>
        <w:tc>
          <w:tcPr>
            <w:tcW w:w="0" w:type="auto"/>
            <w:vAlign w:val="center"/>
            <w:hideMark/>
          </w:tcPr>
          <w:p w14:paraId="0020D32E" w14:textId="77777777" w:rsidR="00AF3786" w:rsidRPr="00AF3786" w:rsidRDefault="00AF3786" w:rsidP="00AF3786">
            <w:pPr>
              <w:contextualSpacing/>
              <w:jc w:val="center"/>
              <w:rPr>
                <w:rFonts w:ascii="Arial" w:hAnsi="Arial" w:cs="Arial"/>
                <w:sz w:val="20"/>
              </w:rPr>
            </w:pPr>
            <w:r w:rsidRPr="00AF3786">
              <w:rPr>
                <w:rFonts w:ascii="Arial" w:hAnsi="Arial" w:cs="Arial"/>
                <w:sz w:val="20"/>
              </w:rPr>
              <w:t>2.4689</w:t>
            </w:r>
          </w:p>
        </w:tc>
        <w:tc>
          <w:tcPr>
            <w:tcW w:w="0" w:type="auto"/>
            <w:vAlign w:val="center"/>
            <w:hideMark/>
          </w:tcPr>
          <w:p w14:paraId="0652452F" w14:textId="77777777" w:rsidR="00AF3786" w:rsidRPr="00AF3786" w:rsidRDefault="00AF3786" w:rsidP="00AF3786">
            <w:pPr>
              <w:contextualSpacing/>
              <w:jc w:val="center"/>
              <w:rPr>
                <w:rFonts w:ascii="Arial" w:hAnsi="Arial" w:cs="Arial"/>
                <w:sz w:val="20"/>
              </w:rPr>
            </w:pPr>
            <w:r w:rsidRPr="00AF3786">
              <w:rPr>
                <w:rFonts w:ascii="Arial" w:hAnsi="Arial" w:cs="Arial"/>
                <w:sz w:val="20"/>
              </w:rPr>
              <w:t>TRUE</w:t>
            </w:r>
          </w:p>
        </w:tc>
        <w:tc>
          <w:tcPr>
            <w:tcW w:w="0" w:type="auto"/>
            <w:vAlign w:val="center"/>
            <w:hideMark/>
          </w:tcPr>
          <w:p w14:paraId="1D34DBC4" w14:textId="77777777" w:rsidR="00AF3786" w:rsidRPr="00AF3786" w:rsidRDefault="00AF3786" w:rsidP="00AF3786">
            <w:pPr>
              <w:contextualSpacing/>
              <w:jc w:val="center"/>
              <w:rPr>
                <w:rFonts w:ascii="Arial" w:hAnsi="Arial" w:cs="Arial"/>
                <w:sz w:val="20"/>
              </w:rPr>
            </w:pPr>
            <w:r w:rsidRPr="00AF3786">
              <w:rPr>
                <w:rFonts w:ascii="Arial" w:hAnsi="Arial" w:cs="Arial"/>
                <w:sz w:val="20"/>
              </w:rPr>
              <w:t>6.679</w:t>
            </w:r>
          </w:p>
        </w:tc>
        <w:tc>
          <w:tcPr>
            <w:tcW w:w="0" w:type="auto"/>
            <w:vAlign w:val="center"/>
            <w:hideMark/>
          </w:tcPr>
          <w:p w14:paraId="0FDFBF31" w14:textId="77777777" w:rsidR="00AF3786" w:rsidRPr="00AF3786" w:rsidRDefault="00AF3786" w:rsidP="00AF3786">
            <w:pPr>
              <w:contextualSpacing/>
              <w:jc w:val="center"/>
              <w:rPr>
                <w:rFonts w:ascii="Arial" w:hAnsi="Arial" w:cs="Arial"/>
                <w:sz w:val="20"/>
              </w:rPr>
            </w:pPr>
            <w:r w:rsidRPr="00AF3786">
              <w:rPr>
                <w:rFonts w:ascii="Arial" w:hAnsi="Arial" w:cs="Arial"/>
                <w:sz w:val="20"/>
              </w:rPr>
              <w:t>79.497</w:t>
            </w:r>
          </w:p>
        </w:tc>
      </w:tr>
      <w:tr w:rsidR="00AF3786" w:rsidRPr="00AF3786" w14:paraId="1954B52F" w14:textId="77777777" w:rsidTr="00AF3786">
        <w:trPr>
          <w:tblCellSpacing w:w="15" w:type="dxa"/>
        </w:trPr>
        <w:tc>
          <w:tcPr>
            <w:tcW w:w="0" w:type="auto"/>
            <w:vAlign w:val="center"/>
            <w:hideMark/>
          </w:tcPr>
          <w:p w14:paraId="114B8B92" w14:textId="77777777" w:rsidR="00AF3786" w:rsidRPr="00AF3786" w:rsidRDefault="00AF3786" w:rsidP="00AF3786">
            <w:pPr>
              <w:contextualSpacing/>
              <w:jc w:val="center"/>
              <w:rPr>
                <w:rFonts w:ascii="Arial" w:hAnsi="Arial" w:cs="Arial"/>
                <w:sz w:val="20"/>
              </w:rPr>
            </w:pPr>
            <w:r w:rsidRPr="00AF3786">
              <w:rPr>
                <w:rFonts w:ascii="Arial" w:hAnsi="Arial" w:cs="Arial"/>
                <w:sz w:val="20"/>
              </w:rPr>
              <w:t>4</w:t>
            </w:r>
          </w:p>
        </w:tc>
        <w:tc>
          <w:tcPr>
            <w:tcW w:w="0" w:type="auto"/>
            <w:vAlign w:val="center"/>
            <w:hideMark/>
          </w:tcPr>
          <w:p w14:paraId="1A360E3C" w14:textId="77777777" w:rsidR="00AF3786" w:rsidRPr="00AF3786" w:rsidRDefault="00AF3786" w:rsidP="00AF3786">
            <w:pPr>
              <w:contextualSpacing/>
              <w:jc w:val="center"/>
              <w:rPr>
                <w:rFonts w:ascii="Arial" w:hAnsi="Arial" w:cs="Arial"/>
                <w:sz w:val="20"/>
              </w:rPr>
            </w:pPr>
            <w:r w:rsidRPr="00AF3786">
              <w:rPr>
                <w:rFonts w:ascii="Arial" w:hAnsi="Arial" w:cs="Arial"/>
                <w:sz w:val="20"/>
              </w:rPr>
              <w:t>2.8354</w:t>
            </w:r>
          </w:p>
        </w:tc>
        <w:tc>
          <w:tcPr>
            <w:tcW w:w="0" w:type="auto"/>
            <w:vAlign w:val="center"/>
            <w:hideMark/>
          </w:tcPr>
          <w:p w14:paraId="26CCD9BF"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1.8334</w:t>
            </w:r>
          </w:p>
        </w:tc>
        <w:tc>
          <w:tcPr>
            <w:tcW w:w="0" w:type="auto"/>
            <w:vAlign w:val="center"/>
            <w:hideMark/>
          </w:tcPr>
          <w:p w14:paraId="1BCA2A3A"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1.0019</w:t>
            </w:r>
          </w:p>
        </w:tc>
        <w:tc>
          <w:tcPr>
            <w:tcW w:w="0" w:type="auto"/>
            <w:vAlign w:val="center"/>
            <w:hideMark/>
          </w:tcPr>
          <w:p w14:paraId="35C2A6E2" w14:textId="77777777" w:rsidR="00AF3786" w:rsidRPr="00AF3786" w:rsidRDefault="00AF3786" w:rsidP="00AF3786">
            <w:pPr>
              <w:contextualSpacing/>
              <w:jc w:val="center"/>
              <w:rPr>
                <w:rFonts w:ascii="Arial" w:hAnsi="Arial" w:cs="Arial"/>
                <w:sz w:val="20"/>
              </w:rPr>
            </w:pPr>
            <w:r w:rsidRPr="00AF3786">
              <w:rPr>
                <w:rFonts w:ascii="Arial" w:hAnsi="Arial" w:cs="Arial"/>
                <w:sz w:val="20"/>
              </w:rPr>
              <w:t>TRUE</w:t>
            </w:r>
          </w:p>
        </w:tc>
        <w:tc>
          <w:tcPr>
            <w:tcW w:w="0" w:type="auto"/>
            <w:vAlign w:val="center"/>
            <w:hideMark/>
          </w:tcPr>
          <w:p w14:paraId="078909F4" w14:textId="77777777" w:rsidR="00AF3786" w:rsidRPr="00AF3786" w:rsidRDefault="00AF3786" w:rsidP="00AF3786">
            <w:pPr>
              <w:contextualSpacing/>
              <w:jc w:val="center"/>
              <w:rPr>
                <w:rFonts w:ascii="Arial" w:hAnsi="Arial" w:cs="Arial"/>
                <w:sz w:val="20"/>
              </w:rPr>
            </w:pPr>
            <w:r w:rsidRPr="00AF3786">
              <w:rPr>
                <w:rFonts w:ascii="Arial" w:hAnsi="Arial" w:cs="Arial"/>
                <w:sz w:val="20"/>
              </w:rPr>
              <w:t>1.839</w:t>
            </w:r>
          </w:p>
        </w:tc>
        <w:tc>
          <w:tcPr>
            <w:tcW w:w="0" w:type="auto"/>
            <w:vAlign w:val="center"/>
            <w:hideMark/>
          </w:tcPr>
          <w:p w14:paraId="2F4F8958" w14:textId="77777777" w:rsidR="00AF3786" w:rsidRPr="00AF3786" w:rsidRDefault="00AF3786" w:rsidP="00AF3786">
            <w:pPr>
              <w:contextualSpacing/>
              <w:jc w:val="center"/>
              <w:rPr>
                <w:rFonts w:ascii="Arial" w:hAnsi="Arial" w:cs="Arial"/>
                <w:sz w:val="20"/>
              </w:rPr>
            </w:pPr>
            <w:r w:rsidRPr="00AF3786">
              <w:rPr>
                <w:rFonts w:ascii="Arial" w:hAnsi="Arial" w:cs="Arial"/>
                <w:sz w:val="20"/>
              </w:rPr>
              <w:t>81.335</w:t>
            </w:r>
          </w:p>
        </w:tc>
      </w:tr>
      <w:tr w:rsidR="00AF3786" w:rsidRPr="00AF3786" w14:paraId="55BE5D9F" w14:textId="77777777" w:rsidTr="00AF3786">
        <w:trPr>
          <w:tblCellSpacing w:w="15" w:type="dxa"/>
        </w:trPr>
        <w:tc>
          <w:tcPr>
            <w:tcW w:w="0" w:type="auto"/>
            <w:vAlign w:val="center"/>
            <w:hideMark/>
          </w:tcPr>
          <w:p w14:paraId="61B79919" w14:textId="77777777" w:rsidR="00AF3786" w:rsidRPr="00AF3786" w:rsidRDefault="00AF3786" w:rsidP="00AF3786">
            <w:pPr>
              <w:contextualSpacing/>
              <w:jc w:val="center"/>
              <w:rPr>
                <w:rFonts w:ascii="Arial" w:hAnsi="Arial" w:cs="Arial"/>
                <w:sz w:val="20"/>
              </w:rPr>
            </w:pPr>
            <w:r w:rsidRPr="00AF3786">
              <w:rPr>
                <w:rFonts w:ascii="Arial" w:hAnsi="Arial" w:cs="Arial"/>
                <w:sz w:val="20"/>
              </w:rPr>
              <w:t>5</w:t>
            </w:r>
          </w:p>
        </w:tc>
        <w:tc>
          <w:tcPr>
            <w:tcW w:w="0" w:type="auto"/>
            <w:vAlign w:val="center"/>
            <w:hideMark/>
          </w:tcPr>
          <w:p w14:paraId="5B7949CB" w14:textId="77777777" w:rsidR="00AF3786" w:rsidRPr="00AF3786" w:rsidRDefault="00AF3786" w:rsidP="00AF3786">
            <w:pPr>
              <w:contextualSpacing/>
              <w:jc w:val="center"/>
              <w:rPr>
                <w:rFonts w:ascii="Arial" w:hAnsi="Arial" w:cs="Arial"/>
                <w:sz w:val="20"/>
              </w:rPr>
            </w:pPr>
            <w:r w:rsidRPr="00AF3786">
              <w:rPr>
                <w:rFonts w:ascii="Arial" w:hAnsi="Arial" w:cs="Arial"/>
                <w:sz w:val="20"/>
              </w:rPr>
              <w:t>1.3740</w:t>
            </w:r>
          </w:p>
        </w:tc>
        <w:tc>
          <w:tcPr>
            <w:tcW w:w="0" w:type="auto"/>
            <w:vAlign w:val="center"/>
            <w:hideMark/>
          </w:tcPr>
          <w:p w14:paraId="5710D84C" w14:textId="77777777" w:rsidR="00AF3786" w:rsidRPr="00AF3786" w:rsidRDefault="00AF3786" w:rsidP="00AF3786">
            <w:pPr>
              <w:contextualSpacing/>
              <w:jc w:val="center"/>
              <w:rPr>
                <w:rFonts w:ascii="Arial" w:hAnsi="Arial" w:cs="Arial"/>
                <w:sz w:val="20"/>
              </w:rPr>
            </w:pPr>
            <w:r w:rsidRPr="00AF3786">
              <w:rPr>
                <w:rFonts w:ascii="Arial" w:hAnsi="Arial" w:cs="Arial"/>
                <w:sz w:val="20"/>
              </w:rPr>
              <w:t>1.7660</w:t>
            </w:r>
          </w:p>
        </w:tc>
        <w:tc>
          <w:tcPr>
            <w:tcW w:w="0" w:type="auto"/>
            <w:vAlign w:val="center"/>
            <w:hideMark/>
          </w:tcPr>
          <w:p w14:paraId="3C46B67F" w14:textId="77777777" w:rsidR="00AF3786" w:rsidRPr="00AF3786" w:rsidRDefault="00AF3786" w:rsidP="00AF3786">
            <w:pPr>
              <w:contextualSpacing/>
              <w:jc w:val="center"/>
              <w:rPr>
                <w:rFonts w:ascii="Arial" w:hAnsi="Arial" w:cs="Arial"/>
                <w:sz w:val="20"/>
              </w:rPr>
            </w:pPr>
            <w:r w:rsidRPr="00AF3786">
              <w:rPr>
                <w:rFonts w:ascii="Arial" w:hAnsi="Arial" w:cs="Arial"/>
                <w:sz w:val="20"/>
              </w:rPr>
              <w:t>-0.3920</w:t>
            </w:r>
          </w:p>
        </w:tc>
        <w:tc>
          <w:tcPr>
            <w:tcW w:w="0" w:type="auto"/>
            <w:vAlign w:val="center"/>
            <w:hideMark/>
          </w:tcPr>
          <w:p w14:paraId="7FD40CA3" w14:textId="77777777" w:rsidR="00AF3786" w:rsidRPr="00AF3786" w:rsidRDefault="00AF3786" w:rsidP="00AF3786">
            <w:pPr>
              <w:contextualSpacing/>
              <w:jc w:val="center"/>
              <w:rPr>
                <w:rFonts w:ascii="Arial" w:hAnsi="Arial" w:cs="Arial"/>
                <w:sz w:val="20"/>
              </w:rPr>
            </w:pPr>
            <w:r w:rsidRPr="00AF3786">
              <w:rPr>
                <w:rFonts w:ascii="Arial" w:hAnsi="Arial" w:cs="Arial"/>
                <w:sz w:val="20"/>
              </w:rPr>
              <w:t>FALSE</w:t>
            </w:r>
          </w:p>
        </w:tc>
        <w:tc>
          <w:tcPr>
            <w:tcW w:w="0" w:type="auto"/>
            <w:vAlign w:val="center"/>
            <w:hideMark/>
          </w:tcPr>
          <w:p w14:paraId="04F5B5A4" w14:textId="77777777" w:rsidR="00AF3786" w:rsidRPr="00AF3786" w:rsidRDefault="00AF3786" w:rsidP="00AF3786">
            <w:pPr>
              <w:contextualSpacing/>
              <w:jc w:val="center"/>
              <w:rPr>
                <w:rFonts w:ascii="Arial" w:hAnsi="Arial" w:cs="Arial"/>
                <w:sz w:val="20"/>
              </w:rPr>
            </w:pPr>
            <w:r w:rsidRPr="00AF3786">
              <w:rPr>
                <w:rFonts w:ascii="Arial" w:hAnsi="Arial" w:cs="Arial"/>
                <w:sz w:val="20"/>
              </w:rPr>
              <w:t>2.114</w:t>
            </w:r>
          </w:p>
        </w:tc>
        <w:tc>
          <w:tcPr>
            <w:tcW w:w="0" w:type="auto"/>
            <w:vAlign w:val="center"/>
            <w:hideMark/>
          </w:tcPr>
          <w:p w14:paraId="614601C2" w14:textId="77777777" w:rsidR="00AF3786" w:rsidRPr="00AF3786" w:rsidRDefault="00AF3786" w:rsidP="00AF3786">
            <w:pPr>
              <w:contextualSpacing/>
              <w:jc w:val="center"/>
              <w:rPr>
                <w:rFonts w:ascii="Arial" w:hAnsi="Arial" w:cs="Arial"/>
                <w:sz w:val="20"/>
              </w:rPr>
            </w:pPr>
            <w:r w:rsidRPr="00AF3786">
              <w:rPr>
                <w:rFonts w:ascii="Arial" w:hAnsi="Arial" w:cs="Arial"/>
                <w:sz w:val="20"/>
              </w:rPr>
              <w:t>83.449</w:t>
            </w:r>
          </w:p>
        </w:tc>
      </w:tr>
      <w:tr w:rsidR="00AF3786" w:rsidRPr="00AF3786" w14:paraId="71F5C1DB" w14:textId="77777777" w:rsidTr="00AF3786">
        <w:trPr>
          <w:tblCellSpacing w:w="15" w:type="dxa"/>
        </w:trPr>
        <w:tc>
          <w:tcPr>
            <w:tcW w:w="0" w:type="auto"/>
            <w:vAlign w:val="center"/>
            <w:hideMark/>
          </w:tcPr>
          <w:p w14:paraId="031A770E" w14:textId="77777777" w:rsidR="00AF3786" w:rsidRPr="00AF3786" w:rsidRDefault="00AF3786" w:rsidP="00AF3786">
            <w:pPr>
              <w:contextualSpacing/>
              <w:jc w:val="center"/>
              <w:rPr>
                <w:rFonts w:ascii="Arial" w:hAnsi="Arial" w:cs="Arial"/>
                <w:sz w:val="20"/>
              </w:rPr>
            </w:pPr>
            <w:r w:rsidRPr="00AF3786">
              <w:rPr>
                <w:rFonts w:ascii="Arial" w:hAnsi="Arial" w:cs="Arial"/>
                <w:sz w:val="20"/>
              </w:rPr>
              <w:t>6</w:t>
            </w:r>
          </w:p>
        </w:tc>
        <w:tc>
          <w:tcPr>
            <w:tcW w:w="0" w:type="auto"/>
            <w:vAlign w:val="center"/>
            <w:hideMark/>
          </w:tcPr>
          <w:p w14:paraId="295602D8"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1.0199</w:t>
            </w:r>
          </w:p>
        </w:tc>
        <w:tc>
          <w:tcPr>
            <w:tcW w:w="0" w:type="auto"/>
            <w:vAlign w:val="center"/>
            <w:hideMark/>
          </w:tcPr>
          <w:p w14:paraId="63B7D922" w14:textId="77777777" w:rsidR="00AF3786" w:rsidRPr="00AF3786" w:rsidRDefault="00AF3786" w:rsidP="00AF3786">
            <w:pPr>
              <w:contextualSpacing/>
              <w:jc w:val="center"/>
              <w:rPr>
                <w:rFonts w:ascii="Arial" w:hAnsi="Arial" w:cs="Arial"/>
                <w:sz w:val="20"/>
              </w:rPr>
            </w:pPr>
            <w:r w:rsidRPr="00AF3786">
              <w:rPr>
                <w:rFonts w:ascii="Arial" w:hAnsi="Arial" w:cs="Arial"/>
                <w:sz w:val="20"/>
              </w:rPr>
              <w:t>1.7246</w:t>
            </w:r>
          </w:p>
        </w:tc>
        <w:tc>
          <w:tcPr>
            <w:tcW w:w="0" w:type="auto"/>
            <w:vAlign w:val="center"/>
            <w:hideMark/>
          </w:tcPr>
          <w:p w14:paraId="1F11D4D4" w14:textId="77777777" w:rsidR="00AF3786" w:rsidRPr="00AF3786" w:rsidRDefault="00AF3786" w:rsidP="00AF3786">
            <w:pPr>
              <w:contextualSpacing/>
              <w:jc w:val="center"/>
              <w:rPr>
                <w:rFonts w:ascii="Arial" w:hAnsi="Arial" w:cs="Arial"/>
                <w:sz w:val="20"/>
              </w:rPr>
            </w:pPr>
            <w:r w:rsidRPr="00AF3786">
              <w:rPr>
                <w:rFonts w:ascii="Arial" w:hAnsi="Arial" w:cs="Arial"/>
                <w:sz w:val="20"/>
              </w:rPr>
              <w:t>-0.7046</w:t>
            </w:r>
          </w:p>
        </w:tc>
        <w:tc>
          <w:tcPr>
            <w:tcW w:w="0" w:type="auto"/>
            <w:vAlign w:val="center"/>
            <w:hideMark/>
          </w:tcPr>
          <w:p w14:paraId="0A1E9CF0" w14:textId="77777777" w:rsidR="00AF3786" w:rsidRPr="00AF3786" w:rsidRDefault="00AF3786" w:rsidP="00AF3786">
            <w:pPr>
              <w:contextualSpacing/>
              <w:jc w:val="center"/>
              <w:rPr>
                <w:rFonts w:ascii="Arial" w:hAnsi="Arial" w:cs="Arial"/>
                <w:sz w:val="20"/>
              </w:rPr>
            </w:pPr>
            <w:r w:rsidRPr="00AF3786">
              <w:rPr>
                <w:rFonts w:ascii="Arial" w:hAnsi="Arial" w:cs="Arial"/>
                <w:sz w:val="20"/>
              </w:rPr>
              <w:t>FALSE</w:t>
            </w:r>
          </w:p>
        </w:tc>
        <w:tc>
          <w:tcPr>
            <w:tcW w:w="0" w:type="auto"/>
            <w:vAlign w:val="center"/>
            <w:hideMark/>
          </w:tcPr>
          <w:p w14:paraId="53776772" w14:textId="77777777" w:rsidR="00AF3786" w:rsidRPr="00AF3786" w:rsidRDefault="00AF3786" w:rsidP="00AF3786">
            <w:pPr>
              <w:contextualSpacing/>
              <w:jc w:val="center"/>
              <w:rPr>
                <w:rFonts w:ascii="Arial" w:hAnsi="Arial" w:cs="Arial"/>
                <w:sz w:val="20"/>
              </w:rPr>
            </w:pPr>
            <w:r w:rsidRPr="00AF3786">
              <w:rPr>
                <w:rFonts w:ascii="Arial" w:hAnsi="Arial" w:cs="Arial"/>
                <w:sz w:val="20"/>
              </w:rPr>
              <w:t>1.569</w:t>
            </w:r>
          </w:p>
        </w:tc>
        <w:tc>
          <w:tcPr>
            <w:tcW w:w="0" w:type="auto"/>
            <w:vAlign w:val="center"/>
            <w:hideMark/>
          </w:tcPr>
          <w:p w14:paraId="26C86C76" w14:textId="77777777" w:rsidR="00AF3786" w:rsidRPr="00AF3786" w:rsidRDefault="00AF3786" w:rsidP="00AF3786">
            <w:pPr>
              <w:contextualSpacing/>
              <w:jc w:val="center"/>
              <w:rPr>
                <w:rFonts w:ascii="Arial" w:hAnsi="Arial" w:cs="Arial"/>
                <w:sz w:val="20"/>
              </w:rPr>
            </w:pPr>
            <w:r w:rsidRPr="00AF3786">
              <w:rPr>
                <w:rFonts w:ascii="Arial" w:hAnsi="Arial" w:cs="Arial"/>
                <w:sz w:val="20"/>
              </w:rPr>
              <w:t>85.018</w:t>
            </w:r>
          </w:p>
        </w:tc>
      </w:tr>
    </w:tbl>
    <w:p w14:paraId="7C1AEA56" w14:textId="77777777" w:rsidR="00AF3786" w:rsidRPr="00AF3786" w:rsidRDefault="00AF3786" w:rsidP="00AF3786">
      <w:pPr>
        <w:spacing w:line="360" w:lineRule="auto"/>
        <w:contextualSpacing/>
        <w:jc w:val="both"/>
        <w:rPr>
          <w:rFonts w:ascii="Arial" w:hAnsi="Arial" w:cs="Arial"/>
          <w:sz w:val="20"/>
        </w:rPr>
      </w:pPr>
    </w:p>
    <w:p w14:paraId="2F9CE825"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To examine interpretability and rotational stability beyond strict component retention, we estimated a seven-factor exploratory solution under </w:t>
      </w:r>
      <w:proofErr w:type="spellStart"/>
      <w:r w:rsidRPr="00AF3786">
        <w:rPr>
          <w:rFonts w:ascii="Arial" w:hAnsi="Arial" w:cs="Arial"/>
          <w:sz w:val="20"/>
        </w:rPr>
        <w:t>oblimin</w:t>
      </w:r>
      <w:proofErr w:type="spellEnd"/>
      <w:r w:rsidRPr="00AF3786">
        <w:rPr>
          <w:rFonts w:ascii="Arial" w:hAnsi="Arial" w:cs="Arial"/>
          <w:sz w:val="20"/>
        </w:rPr>
        <w:t xml:space="preserve"> and compared it with </w:t>
      </w:r>
      <w:proofErr w:type="spellStart"/>
      <w:r w:rsidRPr="00AF3786">
        <w:rPr>
          <w:rFonts w:ascii="Arial" w:hAnsi="Arial" w:cs="Arial"/>
          <w:sz w:val="20"/>
        </w:rPr>
        <w:t>promax</w:t>
      </w:r>
      <w:proofErr w:type="spellEnd"/>
      <w:r w:rsidRPr="00AF3786">
        <w:rPr>
          <w:rFonts w:ascii="Arial" w:hAnsi="Arial" w:cs="Arial"/>
          <w:sz w:val="20"/>
        </w:rPr>
        <w:t xml:space="preserve">, </w:t>
      </w:r>
      <w:proofErr w:type="spellStart"/>
      <w:r w:rsidRPr="00AF3786">
        <w:rPr>
          <w:rFonts w:ascii="Arial" w:hAnsi="Arial" w:cs="Arial"/>
          <w:sz w:val="20"/>
        </w:rPr>
        <w:t>quartimin</w:t>
      </w:r>
      <w:proofErr w:type="spellEnd"/>
      <w:r w:rsidRPr="00AF3786">
        <w:rPr>
          <w:rFonts w:ascii="Arial" w:hAnsi="Arial" w:cs="Arial"/>
          <w:sz w:val="20"/>
        </w:rPr>
        <w:t xml:space="preserve">, and varimax. The </w:t>
      </w:r>
      <w:proofErr w:type="spellStart"/>
      <w:r w:rsidRPr="00AF3786">
        <w:rPr>
          <w:rFonts w:ascii="Arial" w:hAnsi="Arial" w:cs="Arial"/>
          <w:sz w:val="20"/>
        </w:rPr>
        <w:t>oblimin</w:t>
      </w:r>
      <w:proofErr w:type="spellEnd"/>
      <w:r w:rsidRPr="00AF3786">
        <w:rPr>
          <w:rFonts w:ascii="Arial" w:hAnsi="Arial" w:cs="Arial"/>
          <w:sz w:val="20"/>
        </w:rPr>
        <w:t xml:space="preserve"> solution yielded strong primary loadings for all items: mean absolute primary loading = 0.597, median = 0.558, range = 0.438 to 0.932. All items had a primary loading ≥ 0.40, and 42 items showed at least two loadings ≥ 0.30, indicating meaningful overlap among adjacent psychological domains rather than a fully orthogonal structure.</w:t>
      </w:r>
    </w:p>
    <w:p w14:paraId="31829382" w14:textId="77777777" w:rsidR="00AF3786" w:rsidRPr="00AF3786" w:rsidRDefault="00AF3786" w:rsidP="00AF3786">
      <w:pPr>
        <w:spacing w:line="360" w:lineRule="auto"/>
        <w:ind w:firstLine="567"/>
        <w:contextualSpacing/>
        <w:jc w:val="both"/>
        <w:rPr>
          <w:rFonts w:ascii="Arial" w:hAnsi="Arial" w:cs="Arial"/>
          <w:sz w:val="20"/>
        </w:rPr>
      </w:pPr>
      <w:r w:rsidRPr="00AF3786">
        <w:rPr>
          <w:rFonts w:ascii="Arial" w:hAnsi="Arial" w:cs="Arial"/>
          <w:sz w:val="20"/>
        </w:rPr>
        <w:t xml:space="preserve">The first six factors were substantively coherent. F1 captured affective/experiential states (top markers included </w:t>
      </w:r>
      <w:r w:rsidRPr="00AF3786">
        <w:rPr>
          <w:rFonts w:ascii="Arial" w:hAnsi="Arial" w:cs="Arial"/>
          <w:i/>
          <w:iCs/>
          <w:sz w:val="20"/>
        </w:rPr>
        <w:t>can have emotions</w:t>
      </w:r>
      <w:r w:rsidRPr="00AF3786">
        <w:rPr>
          <w:rFonts w:ascii="Arial" w:hAnsi="Arial" w:cs="Arial"/>
          <w:sz w:val="20"/>
        </w:rPr>
        <w:t xml:space="preserve">, 0.932; </w:t>
      </w:r>
      <w:r w:rsidRPr="00AF3786">
        <w:rPr>
          <w:rFonts w:ascii="Arial" w:hAnsi="Arial" w:cs="Arial"/>
          <w:i/>
          <w:iCs/>
          <w:sz w:val="20"/>
        </w:rPr>
        <w:t>can experience joy</w:t>
      </w:r>
      <w:r w:rsidRPr="00AF3786">
        <w:rPr>
          <w:rFonts w:ascii="Arial" w:hAnsi="Arial" w:cs="Arial"/>
          <w:sz w:val="20"/>
        </w:rPr>
        <w:t xml:space="preserve">, 0.928; </w:t>
      </w:r>
      <w:r w:rsidRPr="00AF3786">
        <w:rPr>
          <w:rFonts w:ascii="Arial" w:hAnsi="Arial" w:cs="Arial"/>
          <w:i/>
          <w:iCs/>
          <w:sz w:val="20"/>
        </w:rPr>
        <w:t>can be conscious and sentient</w:t>
      </w:r>
      <w:r w:rsidRPr="00AF3786">
        <w:rPr>
          <w:rFonts w:ascii="Arial" w:hAnsi="Arial" w:cs="Arial"/>
          <w:sz w:val="20"/>
        </w:rPr>
        <w:t>, 0.908). F2 captured cognitive-executive capacities (</w:t>
      </w:r>
      <w:r w:rsidRPr="00AF3786">
        <w:rPr>
          <w:rFonts w:ascii="Arial" w:hAnsi="Arial" w:cs="Arial"/>
          <w:i/>
          <w:iCs/>
          <w:sz w:val="20"/>
        </w:rPr>
        <w:t>can remember things</w:t>
      </w:r>
      <w:r w:rsidRPr="00AF3786">
        <w:rPr>
          <w:rFonts w:ascii="Arial" w:hAnsi="Arial" w:cs="Arial"/>
          <w:sz w:val="20"/>
        </w:rPr>
        <w:t xml:space="preserve">, 0.876; </w:t>
      </w:r>
      <w:r w:rsidRPr="00AF3786">
        <w:rPr>
          <w:rFonts w:ascii="Arial" w:hAnsi="Arial" w:cs="Arial"/>
          <w:i/>
          <w:iCs/>
          <w:sz w:val="20"/>
        </w:rPr>
        <w:t>can reason and think logically</w:t>
      </w:r>
      <w:r w:rsidRPr="00AF3786">
        <w:rPr>
          <w:rFonts w:ascii="Arial" w:hAnsi="Arial" w:cs="Arial"/>
          <w:sz w:val="20"/>
        </w:rPr>
        <w:t xml:space="preserve">, 0.826; </w:t>
      </w:r>
      <w:r w:rsidRPr="00AF3786">
        <w:rPr>
          <w:rFonts w:ascii="Arial" w:hAnsi="Arial" w:cs="Arial"/>
          <w:i/>
          <w:iCs/>
          <w:sz w:val="20"/>
        </w:rPr>
        <w:t>has goals and ambitions</w:t>
      </w:r>
      <w:r w:rsidRPr="00AF3786">
        <w:rPr>
          <w:rFonts w:ascii="Arial" w:hAnsi="Arial" w:cs="Arial"/>
          <w:sz w:val="20"/>
        </w:rPr>
        <w:t>, 0.811). F3 captured sensory-threat and vulnerability states (</w:t>
      </w:r>
      <w:r w:rsidRPr="00AF3786">
        <w:rPr>
          <w:rFonts w:ascii="Arial" w:hAnsi="Arial" w:cs="Arial"/>
          <w:i/>
          <w:iCs/>
          <w:sz w:val="20"/>
        </w:rPr>
        <w:t>seeing and hearing the world around them</w:t>
      </w:r>
      <w:r w:rsidRPr="00AF3786">
        <w:rPr>
          <w:rFonts w:ascii="Arial" w:hAnsi="Arial" w:cs="Arial"/>
          <w:sz w:val="20"/>
        </w:rPr>
        <w:t xml:space="preserve">, 0.908; </w:t>
      </w:r>
      <w:r w:rsidRPr="00AF3786">
        <w:rPr>
          <w:rFonts w:ascii="Arial" w:hAnsi="Arial" w:cs="Arial"/>
          <w:i/>
          <w:iCs/>
          <w:sz w:val="20"/>
        </w:rPr>
        <w:t>feeling physical pain</w:t>
      </w:r>
      <w:r w:rsidRPr="00AF3786">
        <w:rPr>
          <w:rFonts w:ascii="Arial" w:hAnsi="Arial" w:cs="Arial"/>
          <w:sz w:val="20"/>
        </w:rPr>
        <w:t xml:space="preserve">, 0.879; </w:t>
      </w:r>
      <w:r w:rsidRPr="00AF3786">
        <w:rPr>
          <w:rFonts w:ascii="Arial" w:hAnsi="Arial" w:cs="Arial"/>
          <w:i/>
          <w:iCs/>
          <w:sz w:val="20"/>
        </w:rPr>
        <w:t>experience panic</w:t>
      </w:r>
      <w:r w:rsidRPr="00AF3786">
        <w:rPr>
          <w:rFonts w:ascii="Arial" w:hAnsi="Arial" w:cs="Arial"/>
          <w:sz w:val="20"/>
        </w:rPr>
        <w:t>, 0.816). F4 reflected perspective and inferential social cognition (</w:t>
      </w:r>
      <w:r w:rsidRPr="00AF3786">
        <w:rPr>
          <w:rFonts w:ascii="Arial" w:hAnsi="Arial" w:cs="Arial"/>
          <w:i/>
          <w:iCs/>
          <w:sz w:val="20"/>
        </w:rPr>
        <w:t>inferring what a person is thinking</w:t>
      </w:r>
      <w:r w:rsidRPr="00AF3786">
        <w:rPr>
          <w:rFonts w:ascii="Arial" w:hAnsi="Arial" w:cs="Arial"/>
          <w:sz w:val="20"/>
        </w:rPr>
        <w:t xml:space="preserve">, 0.553; </w:t>
      </w:r>
      <w:r w:rsidRPr="00AF3786">
        <w:rPr>
          <w:rFonts w:ascii="Arial" w:hAnsi="Arial" w:cs="Arial"/>
          <w:i/>
          <w:iCs/>
          <w:sz w:val="20"/>
        </w:rPr>
        <w:t>adopting another person’s visual perspective</w:t>
      </w:r>
      <w:r w:rsidRPr="00AF3786">
        <w:rPr>
          <w:rFonts w:ascii="Arial" w:hAnsi="Arial" w:cs="Arial"/>
          <w:sz w:val="20"/>
        </w:rPr>
        <w:t>, 0.498). F5 reflected moral accountability and evaluative agency (</w:t>
      </w:r>
      <w:r w:rsidRPr="00AF3786">
        <w:rPr>
          <w:rFonts w:ascii="Arial" w:hAnsi="Arial" w:cs="Arial"/>
          <w:i/>
          <w:iCs/>
          <w:sz w:val="20"/>
        </w:rPr>
        <w:t>may deserve praise or blame</w:t>
      </w:r>
      <w:r w:rsidRPr="00AF3786">
        <w:rPr>
          <w:rFonts w:ascii="Arial" w:hAnsi="Arial" w:cs="Arial"/>
          <w:sz w:val="20"/>
        </w:rPr>
        <w:t xml:space="preserve">, 0.476; </w:t>
      </w:r>
      <w:r w:rsidRPr="00AF3786">
        <w:rPr>
          <w:rFonts w:ascii="Arial" w:hAnsi="Arial" w:cs="Arial"/>
          <w:i/>
          <w:iCs/>
          <w:sz w:val="20"/>
        </w:rPr>
        <w:t>understands what is right and wrong</w:t>
      </w:r>
      <w:r w:rsidRPr="00AF3786">
        <w:rPr>
          <w:rFonts w:ascii="Arial" w:hAnsi="Arial" w:cs="Arial"/>
          <w:sz w:val="20"/>
        </w:rPr>
        <w:t>, 0.456). F6 reflected moral stance and norm enforcement (</w:t>
      </w:r>
      <w:r w:rsidRPr="00AF3786">
        <w:rPr>
          <w:rFonts w:ascii="Arial" w:hAnsi="Arial" w:cs="Arial"/>
          <w:i/>
          <w:iCs/>
          <w:sz w:val="20"/>
        </w:rPr>
        <w:t>disapproving of immoral actions</w:t>
      </w:r>
      <w:r w:rsidRPr="00AF3786">
        <w:rPr>
          <w:rFonts w:ascii="Arial" w:hAnsi="Arial" w:cs="Arial"/>
          <w:sz w:val="20"/>
        </w:rPr>
        <w:t xml:space="preserve">, 0.599; </w:t>
      </w:r>
      <w:r w:rsidRPr="00AF3786">
        <w:rPr>
          <w:rFonts w:ascii="Arial" w:hAnsi="Arial" w:cs="Arial"/>
          <w:i/>
          <w:iCs/>
          <w:sz w:val="20"/>
        </w:rPr>
        <w:t>can be virtuous and moral</w:t>
      </w:r>
      <w:r w:rsidRPr="00AF3786">
        <w:rPr>
          <w:rFonts w:ascii="Arial" w:hAnsi="Arial" w:cs="Arial"/>
          <w:sz w:val="20"/>
        </w:rPr>
        <w:t>, 0.535). F7 did not show salient loadings (maximum absolute loading = 0.275), consistent with over-extraction at the tail of the spectrum.</w:t>
      </w:r>
    </w:p>
    <w:p w14:paraId="2573A867" w14:textId="4F5430F2" w:rsidR="00BA5F4E" w:rsidRDefault="00AF3786" w:rsidP="00627225">
      <w:pPr>
        <w:spacing w:line="360" w:lineRule="auto"/>
        <w:ind w:firstLine="567"/>
        <w:contextualSpacing/>
        <w:jc w:val="both"/>
        <w:rPr>
          <w:rFonts w:ascii="Arial" w:hAnsi="Arial" w:cs="Arial"/>
          <w:sz w:val="20"/>
        </w:rPr>
      </w:pPr>
      <w:r w:rsidRPr="00AF3786">
        <w:rPr>
          <w:rFonts w:ascii="Arial" w:hAnsi="Arial" w:cs="Arial"/>
          <w:sz w:val="20"/>
        </w:rPr>
        <w:t xml:space="preserve">Rotational robustness was high for the core structure. </w:t>
      </w:r>
      <w:proofErr w:type="spellStart"/>
      <w:r w:rsidRPr="00AF3786">
        <w:rPr>
          <w:rFonts w:ascii="Arial" w:hAnsi="Arial" w:cs="Arial"/>
          <w:sz w:val="20"/>
        </w:rPr>
        <w:t>Quartimin</w:t>
      </w:r>
      <w:proofErr w:type="spellEnd"/>
      <w:r w:rsidRPr="00AF3786">
        <w:rPr>
          <w:rFonts w:ascii="Arial" w:hAnsi="Arial" w:cs="Arial"/>
          <w:sz w:val="20"/>
        </w:rPr>
        <w:t xml:space="preserve"> reproduced </w:t>
      </w:r>
      <w:proofErr w:type="spellStart"/>
      <w:r w:rsidRPr="00AF3786">
        <w:rPr>
          <w:rFonts w:ascii="Arial" w:hAnsi="Arial" w:cs="Arial"/>
          <w:sz w:val="20"/>
        </w:rPr>
        <w:t>oblimin</w:t>
      </w:r>
      <w:proofErr w:type="spellEnd"/>
      <w:r w:rsidRPr="00AF3786">
        <w:rPr>
          <w:rFonts w:ascii="Arial" w:hAnsi="Arial" w:cs="Arial"/>
          <w:sz w:val="20"/>
        </w:rPr>
        <w:t xml:space="preserve"> exactly (congruence = 1.000 for all factors).</w:t>
      </w:r>
      <w:r w:rsidR="00627225">
        <w:rPr>
          <w:rFonts w:ascii="Arial" w:hAnsi="Arial" w:cs="Arial"/>
          <w:sz w:val="20"/>
        </w:rPr>
        <w:t xml:space="preserve"> </w:t>
      </w:r>
      <w:r w:rsidR="00627225" w:rsidRPr="00627225">
        <w:rPr>
          <w:rFonts w:ascii="Arial" w:hAnsi="Arial" w:cs="Arial"/>
          <w:sz w:val="20"/>
        </w:rPr>
        <w:t xml:space="preserve">This convergence is expected as </w:t>
      </w:r>
      <w:proofErr w:type="spellStart"/>
      <w:r w:rsidR="00627225" w:rsidRPr="00627225">
        <w:rPr>
          <w:rFonts w:ascii="Arial" w:hAnsi="Arial" w:cs="Arial"/>
          <w:sz w:val="20"/>
        </w:rPr>
        <w:t>Quartimin</w:t>
      </w:r>
      <w:proofErr w:type="spellEnd"/>
      <w:r w:rsidR="00627225" w:rsidRPr="00627225">
        <w:rPr>
          <w:rFonts w:ascii="Arial" w:hAnsi="Arial" w:cs="Arial"/>
          <w:sz w:val="20"/>
        </w:rPr>
        <w:t xml:space="preserve"> is mathematically a specific case of the Direct Oblimin family with the</w:t>
      </w:r>
      <w:r w:rsidR="00627225">
        <w:rPr>
          <w:rFonts w:ascii="Arial" w:hAnsi="Arial" w:cs="Arial"/>
          <w:sz w:val="20"/>
        </w:rPr>
        <w:t xml:space="preserve"> </w:t>
      </w:r>
      <m:oMath>
        <m:r>
          <w:rPr>
            <w:rFonts w:ascii="Cambria Math" w:hAnsi="Cambria Math" w:cs="Arial"/>
            <w:sz w:val="20"/>
          </w:rPr>
          <m:t>γ</m:t>
        </m:r>
      </m:oMath>
      <w:r w:rsidR="00627225" w:rsidRPr="00627225">
        <w:rPr>
          <w:rFonts w:ascii="Arial" w:hAnsi="Arial" w:cs="Arial"/>
          <w:sz w:val="20"/>
        </w:rPr>
        <w:t xml:space="preserve"> parameter set to zero, further supporting the s</w:t>
      </w:r>
      <w:proofErr w:type="spellStart"/>
      <w:r w:rsidR="00627225" w:rsidRPr="00627225">
        <w:rPr>
          <w:rFonts w:ascii="Arial" w:hAnsi="Arial" w:cs="Arial"/>
          <w:sz w:val="20"/>
        </w:rPr>
        <w:t>tability</w:t>
      </w:r>
      <w:proofErr w:type="spellEnd"/>
      <w:r w:rsidR="00627225" w:rsidRPr="00627225">
        <w:rPr>
          <w:rFonts w:ascii="Arial" w:hAnsi="Arial" w:cs="Arial"/>
          <w:sz w:val="20"/>
        </w:rPr>
        <w:t xml:space="preserve"> of the oblique latent geometry</w:t>
      </w:r>
      <w:r w:rsidR="00627225">
        <w:rPr>
          <w:rFonts w:ascii="Arial" w:hAnsi="Arial" w:cs="Arial"/>
          <w:sz w:val="20"/>
        </w:rPr>
        <w:t xml:space="preserve"> </w:t>
      </w:r>
      <w:r w:rsidR="00627225">
        <w:rPr>
          <w:rFonts w:ascii="Arial" w:hAnsi="Arial" w:cs="Arial"/>
          <w:sz w:val="20"/>
        </w:rPr>
        <w:fldChar w:fldCharType="begin"/>
      </w:r>
      <w:r w:rsidR="00627225">
        <w:rPr>
          <w:rFonts w:ascii="Arial" w:hAnsi="Arial" w:cs="Arial"/>
          <w:sz w:val="20"/>
        </w:rPr>
        <w:instrText xml:space="preserve"> ADDIN ZOTERO_ITEM CSL_CITATION {"citationID":"Jdf8FBd4","properties":{"formattedCitation":"(Clarkson &amp; Jennrich, 1988)","plainCitation":"(Clarkson &amp; Jennrich, 1988)","noteIndex":0},"citationItems":[{"id":404,"uris":["http://zotero.org/users/17689459/items/6THHCTJR"],"itemData":{"id":404,"type":"article-journal","abstract":"Most of the currently used analytic rotation criteria for simple structure in factor analysis are summarized and identified as members of a general symmetric family of quartic criteria. A unified development of algorithms for orthogonal and direct oblique rotation using arbitrary criteria from this family is given. These algorithms represent fairly straightforward extensions of present methodology, and appear to be the best methods currently available.","container-title":"Psychometrika","DOI":"10.1007/BF02294136","ISSN":"1860-0980","issue":"2","journalAbbreviation":"Psychometrika","language":"en","page":"251-259","source":"Springer Link","title":"Quartic rotation criteria and algorithms","volume":"53","author":[{"family":"Clarkson","given":"Douglas B."},{"family":"Jennrich","given":"Robert I."}],"issued":{"date-parts":[["1988",6,1]]}}}],"schema":"https://github.com/citation-style-language/schema/raw/master/csl-citation.json"} </w:instrText>
      </w:r>
      <w:r w:rsidR="00627225">
        <w:rPr>
          <w:rFonts w:ascii="Arial" w:hAnsi="Arial" w:cs="Arial"/>
          <w:sz w:val="20"/>
        </w:rPr>
        <w:fldChar w:fldCharType="separate"/>
      </w:r>
      <w:r w:rsidR="00627225">
        <w:rPr>
          <w:rFonts w:ascii="Arial" w:hAnsi="Arial" w:cs="Arial"/>
          <w:noProof/>
          <w:sz w:val="20"/>
        </w:rPr>
        <w:t>(Clarkson &amp; Jennrich, 1988)</w:t>
      </w:r>
      <w:r w:rsidR="00627225">
        <w:rPr>
          <w:rFonts w:ascii="Arial" w:hAnsi="Arial" w:cs="Arial"/>
          <w:sz w:val="20"/>
        </w:rPr>
        <w:fldChar w:fldCharType="end"/>
      </w:r>
      <w:r w:rsidR="00627225" w:rsidRPr="00627225">
        <w:rPr>
          <w:rFonts w:ascii="Arial" w:hAnsi="Arial" w:cs="Arial"/>
          <w:sz w:val="20"/>
        </w:rPr>
        <w:t>.</w:t>
      </w:r>
      <w:r w:rsidRPr="00AF3786">
        <w:rPr>
          <w:rFonts w:ascii="Arial" w:hAnsi="Arial" w:cs="Arial"/>
          <w:sz w:val="20"/>
        </w:rPr>
        <w:t xml:space="preserve"> Promax and varimax showed very high agreement on Factors 1–6, with attenuation concentrated in Factor 7.</w:t>
      </w:r>
    </w:p>
    <w:p w14:paraId="361AD68F" w14:textId="77777777" w:rsidR="00627225" w:rsidRDefault="00627225" w:rsidP="00627225">
      <w:pPr>
        <w:spacing w:line="360" w:lineRule="auto"/>
        <w:ind w:firstLine="567"/>
        <w:contextualSpacing/>
        <w:jc w:val="both"/>
        <w:rPr>
          <w:rFonts w:ascii="Arial" w:hAnsi="Arial" w:cs="Arial"/>
          <w:sz w:val="20"/>
        </w:rPr>
      </w:pPr>
    </w:p>
    <w:p w14:paraId="45361A42" w14:textId="77777777" w:rsidR="00BA5F4E" w:rsidRPr="00AF3786" w:rsidRDefault="00BA5F4E" w:rsidP="00AF3786">
      <w:pPr>
        <w:spacing w:line="360" w:lineRule="auto"/>
        <w:ind w:firstLine="567"/>
        <w:contextualSpacing/>
        <w:jc w:val="both"/>
        <w:rPr>
          <w:rFonts w:ascii="Arial" w:hAnsi="Arial" w:cs="Arial"/>
          <w:sz w:val="20"/>
        </w:rPr>
      </w:pPr>
    </w:p>
    <w:p w14:paraId="31767805" w14:textId="77777777" w:rsidR="00AF3786" w:rsidRPr="00AF3786" w:rsidRDefault="00AF3786" w:rsidP="00AF3786">
      <w:pPr>
        <w:spacing w:line="360" w:lineRule="auto"/>
        <w:ind w:firstLine="567"/>
        <w:contextualSpacing/>
        <w:jc w:val="both"/>
        <w:rPr>
          <w:rFonts w:ascii="Arial" w:hAnsi="Arial" w:cs="Arial"/>
          <w:sz w:val="20"/>
        </w:rPr>
      </w:pPr>
    </w:p>
    <w:p w14:paraId="28E71855" w14:textId="77777777" w:rsidR="00AF3786" w:rsidRPr="00AF3786" w:rsidRDefault="00AF3786" w:rsidP="00AF3786">
      <w:pPr>
        <w:spacing w:line="360" w:lineRule="auto"/>
        <w:contextualSpacing/>
        <w:jc w:val="center"/>
        <w:outlineLvl w:val="3"/>
        <w:rPr>
          <w:rFonts w:ascii="Arial" w:hAnsi="Arial" w:cs="Arial"/>
          <w:b/>
          <w:bCs/>
          <w:sz w:val="20"/>
        </w:rPr>
      </w:pPr>
      <w:r w:rsidRPr="00AF3786">
        <w:rPr>
          <w:rFonts w:ascii="Arial" w:hAnsi="Arial" w:cs="Arial"/>
          <w:b/>
          <w:bCs/>
          <w:sz w:val="20"/>
        </w:rPr>
        <w:t xml:space="preserve">Table S3B. Factor congruence relative to </w:t>
      </w:r>
      <w:proofErr w:type="spellStart"/>
      <w:r w:rsidRPr="00AF3786">
        <w:rPr>
          <w:rFonts w:ascii="Arial" w:hAnsi="Arial" w:cs="Arial"/>
          <w:b/>
          <w:bCs/>
          <w:sz w:val="20"/>
        </w:rPr>
        <w:t>oblimin</w:t>
      </w:r>
      <w:proofErr w:type="spellEnd"/>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867"/>
        <w:gridCol w:w="1110"/>
        <w:gridCol w:w="1276"/>
        <w:gridCol w:w="1276"/>
      </w:tblGrid>
      <w:tr w:rsidR="00AF3786" w:rsidRPr="00AF3786" w14:paraId="5507F728" w14:textId="77777777" w:rsidTr="00AF3786">
        <w:trPr>
          <w:tblHeader/>
          <w:tblCellSpacing w:w="15" w:type="dxa"/>
          <w:jc w:val="center"/>
        </w:trPr>
        <w:tc>
          <w:tcPr>
            <w:tcW w:w="1822" w:type="dxa"/>
            <w:tcBorders>
              <w:bottom w:val="double" w:sz="4" w:space="0" w:color="auto"/>
            </w:tcBorders>
            <w:vAlign w:val="center"/>
            <w:hideMark/>
          </w:tcPr>
          <w:p w14:paraId="449D376A"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Target factor</w:t>
            </w:r>
          </w:p>
        </w:tc>
        <w:tc>
          <w:tcPr>
            <w:tcW w:w="1080" w:type="dxa"/>
            <w:tcBorders>
              <w:bottom w:val="double" w:sz="4" w:space="0" w:color="auto"/>
            </w:tcBorders>
            <w:vAlign w:val="center"/>
            <w:hideMark/>
          </w:tcPr>
          <w:p w14:paraId="5E63C2BC"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Promax</w:t>
            </w:r>
          </w:p>
        </w:tc>
        <w:tc>
          <w:tcPr>
            <w:tcW w:w="1246" w:type="dxa"/>
            <w:tcBorders>
              <w:bottom w:val="double" w:sz="4" w:space="0" w:color="auto"/>
            </w:tcBorders>
            <w:vAlign w:val="center"/>
            <w:hideMark/>
          </w:tcPr>
          <w:p w14:paraId="34328F59" w14:textId="77777777" w:rsidR="00AF3786" w:rsidRPr="00AF3786" w:rsidRDefault="00AF3786" w:rsidP="00AF3786">
            <w:pPr>
              <w:contextualSpacing/>
              <w:jc w:val="center"/>
              <w:rPr>
                <w:rFonts w:ascii="Arial" w:hAnsi="Arial" w:cs="Arial"/>
                <w:b/>
                <w:bCs/>
                <w:sz w:val="20"/>
              </w:rPr>
            </w:pPr>
            <w:proofErr w:type="spellStart"/>
            <w:r w:rsidRPr="00AF3786">
              <w:rPr>
                <w:rFonts w:ascii="Arial" w:hAnsi="Arial" w:cs="Arial"/>
                <w:b/>
                <w:bCs/>
                <w:sz w:val="20"/>
              </w:rPr>
              <w:t>Quartimin</w:t>
            </w:r>
            <w:proofErr w:type="spellEnd"/>
          </w:p>
        </w:tc>
        <w:tc>
          <w:tcPr>
            <w:tcW w:w="1231" w:type="dxa"/>
            <w:tcBorders>
              <w:bottom w:val="double" w:sz="4" w:space="0" w:color="auto"/>
            </w:tcBorders>
            <w:vAlign w:val="center"/>
            <w:hideMark/>
          </w:tcPr>
          <w:p w14:paraId="12B21623" w14:textId="77777777" w:rsidR="00AF3786" w:rsidRPr="00AF3786" w:rsidRDefault="00AF3786" w:rsidP="00AF3786">
            <w:pPr>
              <w:contextualSpacing/>
              <w:jc w:val="center"/>
              <w:rPr>
                <w:rFonts w:ascii="Arial" w:hAnsi="Arial" w:cs="Arial"/>
                <w:b/>
                <w:bCs/>
                <w:sz w:val="20"/>
              </w:rPr>
            </w:pPr>
            <w:r w:rsidRPr="00AF3786">
              <w:rPr>
                <w:rFonts w:ascii="Arial" w:hAnsi="Arial" w:cs="Arial"/>
                <w:b/>
                <w:bCs/>
                <w:sz w:val="20"/>
              </w:rPr>
              <w:t>Varimax</w:t>
            </w:r>
          </w:p>
        </w:tc>
      </w:tr>
      <w:tr w:rsidR="00AF3786" w:rsidRPr="00AF3786" w14:paraId="698D9CAA" w14:textId="77777777" w:rsidTr="00AF3786">
        <w:trPr>
          <w:tblCellSpacing w:w="15" w:type="dxa"/>
          <w:jc w:val="center"/>
        </w:trPr>
        <w:tc>
          <w:tcPr>
            <w:tcW w:w="1822" w:type="dxa"/>
            <w:vAlign w:val="center"/>
            <w:hideMark/>
          </w:tcPr>
          <w:p w14:paraId="2DA1AD72" w14:textId="77777777" w:rsidR="00AF3786" w:rsidRPr="00AF3786" w:rsidRDefault="00AF3786" w:rsidP="00AF3786">
            <w:pPr>
              <w:contextualSpacing/>
              <w:jc w:val="center"/>
              <w:rPr>
                <w:rFonts w:ascii="Arial" w:hAnsi="Arial" w:cs="Arial"/>
                <w:sz w:val="20"/>
              </w:rPr>
            </w:pPr>
            <w:r w:rsidRPr="00AF3786">
              <w:rPr>
                <w:rFonts w:ascii="Arial" w:hAnsi="Arial" w:cs="Arial"/>
                <w:sz w:val="20"/>
              </w:rPr>
              <w:t>F1</w:t>
            </w:r>
          </w:p>
        </w:tc>
        <w:tc>
          <w:tcPr>
            <w:tcW w:w="1080" w:type="dxa"/>
            <w:vAlign w:val="center"/>
            <w:hideMark/>
          </w:tcPr>
          <w:p w14:paraId="2E87C82E"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0.9988</w:t>
            </w:r>
          </w:p>
        </w:tc>
        <w:tc>
          <w:tcPr>
            <w:tcW w:w="1246" w:type="dxa"/>
            <w:vAlign w:val="center"/>
            <w:hideMark/>
          </w:tcPr>
          <w:p w14:paraId="2A17576B"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5C815B04"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0.9915</w:t>
            </w:r>
          </w:p>
        </w:tc>
      </w:tr>
      <w:tr w:rsidR="00AF3786" w:rsidRPr="00AF3786" w14:paraId="15EBF145" w14:textId="77777777" w:rsidTr="00AF3786">
        <w:trPr>
          <w:tblCellSpacing w:w="15" w:type="dxa"/>
          <w:jc w:val="center"/>
        </w:trPr>
        <w:tc>
          <w:tcPr>
            <w:tcW w:w="1822" w:type="dxa"/>
            <w:vAlign w:val="center"/>
            <w:hideMark/>
          </w:tcPr>
          <w:p w14:paraId="78C01B64" w14:textId="77777777" w:rsidR="00AF3786" w:rsidRPr="00AF3786" w:rsidRDefault="00AF3786" w:rsidP="00AF3786">
            <w:pPr>
              <w:contextualSpacing/>
              <w:jc w:val="center"/>
              <w:rPr>
                <w:rFonts w:ascii="Arial" w:hAnsi="Arial" w:cs="Arial"/>
                <w:sz w:val="20"/>
              </w:rPr>
            </w:pPr>
            <w:r w:rsidRPr="00AF3786">
              <w:rPr>
                <w:rFonts w:ascii="Arial" w:hAnsi="Arial" w:cs="Arial"/>
                <w:sz w:val="20"/>
              </w:rPr>
              <w:t>F2</w:t>
            </w:r>
          </w:p>
        </w:tc>
        <w:tc>
          <w:tcPr>
            <w:tcW w:w="1080" w:type="dxa"/>
            <w:vAlign w:val="center"/>
            <w:hideMark/>
          </w:tcPr>
          <w:p w14:paraId="7CE7D245"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0.9965</w:t>
            </w:r>
          </w:p>
        </w:tc>
        <w:tc>
          <w:tcPr>
            <w:tcW w:w="1246" w:type="dxa"/>
            <w:vAlign w:val="center"/>
            <w:hideMark/>
          </w:tcPr>
          <w:p w14:paraId="647AA683"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5052DCC2"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0.9943</w:t>
            </w:r>
          </w:p>
        </w:tc>
      </w:tr>
      <w:tr w:rsidR="00AF3786" w:rsidRPr="00AF3786" w14:paraId="20A1BBD7" w14:textId="77777777" w:rsidTr="00AF3786">
        <w:trPr>
          <w:tblCellSpacing w:w="15" w:type="dxa"/>
          <w:jc w:val="center"/>
        </w:trPr>
        <w:tc>
          <w:tcPr>
            <w:tcW w:w="1822" w:type="dxa"/>
            <w:vAlign w:val="center"/>
            <w:hideMark/>
          </w:tcPr>
          <w:p w14:paraId="1793A209" w14:textId="77777777" w:rsidR="00AF3786" w:rsidRPr="00AF3786" w:rsidRDefault="00AF3786" w:rsidP="00AF3786">
            <w:pPr>
              <w:contextualSpacing/>
              <w:jc w:val="center"/>
              <w:rPr>
                <w:rFonts w:ascii="Arial" w:hAnsi="Arial" w:cs="Arial"/>
                <w:sz w:val="20"/>
              </w:rPr>
            </w:pPr>
            <w:r w:rsidRPr="00AF3786">
              <w:rPr>
                <w:rFonts w:ascii="Arial" w:hAnsi="Arial" w:cs="Arial"/>
                <w:sz w:val="20"/>
              </w:rPr>
              <w:t>F3</w:t>
            </w:r>
          </w:p>
        </w:tc>
        <w:tc>
          <w:tcPr>
            <w:tcW w:w="1080" w:type="dxa"/>
            <w:vAlign w:val="center"/>
            <w:hideMark/>
          </w:tcPr>
          <w:p w14:paraId="15BBEF11"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0.9958</w:t>
            </w:r>
          </w:p>
        </w:tc>
        <w:tc>
          <w:tcPr>
            <w:tcW w:w="1246" w:type="dxa"/>
            <w:vAlign w:val="center"/>
            <w:hideMark/>
          </w:tcPr>
          <w:p w14:paraId="65CF10B4"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53C0A5B4"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0.9630</w:t>
            </w:r>
          </w:p>
        </w:tc>
      </w:tr>
      <w:tr w:rsidR="00AF3786" w:rsidRPr="00AF3786" w14:paraId="7BDD17FE" w14:textId="77777777" w:rsidTr="00AF3786">
        <w:trPr>
          <w:tblCellSpacing w:w="15" w:type="dxa"/>
          <w:jc w:val="center"/>
        </w:trPr>
        <w:tc>
          <w:tcPr>
            <w:tcW w:w="1822" w:type="dxa"/>
            <w:vAlign w:val="center"/>
            <w:hideMark/>
          </w:tcPr>
          <w:p w14:paraId="77AFEB96" w14:textId="77777777" w:rsidR="00AF3786" w:rsidRPr="00AF3786" w:rsidRDefault="00AF3786" w:rsidP="00AF3786">
            <w:pPr>
              <w:contextualSpacing/>
              <w:jc w:val="center"/>
              <w:rPr>
                <w:rFonts w:ascii="Arial" w:hAnsi="Arial" w:cs="Arial"/>
                <w:sz w:val="20"/>
              </w:rPr>
            </w:pPr>
            <w:r w:rsidRPr="00AF3786">
              <w:rPr>
                <w:rFonts w:ascii="Arial" w:hAnsi="Arial" w:cs="Arial"/>
                <w:sz w:val="20"/>
              </w:rPr>
              <w:t>F4</w:t>
            </w:r>
          </w:p>
        </w:tc>
        <w:tc>
          <w:tcPr>
            <w:tcW w:w="1080" w:type="dxa"/>
            <w:vAlign w:val="center"/>
            <w:hideMark/>
          </w:tcPr>
          <w:p w14:paraId="32EDDA72"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0.9926</w:t>
            </w:r>
          </w:p>
        </w:tc>
        <w:tc>
          <w:tcPr>
            <w:tcW w:w="1246" w:type="dxa"/>
            <w:vAlign w:val="center"/>
            <w:hideMark/>
          </w:tcPr>
          <w:p w14:paraId="69E2121E"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20DDE669"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0.9399</w:t>
            </w:r>
          </w:p>
        </w:tc>
      </w:tr>
      <w:tr w:rsidR="00AF3786" w:rsidRPr="00AF3786" w14:paraId="15C08EB8" w14:textId="77777777" w:rsidTr="00AF3786">
        <w:trPr>
          <w:tblCellSpacing w:w="15" w:type="dxa"/>
          <w:jc w:val="center"/>
        </w:trPr>
        <w:tc>
          <w:tcPr>
            <w:tcW w:w="1822" w:type="dxa"/>
            <w:vAlign w:val="center"/>
            <w:hideMark/>
          </w:tcPr>
          <w:p w14:paraId="6BEE60E9" w14:textId="77777777" w:rsidR="00AF3786" w:rsidRPr="00AF3786" w:rsidRDefault="00AF3786" w:rsidP="00AF3786">
            <w:pPr>
              <w:contextualSpacing/>
              <w:jc w:val="center"/>
              <w:rPr>
                <w:rFonts w:ascii="Arial" w:hAnsi="Arial" w:cs="Arial"/>
                <w:sz w:val="20"/>
              </w:rPr>
            </w:pPr>
            <w:r w:rsidRPr="00AF3786">
              <w:rPr>
                <w:rFonts w:ascii="Arial" w:hAnsi="Arial" w:cs="Arial"/>
                <w:sz w:val="20"/>
              </w:rPr>
              <w:t>F5</w:t>
            </w:r>
          </w:p>
        </w:tc>
        <w:tc>
          <w:tcPr>
            <w:tcW w:w="1080" w:type="dxa"/>
            <w:vAlign w:val="center"/>
            <w:hideMark/>
          </w:tcPr>
          <w:p w14:paraId="3308AB61"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0.9998</w:t>
            </w:r>
          </w:p>
        </w:tc>
        <w:tc>
          <w:tcPr>
            <w:tcW w:w="1246" w:type="dxa"/>
            <w:vAlign w:val="center"/>
            <w:hideMark/>
          </w:tcPr>
          <w:p w14:paraId="6EA36EE5"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0EE22C0C"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0.9333</w:t>
            </w:r>
          </w:p>
        </w:tc>
      </w:tr>
      <w:tr w:rsidR="00AF3786" w:rsidRPr="00AF3786" w14:paraId="219D9E9F" w14:textId="77777777" w:rsidTr="00AF3786">
        <w:trPr>
          <w:tblCellSpacing w:w="15" w:type="dxa"/>
          <w:jc w:val="center"/>
        </w:trPr>
        <w:tc>
          <w:tcPr>
            <w:tcW w:w="1822" w:type="dxa"/>
            <w:vAlign w:val="center"/>
            <w:hideMark/>
          </w:tcPr>
          <w:p w14:paraId="172FF1D4" w14:textId="77777777" w:rsidR="00AF3786" w:rsidRPr="00AF3786" w:rsidRDefault="00AF3786" w:rsidP="00AF3786">
            <w:pPr>
              <w:contextualSpacing/>
              <w:jc w:val="center"/>
              <w:rPr>
                <w:rFonts w:ascii="Arial" w:hAnsi="Arial" w:cs="Arial"/>
                <w:sz w:val="20"/>
              </w:rPr>
            </w:pPr>
            <w:r w:rsidRPr="00AF3786">
              <w:rPr>
                <w:rFonts w:ascii="Arial" w:hAnsi="Arial" w:cs="Arial"/>
                <w:sz w:val="20"/>
              </w:rPr>
              <w:t>F6</w:t>
            </w:r>
          </w:p>
        </w:tc>
        <w:tc>
          <w:tcPr>
            <w:tcW w:w="1080" w:type="dxa"/>
            <w:vAlign w:val="center"/>
            <w:hideMark/>
          </w:tcPr>
          <w:p w14:paraId="255D0259"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0.9991</w:t>
            </w:r>
          </w:p>
        </w:tc>
        <w:tc>
          <w:tcPr>
            <w:tcW w:w="1246" w:type="dxa"/>
            <w:vAlign w:val="center"/>
            <w:hideMark/>
          </w:tcPr>
          <w:p w14:paraId="7C2FC9E0"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50608365" w14:textId="77777777" w:rsidR="00AF3786" w:rsidRPr="00AF3786" w:rsidRDefault="00AF3786" w:rsidP="00AF3786">
            <w:pPr>
              <w:contextualSpacing/>
              <w:jc w:val="center"/>
              <w:rPr>
                <w:rFonts w:ascii="Arial" w:hAnsi="Arial" w:cs="Arial"/>
                <w:sz w:val="20"/>
              </w:rPr>
            </w:pPr>
            <w:r w:rsidRPr="00AF3786">
              <w:rPr>
                <w:rFonts w:ascii="Arial" w:hAnsi="Arial" w:cs="Arial"/>
                <w:sz w:val="20"/>
              </w:rPr>
              <w:t>0.9476</w:t>
            </w:r>
          </w:p>
        </w:tc>
      </w:tr>
      <w:tr w:rsidR="00AF3786" w:rsidRPr="00AF3786" w14:paraId="5E241823" w14:textId="77777777" w:rsidTr="00AF3786">
        <w:trPr>
          <w:tblCellSpacing w:w="15" w:type="dxa"/>
          <w:jc w:val="center"/>
        </w:trPr>
        <w:tc>
          <w:tcPr>
            <w:tcW w:w="1822" w:type="dxa"/>
            <w:vAlign w:val="center"/>
            <w:hideMark/>
          </w:tcPr>
          <w:p w14:paraId="36DB06F0" w14:textId="77777777" w:rsidR="00AF3786" w:rsidRPr="00AF3786" w:rsidRDefault="00AF3786" w:rsidP="00AF3786">
            <w:pPr>
              <w:contextualSpacing/>
              <w:jc w:val="center"/>
              <w:rPr>
                <w:rFonts w:ascii="Arial" w:hAnsi="Arial" w:cs="Arial"/>
                <w:sz w:val="20"/>
              </w:rPr>
            </w:pPr>
            <w:r w:rsidRPr="00AF3786">
              <w:rPr>
                <w:rFonts w:ascii="Arial" w:hAnsi="Arial" w:cs="Arial"/>
                <w:sz w:val="20"/>
              </w:rPr>
              <w:t>F7</w:t>
            </w:r>
          </w:p>
        </w:tc>
        <w:tc>
          <w:tcPr>
            <w:tcW w:w="1080" w:type="dxa"/>
            <w:vAlign w:val="center"/>
            <w:hideMark/>
          </w:tcPr>
          <w:p w14:paraId="0BA6027A" w14:textId="77777777" w:rsidR="00AF3786" w:rsidRPr="00AF3786" w:rsidRDefault="00AF3786" w:rsidP="00AF3786">
            <w:pPr>
              <w:contextualSpacing/>
              <w:jc w:val="center"/>
              <w:rPr>
                <w:rFonts w:ascii="Arial" w:hAnsi="Arial" w:cs="Arial"/>
                <w:sz w:val="20"/>
              </w:rPr>
            </w:pPr>
            <w:r w:rsidRPr="00AF3786">
              <w:rPr>
                <w:rFonts w:ascii="Arial" w:hAnsi="Arial" w:cs="Arial"/>
                <w:sz w:val="20"/>
              </w:rPr>
              <w:t>0.5060</w:t>
            </w:r>
          </w:p>
        </w:tc>
        <w:tc>
          <w:tcPr>
            <w:tcW w:w="1246" w:type="dxa"/>
            <w:vAlign w:val="center"/>
            <w:hideMark/>
          </w:tcPr>
          <w:p w14:paraId="7AB9BB43" w14:textId="77777777" w:rsidR="00AF3786" w:rsidRPr="00AF3786" w:rsidRDefault="00AF3786" w:rsidP="00AF3786">
            <w:pPr>
              <w:contextualSpacing/>
              <w:jc w:val="center"/>
              <w:rPr>
                <w:rFonts w:ascii="Arial" w:hAnsi="Arial" w:cs="Arial"/>
                <w:sz w:val="20"/>
              </w:rPr>
            </w:pPr>
            <w:r w:rsidRPr="00AF3786">
              <w:rPr>
                <w:rFonts w:ascii="Arial" w:hAnsi="Arial" w:cs="Arial"/>
                <w:sz w:val="20"/>
              </w:rPr>
              <w:t>1.0000</w:t>
            </w:r>
          </w:p>
        </w:tc>
        <w:tc>
          <w:tcPr>
            <w:tcW w:w="1231" w:type="dxa"/>
            <w:vAlign w:val="center"/>
            <w:hideMark/>
          </w:tcPr>
          <w:p w14:paraId="4251FB57" w14:textId="77777777" w:rsidR="00AF3786" w:rsidRPr="00AF3786" w:rsidRDefault="00AF3786" w:rsidP="00AF3786">
            <w:pPr>
              <w:contextualSpacing/>
              <w:jc w:val="center"/>
              <w:rPr>
                <w:rFonts w:ascii="Arial" w:hAnsi="Arial" w:cs="Arial"/>
                <w:sz w:val="20"/>
              </w:rPr>
            </w:pPr>
            <w:r w:rsidRPr="00AF3786">
              <w:rPr>
                <w:rFonts w:ascii="Arial" w:hAnsi="Arial" w:cs="Arial"/>
                <w:sz w:val="20"/>
              </w:rPr>
              <w:t>0.6996</w:t>
            </w:r>
          </w:p>
        </w:tc>
      </w:tr>
      <w:tr w:rsidR="00AF3786" w:rsidRPr="00AF3786" w14:paraId="7C249D6E" w14:textId="77777777" w:rsidTr="00AF3786">
        <w:trPr>
          <w:tblCellSpacing w:w="15" w:type="dxa"/>
          <w:jc w:val="center"/>
        </w:trPr>
        <w:tc>
          <w:tcPr>
            <w:tcW w:w="1822" w:type="dxa"/>
            <w:vAlign w:val="center"/>
          </w:tcPr>
          <w:p w14:paraId="29BEE742" w14:textId="77777777" w:rsidR="00AF3786" w:rsidRPr="00AF3786" w:rsidRDefault="00AF3786" w:rsidP="00AF3786">
            <w:pPr>
              <w:contextualSpacing/>
              <w:jc w:val="center"/>
              <w:rPr>
                <w:rFonts w:ascii="Arial" w:hAnsi="Arial" w:cs="Arial"/>
                <w:sz w:val="20"/>
              </w:rPr>
            </w:pPr>
          </w:p>
        </w:tc>
        <w:tc>
          <w:tcPr>
            <w:tcW w:w="1080" w:type="dxa"/>
            <w:vAlign w:val="center"/>
          </w:tcPr>
          <w:p w14:paraId="1BBAA213" w14:textId="77777777" w:rsidR="00AF3786" w:rsidRPr="00AF3786" w:rsidRDefault="00AF3786" w:rsidP="00AF3786">
            <w:pPr>
              <w:contextualSpacing/>
              <w:jc w:val="center"/>
              <w:rPr>
                <w:rFonts w:ascii="Arial" w:hAnsi="Arial" w:cs="Arial"/>
                <w:sz w:val="20"/>
              </w:rPr>
            </w:pPr>
          </w:p>
        </w:tc>
        <w:tc>
          <w:tcPr>
            <w:tcW w:w="1246" w:type="dxa"/>
            <w:vAlign w:val="center"/>
          </w:tcPr>
          <w:p w14:paraId="61E8773C" w14:textId="77777777" w:rsidR="00AF3786" w:rsidRPr="00AF3786" w:rsidRDefault="00AF3786" w:rsidP="00AF3786">
            <w:pPr>
              <w:contextualSpacing/>
              <w:jc w:val="center"/>
              <w:rPr>
                <w:rFonts w:ascii="Arial" w:hAnsi="Arial" w:cs="Arial"/>
                <w:sz w:val="20"/>
              </w:rPr>
            </w:pPr>
          </w:p>
        </w:tc>
        <w:tc>
          <w:tcPr>
            <w:tcW w:w="1231" w:type="dxa"/>
            <w:vAlign w:val="center"/>
          </w:tcPr>
          <w:p w14:paraId="2E332BD0" w14:textId="77777777" w:rsidR="00AF3786" w:rsidRPr="00AF3786" w:rsidRDefault="00AF3786" w:rsidP="00AF3786">
            <w:pPr>
              <w:contextualSpacing/>
              <w:jc w:val="center"/>
              <w:rPr>
                <w:rFonts w:ascii="Arial" w:hAnsi="Arial" w:cs="Arial"/>
                <w:sz w:val="20"/>
              </w:rPr>
            </w:pPr>
          </w:p>
        </w:tc>
      </w:tr>
    </w:tbl>
    <w:p w14:paraId="3EEF31AB" w14:textId="60975BF5" w:rsidR="00AF3786" w:rsidRPr="00AF3786" w:rsidRDefault="00AF3786" w:rsidP="009D15C2">
      <w:pPr>
        <w:spacing w:line="360" w:lineRule="auto"/>
        <w:ind w:firstLine="567"/>
        <w:contextualSpacing/>
        <w:jc w:val="both"/>
        <w:rPr>
          <w:rFonts w:ascii="Arial" w:hAnsi="Arial" w:cs="Arial"/>
          <w:sz w:val="20"/>
        </w:rPr>
      </w:pPr>
      <w:r w:rsidRPr="00AF3786">
        <w:rPr>
          <w:rFonts w:ascii="Arial" w:hAnsi="Arial" w:cs="Arial"/>
          <w:sz w:val="20"/>
        </w:rPr>
        <w:t xml:space="preserve">Across rotations, mean congruence was 0.926 for </w:t>
      </w:r>
      <w:proofErr w:type="spellStart"/>
      <w:r w:rsidRPr="00AF3786">
        <w:rPr>
          <w:rFonts w:ascii="Arial" w:hAnsi="Arial" w:cs="Arial"/>
          <w:sz w:val="20"/>
        </w:rPr>
        <w:t>promax</w:t>
      </w:r>
      <w:proofErr w:type="spellEnd"/>
      <w:r w:rsidRPr="00AF3786">
        <w:rPr>
          <w:rFonts w:ascii="Arial" w:hAnsi="Arial" w:cs="Arial"/>
          <w:sz w:val="20"/>
        </w:rPr>
        <w:t xml:space="preserve"> and 0.898 for varimax, with minima localized to Factor 7 (0.506 and 0.700, respectively). Taken together, these results support a stable multidimensional core with strong reproducibility of the first six factors and limited evidence for a seventh independent dimension.</w:t>
      </w:r>
    </w:p>
    <w:p w14:paraId="795135E0" w14:textId="55934519" w:rsidR="00AF3786" w:rsidRPr="00AF3786" w:rsidRDefault="00AF3786" w:rsidP="00AF3786">
      <w:pPr>
        <w:spacing w:before="100" w:beforeAutospacing="1" w:after="100" w:afterAutospacing="1"/>
        <w:outlineLvl w:val="2"/>
        <w:rPr>
          <w:rFonts w:ascii="Arial" w:hAnsi="Arial" w:cs="Arial"/>
          <w:b/>
          <w:bCs/>
          <w:sz w:val="22"/>
        </w:rPr>
      </w:pPr>
      <w:r w:rsidRPr="00AF3786">
        <w:rPr>
          <w:rFonts w:ascii="Arial" w:hAnsi="Arial" w:cs="Arial"/>
          <w:b/>
          <w:bCs/>
          <w:sz w:val="22"/>
        </w:rPr>
        <w:t>SI</w:t>
      </w:r>
      <w:r w:rsidR="009D15C2">
        <w:rPr>
          <w:rFonts w:ascii="Arial" w:hAnsi="Arial" w:cs="Arial"/>
          <w:b/>
          <w:bCs/>
          <w:sz w:val="22"/>
        </w:rPr>
        <w:t>4</w:t>
      </w:r>
      <w:r w:rsidRPr="00AF3786">
        <w:rPr>
          <w:rFonts w:ascii="Arial" w:hAnsi="Arial" w:cs="Arial"/>
          <w:b/>
          <w:bCs/>
          <w:sz w:val="22"/>
        </w:rPr>
        <w:t>. Sensitivity checks and alternative model specifications</w:t>
      </w:r>
    </w:p>
    <w:p w14:paraId="3B8CBA87" w14:textId="056ACB01"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To evaluate whether the main conclusions depend on specific analytic choices, we ran a coordinated set of sensitivity analyses spanning descriptive stability, clustering diagnostics, and alternative regression specifications</w:t>
      </w:r>
      <w:r w:rsidR="00F91CC2">
        <w:rPr>
          <w:rFonts w:ascii="Arial" w:hAnsi="Arial" w:cs="Arial"/>
          <w:sz w:val="20"/>
        </w:rPr>
        <w:t xml:space="preserve"> </w:t>
      </w:r>
      <w:r w:rsidR="00F91CC2">
        <w:rPr>
          <w:rFonts w:ascii="Arial" w:hAnsi="Arial" w:cs="Arial"/>
          <w:sz w:val="20"/>
        </w:rPr>
        <w:fldChar w:fldCharType="begin"/>
      </w:r>
      <w:r w:rsidR="00F91CC2">
        <w:rPr>
          <w:rFonts w:ascii="Arial" w:hAnsi="Arial" w:cs="Arial"/>
          <w:sz w:val="20"/>
        </w:rPr>
        <w:instrText xml:space="preserve"> ADDIN ZOTERO_ITEM CSL_CITATION {"citationID":"dc8CoFZm","properties":{"formattedCitation":"(Simonsohn et al., 2020)","plainCitation":"(Simonsohn et al., 2020)","noteIndex":0},"citationItems":[{"id":409,"uris":["http://zotero.org/users/17689459/items/JCWUHVYB"],"itemData":{"id":409,"type":"article-journal","abstract":"Empirical results hinge on analytical decisions that are defensible, arbitrary and motivated. These decisions probably introduce bias (towards the narrative put forward by the authors), and they certainly involve variability not reflected by standard errors. To address this source of noise and bias, we introduce specification curve analysis, which consists of three steps: (1) identifying the set of theoretically justified, statistically valid and non-redundant specifications; (2) displaying the results graphically, allowing readers to identify consequential specifications decisions; and (3) conducting joint inference across all specifications. We illustrate the use of this technique by applying it to three findings from two different papers, one investigating discrimination based on distinctively Black names, the other investigating the effect of assigning female versus male names to hurricanes. Specification curve analysis reveals that one finding is robust, one is weak and one is not robust at all.","container-title":"Nature Human Behaviour","DOI":"10.1038/s41562-020-0912-z","ISSN":"2397-3374","issue":"11","journalAbbreviation":"Nat Hum Behav","language":"en","license":"2020 The Author(s), under exclusive licence to Springer Nature Limited","note":"publisher: Nature Publishing Group","page":"1208-1214","source":"www.nature.com","title":"Specification curve analysis","volume":"4","author":[{"family":"Simonsohn","given":"Uri"},{"family":"Simmons","given":"Joseph P."},{"family":"Nelson","given":"Leif D."}],"issued":{"date-parts":[["2020",11]]}}}],"schema":"https://github.com/citation-style-language/schema/raw/master/csl-citation.json"} </w:instrText>
      </w:r>
      <w:r w:rsidR="00F91CC2">
        <w:rPr>
          <w:rFonts w:ascii="Arial" w:hAnsi="Arial" w:cs="Arial"/>
          <w:sz w:val="20"/>
        </w:rPr>
        <w:fldChar w:fldCharType="separate"/>
      </w:r>
      <w:r w:rsidR="00F91CC2">
        <w:rPr>
          <w:rFonts w:ascii="Arial" w:hAnsi="Arial" w:cs="Arial"/>
          <w:noProof/>
          <w:sz w:val="20"/>
        </w:rPr>
        <w:t>(Simonsohn et al., 2020)</w:t>
      </w:r>
      <w:r w:rsidR="00F91CC2">
        <w:rPr>
          <w:rFonts w:ascii="Arial" w:hAnsi="Arial" w:cs="Arial"/>
          <w:sz w:val="20"/>
        </w:rPr>
        <w:fldChar w:fldCharType="end"/>
      </w:r>
      <w:r w:rsidRPr="00AF3786">
        <w:rPr>
          <w:rFonts w:ascii="Arial" w:hAnsi="Arial" w:cs="Arial"/>
          <w:sz w:val="20"/>
        </w:rPr>
        <w:t>. Across all checks, the same pattern emerged: responses are highly structured and reproducible, with strong agent and capacity effects, but cluster boundaries remain scale- and criterion-dependent.</w:t>
      </w:r>
    </w:p>
    <w:p w14:paraId="20DC931A"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The two heatmaps in Fig. S3A–B (cell means and cell SDs) show that the signal is not driven by a few isolated entries. Mean endorsement exhibits broad, coherent gradients across agents and capacities, while variability is unevenly distributed, concentrating in capacities that sit near conceptual boundaries rather than in clearly prototypical capacities. This spatial dissociation between level and dispersion is consistent with a stable latent backbone plus local ambiguity at domain interfaces.</w:t>
      </w:r>
    </w:p>
    <w:p w14:paraId="49041FEA"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p>
    <w:p w14:paraId="3E1DC3B0" w14:textId="77777777" w:rsidR="00B65834" w:rsidRDefault="00B65834">
      <w:pPr>
        <w:rPr>
          <w:rFonts w:ascii="Arial" w:hAnsi="Arial" w:cs="Arial"/>
          <w:b/>
          <w:bCs/>
          <w:sz w:val="20"/>
        </w:rPr>
      </w:pPr>
      <w:r>
        <w:rPr>
          <w:rFonts w:ascii="Arial" w:hAnsi="Arial" w:cs="Arial"/>
          <w:b/>
          <w:bCs/>
          <w:sz w:val="20"/>
        </w:rPr>
        <w:br w:type="page"/>
      </w:r>
    </w:p>
    <w:p w14:paraId="3E493B2F" w14:textId="145FE696" w:rsidR="00AF3786" w:rsidRPr="00AF3786" w:rsidRDefault="00AF3786" w:rsidP="00AF3786">
      <w:pPr>
        <w:spacing w:line="360" w:lineRule="auto"/>
        <w:contextualSpacing/>
        <w:jc w:val="center"/>
        <w:outlineLvl w:val="3"/>
        <w:rPr>
          <w:rFonts w:ascii="Arial" w:hAnsi="Arial" w:cs="Arial"/>
          <w:b/>
          <w:bCs/>
          <w:sz w:val="20"/>
        </w:rPr>
      </w:pPr>
      <w:r w:rsidRPr="00AF3786">
        <w:rPr>
          <w:rFonts w:ascii="Arial" w:hAnsi="Arial" w:cs="Arial"/>
          <w:b/>
          <w:bCs/>
          <w:sz w:val="20"/>
        </w:rPr>
        <w:lastRenderedPageBreak/>
        <w:t>Figure S3</w:t>
      </w:r>
      <w:r w:rsidR="004E4AED">
        <w:rPr>
          <w:rFonts w:ascii="Arial" w:hAnsi="Arial" w:cs="Arial"/>
          <w:b/>
          <w:bCs/>
          <w:sz w:val="20"/>
        </w:rPr>
        <w:t>A-B</w:t>
      </w:r>
      <w:r w:rsidRPr="00AF3786">
        <w:rPr>
          <w:rFonts w:ascii="Arial" w:hAnsi="Arial" w:cs="Arial"/>
          <w:b/>
          <w:bCs/>
          <w:sz w:val="20"/>
        </w:rPr>
        <w:t>. Agent × capacity mean-endorsement and agent × capacity SD heatmaps</w:t>
      </w:r>
    </w:p>
    <w:p w14:paraId="1A70587D" w14:textId="77777777" w:rsidR="00AF3786" w:rsidRPr="00AF3786" w:rsidRDefault="00AF3786" w:rsidP="00AF3786">
      <w:pPr>
        <w:spacing w:before="100" w:beforeAutospacing="1" w:after="100" w:afterAutospacing="1" w:line="360" w:lineRule="auto"/>
        <w:contextualSpacing/>
        <w:jc w:val="both"/>
        <w:rPr>
          <w:rFonts w:ascii="Arial" w:hAnsi="Arial" w:cs="Arial"/>
          <w:sz w:val="20"/>
        </w:rPr>
      </w:pPr>
      <w:r w:rsidRPr="00AF3786">
        <w:rPr>
          <w:rFonts w:ascii="Arial" w:hAnsi="Arial" w:cs="Arial"/>
          <w:noProof/>
          <w:sz w:val="20"/>
        </w:rPr>
        <w:drawing>
          <wp:inline distT="0" distB="0" distL="0" distR="0" wp14:anchorId="13DFCC27" wp14:editId="0BA7B80E">
            <wp:extent cx="5731468" cy="4129238"/>
            <wp:effectExtent l="0" t="0" r="0" b="0"/>
            <wp:docPr id="832590464"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90464" name="Picture 1" descr="A screenshot of a graph&#10;&#10;AI-generated content may be incorrect."/>
                    <pic:cNvPicPr/>
                  </pic:nvPicPr>
                  <pic:blipFill rotWithShape="1">
                    <a:blip r:embed="rId10"/>
                    <a:srcRect t="1280" b="7287"/>
                    <a:stretch>
                      <a:fillRect/>
                    </a:stretch>
                  </pic:blipFill>
                  <pic:spPr bwMode="auto">
                    <a:xfrm>
                      <a:off x="0" y="0"/>
                      <a:ext cx="5731510" cy="4129269"/>
                    </a:xfrm>
                    <a:prstGeom prst="rect">
                      <a:avLst/>
                    </a:prstGeom>
                    <a:ln>
                      <a:noFill/>
                    </a:ln>
                    <a:extLst>
                      <a:ext uri="{53640926-AAD7-44D8-BBD7-CCE9431645EC}">
                        <a14:shadowObscured xmlns:a14="http://schemas.microsoft.com/office/drawing/2010/main"/>
                      </a:ext>
                    </a:extLst>
                  </pic:spPr>
                </pic:pic>
              </a:graphicData>
            </a:graphic>
          </wp:inline>
        </w:drawing>
      </w:r>
    </w:p>
    <w:p w14:paraId="3A96E2D6" w14:textId="7796457A" w:rsidR="009F54D2" w:rsidRDefault="00AF3786" w:rsidP="009F54D2">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Bootstrap cluster stability (Fig. S</w:t>
      </w:r>
      <w:r w:rsidR="009F54D2">
        <w:rPr>
          <w:rFonts w:ascii="Arial" w:hAnsi="Arial" w:cs="Arial"/>
          <w:sz w:val="20"/>
        </w:rPr>
        <w:t>4</w:t>
      </w:r>
      <w:r w:rsidRPr="00AF3786">
        <w:rPr>
          <w:rFonts w:ascii="Arial" w:hAnsi="Arial" w:cs="Arial"/>
          <w:sz w:val="20"/>
        </w:rPr>
        <w:t xml:space="preserve">) showed strong dependence on the number of clusters. Using 1,000 resamples per solution, </w:t>
      </w:r>
      <m:oMath>
        <m:r>
          <w:rPr>
            <w:rFonts w:ascii="Cambria Math" w:hAnsi="Cambria Math" w:cs="Arial"/>
            <w:sz w:val="20"/>
          </w:rPr>
          <m:t>k=5</m:t>
        </m:r>
      </m:oMath>
      <w:r w:rsidRPr="00AF3786">
        <w:rPr>
          <w:rFonts w:ascii="Arial" w:hAnsi="Arial" w:cs="Arial"/>
          <w:sz w:val="20"/>
        </w:rPr>
        <w:t>yielded the highest stability (</w:t>
      </w:r>
      <m:oMath>
        <m:acc>
          <m:accPr>
            <m:chr m:val="‾"/>
            <m:ctrlPr>
              <w:rPr>
                <w:rFonts w:ascii="Cambria Math" w:hAnsi="Cambria Math" w:cs="Arial"/>
                <w:sz w:val="20"/>
              </w:rPr>
            </m:ctrlPr>
          </m:accPr>
          <m:e>
            <m:r>
              <m:rPr>
                <m:sty m:val="p"/>
              </m:rPr>
              <w:rPr>
                <w:rFonts w:ascii="Cambria Math" w:hAnsi="Cambria Math" w:cs="Arial"/>
                <w:sz w:val="20"/>
              </w:rPr>
              <m:t>ARI</m:t>
            </m:r>
          </m:e>
        </m:acc>
        <m:r>
          <w:rPr>
            <w:rFonts w:ascii="Cambria Math" w:hAnsi="Cambria Math" w:cs="Arial"/>
            <w:sz w:val="20"/>
          </w:rPr>
          <m:t>=0.883</m:t>
        </m:r>
      </m:oMath>
      <w:r w:rsidRPr="00AF3786">
        <w:rPr>
          <w:rFonts w:ascii="Arial" w:hAnsi="Arial" w:cs="Arial"/>
          <w:sz w:val="20"/>
        </w:rPr>
        <w:t xml:space="preserve">, SD </w:t>
      </w:r>
      <m:oMath>
        <m:r>
          <w:rPr>
            <w:rFonts w:ascii="Cambria Math" w:hAnsi="Cambria Math" w:cs="Arial"/>
            <w:sz w:val="20"/>
          </w:rPr>
          <m:t>=0.159</m:t>
        </m:r>
      </m:oMath>
      <w:r w:rsidRPr="00AF3786">
        <w:rPr>
          <w:rFonts w:ascii="Arial" w:hAnsi="Arial" w:cs="Arial"/>
          <w:sz w:val="20"/>
        </w:rPr>
        <w:t xml:space="preserve">, median </w:t>
      </w:r>
      <m:oMath>
        <m:r>
          <w:rPr>
            <w:rFonts w:ascii="Cambria Math" w:hAnsi="Cambria Math" w:cs="Arial"/>
            <w:sz w:val="20"/>
          </w:rPr>
          <m:t>=1.000</m:t>
        </m:r>
      </m:oMath>
      <w:r w:rsidRPr="00AF3786">
        <w:rPr>
          <w:rFonts w:ascii="Arial" w:hAnsi="Arial" w:cs="Arial"/>
          <w:sz w:val="20"/>
        </w:rPr>
        <w:t xml:space="preserve">, IQR </w:t>
      </w:r>
      <m:oMath>
        <m:d>
          <m:dPr>
            <m:begChr m:val="["/>
            <m:sepChr m:val=","/>
            <m:endChr m:val="]"/>
            <m:ctrlPr>
              <w:rPr>
                <w:rFonts w:ascii="Cambria Math" w:hAnsi="Cambria Math" w:cs="Arial"/>
                <w:sz w:val="20"/>
              </w:rPr>
            </m:ctrlPr>
          </m:dPr>
          <m:e>
            <m:r>
              <w:rPr>
                <w:rFonts w:ascii="Cambria Math" w:hAnsi="Cambria Math" w:cs="Arial"/>
                <w:sz w:val="20"/>
              </w:rPr>
              <m:t>0.750</m:t>
            </m:r>
          </m:e>
          <m:e>
            <m:r>
              <w:rPr>
                <w:rFonts w:ascii="Cambria Math" w:hAnsi="Cambria Math" w:cs="Arial"/>
                <w:sz w:val="20"/>
              </w:rPr>
              <m:t>1.000</m:t>
            </m:r>
          </m:e>
        </m:d>
      </m:oMath>
      <w:r w:rsidRPr="00AF3786">
        <w:rPr>
          <w:rFonts w:ascii="Arial" w:hAnsi="Arial" w:cs="Arial"/>
          <w:sz w:val="20"/>
        </w:rPr>
        <w:t xml:space="preserve">, 5th–95th percentile </w:t>
      </w:r>
      <m:oMath>
        <m:d>
          <m:dPr>
            <m:begChr m:val="["/>
            <m:sepChr m:val=","/>
            <m:endChr m:val="]"/>
            <m:ctrlPr>
              <w:rPr>
                <w:rFonts w:ascii="Cambria Math" w:hAnsi="Cambria Math" w:cs="Arial"/>
                <w:sz w:val="20"/>
              </w:rPr>
            </m:ctrlPr>
          </m:dPr>
          <m:e>
            <m:r>
              <w:rPr>
                <w:rFonts w:ascii="Cambria Math" w:hAnsi="Cambria Math" w:cs="Arial"/>
                <w:sz w:val="20"/>
              </w:rPr>
              <m:t>0.505</m:t>
            </m:r>
          </m:e>
          <m:e>
            <m:r>
              <w:rPr>
                <w:rFonts w:ascii="Cambria Math" w:hAnsi="Cambria Math" w:cs="Arial"/>
                <w:sz w:val="20"/>
              </w:rPr>
              <m:t>1.000</m:t>
            </m:r>
          </m:e>
        </m:d>
      </m:oMath>
      <w:r w:rsidRPr="00AF3786">
        <w:rPr>
          <w:rFonts w:ascii="Arial" w:hAnsi="Arial" w:cs="Arial"/>
          <w:sz w:val="20"/>
        </w:rPr>
        <w:t xml:space="preserve">). The </w:t>
      </w:r>
      <m:oMath>
        <m:r>
          <w:rPr>
            <w:rFonts w:ascii="Cambria Math" w:hAnsi="Cambria Math" w:cs="Arial"/>
            <w:sz w:val="20"/>
          </w:rPr>
          <m:t>k=3</m:t>
        </m:r>
      </m:oMath>
      <w:r w:rsidRPr="00AF3786">
        <w:rPr>
          <w:rFonts w:ascii="Arial" w:hAnsi="Arial" w:cs="Arial"/>
          <w:sz w:val="20"/>
        </w:rPr>
        <w:t>solution was intermediate (</w:t>
      </w:r>
      <m:oMath>
        <m:acc>
          <m:accPr>
            <m:chr m:val="‾"/>
            <m:ctrlPr>
              <w:rPr>
                <w:rFonts w:ascii="Cambria Math" w:hAnsi="Cambria Math" w:cs="Arial"/>
                <w:sz w:val="20"/>
              </w:rPr>
            </m:ctrlPr>
          </m:accPr>
          <m:e>
            <m:r>
              <m:rPr>
                <m:sty m:val="p"/>
              </m:rPr>
              <w:rPr>
                <w:rFonts w:ascii="Cambria Math" w:hAnsi="Cambria Math" w:cs="Arial"/>
                <w:sz w:val="20"/>
              </w:rPr>
              <m:t>ARI</m:t>
            </m:r>
          </m:e>
        </m:acc>
        <m:r>
          <w:rPr>
            <w:rFonts w:ascii="Cambria Math" w:hAnsi="Cambria Math" w:cs="Arial"/>
            <w:sz w:val="20"/>
          </w:rPr>
          <m:t>=0.849</m:t>
        </m:r>
      </m:oMath>
      <w:r w:rsidRPr="00AF3786">
        <w:rPr>
          <w:rFonts w:ascii="Arial" w:hAnsi="Arial" w:cs="Arial"/>
          <w:sz w:val="20"/>
        </w:rPr>
        <w:t xml:space="preserve">, SD </w:t>
      </w:r>
      <m:oMath>
        <m:r>
          <w:rPr>
            <w:rFonts w:ascii="Cambria Math" w:hAnsi="Cambria Math" w:cs="Arial"/>
            <w:sz w:val="20"/>
          </w:rPr>
          <m:t>=0.162</m:t>
        </m:r>
      </m:oMath>
      <w:r w:rsidRPr="00AF3786">
        <w:rPr>
          <w:rFonts w:ascii="Arial" w:hAnsi="Arial" w:cs="Arial"/>
          <w:sz w:val="20"/>
        </w:rPr>
        <w:t xml:space="preserve">, median </w:t>
      </w:r>
      <m:oMath>
        <m:r>
          <w:rPr>
            <w:rFonts w:ascii="Cambria Math" w:hAnsi="Cambria Math" w:cs="Arial"/>
            <w:sz w:val="20"/>
          </w:rPr>
          <m:t>=0.859</m:t>
        </m:r>
      </m:oMath>
      <w:r w:rsidRPr="00AF3786">
        <w:rPr>
          <w:rFonts w:ascii="Arial" w:hAnsi="Arial" w:cs="Arial"/>
          <w:sz w:val="20"/>
        </w:rPr>
        <w:t xml:space="preserve">, IQR </w:t>
      </w:r>
      <m:oMath>
        <m:d>
          <m:dPr>
            <m:begChr m:val="["/>
            <m:sepChr m:val=","/>
            <m:endChr m:val="]"/>
            <m:ctrlPr>
              <w:rPr>
                <w:rFonts w:ascii="Cambria Math" w:hAnsi="Cambria Math" w:cs="Arial"/>
                <w:sz w:val="20"/>
              </w:rPr>
            </m:ctrlPr>
          </m:dPr>
          <m:e>
            <m:r>
              <w:rPr>
                <w:rFonts w:ascii="Cambria Math" w:hAnsi="Cambria Math" w:cs="Arial"/>
                <w:sz w:val="20"/>
              </w:rPr>
              <m:t>0.833</m:t>
            </m:r>
          </m:e>
          <m:e>
            <m:r>
              <w:rPr>
                <w:rFonts w:ascii="Cambria Math" w:hAnsi="Cambria Math" w:cs="Arial"/>
                <w:sz w:val="20"/>
              </w:rPr>
              <m:t>1.000</m:t>
            </m:r>
          </m:e>
        </m:d>
      </m:oMath>
      <w:r w:rsidRPr="00AF3786">
        <w:rPr>
          <w:rFonts w:ascii="Arial" w:hAnsi="Arial" w:cs="Arial"/>
          <w:sz w:val="20"/>
        </w:rPr>
        <w:t xml:space="preserve">, 5th–95th percentile </w:t>
      </w:r>
      <m:oMath>
        <m:d>
          <m:dPr>
            <m:begChr m:val="["/>
            <m:sepChr m:val=","/>
            <m:endChr m:val="]"/>
            <m:ctrlPr>
              <w:rPr>
                <w:rFonts w:ascii="Cambria Math" w:hAnsi="Cambria Math" w:cs="Arial"/>
                <w:sz w:val="20"/>
              </w:rPr>
            </m:ctrlPr>
          </m:dPr>
          <m:e>
            <m:r>
              <w:rPr>
                <w:rFonts w:ascii="Cambria Math" w:hAnsi="Cambria Math" w:cs="Arial"/>
                <w:sz w:val="20"/>
              </w:rPr>
              <m:t>0.506</m:t>
            </m:r>
          </m:e>
          <m:e>
            <m:r>
              <w:rPr>
                <w:rFonts w:ascii="Cambria Math" w:hAnsi="Cambria Math" w:cs="Arial"/>
                <w:sz w:val="20"/>
              </w:rPr>
              <m:t>1.000</m:t>
            </m:r>
          </m:e>
        </m:d>
      </m:oMath>
      <w:r w:rsidRPr="00AF3786">
        <w:rPr>
          <w:rFonts w:ascii="Arial" w:hAnsi="Arial" w:cs="Arial"/>
          <w:sz w:val="20"/>
        </w:rPr>
        <w:t xml:space="preserve">). The </w:t>
      </w:r>
      <m:oMath>
        <m:r>
          <w:rPr>
            <w:rFonts w:ascii="Cambria Math" w:hAnsi="Cambria Math" w:cs="Arial"/>
            <w:sz w:val="20"/>
          </w:rPr>
          <m:t>k=2</m:t>
        </m:r>
      </m:oMath>
      <w:r w:rsidRPr="00AF3786">
        <w:rPr>
          <w:rFonts w:ascii="Arial" w:hAnsi="Arial" w:cs="Arial"/>
          <w:sz w:val="20"/>
        </w:rPr>
        <w:t>solution was least stable (</w:t>
      </w:r>
      <m:oMath>
        <m:acc>
          <m:accPr>
            <m:chr m:val="‾"/>
            <m:ctrlPr>
              <w:rPr>
                <w:rFonts w:ascii="Cambria Math" w:hAnsi="Cambria Math" w:cs="Arial"/>
                <w:sz w:val="20"/>
              </w:rPr>
            </m:ctrlPr>
          </m:accPr>
          <m:e>
            <m:r>
              <m:rPr>
                <m:sty m:val="p"/>
              </m:rPr>
              <w:rPr>
                <w:rFonts w:ascii="Cambria Math" w:hAnsi="Cambria Math" w:cs="Arial"/>
                <w:sz w:val="20"/>
              </w:rPr>
              <m:t>ARI</m:t>
            </m:r>
          </m:e>
        </m:acc>
        <m:r>
          <w:rPr>
            <w:rFonts w:ascii="Cambria Math" w:hAnsi="Cambria Math" w:cs="Arial"/>
            <w:sz w:val="20"/>
          </w:rPr>
          <m:t>=0.786</m:t>
        </m:r>
      </m:oMath>
      <w:r w:rsidRPr="00AF3786">
        <w:rPr>
          <w:rFonts w:ascii="Arial" w:hAnsi="Arial" w:cs="Arial"/>
          <w:sz w:val="20"/>
        </w:rPr>
        <w:t xml:space="preserve">, SD </w:t>
      </w:r>
      <m:oMath>
        <m:r>
          <w:rPr>
            <w:rFonts w:ascii="Cambria Math" w:hAnsi="Cambria Math" w:cs="Arial"/>
            <w:sz w:val="20"/>
          </w:rPr>
          <m:t>=0.199</m:t>
        </m:r>
      </m:oMath>
      <w:r w:rsidRPr="00AF3786">
        <w:rPr>
          <w:rFonts w:ascii="Arial" w:hAnsi="Arial" w:cs="Arial"/>
          <w:sz w:val="20"/>
        </w:rPr>
        <w:t xml:space="preserve">, median </w:t>
      </w:r>
      <m:oMath>
        <m:r>
          <w:rPr>
            <w:rFonts w:ascii="Cambria Math" w:hAnsi="Cambria Math" w:cs="Arial"/>
            <w:sz w:val="20"/>
          </w:rPr>
          <m:t>=0.860</m:t>
        </m:r>
      </m:oMath>
      <w:r w:rsidRPr="00AF3786">
        <w:rPr>
          <w:rFonts w:ascii="Arial" w:hAnsi="Arial" w:cs="Arial"/>
          <w:sz w:val="20"/>
        </w:rPr>
        <w:t xml:space="preserve">, IQR </w:t>
      </w:r>
      <m:oMath>
        <m:d>
          <m:dPr>
            <m:begChr m:val="["/>
            <m:sepChr m:val=","/>
            <m:endChr m:val="]"/>
            <m:ctrlPr>
              <w:rPr>
                <w:rFonts w:ascii="Cambria Math" w:hAnsi="Cambria Math" w:cs="Arial"/>
                <w:sz w:val="20"/>
              </w:rPr>
            </m:ctrlPr>
          </m:dPr>
          <m:e>
            <m:r>
              <w:rPr>
                <w:rFonts w:ascii="Cambria Math" w:hAnsi="Cambria Math" w:cs="Arial"/>
                <w:sz w:val="20"/>
              </w:rPr>
              <m:t>0.638</m:t>
            </m:r>
          </m:e>
          <m:e>
            <m:r>
              <w:rPr>
                <w:rFonts w:ascii="Cambria Math" w:hAnsi="Cambria Math" w:cs="Arial"/>
                <w:sz w:val="20"/>
              </w:rPr>
              <m:t>0.923</m:t>
            </m:r>
          </m:e>
        </m:d>
      </m:oMath>
      <w:r w:rsidRPr="00AF3786">
        <w:rPr>
          <w:rFonts w:ascii="Arial" w:hAnsi="Arial" w:cs="Arial"/>
          <w:sz w:val="20"/>
        </w:rPr>
        <w:t xml:space="preserve">, 5th–95th percentile </w:t>
      </w:r>
      <m:oMath>
        <m:d>
          <m:dPr>
            <m:begChr m:val="["/>
            <m:sepChr m:val=","/>
            <m:endChr m:val="]"/>
            <m:ctrlPr>
              <w:rPr>
                <w:rFonts w:ascii="Cambria Math" w:hAnsi="Cambria Math" w:cs="Arial"/>
                <w:sz w:val="20"/>
              </w:rPr>
            </m:ctrlPr>
          </m:dPr>
          <m:e>
            <m:r>
              <w:rPr>
                <w:rFonts w:ascii="Cambria Math" w:hAnsi="Cambria Math" w:cs="Arial"/>
                <w:sz w:val="20"/>
              </w:rPr>
              <m:t>0.374</m:t>
            </m:r>
          </m:e>
          <m:e>
            <m:r>
              <w:rPr>
                <w:rFonts w:ascii="Cambria Math" w:hAnsi="Cambria Math" w:cs="Arial"/>
                <w:sz w:val="20"/>
              </w:rPr>
              <m:t>1.000</m:t>
            </m:r>
          </m:e>
        </m:d>
      </m:oMath>
      <w:r w:rsidRPr="00AF3786">
        <w:rPr>
          <w:rFonts w:ascii="Arial" w:hAnsi="Arial" w:cs="Arial"/>
          <w:sz w:val="20"/>
        </w:rPr>
        <w:t>). Thus, bootstrap agreement improves as granularity increases from 2 to 5 clusters, but does not eliminate instability in lower quantiles.</w:t>
      </w:r>
    </w:p>
    <w:p w14:paraId="3BBD9EBF" w14:textId="77777777" w:rsidR="009F54D2" w:rsidRDefault="009F54D2">
      <w:pPr>
        <w:rPr>
          <w:rFonts w:ascii="Arial" w:hAnsi="Arial" w:cs="Arial"/>
          <w:sz w:val="20"/>
        </w:rPr>
      </w:pPr>
      <w:r>
        <w:rPr>
          <w:rFonts w:ascii="Arial" w:hAnsi="Arial" w:cs="Arial"/>
          <w:sz w:val="20"/>
        </w:rPr>
        <w:br w:type="page"/>
      </w:r>
    </w:p>
    <w:p w14:paraId="06FACB8B" w14:textId="68103E66" w:rsidR="00AF3786" w:rsidRPr="00AF3786" w:rsidRDefault="00AF3786" w:rsidP="00AF3786">
      <w:pPr>
        <w:spacing w:line="360" w:lineRule="auto"/>
        <w:contextualSpacing/>
        <w:jc w:val="center"/>
        <w:outlineLvl w:val="3"/>
        <w:rPr>
          <w:rFonts w:ascii="Arial" w:hAnsi="Arial" w:cs="Arial"/>
          <w:b/>
          <w:bCs/>
          <w:sz w:val="20"/>
        </w:rPr>
      </w:pPr>
      <w:r w:rsidRPr="00AF3786">
        <w:rPr>
          <w:rFonts w:ascii="Arial" w:hAnsi="Arial" w:cs="Arial"/>
          <w:b/>
          <w:bCs/>
          <w:sz w:val="20"/>
        </w:rPr>
        <w:lastRenderedPageBreak/>
        <w:t>Figure S</w:t>
      </w:r>
      <w:r w:rsidR="009F54D2">
        <w:rPr>
          <w:rFonts w:ascii="Arial" w:hAnsi="Arial" w:cs="Arial"/>
          <w:b/>
          <w:bCs/>
          <w:sz w:val="20"/>
        </w:rPr>
        <w:t>4</w:t>
      </w:r>
      <w:r w:rsidRPr="00AF3786">
        <w:rPr>
          <w:rFonts w:ascii="Arial" w:hAnsi="Arial" w:cs="Arial"/>
          <w:b/>
          <w:bCs/>
          <w:sz w:val="20"/>
        </w:rPr>
        <w:t xml:space="preserve">. Bootstrap ARI distributions for </w:t>
      </w:r>
      <w:r w:rsidRPr="00AF3786">
        <w:rPr>
          <w:rFonts w:ascii="Arial" w:hAnsi="Arial" w:cs="Arial"/>
          <w:b/>
          <w:bCs/>
          <w:i/>
          <w:iCs/>
          <w:sz w:val="20"/>
        </w:rPr>
        <w:t>k</w:t>
      </w:r>
      <w:r w:rsidRPr="00AF3786">
        <w:rPr>
          <w:rFonts w:ascii="Arial" w:hAnsi="Arial" w:cs="Arial"/>
          <w:b/>
          <w:bCs/>
          <w:sz w:val="20"/>
        </w:rPr>
        <w:t xml:space="preserve"> = 2, 3, 5 (1,000 resamples each)</w:t>
      </w:r>
    </w:p>
    <w:p w14:paraId="5E5F4852" w14:textId="77777777" w:rsidR="00AF3786" w:rsidRPr="00AF3786" w:rsidRDefault="00AF3786" w:rsidP="00AF3786">
      <w:pPr>
        <w:spacing w:before="100" w:beforeAutospacing="1" w:after="100" w:afterAutospacing="1" w:line="360" w:lineRule="auto"/>
        <w:contextualSpacing/>
        <w:jc w:val="both"/>
        <w:rPr>
          <w:rFonts w:ascii="Arial" w:hAnsi="Arial" w:cs="Arial"/>
          <w:sz w:val="20"/>
        </w:rPr>
      </w:pPr>
      <w:r w:rsidRPr="00AF3786">
        <w:rPr>
          <w:rFonts w:ascii="Arial" w:hAnsi="Arial" w:cs="Arial"/>
          <w:noProof/>
          <w:sz w:val="20"/>
        </w:rPr>
        <w:drawing>
          <wp:inline distT="0" distB="0" distL="0" distR="0" wp14:anchorId="3C4CBA4B" wp14:editId="6693947A">
            <wp:extent cx="5731510" cy="2196666"/>
            <wp:effectExtent l="0" t="0" r="0" b="635"/>
            <wp:docPr id="2064621465"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21465" name="Picture 1" descr="A graph of different sizes and colors&#10;&#10;AI-generated content may be incorrect."/>
                    <pic:cNvPicPr/>
                  </pic:nvPicPr>
                  <pic:blipFill rotWithShape="1">
                    <a:blip r:embed="rId11"/>
                    <a:srcRect t="6933"/>
                    <a:stretch>
                      <a:fillRect/>
                    </a:stretch>
                  </pic:blipFill>
                  <pic:spPr bwMode="auto">
                    <a:xfrm>
                      <a:off x="0" y="0"/>
                      <a:ext cx="5731510" cy="2196666"/>
                    </a:xfrm>
                    <a:prstGeom prst="rect">
                      <a:avLst/>
                    </a:prstGeom>
                    <a:ln>
                      <a:noFill/>
                    </a:ln>
                    <a:extLst>
                      <a:ext uri="{53640926-AAD7-44D8-BBD7-CCE9431645EC}">
                        <a14:shadowObscured xmlns:a14="http://schemas.microsoft.com/office/drawing/2010/main"/>
                      </a:ext>
                    </a:extLst>
                  </pic:spPr>
                </pic:pic>
              </a:graphicData>
            </a:graphic>
          </wp:inline>
        </w:drawing>
      </w:r>
    </w:p>
    <w:p w14:paraId="08664DCE" w14:textId="211F5E09"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Elbow and silhouette diagnostics (Fig. S</w:t>
      </w:r>
      <w:r w:rsidR="009F54D2">
        <w:rPr>
          <w:rFonts w:ascii="Arial" w:hAnsi="Arial" w:cs="Arial"/>
          <w:sz w:val="20"/>
        </w:rPr>
        <w:t>5</w:t>
      </w:r>
      <w:r w:rsidRPr="00AF3786">
        <w:rPr>
          <w:rFonts w:ascii="Arial" w:hAnsi="Arial" w:cs="Arial"/>
          <w:sz w:val="20"/>
        </w:rPr>
        <w:t xml:space="preserve">) converged only partially. Total within-cluster sum of squares declined monotonically from </w:t>
      </w:r>
      <m:oMath>
        <m:r>
          <w:rPr>
            <w:rFonts w:ascii="Cambria Math" w:hAnsi="Cambria Math" w:cs="Arial"/>
            <w:sz w:val="20"/>
          </w:rPr>
          <m:t>k=2</m:t>
        </m:r>
      </m:oMath>
      <w:r w:rsidRPr="00AF3786">
        <w:rPr>
          <w:rFonts w:ascii="Arial" w:hAnsi="Arial" w:cs="Arial"/>
          <w:sz w:val="20"/>
        </w:rPr>
        <w:t xml:space="preserve">to </w:t>
      </w:r>
      <m:oMath>
        <m:r>
          <w:rPr>
            <w:rFonts w:ascii="Cambria Math" w:hAnsi="Cambria Math" w:cs="Arial"/>
            <w:sz w:val="20"/>
          </w:rPr>
          <m:t>k=10</m:t>
        </m:r>
      </m:oMath>
      <w:r w:rsidRPr="00AF3786">
        <w:rPr>
          <w:rFonts w:ascii="Arial" w:hAnsi="Arial" w:cs="Arial"/>
          <w:sz w:val="20"/>
        </w:rPr>
        <w:t>(390.7, 301.0, 250.4, 151.7, 127.5, 99.8, 86.0, 61.2, 45.8), with largest absolute drops at early splits (</w:t>
      </w:r>
      <m:oMath>
        <m:sSub>
          <m:sSubPr>
            <m:ctrlPr>
              <w:rPr>
                <w:rFonts w:ascii="Cambria Math" w:hAnsi="Cambria Math" w:cs="Arial"/>
                <w:sz w:val="20"/>
              </w:rPr>
            </m:ctrlPr>
          </m:sSubPr>
          <m:e>
            <m:r>
              <m:rPr>
                <m:sty m:val="p"/>
              </m:rPr>
              <w:rPr>
                <w:rFonts w:ascii="Cambria Math" w:hAnsi="Cambria Math" w:cs="Arial"/>
                <w:sz w:val="20"/>
              </w:rPr>
              <m:t>Δ</m:t>
            </m:r>
          </m:e>
          <m:sub>
            <m:r>
              <w:rPr>
                <w:rFonts w:ascii="Cambria Math" w:hAnsi="Cambria Math" w:cs="Arial"/>
                <w:sz w:val="20"/>
              </w:rPr>
              <m:t>2→3</m:t>
            </m:r>
          </m:sub>
        </m:sSub>
        <m:r>
          <w:rPr>
            <w:rFonts w:ascii="Cambria Math" w:hAnsi="Cambria Math" w:cs="Arial"/>
            <w:sz w:val="20"/>
          </w:rPr>
          <m:t>=89.7</m:t>
        </m:r>
      </m:oMath>
      <w:r w:rsidRPr="00AF3786">
        <w:rPr>
          <w:rFonts w:ascii="Arial" w:hAnsi="Arial" w:cs="Arial"/>
          <w:sz w:val="20"/>
        </w:rPr>
        <w:t xml:space="preserve">, </w:t>
      </w:r>
      <m:oMath>
        <m:sSub>
          <m:sSubPr>
            <m:ctrlPr>
              <w:rPr>
                <w:rFonts w:ascii="Cambria Math" w:hAnsi="Cambria Math" w:cs="Arial"/>
                <w:sz w:val="20"/>
              </w:rPr>
            </m:ctrlPr>
          </m:sSubPr>
          <m:e>
            <m:r>
              <m:rPr>
                <m:sty m:val="p"/>
              </m:rPr>
              <w:rPr>
                <w:rFonts w:ascii="Cambria Math" w:hAnsi="Cambria Math" w:cs="Arial"/>
                <w:sz w:val="20"/>
              </w:rPr>
              <m:t>Δ</m:t>
            </m:r>
          </m:e>
          <m:sub>
            <m:r>
              <w:rPr>
                <w:rFonts w:ascii="Cambria Math" w:hAnsi="Cambria Math" w:cs="Arial"/>
                <w:sz w:val="20"/>
              </w:rPr>
              <m:t>4→5</m:t>
            </m:r>
          </m:sub>
        </m:sSub>
        <m:r>
          <w:rPr>
            <w:rFonts w:ascii="Cambria Math" w:hAnsi="Cambria Math" w:cs="Arial"/>
            <w:sz w:val="20"/>
          </w:rPr>
          <m:t>=98.7</m:t>
        </m:r>
      </m:oMath>
      <w:r w:rsidRPr="00AF3786">
        <w:rPr>
          <w:rFonts w:ascii="Arial" w:hAnsi="Arial" w:cs="Arial"/>
          <w:sz w:val="20"/>
        </w:rPr>
        <w:t xml:space="preserve">). Average silhouette was moderate overall and peaked at </w:t>
      </w:r>
      <m:oMath>
        <m:r>
          <w:rPr>
            <w:rFonts w:ascii="Cambria Math" w:hAnsi="Cambria Math" w:cs="Arial"/>
            <w:sz w:val="20"/>
          </w:rPr>
          <m:t>k=6</m:t>
        </m:r>
      </m:oMath>
      <w:r w:rsidRPr="00AF3786">
        <w:rPr>
          <w:rFonts w:ascii="Arial" w:hAnsi="Arial" w:cs="Arial"/>
          <w:sz w:val="20"/>
        </w:rPr>
        <w:t xml:space="preserve">(0.486), with nearby values at </w:t>
      </w:r>
      <m:oMath>
        <m:r>
          <w:rPr>
            <w:rFonts w:ascii="Cambria Math" w:hAnsi="Cambria Math" w:cs="Arial"/>
            <w:sz w:val="20"/>
          </w:rPr>
          <m:t>k=3</m:t>
        </m:r>
      </m:oMath>
      <w:r w:rsidRPr="00AF3786">
        <w:rPr>
          <w:rFonts w:ascii="Arial" w:hAnsi="Arial" w:cs="Arial"/>
          <w:sz w:val="20"/>
        </w:rPr>
        <w:t xml:space="preserve">and </w:t>
      </w:r>
      <m:oMath>
        <m:r>
          <w:rPr>
            <w:rFonts w:ascii="Cambria Math" w:hAnsi="Cambria Math" w:cs="Arial"/>
            <w:sz w:val="20"/>
          </w:rPr>
          <m:t>k=4</m:t>
        </m:r>
      </m:oMath>
      <w:r w:rsidRPr="00AF3786">
        <w:rPr>
          <w:rFonts w:ascii="Arial" w:hAnsi="Arial" w:cs="Arial"/>
          <w:sz w:val="20"/>
        </w:rPr>
        <w:t xml:space="preserve">(both 0.45), </w:t>
      </w:r>
      <m:oMath>
        <m:r>
          <w:rPr>
            <w:rFonts w:ascii="Cambria Math" w:hAnsi="Cambria Math" w:cs="Arial"/>
            <w:sz w:val="20"/>
          </w:rPr>
          <m:t>k=2</m:t>
        </m:r>
      </m:oMath>
      <w:r w:rsidRPr="00AF3786">
        <w:rPr>
          <w:rFonts w:ascii="Arial" w:hAnsi="Arial" w:cs="Arial"/>
          <w:sz w:val="20"/>
        </w:rPr>
        <w:t xml:space="preserve">and </w:t>
      </w:r>
      <m:oMath>
        <m:r>
          <w:rPr>
            <w:rFonts w:ascii="Cambria Math" w:hAnsi="Cambria Math" w:cs="Arial"/>
            <w:sz w:val="20"/>
          </w:rPr>
          <m:t>k=5</m:t>
        </m:r>
      </m:oMath>
      <w:r w:rsidRPr="00AF3786">
        <w:rPr>
          <w:rFonts w:ascii="Arial" w:hAnsi="Arial" w:cs="Arial"/>
          <w:sz w:val="20"/>
        </w:rPr>
        <w:t xml:space="preserve">(both 0.41), then progressively lower at higher </w:t>
      </w:r>
      <m:oMath>
        <m:r>
          <w:rPr>
            <w:rFonts w:ascii="Cambria Math" w:hAnsi="Cambria Math" w:cs="Arial"/>
            <w:sz w:val="20"/>
          </w:rPr>
          <m:t>k</m:t>
        </m:r>
      </m:oMath>
      <w:r w:rsidRPr="00AF3786">
        <w:rPr>
          <w:rFonts w:ascii="Arial" w:hAnsi="Arial" w:cs="Arial"/>
          <w:sz w:val="20"/>
        </w:rPr>
        <w:t xml:space="preserve">(0.40, 0.35, 0.31, 0.27 for </w:t>
      </w:r>
      <m:oMath>
        <m:r>
          <w:rPr>
            <w:rFonts w:ascii="Cambria Math" w:hAnsi="Cambria Math" w:cs="Arial"/>
            <w:sz w:val="20"/>
          </w:rPr>
          <m:t>k=7</m:t>
        </m:r>
      </m:oMath>
      <w:r w:rsidRPr="00AF3786">
        <w:rPr>
          <w:rFonts w:ascii="Arial" w:hAnsi="Arial" w:cs="Arial"/>
          <w:sz w:val="20"/>
        </w:rPr>
        <w:t xml:space="preserve">–10). Taken together, these criteria favor a compact mid-range </w:t>
      </w:r>
      <m:oMath>
        <m:r>
          <w:rPr>
            <w:rFonts w:ascii="Cambria Math" w:hAnsi="Cambria Math" w:cs="Arial"/>
            <w:sz w:val="20"/>
          </w:rPr>
          <m:t>k</m:t>
        </m:r>
      </m:oMath>
      <w:r w:rsidRPr="00AF3786">
        <w:rPr>
          <w:rFonts w:ascii="Arial" w:hAnsi="Arial" w:cs="Arial"/>
          <w:sz w:val="20"/>
        </w:rPr>
        <w:t>, but not a single unequivocal partition</w:t>
      </w:r>
      <w:r w:rsidR="00F91CC2">
        <w:rPr>
          <w:rFonts w:ascii="Arial" w:hAnsi="Arial" w:cs="Arial"/>
          <w:sz w:val="20"/>
        </w:rPr>
        <w:t xml:space="preserve">, </w:t>
      </w:r>
      <w:r w:rsidR="00F91CC2" w:rsidRPr="00F91CC2">
        <w:rPr>
          <w:rFonts w:ascii="Arial" w:hAnsi="Arial" w:cs="Arial"/>
          <w:sz w:val="20"/>
        </w:rPr>
        <w:t>support</w:t>
      </w:r>
      <w:r w:rsidR="00F91CC2">
        <w:rPr>
          <w:rFonts w:ascii="Arial" w:hAnsi="Arial" w:cs="Arial"/>
          <w:sz w:val="20"/>
        </w:rPr>
        <w:t>ing</w:t>
      </w:r>
      <w:r w:rsidR="00F91CC2" w:rsidRPr="00F91CC2">
        <w:rPr>
          <w:rFonts w:ascii="Arial" w:hAnsi="Arial" w:cs="Arial"/>
          <w:sz w:val="20"/>
        </w:rPr>
        <w:t xml:space="preserve"> treating the latent space as a continuous geometry rather than a set of categorical types</w:t>
      </w:r>
      <w:r w:rsidR="00F91CC2">
        <w:rPr>
          <w:rFonts w:ascii="Arial" w:hAnsi="Arial" w:cs="Arial"/>
          <w:sz w:val="20"/>
        </w:rPr>
        <w:t xml:space="preserve"> </w:t>
      </w:r>
      <w:r w:rsidR="00F91CC2">
        <w:rPr>
          <w:rFonts w:ascii="Arial" w:hAnsi="Arial" w:cs="Arial"/>
          <w:sz w:val="20"/>
        </w:rPr>
        <w:fldChar w:fldCharType="begin"/>
      </w:r>
      <w:r w:rsidR="00F91CC2">
        <w:rPr>
          <w:rFonts w:ascii="Arial" w:hAnsi="Arial" w:cs="Arial"/>
          <w:sz w:val="20"/>
        </w:rPr>
        <w:instrText xml:space="preserve"> ADDIN ZOTERO_ITEM CSL_CITATION {"citationID":"qJE5HFgX","properties":{"formattedCitation":"(Mair, 2018)","plainCitation":"(Mair, 2018)","noteIndex":0},"citationItems":[{"id":408,"uris":["http://zotero.org/users/17689459/items/PPQRBHPB"],"itemData":{"id":408,"type":"book","collection-title":"Use R!","event-place":"Cham","ISBN":"978-3-319-93175-3","license":"http://www.springer.com/tdm","note":"DOI: 10.1007/978-3-319-93177-7","publisher":"Springer International Publishing","publisher-place":"Cham","source":"DOI.org (Crossref)","title":"Modern Psychometrics with R","URL":"http://link.springer.com/10.1007/978-3-319-93177-7","author":[{"family":"Mair","given":"Patrick"}],"accessed":{"date-parts":[["2026",2,19]]},"issued":{"date-parts":[["2018"]]}}}],"schema":"https://github.com/citation-style-language/schema/raw/master/csl-citation.json"} </w:instrText>
      </w:r>
      <w:r w:rsidR="00F91CC2">
        <w:rPr>
          <w:rFonts w:ascii="Arial" w:hAnsi="Arial" w:cs="Arial"/>
          <w:sz w:val="20"/>
        </w:rPr>
        <w:fldChar w:fldCharType="separate"/>
      </w:r>
      <w:r w:rsidR="00F91CC2">
        <w:rPr>
          <w:rFonts w:ascii="Arial" w:hAnsi="Arial" w:cs="Arial"/>
          <w:noProof/>
          <w:sz w:val="20"/>
        </w:rPr>
        <w:t>(Mair, 2018)</w:t>
      </w:r>
      <w:r w:rsidR="00F91CC2">
        <w:rPr>
          <w:rFonts w:ascii="Arial" w:hAnsi="Arial" w:cs="Arial"/>
          <w:sz w:val="20"/>
        </w:rPr>
        <w:fldChar w:fldCharType="end"/>
      </w:r>
      <w:r w:rsidR="00F91CC2">
        <w:rPr>
          <w:rFonts w:ascii="Arial" w:hAnsi="Arial" w:cs="Arial"/>
          <w:sz w:val="20"/>
        </w:rPr>
        <w:t>.</w:t>
      </w:r>
    </w:p>
    <w:p w14:paraId="57C38D69"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p>
    <w:p w14:paraId="0414CA1E" w14:textId="5859AAD7" w:rsidR="00AF3786" w:rsidRPr="00AF3786" w:rsidRDefault="00AF3786" w:rsidP="00AF3786">
      <w:pPr>
        <w:spacing w:line="360" w:lineRule="auto"/>
        <w:contextualSpacing/>
        <w:jc w:val="center"/>
        <w:outlineLvl w:val="3"/>
        <w:rPr>
          <w:rFonts w:ascii="Arial" w:hAnsi="Arial" w:cs="Arial"/>
          <w:b/>
          <w:bCs/>
          <w:sz w:val="20"/>
        </w:rPr>
      </w:pPr>
      <w:r w:rsidRPr="00AF3786">
        <w:rPr>
          <w:rFonts w:ascii="Arial" w:hAnsi="Arial" w:cs="Arial"/>
          <w:b/>
          <w:bCs/>
          <w:sz w:val="20"/>
        </w:rPr>
        <w:t>Figure S</w:t>
      </w:r>
      <w:r w:rsidR="009F54D2">
        <w:rPr>
          <w:rFonts w:ascii="Arial" w:hAnsi="Arial" w:cs="Arial"/>
          <w:b/>
          <w:bCs/>
          <w:sz w:val="20"/>
        </w:rPr>
        <w:t>5</w:t>
      </w:r>
      <w:r w:rsidRPr="00AF3786">
        <w:rPr>
          <w:rFonts w:ascii="Arial" w:hAnsi="Arial" w:cs="Arial"/>
          <w:b/>
          <w:bCs/>
          <w:sz w:val="20"/>
        </w:rPr>
        <w:t xml:space="preserve">. Elbow curve (total within-cluster sum of squares) and mean silhouette by </w:t>
      </w:r>
      <w:r w:rsidRPr="00AF3786">
        <w:rPr>
          <w:rFonts w:ascii="Arial" w:hAnsi="Arial" w:cs="Arial"/>
          <w:b/>
          <w:bCs/>
          <w:i/>
          <w:iCs/>
          <w:sz w:val="20"/>
        </w:rPr>
        <w:t>k</w:t>
      </w:r>
    </w:p>
    <w:p w14:paraId="2C9A93A0" w14:textId="77777777" w:rsidR="00AF3786" w:rsidRPr="00AF3786" w:rsidRDefault="00AF3786" w:rsidP="00AF3786">
      <w:pPr>
        <w:spacing w:before="100" w:beforeAutospacing="1" w:after="100" w:afterAutospacing="1" w:line="360" w:lineRule="auto"/>
        <w:contextualSpacing/>
        <w:jc w:val="both"/>
        <w:rPr>
          <w:rFonts w:ascii="Arial" w:hAnsi="Arial" w:cs="Arial"/>
          <w:sz w:val="20"/>
        </w:rPr>
      </w:pPr>
      <w:r w:rsidRPr="00AF3786">
        <w:rPr>
          <w:rFonts w:ascii="Arial" w:hAnsi="Arial" w:cs="Arial"/>
          <w:noProof/>
          <w:sz w:val="20"/>
        </w:rPr>
        <w:drawing>
          <wp:inline distT="0" distB="0" distL="0" distR="0" wp14:anchorId="46B4063B" wp14:editId="035FCD38">
            <wp:extent cx="5731510" cy="2872740"/>
            <wp:effectExtent l="0" t="0" r="0" b="0"/>
            <wp:docPr id="1595871689" name="Picture 1"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71689" name="Picture 1" descr="A graph of a graph of a graph of a graph of a graph of a graph of a graph of a graph of a graph of a graph of a graph of a graph of a graph of&#10;&#10;AI-generated content may be incorrect."/>
                    <pic:cNvPicPr/>
                  </pic:nvPicPr>
                  <pic:blipFill>
                    <a:blip r:embed="rId12"/>
                    <a:stretch>
                      <a:fillRect/>
                    </a:stretch>
                  </pic:blipFill>
                  <pic:spPr>
                    <a:xfrm>
                      <a:off x="0" y="0"/>
                      <a:ext cx="5731510" cy="2872740"/>
                    </a:xfrm>
                    <a:prstGeom prst="rect">
                      <a:avLst/>
                    </a:prstGeom>
                  </pic:spPr>
                </pic:pic>
              </a:graphicData>
            </a:graphic>
          </wp:inline>
        </w:drawing>
      </w:r>
    </w:p>
    <w:p w14:paraId="411E39D7"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 xml:space="preserve">Sensitivity of PCA scores to aggregation choice was high (mean- vs median-based component scores): PC1 </w:t>
      </w:r>
      <m:oMath>
        <m:r>
          <w:rPr>
            <w:rFonts w:ascii="Cambria Math" w:hAnsi="Cambria Math" w:cs="Arial"/>
            <w:sz w:val="20"/>
          </w:rPr>
          <m:t>r=0.962</m:t>
        </m:r>
      </m:oMath>
      <w:r w:rsidRPr="00AF3786">
        <w:rPr>
          <w:rFonts w:ascii="Arial" w:hAnsi="Arial" w:cs="Arial"/>
          <w:sz w:val="20"/>
        </w:rPr>
        <w:t xml:space="preserve">, PC2 </w:t>
      </w:r>
      <m:oMath>
        <m:r>
          <w:rPr>
            <w:rFonts w:ascii="Cambria Math" w:hAnsi="Cambria Math" w:cs="Arial"/>
            <w:sz w:val="20"/>
          </w:rPr>
          <m:t>r=0.918</m:t>
        </m:r>
      </m:oMath>
      <w:r w:rsidRPr="00AF3786">
        <w:rPr>
          <w:rFonts w:ascii="Arial" w:hAnsi="Arial" w:cs="Arial"/>
          <w:sz w:val="20"/>
        </w:rPr>
        <w:t xml:space="preserve">, PC3 </w:t>
      </w:r>
      <m:oMath>
        <m:r>
          <w:rPr>
            <w:rFonts w:ascii="Cambria Math" w:hAnsi="Cambria Math" w:cs="Arial"/>
            <w:sz w:val="20"/>
          </w:rPr>
          <m:t>r=0.965</m:t>
        </m:r>
      </m:oMath>
      <w:r w:rsidRPr="00AF3786">
        <w:rPr>
          <w:rFonts w:ascii="Arial" w:hAnsi="Arial" w:cs="Arial"/>
          <w:sz w:val="20"/>
        </w:rPr>
        <w:t xml:space="preserve">, PC4 </w:t>
      </w:r>
      <m:oMath>
        <m:r>
          <w:rPr>
            <w:rFonts w:ascii="Cambria Math" w:hAnsi="Cambria Math" w:cs="Arial"/>
            <w:sz w:val="20"/>
          </w:rPr>
          <m:t>r=0.958</m:t>
        </m:r>
      </m:oMath>
      <w:r w:rsidRPr="00AF3786">
        <w:rPr>
          <w:rFonts w:ascii="Arial" w:hAnsi="Arial" w:cs="Arial"/>
          <w:sz w:val="20"/>
        </w:rPr>
        <w:t xml:space="preserve">, PC5 </w:t>
      </w:r>
      <m:oMath>
        <m:r>
          <w:rPr>
            <w:rFonts w:ascii="Cambria Math" w:hAnsi="Cambria Math" w:cs="Arial"/>
            <w:sz w:val="20"/>
          </w:rPr>
          <m:t>r=0.858</m:t>
        </m:r>
      </m:oMath>
      <w:r w:rsidRPr="00AF3786">
        <w:rPr>
          <w:rFonts w:ascii="Arial" w:hAnsi="Arial" w:cs="Arial"/>
          <w:sz w:val="20"/>
        </w:rPr>
        <w:t xml:space="preserve">. </w:t>
      </w:r>
      <w:r w:rsidRPr="00AF3786">
        <w:rPr>
          <w:rFonts w:ascii="Arial" w:hAnsi="Arial" w:cs="Arial"/>
          <w:sz w:val="20"/>
        </w:rPr>
        <w:lastRenderedPageBreak/>
        <w:t>Hence, the dimensional scaffold is robust to robust-aggregation substitution, including on the weakest axis.</w:t>
      </w:r>
    </w:p>
    <w:p w14:paraId="3F9DC958"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 xml:space="preserve">Alternative regression specifications corroborated the same substantive signal. In a saturated linear model with agent and capacity fixed effects, global fit was strong (Residual SE </w:t>
      </w:r>
      <m:oMath>
        <m:r>
          <w:rPr>
            <w:rFonts w:ascii="Cambria Math" w:hAnsi="Cambria Math" w:cs="Arial"/>
            <w:sz w:val="20"/>
          </w:rPr>
          <m:t>=1.929</m:t>
        </m:r>
      </m:oMath>
      <w:r w:rsidRPr="00AF3786">
        <w:rPr>
          <w:rFonts w:ascii="Arial" w:hAnsi="Arial" w:cs="Arial"/>
          <w:sz w:val="20"/>
        </w:rPr>
        <w:t xml:space="preserve">; </w:t>
      </w:r>
      <m:oMath>
        <m:sSup>
          <m:sSupPr>
            <m:ctrlPr>
              <w:rPr>
                <w:rFonts w:ascii="Cambria Math" w:hAnsi="Cambria Math" w:cs="Arial"/>
                <w:sz w:val="20"/>
              </w:rPr>
            </m:ctrlPr>
          </m:sSupPr>
          <m:e>
            <m:r>
              <w:rPr>
                <w:rFonts w:ascii="Cambria Math" w:hAnsi="Cambria Math" w:cs="Arial"/>
                <w:sz w:val="20"/>
              </w:rPr>
              <m:t>R</m:t>
            </m:r>
          </m:e>
          <m:sup>
            <m:r>
              <w:rPr>
                <w:rFonts w:ascii="Cambria Math" w:hAnsi="Cambria Math" w:cs="Arial"/>
                <w:sz w:val="20"/>
              </w:rPr>
              <m:t>2</m:t>
            </m:r>
          </m:sup>
        </m:sSup>
        <m:r>
          <w:rPr>
            <w:rFonts w:ascii="Cambria Math" w:hAnsi="Cambria Math" w:cs="Arial"/>
            <w:sz w:val="20"/>
          </w:rPr>
          <m:t>=0.276</m:t>
        </m:r>
      </m:oMath>
      <w:r w:rsidRPr="00AF3786">
        <w:rPr>
          <w:rFonts w:ascii="Arial" w:hAnsi="Arial" w:cs="Arial"/>
          <w:sz w:val="20"/>
        </w:rPr>
        <w:t xml:space="preserve">, adjusted </w:t>
      </w:r>
      <m:oMath>
        <m:sSup>
          <m:sSupPr>
            <m:ctrlPr>
              <w:rPr>
                <w:rFonts w:ascii="Cambria Math" w:hAnsi="Cambria Math" w:cs="Arial"/>
                <w:sz w:val="20"/>
              </w:rPr>
            </m:ctrlPr>
          </m:sSupPr>
          <m:e>
            <m:r>
              <w:rPr>
                <w:rFonts w:ascii="Cambria Math" w:hAnsi="Cambria Math" w:cs="Arial"/>
                <w:sz w:val="20"/>
              </w:rPr>
              <m:t>R</m:t>
            </m:r>
          </m:e>
          <m:sup>
            <m:r>
              <w:rPr>
                <w:rFonts w:ascii="Cambria Math" w:hAnsi="Cambria Math" w:cs="Arial"/>
                <w:sz w:val="20"/>
              </w:rPr>
              <m:t>2</m:t>
            </m:r>
          </m:sup>
        </m:sSup>
        <m:r>
          <w:rPr>
            <w:rFonts w:ascii="Cambria Math" w:hAnsi="Cambria Math" w:cs="Arial"/>
            <w:sz w:val="20"/>
          </w:rPr>
          <m:t>=0.276</m:t>
        </m:r>
      </m:oMath>
      <w:r w:rsidRPr="00AF3786">
        <w:rPr>
          <w:rFonts w:ascii="Arial" w:hAnsi="Arial" w:cs="Arial"/>
          <w:sz w:val="20"/>
        </w:rPr>
        <w:t xml:space="preserve">; </w:t>
      </w:r>
      <m:oMath>
        <m:r>
          <w:rPr>
            <w:rFonts w:ascii="Cambria Math" w:hAnsi="Cambria Math" w:cs="Arial"/>
            <w:sz w:val="20"/>
          </w:rPr>
          <m:t>F(79,185040)=983.5</m:t>
        </m:r>
      </m:oMath>
      <w:r w:rsidRPr="00AF3786">
        <w:rPr>
          <w:rFonts w:ascii="Arial" w:hAnsi="Arial" w:cs="Arial"/>
          <w:sz w:val="20"/>
        </w:rPr>
        <w:t xml:space="preserve">, </w:t>
      </w:r>
      <m:oMath>
        <m:r>
          <w:rPr>
            <w:rFonts w:ascii="Cambria Math" w:hAnsi="Cambria Math" w:cs="Arial"/>
            <w:sz w:val="20"/>
          </w:rPr>
          <m:t>P&lt;2.2×</m:t>
        </m:r>
        <m:sSup>
          <m:sSupPr>
            <m:ctrlPr>
              <w:rPr>
                <w:rFonts w:ascii="Cambria Math" w:hAnsi="Cambria Math" w:cs="Arial"/>
                <w:sz w:val="20"/>
              </w:rPr>
            </m:ctrlPr>
          </m:sSupPr>
          <m:e>
            <m:r>
              <w:rPr>
                <w:rFonts w:ascii="Cambria Math" w:hAnsi="Cambria Math" w:cs="Arial"/>
                <w:sz w:val="20"/>
              </w:rPr>
              <m:t>10</m:t>
            </m:r>
          </m:e>
          <m:sup>
            <m:r>
              <w:rPr>
                <w:rFonts w:ascii="Cambria Math" w:hAnsi="Cambria Math" w:cs="Arial"/>
                <w:sz w:val="20"/>
              </w:rPr>
              <m:t>-16</m:t>
            </m:r>
          </m:sup>
        </m:sSup>
      </m:oMath>
      <w:r w:rsidRPr="00AF3786">
        <w:rPr>
          <w:rFonts w:ascii="Arial" w:hAnsi="Arial" w:cs="Arial"/>
          <w:sz w:val="20"/>
        </w:rPr>
        <w:t xml:space="preserve">). Relative to reference levels, fixed-effect estimates spanned a wide range for agents (minimum </w:t>
      </w:r>
      <m:oMath>
        <m:r>
          <w:rPr>
            <w:rFonts w:ascii="Cambria Math" w:hAnsi="Cambria Math" w:cs="Arial"/>
            <w:sz w:val="20"/>
          </w:rPr>
          <m:t>-5.658</m:t>
        </m:r>
      </m:oMath>
      <w:r w:rsidRPr="00AF3786">
        <w:rPr>
          <w:rFonts w:ascii="Arial" w:hAnsi="Arial" w:cs="Arial"/>
          <w:sz w:val="20"/>
        </w:rPr>
        <w:t xml:space="preserve">, maximum </w:t>
      </w:r>
      <m:oMath>
        <m:r>
          <w:rPr>
            <w:rFonts w:ascii="Cambria Math" w:hAnsi="Cambria Math" w:cs="Arial"/>
            <w:sz w:val="20"/>
          </w:rPr>
          <m:t>+1.304</m:t>
        </m:r>
      </m:oMath>
      <w:r w:rsidRPr="00AF3786">
        <w:rPr>
          <w:rFonts w:ascii="Arial" w:hAnsi="Arial" w:cs="Arial"/>
          <w:sz w:val="20"/>
        </w:rPr>
        <w:t xml:space="preserve">); all 15 non-reference agent contrasts were significant at </w:t>
      </w:r>
      <m:oMath>
        <m:r>
          <w:rPr>
            <w:rFonts w:ascii="Cambria Math" w:hAnsi="Cambria Math" w:cs="Arial"/>
            <w:sz w:val="20"/>
          </w:rPr>
          <m:t>P&lt;0.05</m:t>
        </m:r>
      </m:oMath>
      <w:r w:rsidRPr="00AF3786">
        <w:rPr>
          <w:rFonts w:ascii="Arial" w:hAnsi="Arial" w:cs="Arial"/>
          <w:sz w:val="20"/>
        </w:rPr>
        <w:t xml:space="preserve">(all </w:t>
      </w:r>
      <m:oMath>
        <m:r>
          <w:rPr>
            <w:rFonts w:ascii="Cambria Math" w:hAnsi="Cambria Math" w:cs="Arial"/>
            <w:sz w:val="20"/>
          </w:rPr>
          <m:t>P&lt;0.001</m:t>
        </m:r>
      </m:oMath>
      <w:r w:rsidRPr="00AF3786">
        <w:rPr>
          <w:rFonts w:ascii="Arial" w:hAnsi="Arial" w:cs="Arial"/>
          <w:sz w:val="20"/>
        </w:rPr>
        <w:t xml:space="preserve">). Capacity contrasts were also broad (minimum </w:t>
      </w:r>
      <m:oMath>
        <m:r>
          <w:rPr>
            <w:rFonts w:ascii="Cambria Math" w:hAnsi="Cambria Math" w:cs="Arial"/>
            <w:sz w:val="20"/>
          </w:rPr>
          <m:t>-0.502</m:t>
        </m:r>
      </m:oMath>
      <w:r w:rsidRPr="00AF3786">
        <w:rPr>
          <w:rFonts w:ascii="Arial" w:hAnsi="Arial" w:cs="Arial"/>
          <w:sz w:val="20"/>
        </w:rPr>
        <w:t>, ma</w:t>
      </w:r>
      <w:proofErr w:type="spellStart"/>
      <w:r w:rsidRPr="00AF3786">
        <w:rPr>
          <w:rFonts w:ascii="Arial" w:hAnsi="Arial" w:cs="Arial"/>
          <w:sz w:val="20"/>
        </w:rPr>
        <w:t>ximum</w:t>
      </w:r>
      <w:proofErr w:type="spellEnd"/>
      <w:r w:rsidRPr="00AF3786">
        <w:rPr>
          <w:rFonts w:ascii="Arial" w:hAnsi="Arial" w:cs="Arial"/>
          <w:sz w:val="20"/>
        </w:rPr>
        <w:t xml:space="preserve"> </w:t>
      </w:r>
      <m:oMath>
        <m:r>
          <w:rPr>
            <w:rFonts w:ascii="Cambria Math" w:hAnsi="Cambria Math" w:cs="Arial"/>
            <w:sz w:val="20"/>
          </w:rPr>
          <m:t>+1.939</m:t>
        </m:r>
      </m:oMath>
      <w:r w:rsidRPr="00AF3786">
        <w:rPr>
          <w:rFonts w:ascii="Arial" w:hAnsi="Arial" w:cs="Arial"/>
          <w:sz w:val="20"/>
        </w:rPr>
        <w:t xml:space="preserve">); 58/64 were significant at </w:t>
      </w:r>
      <m:oMath>
        <m:r>
          <w:rPr>
            <w:rFonts w:ascii="Cambria Math" w:hAnsi="Cambria Math" w:cs="Arial"/>
            <w:sz w:val="20"/>
          </w:rPr>
          <m:t>P&lt;0.05</m:t>
        </m:r>
      </m:oMath>
      <w:r w:rsidRPr="00AF3786">
        <w:rPr>
          <w:rFonts w:ascii="Arial" w:hAnsi="Arial" w:cs="Arial"/>
          <w:sz w:val="20"/>
        </w:rPr>
        <w:t xml:space="preserve">(56/64 at </w:t>
      </w:r>
      <m:oMath>
        <m:r>
          <w:rPr>
            <w:rFonts w:ascii="Cambria Math" w:hAnsi="Cambria Math" w:cs="Arial"/>
            <w:sz w:val="20"/>
          </w:rPr>
          <m:t>P&lt;0.001</m:t>
        </m:r>
      </m:oMath>
      <w:r w:rsidRPr="00AF3786">
        <w:rPr>
          <w:rFonts w:ascii="Arial" w:hAnsi="Arial" w:cs="Arial"/>
          <w:sz w:val="20"/>
        </w:rPr>
        <w:t>).</w:t>
      </w:r>
    </w:p>
    <w:p w14:paraId="2341FF73"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 xml:space="preserve">A null mixed model with random intercepts for agent and capacity produced </w:t>
      </w:r>
      <m:oMath>
        <m:r>
          <m:rPr>
            <m:sty m:val="p"/>
          </m:rPr>
          <w:rPr>
            <w:rFonts w:ascii="Cambria Math" w:hAnsi="Cambria Math" w:cs="Arial"/>
            <w:sz w:val="20"/>
          </w:rPr>
          <m:t>AIC</m:t>
        </m:r>
        <m:r>
          <w:rPr>
            <w:rFonts w:ascii="Cambria Math" w:hAnsi="Cambria Math" w:cs="Arial"/>
            <w:sz w:val="20"/>
          </w:rPr>
          <m:t>=</m:t>
        </m:r>
        <m:r>
          <m:rPr>
            <m:sty m:val="p"/>
          </m:rPr>
          <w:rPr>
            <w:rFonts w:ascii="Cambria Math" w:hAnsi="Cambria Math" w:cs="Arial"/>
            <w:sz w:val="20"/>
          </w:rPr>
          <m:t>838,487.0</m:t>
        </m:r>
      </m:oMath>
      <w:r w:rsidRPr="00AF3786">
        <w:rPr>
          <w:rFonts w:ascii="Arial" w:hAnsi="Arial" w:cs="Arial"/>
          <w:sz w:val="20"/>
        </w:rPr>
        <w:t xml:space="preserve">, </w:t>
      </w:r>
      <m:oMath>
        <m:r>
          <m:rPr>
            <m:sty m:val="p"/>
          </m:rPr>
          <w:rPr>
            <w:rFonts w:ascii="Cambria Math" w:hAnsi="Cambria Math" w:cs="Arial"/>
            <w:sz w:val="20"/>
          </w:rPr>
          <m:t>BIC</m:t>
        </m:r>
        <m:r>
          <w:rPr>
            <w:rFonts w:ascii="Cambria Math" w:hAnsi="Cambria Math" w:cs="Arial"/>
            <w:sz w:val="20"/>
          </w:rPr>
          <m:t>=</m:t>
        </m:r>
        <m:r>
          <m:rPr>
            <m:sty m:val="p"/>
          </m:rPr>
          <w:rPr>
            <w:rFonts w:ascii="Cambria Math" w:hAnsi="Cambria Math" w:cs="Arial"/>
            <w:sz w:val="20"/>
          </w:rPr>
          <m:t>838,548.2</m:t>
        </m:r>
      </m:oMath>
      <w:r w:rsidRPr="00AF3786">
        <w:rPr>
          <w:rFonts w:ascii="Arial" w:hAnsi="Arial" w:cs="Arial"/>
          <w:sz w:val="20"/>
        </w:rPr>
        <w:t xml:space="preserve">, logLik </w:t>
      </w:r>
      <m:oMath>
        <m:r>
          <w:rPr>
            <w:rFonts w:ascii="Cambria Math" w:hAnsi="Cambria Math" w:cs="Arial"/>
            <w:sz w:val="20"/>
          </w:rPr>
          <m:t>=-</m:t>
        </m:r>
        <m:r>
          <m:rPr>
            <m:sty m:val="p"/>
          </m:rPr>
          <w:rPr>
            <w:rFonts w:ascii="Cambria Math" w:hAnsi="Cambria Math" w:cs="Arial"/>
            <w:sz w:val="20"/>
          </w:rPr>
          <m:t>419,237.5</m:t>
        </m:r>
      </m:oMath>
      <w:r w:rsidRPr="00AF3786">
        <w:rPr>
          <w:rFonts w:ascii="Arial" w:hAnsi="Arial" w:cs="Arial"/>
          <w:sz w:val="20"/>
        </w:rPr>
        <w:t xml:space="preserve">, and variance components: agent </w:t>
      </w:r>
      <m:oMath>
        <m:r>
          <w:rPr>
            <w:rFonts w:ascii="Cambria Math" w:hAnsi="Cambria Math" w:cs="Arial"/>
            <w:sz w:val="20"/>
          </w:rPr>
          <m:t>=4.223</m:t>
        </m:r>
      </m:oMath>
      <w:r w:rsidRPr="00AF3786">
        <w:rPr>
          <w:rFonts w:ascii="Arial" w:hAnsi="Arial" w:cs="Arial"/>
          <w:sz w:val="20"/>
        </w:rPr>
        <w:t xml:space="preserve">, capacity </w:t>
      </w:r>
      <m:oMath>
        <m:r>
          <w:rPr>
            <w:rFonts w:ascii="Cambria Math" w:hAnsi="Cambria Math" w:cs="Arial"/>
            <w:sz w:val="20"/>
          </w:rPr>
          <m:t>=0.396</m:t>
        </m:r>
      </m:oMath>
      <w:r w:rsidRPr="00AF3786">
        <w:rPr>
          <w:rFonts w:ascii="Arial" w:hAnsi="Arial" w:cs="Arial"/>
          <w:sz w:val="20"/>
        </w:rPr>
        <w:t xml:space="preserve">, residual </w:t>
      </w:r>
      <m:oMath>
        <m:r>
          <w:rPr>
            <w:rFonts w:ascii="Cambria Math" w:hAnsi="Cambria Math" w:cs="Arial"/>
            <w:sz w:val="20"/>
          </w:rPr>
          <m:t>=3.954</m:t>
        </m:r>
      </m:oMath>
      <w:r w:rsidRPr="00AF3786">
        <w:rPr>
          <w:rFonts w:ascii="Arial" w:hAnsi="Arial" w:cs="Arial"/>
          <w:sz w:val="20"/>
        </w:rPr>
        <w:t>. Adding agent-group and item-domain fixed effects improved fit (</w:t>
      </w:r>
      <m:oMath>
        <m:r>
          <m:rPr>
            <m:sty m:val="p"/>
          </m:rPr>
          <w:rPr>
            <w:rFonts w:ascii="Cambria Math" w:hAnsi="Cambria Math" w:cs="Arial"/>
            <w:sz w:val="20"/>
          </w:rPr>
          <m:t>AIC</m:t>
        </m:r>
        <m:r>
          <w:rPr>
            <w:rFonts w:ascii="Cambria Math" w:hAnsi="Cambria Math" w:cs="Arial"/>
            <w:sz w:val="20"/>
          </w:rPr>
          <m:t>=</m:t>
        </m:r>
        <m:r>
          <m:rPr>
            <m:sty m:val="p"/>
          </m:rPr>
          <w:rPr>
            <w:rFonts w:ascii="Cambria Math" w:hAnsi="Cambria Math" w:cs="Arial"/>
            <w:sz w:val="20"/>
          </w:rPr>
          <m:t>833,143.0</m:t>
        </m:r>
      </m:oMath>
      <w:r w:rsidRPr="00AF3786">
        <w:rPr>
          <w:rFonts w:ascii="Arial" w:hAnsi="Arial" w:cs="Arial"/>
          <w:sz w:val="20"/>
        </w:rPr>
        <w:t xml:space="preserve">; logLik </w:t>
      </w:r>
      <m:oMath>
        <m:r>
          <w:rPr>
            <w:rFonts w:ascii="Cambria Math" w:hAnsi="Cambria Math" w:cs="Arial"/>
            <w:sz w:val="20"/>
          </w:rPr>
          <m:t>=-</m:t>
        </m:r>
        <m:r>
          <m:rPr>
            <m:sty m:val="p"/>
          </m:rPr>
          <w:rPr>
            <w:rFonts w:ascii="Cambria Math" w:hAnsi="Cambria Math" w:cs="Arial"/>
            <w:sz w:val="20"/>
          </w:rPr>
          <m:t>416,560.5</m:t>
        </m:r>
      </m:oMath>
      <w:r w:rsidRPr="00AF3786">
        <w:rPr>
          <w:rFonts w:ascii="Arial" w:hAnsi="Arial" w:cs="Arial"/>
          <w:sz w:val="20"/>
        </w:rPr>
        <w:t xml:space="preserve">); random-effect variances remained substantial (agent </w:t>
      </w:r>
      <m:oMath>
        <m:r>
          <w:rPr>
            <w:rFonts w:ascii="Cambria Math" w:hAnsi="Cambria Math" w:cs="Arial"/>
            <w:sz w:val="20"/>
          </w:rPr>
          <m:t>=4.247</m:t>
        </m:r>
      </m:oMath>
      <w:r w:rsidRPr="00AF3786">
        <w:rPr>
          <w:rFonts w:ascii="Arial" w:hAnsi="Arial" w:cs="Arial"/>
          <w:sz w:val="20"/>
        </w:rPr>
        <w:t xml:space="preserve">, capacity </w:t>
      </w:r>
      <m:oMath>
        <m:r>
          <w:rPr>
            <w:rFonts w:ascii="Cambria Math" w:hAnsi="Cambria Math" w:cs="Arial"/>
            <w:sz w:val="20"/>
          </w:rPr>
          <m:t>=0.550</m:t>
        </m:r>
      </m:oMath>
      <w:r w:rsidRPr="00AF3786">
        <w:rPr>
          <w:rFonts w:ascii="Arial" w:hAnsi="Arial" w:cs="Arial"/>
          <w:sz w:val="20"/>
        </w:rPr>
        <w:t xml:space="preserve">, residual </w:t>
      </w:r>
      <m:oMath>
        <m:r>
          <w:rPr>
            <w:rFonts w:ascii="Cambria Math" w:hAnsi="Cambria Math" w:cs="Arial"/>
            <w:sz w:val="20"/>
          </w:rPr>
          <m:t>=3.720</m:t>
        </m:r>
      </m:oMath>
      <w:r w:rsidRPr="00AF3786">
        <w:rPr>
          <w:rFonts w:ascii="Arial" w:hAnsi="Arial" w:cs="Arial"/>
          <w:sz w:val="20"/>
        </w:rPr>
        <w:t>). In this model, the supernatural agent-group contrast was negative (</w:t>
      </w:r>
      <m:oMath>
        <m:r>
          <w:rPr>
            <w:rFonts w:ascii="Cambria Math" w:hAnsi="Cambria Math" w:cs="Arial"/>
            <w:sz w:val="20"/>
          </w:rPr>
          <m:t>β=-2.043</m:t>
        </m:r>
      </m:oMath>
      <w:r w:rsidRPr="00AF3786">
        <w:rPr>
          <w:rFonts w:ascii="Arial" w:hAnsi="Arial" w:cs="Arial"/>
          <w:sz w:val="20"/>
        </w:rPr>
        <w:t xml:space="preserve">, </w:t>
      </w:r>
      <m:oMath>
        <m:r>
          <w:rPr>
            <w:rFonts w:ascii="Cambria Math" w:hAnsi="Cambria Math" w:cs="Arial"/>
            <w:sz w:val="20"/>
          </w:rPr>
          <m:t>t=-2.027</m:t>
        </m:r>
      </m:oMath>
      <w:r w:rsidRPr="00AF3786">
        <w:rPr>
          <w:rFonts w:ascii="Arial" w:hAnsi="Arial" w:cs="Arial"/>
          <w:sz w:val="20"/>
        </w:rPr>
        <w:t xml:space="preserve">), and all non-reference item-domain contrasts were negative and sizeable (Affect: </w:t>
      </w:r>
      <m:oMath>
        <m:r>
          <w:rPr>
            <w:rFonts w:ascii="Cambria Math" w:hAnsi="Cambria Math" w:cs="Arial"/>
            <w:sz w:val="20"/>
          </w:rPr>
          <m:t>β=-0.374</m:t>
        </m:r>
      </m:oMath>
      <w:r w:rsidRPr="00AF3786">
        <w:rPr>
          <w:rFonts w:ascii="Arial" w:hAnsi="Arial" w:cs="Arial"/>
          <w:sz w:val="20"/>
        </w:rPr>
        <w:t xml:space="preserve">, </w:t>
      </w:r>
      <m:oMath>
        <m:r>
          <w:rPr>
            <w:rFonts w:ascii="Cambria Math" w:hAnsi="Cambria Math" w:cs="Arial"/>
            <w:sz w:val="20"/>
          </w:rPr>
          <m:t>t=-3.743</m:t>
        </m:r>
      </m:oMath>
      <w:r w:rsidRPr="00AF3786">
        <w:rPr>
          <w:rFonts w:ascii="Arial" w:hAnsi="Arial" w:cs="Arial"/>
          <w:sz w:val="20"/>
        </w:rPr>
        <w:t xml:space="preserve">; Control: </w:t>
      </w:r>
      <m:oMath>
        <m:r>
          <w:rPr>
            <w:rFonts w:ascii="Cambria Math" w:hAnsi="Cambria Math" w:cs="Arial"/>
            <w:sz w:val="20"/>
          </w:rPr>
          <m:t>β=-1.455</m:t>
        </m:r>
      </m:oMath>
      <w:r w:rsidRPr="00AF3786">
        <w:rPr>
          <w:rFonts w:ascii="Arial" w:hAnsi="Arial" w:cs="Arial"/>
          <w:sz w:val="20"/>
        </w:rPr>
        <w:t xml:space="preserve">, </w:t>
      </w:r>
      <m:oMath>
        <m:r>
          <w:rPr>
            <w:rFonts w:ascii="Cambria Math" w:hAnsi="Cambria Math" w:cs="Arial"/>
            <w:sz w:val="20"/>
          </w:rPr>
          <m:t>t=-14.625</m:t>
        </m:r>
      </m:oMath>
      <w:r w:rsidRPr="00AF3786">
        <w:rPr>
          <w:rFonts w:ascii="Arial" w:hAnsi="Arial" w:cs="Arial"/>
          <w:sz w:val="20"/>
        </w:rPr>
        <w:t xml:space="preserve">; Decision-making: </w:t>
      </w:r>
      <m:oMath>
        <m:r>
          <w:rPr>
            <w:rFonts w:ascii="Cambria Math" w:hAnsi="Cambria Math" w:cs="Arial"/>
            <w:sz w:val="20"/>
          </w:rPr>
          <m:t>β=-0.950</m:t>
        </m:r>
      </m:oMath>
      <w:r w:rsidRPr="00AF3786">
        <w:rPr>
          <w:rFonts w:ascii="Arial" w:hAnsi="Arial" w:cs="Arial"/>
          <w:sz w:val="20"/>
        </w:rPr>
        <w:t xml:space="preserve">, </w:t>
      </w:r>
      <m:oMath>
        <m:r>
          <w:rPr>
            <w:rFonts w:ascii="Cambria Math" w:hAnsi="Cambria Math" w:cs="Arial"/>
            <w:sz w:val="20"/>
          </w:rPr>
          <m:t>t=-9.551</m:t>
        </m:r>
      </m:oMath>
      <w:r w:rsidRPr="00AF3786">
        <w:rPr>
          <w:rFonts w:ascii="Arial" w:hAnsi="Arial" w:cs="Arial"/>
          <w:sz w:val="20"/>
        </w:rPr>
        <w:t xml:space="preserve">; Moral reasoning: </w:t>
      </w:r>
      <m:oMath>
        <m:r>
          <w:rPr>
            <w:rFonts w:ascii="Cambria Math" w:hAnsi="Cambria Math" w:cs="Arial"/>
            <w:sz w:val="20"/>
          </w:rPr>
          <m:t>β=-0.688</m:t>
        </m:r>
      </m:oMath>
      <w:r w:rsidRPr="00AF3786">
        <w:rPr>
          <w:rFonts w:ascii="Arial" w:hAnsi="Arial" w:cs="Arial"/>
          <w:sz w:val="20"/>
        </w:rPr>
        <w:t xml:space="preserve">, </w:t>
      </w:r>
      <m:oMath>
        <m:r>
          <w:rPr>
            <w:rFonts w:ascii="Cambria Math" w:hAnsi="Cambria Math" w:cs="Arial"/>
            <w:sz w:val="20"/>
          </w:rPr>
          <m:t>t=-6.916</m:t>
        </m:r>
      </m:oMath>
      <w:r w:rsidRPr="00AF3786">
        <w:rPr>
          <w:rFonts w:ascii="Arial" w:hAnsi="Arial" w:cs="Arial"/>
          <w:sz w:val="20"/>
        </w:rPr>
        <w:t>).</w:t>
      </w:r>
    </w:p>
    <w:p w14:paraId="35F1A762" w14:textId="71961E33"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A binary-endorsement mixed logit model (high endorsement threshold) reproduced the same directional pattern (</w:t>
      </w:r>
      <m:oMath>
        <m:r>
          <m:rPr>
            <m:sty m:val="p"/>
          </m:rPr>
          <w:rPr>
            <w:rFonts w:ascii="Cambria Math" w:hAnsi="Cambria Math" w:cs="Arial"/>
            <w:sz w:val="20"/>
          </w:rPr>
          <m:t>AIC</m:t>
        </m:r>
        <m:r>
          <w:rPr>
            <w:rFonts w:ascii="Cambria Math" w:hAnsi="Cambria Math" w:cs="Arial"/>
            <w:sz w:val="20"/>
          </w:rPr>
          <m:t>=</m:t>
        </m:r>
        <m:r>
          <m:rPr>
            <m:sty m:val="p"/>
          </m:rPr>
          <w:rPr>
            <w:rFonts w:ascii="Cambria Math" w:hAnsi="Cambria Math" w:cs="Arial"/>
            <w:sz w:val="20"/>
          </w:rPr>
          <m:t>140,461.9</m:t>
        </m:r>
      </m:oMath>
      <w:r w:rsidRPr="00AF3786">
        <w:rPr>
          <w:rFonts w:ascii="Arial" w:hAnsi="Arial" w:cs="Arial"/>
          <w:sz w:val="20"/>
        </w:rPr>
        <w:t xml:space="preserve">, </w:t>
      </w:r>
      <m:oMath>
        <m:r>
          <m:rPr>
            <m:sty m:val="p"/>
          </m:rPr>
          <w:rPr>
            <w:rFonts w:ascii="Cambria Math" w:hAnsi="Cambria Math" w:cs="Arial"/>
            <w:sz w:val="20"/>
          </w:rPr>
          <m:t>BIC</m:t>
        </m:r>
        <m:r>
          <w:rPr>
            <w:rFonts w:ascii="Cambria Math" w:hAnsi="Cambria Math" w:cs="Arial"/>
            <w:sz w:val="20"/>
          </w:rPr>
          <m:t>=</m:t>
        </m:r>
        <m:r>
          <m:rPr>
            <m:sty m:val="p"/>
          </m:rPr>
          <w:rPr>
            <w:rFonts w:ascii="Cambria Math" w:hAnsi="Cambria Math" w:cs="Arial"/>
            <w:sz w:val="20"/>
          </w:rPr>
          <m:t>140,567.5</m:t>
        </m:r>
      </m:oMath>
      <w:r w:rsidRPr="00AF3786">
        <w:rPr>
          <w:rFonts w:ascii="Arial" w:hAnsi="Arial" w:cs="Arial"/>
          <w:sz w:val="20"/>
        </w:rPr>
        <w:t xml:space="preserve">, logLik </w:t>
      </w:r>
      <m:oMath>
        <m:r>
          <w:rPr>
            <w:rFonts w:ascii="Cambria Math" w:hAnsi="Cambria Math" w:cs="Arial"/>
            <w:sz w:val="20"/>
          </w:rPr>
          <m:t>=-</m:t>
        </m:r>
        <m:r>
          <m:rPr>
            <m:sty m:val="p"/>
          </m:rPr>
          <w:rPr>
            <w:rFonts w:ascii="Cambria Math" w:hAnsi="Cambria Math" w:cs="Arial"/>
            <w:sz w:val="20"/>
          </w:rPr>
          <m:t>70,219.9</m:t>
        </m:r>
      </m:oMath>
      <w:r w:rsidRPr="00AF3786">
        <w:rPr>
          <w:rFonts w:ascii="Arial" w:hAnsi="Arial" w:cs="Arial"/>
          <w:sz w:val="20"/>
        </w:rPr>
        <w:t>). The supernatural group remained lower than reference (</w:t>
      </w:r>
      <m:oMath>
        <m:r>
          <w:rPr>
            <w:rFonts w:ascii="Cambria Math" w:hAnsi="Cambria Math" w:cs="Arial"/>
            <w:sz w:val="20"/>
          </w:rPr>
          <m:t>β=-3.454</m:t>
        </m:r>
      </m:oMath>
      <w:r w:rsidRPr="00AF3786">
        <w:rPr>
          <w:rFonts w:ascii="Arial" w:hAnsi="Arial" w:cs="Arial"/>
          <w:sz w:val="20"/>
        </w:rPr>
        <w:t xml:space="preserve">, </w:t>
      </w:r>
      <m:oMath>
        <m:r>
          <w:rPr>
            <w:rFonts w:ascii="Cambria Math" w:hAnsi="Cambria Math" w:cs="Arial"/>
            <w:sz w:val="20"/>
          </w:rPr>
          <m:t>z=-2.379</m:t>
        </m:r>
      </m:oMath>
      <w:r w:rsidRPr="00AF3786">
        <w:rPr>
          <w:rFonts w:ascii="Arial" w:hAnsi="Arial" w:cs="Arial"/>
          <w:sz w:val="20"/>
        </w:rPr>
        <w:t xml:space="preserve">, </w:t>
      </w:r>
      <m:oMath>
        <m:r>
          <w:rPr>
            <w:rFonts w:ascii="Cambria Math" w:hAnsi="Cambria Math" w:cs="Arial"/>
            <w:sz w:val="20"/>
          </w:rPr>
          <m:t>P=0.017</m:t>
        </m:r>
      </m:oMath>
      <w:r w:rsidRPr="00AF3786">
        <w:rPr>
          <w:rFonts w:ascii="Arial" w:hAnsi="Arial" w:cs="Arial"/>
          <w:sz w:val="20"/>
        </w:rPr>
        <w:t xml:space="preserve">; OR </w:t>
      </w:r>
      <m:oMath>
        <m:r>
          <w:rPr>
            <w:rFonts w:ascii="Cambria Math" w:hAnsi="Cambria Math" w:cs="Arial"/>
            <w:sz w:val="20"/>
          </w:rPr>
          <m:t>=0.032</m:t>
        </m:r>
      </m:oMath>
      <w:r w:rsidRPr="00AF3786">
        <w:rPr>
          <w:rFonts w:ascii="Arial" w:hAnsi="Arial" w:cs="Arial"/>
          <w:sz w:val="20"/>
        </w:rPr>
        <w:t xml:space="preserve">, 95% CI </w:t>
      </w:r>
      <m:oMath>
        <m:d>
          <m:dPr>
            <m:begChr m:val="["/>
            <m:sepChr m:val=","/>
            <m:endChr m:val="]"/>
            <m:ctrlPr>
              <w:rPr>
                <w:rFonts w:ascii="Cambria Math" w:hAnsi="Cambria Math" w:cs="Arial"/>
                <w:sz w:val="20"/>
              </w:rPr>
            </m:ctrlPr>
          </m:dPr>
          <m:e>
            <m:r>
              <w:rPr>
                <w:rFonts w:ascii="Cambria Math" w:hAnsi="Cambria Math" w:cs="Arial"/>
                <w:sz w:val="20"/>
              </w:rPr>
              <m:t>0.002</m:t>
            </m:r>
          </m:e>
          <m:e>
            <m:r>
              <w:rPr>
                <w:rFonts w:ascii="Cambria Math" w:hAnsi="Cambria Math" w:cs="Arial"/>
                <w:sz w:val="20"/>
              </w:rPr>
              <m:t>0.548</m:t>
            </m:r>
          </m:e>
        </m:d>
      </m:oMath>
      <w:r w:rsidRPr="00AF3786">
        <w:rPr>
          <w:rFonts w:ascii="Arial" w:hAnsi="Arial" w:cs="Arial"/>
          <w:sz w:val="20"/>
        </w:rPr>
        <w:t xml:space="preserve">). Item-domain effects were again strongly negative (Affect: </w:t>
      </w:r>
      <m:oMath>
        <m:r>
          <w:rPr>
            <w:rFonts w:ascii="Cambria Math" w:hAnsi="Cambria Math" w:cs="Arial"/>
            <w:sz w:val="20"/>
          </w:rPr>
          <m:t>β=-0.442</m:t>
        </m:r>
      </m:oMath>
      <w:r w:rsidRPr="00AF3786">
        <w:rPr>
          <w:rFonts w:ascii="Arial" w:hAnsi="Arial" w:cs="Arial"/>
          <w:sz w:val="20"/>
        </w:rPr>
        <w:t xml:space="preserve">, OR </w:t>
      </w:r>
      <m:oMath>
        <m:r>
          <w:rPr>
            <w:rFonts w:ascii="Cambria Math" w:hAnsi="Cambria Math" w:cs="Arial"/>
            <w:sz w:val="20"/>
          </w:rPr>
          <m:t>=0.64</m:t>
        </m:r>
      </m:oMath>
      <w:r w:rsidRPr="00AF3786">
        <w:rPr>
          <w:rFonts w:ascii="Arial" w:hAnsi="Arial" w:cs="Arial"/>
          <w:sz w:val="20"/>
        </w:rPr>
        <w:t xml:space="preserve">, </w:t>
      </w:r>
      <m:oMath>
        <m:r>
          <w:rPr>
            <w:rFonts w:ascii="Cambria Math" w:hAnsi="Cambria Math" w:cs="Arial"/>
            <w:sz w:val="20"/>
          </w:rPr>
          <m:t>P=0.0038</m:t>
        </m:r>
      </m:oMath>
      <w:r w:rsidRPr="00AF3786">
        <w:rPr>
          <w:rFonts w:ascii="Arial" w:hAnsi="Arial" w:cs="Arial"/>
          <w:sz w:val="20"/>
        </w:rPr>
        <w:t xml:space="preserve">; Control: </w:t>
      </w:r>
      <m:oMath>
        <m:r>
          <w:rPr>
            <w:rFonts w:ascii="Cambria Math" w:hAnsi="Cambria Math" w:cs="Arial"/>
            <w:sz w:val="20"/>
          </w:rPr>
          <m:t>β=-2.266</m:t>
        </m:r>
      </m:oMath>
      <w:r w:rsidRPr="00AF3786">
        <w:rPr>
          <w:rFonts w:ascii="Arial" w:hAnsi="Arial" w:cs="Arial"/>
          <w:sz w:val="20"/>
        </w:rPr>
        <w:t xml:space="preserve">, OR </w:t>
      </w:r>
      <m:oMath>
        <m:r>
          <w:rPr>
            <w:rFonts w:ascii="Cambria Math" w:hAnsi="Cambria Math" w:cs="Arial"/>
            <w:sz w:val="20"/>
          </w:rPr>
          <m:t>=0.10</m:t>
        </m:r>
      </m:oMath>
      <w:r w:rsidRPr="00AF3786">
        <w:rPr>
          <w:rFonts w:ascii="Arial" w:hAnsi="Arial" w:cs="Arial"/>
          <w:sz w:val="20"/>
        </w:rPr>
        <w:t xml:space="preserve">, </w:t>
      </w:r>
      <m:oMath>
        <m:r>
          <w:rPr>
            <w:rFonts w:ascii="Cambria Math" w:hAnsi="Cambria Math" w:cs="Arial"/>
            <w:sz w:val="20"/>
          </w:rPr>
          <m:t>P&lt;2×</m:t>
        </m:r>
        <m:sSup>
          <m:sSupPr>
            <m:ctrlPr>
              <w:rPr>
                <w:rFonts w:ascii="Cambria Math" w:hAnsi="Cambria Math" w:cs="Arial"/>
                <w:sz w:val="20"/>
              </w:rPr>
            </m:ctrlPr>
          </m:sSupPr>
          <m:e>
            <m:r>
              <w:rPr>
                <w:rFonts w:ascii="Cambria Math" w:hAnsi="Cambria Math" w:cs="Arial"/>
                <w:sz w:val="20"/>
              </w:rPr>
              <m:t>10</m:t>
            </m:r>
          </m:e>
          <m:sup>
            <m:r>
              <w:rPr>
                <w:rFonts w:ascii="Cambria Math" w:hAnsi="Cambria Math" w:cs="Arial"/>
                <w:sz w:val="20"/>
              </w:rPr>
              <m:t>-16</m:t>
            </m:r>
          </m:sup>
        </m:sSup>
      </m:oMath>
      <w:r w:rsidRPr="00AF3786">
        <w:rPr>
          <w:rFonts w:ascii="Arial" w:hAnsi="Arial" w:cs="Arial"/>
          <w:sz w:val="20"/>
        </w:rPr>
        <w:t xml:space="preserve">; Decision-making: </w:t>
      </w:r>
      <m:oMath>
        <m:r>
          <w:rPr>
            <w:rFonts w:ascii="Cambria Math" w:hAnsi="Cambria Math" w:cs="Arial"/>
            <w:sz w:val="20"/>
          </w:rPr>
          <m:t>β=-1.317</m:t>
        </m:r>
      </m:oMath>
      <w:r w:rsidRPr="00AF3786">
        <w:rPr>
          <w:rFonts w:ascii="Arial" w:hAnsi="Arial" w:cs="Arial"/>
          <w:sz w:val="20"/>
        </w:rPr>
        <w:t xml:space="preserve">, OR </w:t>
      </w:r>
      <m:oMath>
        <m:r>
          <w:rPr>
            <w:rFonts w:ascii="Cambria Math" w:hAnsi="Cambria Math" w:cs="Arial"/>
            <w:sz w:val="20"/>
          </w:rPr>
          <m:t>=0.27</m:t>
        </m:r>
      </m:oMath>
      <w:r w:rsidRPr="00AF3786">
        <w:rPr>
          <w:rFonts w:ascii="Arial" w:hAnsi="Arial" w:cs="Arial"/>
          <w:sz w:val="20"/>
        </w:rPr>
        <w:t xml:space="preserve">, </w:t>
      </w:r>
      <m:oMath>
        <m:r>
          <w:rPr>
            <w:rFonts w:ascii="Cambria Math" w:hAnsi="Cambria Math" w:cs="Arial"/>
            <w:sz w:val="20"/>
          </w:rPr>
          <m:t>P&lt;2×</m:t>
        </m:r>
        <m:sSup>
          <m:sSupPr>
            <m:ctrlPr>
              <w:rPr>
                <w:rFonts w:ascii="Cambria Math" w:hAnsi="Cambria Math" w:cs="Arial"/>
                <w:sz w:val="20"/>
              </w:rPr>
            </m:ctrlPr>
          </m:sSupPr>
          <m:e>
            <m:r>
              <w:rPr>
                <w:rFonts w:ascii="Cambria Math" w:hAnsi="Cambria Math" w:cs="Arial"/>
                <w:sz w:val="20"/>
              </w:rPr>
              <m:t>10</m:t>
            </m:r>
          </m:e>
          <m:sup>
            <m:r>
              <w:rPr>
                <w:rFonts w:ascii="Cambria Math" w:hAnsi="Cambria Math" w:cs="Arial"/>
                <w:sz w:val="20"/>
              </w:rPr>
              <m:t>-16</m:t>
            </m:r>
          </m:sup>
        </m:sSup>
      </m:oMath>
      <w:r w:rsidRPr="00AF3786">
        <w:rPr>
          <w:rFonts w:ascii="Arial" w:hAnsi="Arial" w:cs="Arial"/>
          <w:sz w:val="20"/>
        </w:rPr>
        <w:t xml:space="preserve">; Moral reasoning: </w:t>
      </w:r>
      <m:oMath>
        <m:r>
          <w:rPr>
            <w:rFonts w:ascii="Cambria Math" w:hAnsi="Cambria Math" w:cs="Arial"/>
            <w:sz w:val="20"/>
          </w:rPr>
          <m:t>β=-0.829</m:t>
        </m:r>
      </m:oMath>
      <w:r w:rsidRPr="00AF3786">
        <w:rPr>
          <w:rFonts w:ascii="Arial" w:hAnsi="Arial" w:cs="Arial"/>
          <w:sz w:val="20"/>
        </w:rPr>
        <w:t xml:space="preserve">, OR </w:t>
      </w:r>
      <m:oMath>
        <m:r>
          <w:rPr>
            <w:rFonts w:ascii="Cambria Math" w:hAnsi="Cambria Math" w:cs="Arial"/>
            <w:sz w:val="20"/>
          </w:rPr>
          <m:t>=0.44</m:t>
        </m:r>
      </m:oMath>
      <w:r w:rsidRPr="00AF3786">
        <w:rPr>
          <w:rFonts w:ascii="Arial" w:hAnsi="Arial" w:cs="Arial"/>
          <w:sz w:val="20"/>
        </w:rPr>
        <w:t xml:space="preserve">, </w:t>
      </w:r>
      <m:oMath>
        <m:r>
          <w:rPr>
            <w:rFonts w:ascii="Cambria Math" w:hAnsi="Cambria Math" w:cs="Arial"/>
            <w:sz w:val="20"/>
          </w:rPr>
          <m:t>P=5.4×</m:t>
        </m:r>
        <m:sSup>
          <m:sSupPr>
            <m:ctrlPr>
              <w:rPr>
                <w:rFonts w:ascii="Cambria Math" w:hAnsi="Cambria Math" w:cs="Arial"/>
                <w:sz w:val="20"/>
              </w:rPr>
            </m:ctrlPr>
          </m:sSupPr>
          <m:e>
            <m:r>
              <w:rPr>
                <w:rFonts w:ascii="Cambria Math" w:hAnsi="Cambria Math" w:cs="Arial"/>
                <w:sz w:val="20"/>
              </w:rPr>
              <m:t>10</m:t>
            </m:r>
          </m:e>
          <m:sup>
            <m:r>
              <w:rPr>
                <w:rFonts w:ascii="Cambria Math" w:hAnsi="Cambria Math" w:cs="Arial"/>
                <w:sz w:val="20"/>
              </w:rPr>
              <m:t>-8</m:t>
            </m:r>
          </m:sup>
        </m:sSup>
      </m:oMath>
      <w:r w:rsidRPr="00AF3786">
        <w:rPr>
          <w:rFonts w:ascii="Arial" w:hAnsi="Arial" w:cs="Arial"/>
          <w:sz w:val="20"/>
        </w:rPr>
        <w:t xml:space="preserve">). Human, machine, and organization group contrasts were not distinguishable from </w:t>
      </w:r>
      <w:r w:rsidR="00F91CC2">
        <w:rPr>
          <w:rFonts w:ascii="Arial" w:hAnsi="Arial" w:cs="Arial"/>
          <w:sz w:val="20"/>
        </w:rPr>
        <w:t xml:space="preserve">the </w:t>
      </w:r>
      <w:r w:rsidRPr="00AF3786">
        <w:rPr>
          <w:rFonts w:ascii="Arial" w:hAnsi="Arial" w:cs="Arial"/>
          <w:sz w:val="20"/>
        </w:rPr>
        <w:t>reference in this binary specification.</w:t>
      </w:r>
      <w:r w:rsidR="00F91CC2">
        <w:rPr>
          <w:rFonts w:ascii="Arial" w:hAnsi="Arial" w:cs="Arial"/>
          <w:sz w:val="20"/>
        </w:rPr>
        <w:t xml:space="preserve"> </w:t>
      </w:r>
      <w:r w:rsidR="00F91CC2" w:rsidRPr="00F91CC2">
        <w:rPr>
          <w:rFonts w:ascii="Arial" w:hAnsi="Arial" w:cs="Arial"/>
          <w:sz w:val="20"/>
        </w:rPr>
        <w:t>The persistence of the supernatural group contrast across both linear and binary-endorsement specifications ensures that the observed effects are not artifacts of the specific scale distribution or the chosen endorsement threshold</w:t>
      </w:r>
      <w:r w:rsidR="00F91CC2">
        <w:rPr>
          <w:rFonts w:ascii="Arial" w:hAnsi="Arial" w:cs="Arial"/>
          <w:sz w:val="20"/>
        </w:rPr>
        <w:t xml:space="preserve"> </w:t>
      </w:r>
      <w:r w:rsidR="00F91CC2">
        <w:rPr>
          <w:rFonts w:ascii="Arial" w:hAnsi="Arial" w:cs="Arial"/>
          <w:sz w:val="20"/>
        </w:rPr>
        <w:fldChar w:fldCharType="begin"/>
      </w:r>
      <w:r w:rsidR="00F91CC2">
        <w:rPr>
          <w:rFonts w:ascii="Arial" w:hAnsi="Arial" w:cs="Arial"/>
          <w:sz w:val="20"/>
        </w:rPr>
        <w:instrText xml:space="preserve"> ADDIN ZOTERO_ITEM CSL_CITATION {"citationID":"eKN6IHdv","properties":{"formattedCitation":"(B\\uc0\\u252{}rkner, 2017)","plainCitation":"(Bürkner, 2017)","noteIndex":0},"citationItems":[{"id":405,"uris":["http://zotero.org/users/17689459/items/S6ELJTCH"],"itemData":{"id":405,"type":"article","abstract":"The brms package allows R users to easily specify a wide range of Bayesian single-level and multilevel models, which are fitted with the probabilistic programming language Stan behind the scenes. Several response distributions are supported, of which all parameters (e.g., location, scale, and shape) can be predicted at the same time thus allowing for distributional regression. Non-linear relationships may be specified using non-linear predictor terms or semi-parametric approaches such as splines or Gaussian processes. To make all of these modeling options possible in a multilevel framework, brms provides an intuitive and powerful formula syntax, which extends the well known formula syntax of lme4. The purpose of the present paper is to introduce this syntax in detail and to demonstrate its usefulness with four examples, each showing other relevant aspects of the syntax.","DOI":"10.48550/arXiv.1705.11123","note":"arXiv:1705.11123 [stat]","number":"arXiv:1705.11123","publisher":"arXiv","source":"arXiv.org","title":"Advanced Bayesian Multilevel Modeling with the R Package brms","URL":"http://arxiv.org/abs/1705.11123","author":[{"family":"Bürkner","given":"Paul-Christian"}],"accessed":{"date-parts":[["2026",2,19]]},"issued":{"date-parts":[["2017",10,15]]}}}],"schema":"https://github.com/citation-style-language/schema/raw/master/csl-citation.json"} </w:instrText>
      </w:r>
      <w:r w:rsidR="00F91CC2">
        <w:rPr>
          <w:rFonts w:ascii="Arial" w:hAnsi="Arial" w:cs="Arial"/>
          <w:sz w:val="20"/>
        </w:rPr>
        <w:fldChar w:fldCharType="separate"/>
      </w:r>
      <w:r w:rsidR="00F91CC2" w:rsidRPr="00F91CC2">
        <w:rPr>
          <w:rFonts w:ascii="Arial" w:hAnsi="Arial" w:cs="Arial"/>
          <w:sz w:val="20"/>
          <w:lang w:val="en-GB" w:eastAsia="en-US"/>
        </w:rPr>
        <w:t>(Bürkner, 2017)</w:t>
      </w:r>
      <w:r w:rsidR="00F91CC2">
        <w:rPr>
          <w:rFonts w:ascii="Arial" w:hAnsi="Arial" w:cs="Arial"/>
          <w:sz w:val="20"/>
        </w:rPr>
        <w:fldChar w:fldCharType="end"/>
      </w:r>
      <w:r w:rsidR="00F91CC2">
        <w:rPr>
          <w:rFonts w:ascii="Arial" w:hAnsi="Arial" w:cs="Arial"/>
          <w:sz w:val="20"/>
        </w:rPr>
        <w:t>.</w:t>
      </w:r>
    </w:p>
    <w:p w14:paraId="12AF34D1" w14:textId="21C33191"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r w:rsidRPr="00AF3786">
        <w:rPr>
          <w:rFonts w:ascii="Arial" w:hAnsi="Arial" w:cs="Arial"/>
          <w:sz w:val="20"/>
        </w:rPr>
        <w:t>Overall, SI</w:t>
      </w:r>
      <w:r w:rsidR="00095E28">
        <w:rPr>
          <w:rFonts w:ascii="Arial" w:hAnsi="Arial" w:cs="Arial"/>
          <w:sz w:val="20"/>
        </w:rPr>
        <w:t>4</w:t>
      </w:r>
      <w:r w:rsidRPr="00AF3786">
        <w:rPr>
          <w:rFonts w:ascii="Arial" w:hAnsi="Arial" w:cs="Arial"/>
          <w:sz w:val="20"/>
        </w:rPr>
        <w:t xml:space="preserve"> supports three robustness conclusions. First, topological structure is resilient to aggregation and model form. Second, inferential signals (especially domain and supernatural contrasts) persist across linear and logistic mixed models. Third, clustering remains the least stable component of the pipeline: informative for visualization, but weaker than the continuous geometry as a basis for inference.</w:t>
      </w:r>
    </w:p>
    <w:p w14:paraId="668A0413" w14:textId="660593EE" w:rsidR="00AF3786" w:rsidRDefault="00AF3786" w:rsidP="00A76BDB">
      <w:pPr>
        <w:spacing w:before="100" w:beforeAutospacing="1" w:after="100" w:afterAutospacing="1" w:line="360" w:lineRule="auto"/>
        <w:contextualSpacing/>
        <w:jc w:val="both"/>
        <w:rPr>
          <w:rFonts w:ascii="Arial" w:hAnsi="Arial" w:cs="Arial"/>
          <w:sz w:val="20"/>
        </w:rPr>
      </w:pPr>
    </w:p>
    <w:p w14:paraId="3DF4076A" w14:textId="23C752DA" w:rsidR="00EF19F3" w:rsidRPr="00EF19F3" w:rsidRDefault="00EF19F3" w:rsidP="00EF19F3">
      <w:pPr>
        <w:spacing w:before="100" w:beforeAutospacing="1" w:after="100" w:afterAutospacing="1" w:line="360" w:lineRule="auto"/>
        <w:contextualSpacing/>
        <w:outlineLvl w:val="2"/>
        <w:rPr>
          <w:rFonts w:ascii="Arial" w:hAnsi="Arial" w:cs="Arial"/>
          <w:b/>
          <w:bCs/>
          <w:sz w:val="22"/>
          <w:szCs w:val="20"/>
          <w:lang w:eastAsia="en-US"/>
        </w:rPr>
      </w:pPr>
      <w:r w:rsidRPr="00EF19F3">
        <w:rPr>
          <w:rFonts w:ascii="Arial" w:hAnsi="Arial" w:cs="Arial"/>
          <w:b/>
          <w:bCs/>
          <w:sz w:val="22"/>
          <w:szCs w:val="20"/>
          <w:lang w:eastAsia="en-US"/>
        </w:rPr>
        <w:t>S</w:t>
      </w:r>
      <w:r>
        <w:rPr>
          <w:rFonts w:ascii="Arial" w:hAnsi="Arial" w:cs="Arial"/>
          <w:b/>
          <w:bCs/>
          <w:sz w:val="22"/>
        </w:rPr>
        <w:t>I</w:t>
      </w:r>
      <w:r w:rsidRPr="00EF19F3">
        <w:rPr>
          <w:rFonts w:ascii="Arial" w:hAnsi="Arial" w:cs="Arial"/>
          <w:b/>
          <w:bCs/>
          <w:sz w:val="22"/>
          <w:szCs w:val="20"/>
          <w:lang w:eastAsia="en-US"/>
        </w:rPr>
        <w:t>5. Robustness to alternative statistical specifications</w:t>
      </w:r>
    </w:p>
    <w:p w14:paraId="62CD1B32" w14:textId="77519F92" w:rsidR="00095E28" w:rsidRPr="00095E28"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sz w:val="20"/>
          <w:szCs w:val="20"/>
        </w:rPr>
        <w:t xml:space="preserve">Because dimensionality recovery (PCA/EFA) is, by design, a descriptive mapping tool, we complemented it with model-based sensitivity analyses that test whether the same substantive regularities appear under different statistical assumptions about heterogeneity, shrinkage, and </w:t>
      </w:r>
      <w:r w:rsidRPr="00095E28">
        <w:rPr>
          <w:rFonts w:ascii="Arial" w:hAnsi="Arial" w:cs="Arial"/>
          <w:sz w:val="20"/>
          <w:szCs w:val="20"/>
        </w:rPr>
        <w:lastRenderedPageBreak/>
        <w:t>outcome scale. The goal is not to “replace” the geometric analyses, but to verify that the core conclusions are not artifacts of a particular decomposition method, rotation, or visualization choice</w:t>
      </w:r>
      <w:r w:rsidR="00DE696F">
        <w:rPr>
          <w:rFonts w:ascii="Arial" w:hAnsi="Arial" w:cs="Arial"/>
          <w:sz w:val="20"/>
          <w:szCs w:val="20"/>
        </w:rPr>
        <w:t xml:space="preserve"> </w:t>
      </w:r>
      <w:r w:rsidR="00DE696F">
        <w:rPr>
          <w:rFonts w:ascii="Arial" w:hAnsi="Arial" w:cs="Arial"/>
          <w:sz w:val="20"/>
          <w:szCs w:val="20"/>
        </w:rPr>
        <w:fldChar w:fldCharType="begin"/>
      </w:r>
      <w:r w:rsidR="00DE696F">
        <w:rPr>
          <w:rFonts w:ascii="Arial" w:hAnsi="Arial" w:cs="Arial"/>
          <w:sz w:val="20"/>
          <w:szCs w:val="20"/>
        </w:rPr>
        <w:instrText xml:space="preserve"> ADDIN ZOTERO_ITEM CSL_CITATION {"citationID":"Ys1p83VB","properties":{"formattedCitation":"(Steegen et al., 2016)","plainCitation":"(Steegen et al., 2016)","noteIndex":0},"citationItems":[{"id":416,"uris":["http://zotero.org/users/17689459/items/ERH4ZPVS"],"itemData":{"id":416,"type":"article-journal","abstract":"Empirical research inevitably includes constructing a data set by processing raw data into a form ready for statistical analysis. Data processing often involves choices among several reasonable options for excluding, transforming, and coding data. We suggest that instead of performing only one analysis, researchers could perform a multiverse analysis, which involves performing all analyses across the whole set of alternatively processed data sets corresponding to a large set of reasonable scenarios. Using an example focusing on the effect of fertility on religiosity and political attitudes, we show that analyzing a single data set can be misleading and propose a multiverse analysis as an alternative practice. A multiverse analysis offers an idea of how much the conclusions change because of arbitrary choices in data construction and gives pointers as to which choices are most consequential in the fragility of the result.","container-title":"Perspectives on Psychological Science","DOI":"10.1177/1745691616658637","ISSN":"1745-6916","issue":"5","journalAbbreviation":"Perspect Psychol Sci","language":"EN","note":"publisher: SAGE Publications Inc","page":"702-712","source":"SAGE Journals","title":"Increasing Transparency Through a Multiverse Analysis","volume":"11","author":[{"family":"Steegen","given":"Sara"},{"family":"Tuerlinckx","given":"Francis"},{"family":"Gelman","given":"Andrew"},{"family":"Vanpaemel","given":"Wolf"}],"issued":{"date-parts":[["2016",9,1]]}}}],"schema":"https://github.com/citation-style-language/schema/raw/master/csl-citation.json"} </w:instrText>
      </w:r>
      <w:r w:rsidR="00DE696F">
        <w:rPr>
          <w:rFonts w:ascii="Arial" w:hAnsi="Arial" w:cs="Arial"/>
          <w:sz w:val="20"/>
          <w:szCs w:val="20"/>
        </w:rPr>
        <w:fldChar w:fldCharType="separate"/>
      </w:r>
      <w:r w:rsidR="00DE696F">
        <w:rPr>
          <w:rFonts w:ascii="Arial" w:hAnsi="Arial" w:cs="Arial"/>
          <w:noProof/>
          <w:sz w:val="20"/>
          <w:szCs w:val="20"/>
        </w:rPr>
        <w:t>(Steegen et al., 2016)</w:t>
      </w:r>
      <w:r w:rsidR="00DE696F">
        <w:rPr>
          <w:rFonts w:ascii="Arial" w:hAnsi="Arial" w:cs="Arial"/>
          <w:sz w:val="20"/>
          <w:szCs w:val="20"/>
        </w:rPr>
        <w:fldChar w:fldCharType="end"/>
      </w:r>
      <w:r w:rsidRPr="00095E28">
        <w:rPr>
          <w:rFonts w:ascii="Arial" w:hAnsi="Arial" w:cs="Arial"/>
          <w:sz w:val="20"/>
          <w:szCs w:val="20"/>
        </w:rPr>
        <w:t xml:space="preserve">. Concretely, we re-analyze the full judgment-level dataset using regression specifications that preserve the same </w:t>
      </w:r>
      <w:proofErr w:type="spellStart"/>
      <w:r w:rsidRPr="00095E28">
        <w:rPr>
          <w:rFonts w:ascii="Arial" w:hAnsi="Arial" w:cs="Arial"/>
          <w:sz w:val="20"/>
          <w:szCs w:val="20"/>
        </w:rPr>
        <w:t>estimand</w:t>
      </w:r>
      <w:proofErr w:type="spellEnd"/>
      <w:r>
        <w:rPr>
          <w:rFonts w:ascii="Arial" w:hAnsi="Arial" w:cs="Arial"/>
          <w:sz w:val="20"/>
          <w:szCs w:val="20"/>
        </w:rPr>
        <w:t xml:space="preserve"> </w:t>
      </w:r>
      <w:r w:rsidRPr="00095E28">
        <w:rPr>
          <w:rFonts w:ascii="Arial" w:hAnsi="Arial" w:cs="Arial"/>
          <w:sz w:val="20"/>
          <w:szCs w:val="20"/>
        </w:rPr>
        <w:t>while varying (</w:t>
      </w:r>
      <w:proofErr w:type="spellStart"/>
      <w:r w:rsidRPr="00095E28">
        <w:rPr>
          <w:rFonts w:ascii="Arial" w:hAnsi="Arial" w:cs="Arial"/>
          <w:sz w:val="20"/>
          <w:szCs w:val="20"/>
        </w:rPr>
        <w:t>i</w:t>
      </w:r>
      <w:proofErr w:type="spellEnd"/>
      <w:r w:rsidRPr="00095E28">
        <w:rPr>
          <w:rFonts w:ascii="Arial" w:hAnsi="Arial" w:cs="Arial"/>
          <w:sz w:val="20"/>
          <w:szCs w:val="20"/>
        </w:rPr>
        <w:t>) whether heterogeneity is absorbed via fixed effects or partially pooled via random effects, and (ii) whether endorsement is treated as a continuous outcome or as a practically salient tail event (strong endorsement).</w:t>
      </w:r>
    </w:p>
    <w:p w14:paraId="1E264442" w14:textId="68602BCF" w:rsidR="00095E28" w:rsidRPr="00095E28"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sz w:val="20"/>
          <w:szCs w:val="20"/>
        </w:rPr>
        <w:t>We used four specifications because each answers a slightly different robustness question while holding the target quantity constant. Model A (two-way fixed effects) is maximally conservative with respect to stable agent- and item-specific differences: it absorbs all level shifts across agents and across items into indicator terms, ensuring that aggregate patterns are not driven by a small subset of entities or capacities</w:t>
      </w:r>
      <w:r w:rsidR="00DE696F">
        <w:rPr>
          <w:rFonts w:ascii="Arial" w:hAnsi="Arial" w:cs="Arial"/>
          <w:sz w:val="20"/>
          <w:szCs w:val="20"/>
        </w:rPr>
        <w:t xml:space="preserve"> </w:t>
      </w:r>
      <w:r w:rsidR="00DE696F">
        <w:rPr>
          <w:rFonts w:ascii="Arial" w:hAnsi="Arial" w:cs="Arial"/>
          <w:sz w:val="20"/>
          <w:szCs w:val="20"/>
        </w:rPr>
        <w:fldChar w:fldCharType="begin"/>
      </w:r>
      <w:r w:rsidR="00DE696F">
        <w:rPr>
          <w:rFonts w:ascii="Arial" w:hAnsi="Arial" w:cs="Arial"/>
          <w:sz w:val="20"/>
          <w:szCs w:val="20"/>
        </w:rPr>
        <w:instrText xml:space="preserve"> ADDIN ZOTERO_ITEM CSL_CITATION {"citationID":"LEm0RjKp","properties":{"formattedCitation":"(Meteyard &amp; Davies, 2020)","plainCitation":"(Meteyard &amp; Davies, 2020)","noteIndex":0},"citationItems":[{"id":415,"uris":["http://zotero.org/users/17689459/items/FGJUII5M"],"itemData":{"id":415,"type":"article-journal","abstract":"The use of Linear Mixed-effects Models (LMMs) is set to dominate statistical analyses in psychological science and may become the default approach to analyzing quantitative data. The rapid growth in adoption of LMMs has been matched by a proliferation of differences in practice. Unless this diversity is recognized, and checked, the field shall reap enormous difficulties in the future when attempts are made to consolidate or synthesize research findings. Here we examine this diversity using two methods – a survey of researchers (n = 163) and a quasi-systematic review of papers using LMMs (n = 400). The survey reveals substantive concerns among psychologists using or planning to use LMMs and an absence of agreed standards. The review of papers complements the survey, showing variation in how the models are built, how effects are evaluated and, most worryingly, how models are reported. Using these data as our departure point, we present a set of best practice guidance, focusing on the reporting of LMMs. It is the authors’ intention that the paper supports a step-change in the reporting of LMMs across the psychological sciences, preventing a trajectory in which findings reported today cannot be transparently understood and used tomorrow.","container-title":"Journal of Memory and Language","DOI":"10.1016/j.jml.2020.104092","ISSN":"0749-596X","journalAbbreviation":"Journal of Memory and Language","page":"104092","source":"ScienceDirect","title":"Best practice guidance for linear mixed-effects models in psychological science","volume":"112","author":[{"family":"Meteyard","given":"Lotte"},{"family":"Davies","given":"Robert A. I."}],"issued":{"date-parts":[["2020",6,1]]}}}],"schema":"https://github.com/citation-style-language/schema/raw/master/csl-citation.json"} </w:instrText>
      </w:r>
      <w:r w:rsidR="00DE696F">
        <w:rPr>
          <w:rFonts w:ascii="Arial" w:hAnsi="Arial" w:cs="Arial"/>
          <w:sz w:val="20"/>
          <w:szCs w:val="20"/>
        </w:rPr>
        <w:fldChar w:fldCharType="separate"/>
      </w:r>
      <w:r w:rsidR="00DE696F">
        <w:rPr>
          <w:rFonts w:ascii="Arial" w:hAnsi="Arial" w:cs="Arial"/>
          <w:noProof/>
          <w:sz w:val="20"/>
          <w:szCs w:val="20"/>
        </w:rPr>
        <w:t>(Meteyard &amp; Davies, 2020)</w:t>
      </w:r>
      <w:r w:rsidR="00DE696F">
        <w:rPr>
          <w:rFonts w:ascii="Arial" w:hAnsi="Arial" w:cs="Arial"/>
          <w:sz w:val="20"/>
          <w:szCs w:val="20"/>
        </w:rPr>
        <w:fldChar w:fldCharType="end"/>
      </w:r>
      <w:r w:rsidRPr="00095E28">
        <w:rPr>
          <w:rFonts w:ascii="Arial" w:hAnsi="Arial" w:cs="Arial"/>
          <w:sz w:val="20"/>
          <w:szCs w:val="20"/>
        </w:rPr>
        <w:t>. Model B (crossed random intercepts) replaces saturation with partial pooling, providing a stable estimate of the overall endorsement level while respecting the crossed design (agents × items) and avoiding the full indicator grid</w:t>
      </w:r>
      <w:r w:rsidR="00F91CC2">
        <w:rPr>
          <w:rFonts w:ascii="Arial" w:hAnsi="Arial" w:cs="Arial"/>
          <w:sz w:val="20"/>
          <w:szCs w:val="20"/>
        </w:rPr>
        <w:t xml:space="preserve"> </w:t>
      </w:r>
      <w:r w:rsidR="00F91CC2">
        <w:rPr>
          <w:rFonts w:ascii="Arial" w:hAnsi="Arial" w:cs="Arial"/>
          <w:sz w:val="20"/>
          <w:szCs w:val="20"/>
        </w:rPr>
        <w:fldChar w:fldCharType="begin"/>
      </w:r>
      <w:r w:rsidR="00F91CC2">
        <w:rPr>
          <w:rFonts w:ascii="Arial" w:hAnsi="Arial" w:cs="Arial"/>
          <w:sz w:val="20"/>
          <w:szCs w:val="20"/>
        </w:rPr>
        <w:instrText xml:space="preserve"> ADDIN ZOTERO_ITEM CSL_CITATION {"citationID":"drtm7117","properties":{"formattedCitation":"(Baayen et al., 2008; B\\uc0\\u252{}rkner, 2017)","plainCitation":"(Baayen et al., 2008; Bürkner, 2017)","noteIndex":0},"citationItems":[{"id":410,"uris":["http://zotero.org/users/17689459/items/4RC76TVP"],"itemData":{"id":410,"type":"article-journal","abstract":"This paper provides an introduction to mixed-effects models for the analysis of repeated measurement data with subjects and items as crossed random effects. A worked-out example of how to use recent software for mixed-effects modeling is provided. Simulation studies illustrate the advantages offered by mixed-effects analyses compared to traditional analyses based on quasi-F tests, by-subjects analyses, combined by-subjects and by-items analyses, and random regression. Applications and possibilities across a range of domains of inquiry are discussed.","collection-title":"Special Issue: Emerging Data Analysis","container-title":"Journal of Memory and Language","DOI":"10.1016/j.jml.2007.12.005","ISSN":"0749-596X","issue":"4","journalAbbreviation":"Journal of Memory and Language","page":"390-412","source":"ScienceDirect","title":"Mixed-effects modeling with crossed random effects for subjects and items","volume":"59","author":[{"family":"Baayen","given":"R. H."},{"family":"Davidson","given":"D. J."},{"family":"Bates","given":"D. M."}],"issued":{"date-parts":[["2008",11,1]]}}},{"id":405,"uris":["http://zotero.org/users/17689459/items/S6ELJTCH"],"itemData":{"id":405,"type":"article","abstract":"The brms package allows R users to easily specify a wide range of Bayesian single-level and multilevel models, which are fitted with the probabilistic programming language Stan behind the scenes. Several response distributions are supported, of which all parameters (e.g., location, scale, and shape) can be predicted at the same time thus allowing for distributional regression. Non-linear relationships may be specified using non-linear predictor terms or semi-parametric approaches such as splines or Gaussian processes. To make all of these modeling options possible in a multilevel framework, brms provides an intuitive and powerful formula syntax, which extends the well known formula syntax of lme4. The purpose of the present paper is to introduce this syntax in detail and to demonstrate its usefulness with four examples, each showing other relevant aspects of the syntax.","DOI":"10.48550/arXiv.1705.11123","note":"arXiv:1705.11123 [stat]","number":"arXiv:1705.11123","publisher":"arXiv","source":"arXiv.org","title":"Advanced Bayesian Multilevel Modeling with the R Package brms","URL":"http://arxiv.org/abs/1705.11123","author":[{"family":"Bürkner","given":"Paul-Christian"}],"accessed":{"date-parts":[["2026",2,19]]},"issued":{"date-parts":[["2017",10,15]]}}}],"schema":"https://github.com/citation-style-language/schema/raw/master/csl-citation.json"} </w:instrText>
      </w:r>
      <w:r w:rsidR="00F91CC2">
        <w:rPr>
          <w:rFonts w:ascii="Arial" w:hAnsi="Arial" w:cs="Arial"/>
          <w:sz w:val="20"/>
          <w:szCs w:val="20"/>
        </w:rPr>
        <w:fldChar w:fldCharType="separate"/>
      </w:r>
      <w:r w:rsidR="00F91CC2" w:rsidRPr="00F91CC2">
        <w:rPr>
          <w:rFonts w:ascii="Arial" w:hAnsi="Arial" w:cs="Arial"/>
          <w:sz w:val="20"/>
          <w:lang w:val="en-GB" w:eastAsia="en-US"/>
        </w:rPr>
        <w:t>(Baayen et al., 2008; Bürkner, 2017)</w:t>
      </w:r>
      <w:r w:rsidR="00F91CC2">
        <w:rPr>
          <w:rFonts w:ascii="Arial" w:hAnsi="Arial" w:cs="Arial"/>
          <w:sz w:val="20"/>
          <w:szCs w:val="20"/>
        </w:rPr>
        <w:fldChar w:fldCharType="end"/>
      </w:r>
      <w:r w:rsidRPr="00095E28">
        <w:rPr>
          <w:rFonts w:ascii="Arial" w:hAnsi="Arial" w:cs="Arial"/>
          <w:sz w:val="20"/>
          <w:szCs w:val="20"/>
        </w:rPr>
        <w:t>. Model C (group/domain fixed effects + crossed random intercepts) provides a theory-facing summary: it collapses the fine-grained agent and item sets into substantively meaningful families (agent groups; item domains) while retaining random intercepts to account for residual agent- and item-specific idiosyncrasies. Finally, Model D (logistic mixed model of high endorsement) verifies that the same contrasts hold when focusing on a consequential tail event</w:t>
      </w:r>
      <w:r>
        <w:rPr>
          <w:rFonts w:ascii="Arial" w:hAnsi="Arial" w:cs="Arial"/>
          <w:sz w:val="20"/>
          <w:szCs w:val="20"/>
        </w:rPr>
        <w:t xml:space="preserve">, such as a </w:t>
      </w:r>
      <w:r w:rsidRPr="00095E28">
        <w:rPr>
          <w:rFonts w:ascii="Arial" w:hAnsi="Arial" w:cs="Arial"/>
          <w:sz w:val="20"/>
          <w:szCs w:val="20"/>
        </w:rPr>
        <w:t>strong endorsement (score ≥ 6)</w:t>
      </w:r>
      <w:r>
        <w:rPr>
          <w:rFonts w:ascii="Arial" w:hAnsi="Arial" w:cs="Arial"/>
          <w:sz w:val="20"/>
          <w:szCs w:val="20"/>
        </w:rPr>
        <w:t xml:space="preserve">, </w:t>
      </w:r>
      <w:r w:rsidRPr="00095E28">
        <w:rPr>
          <w:rFonts w:ascii="Arial" w:hAnsi="Arial" w:cs="Arial"/>
          <w:sz w:val="20"/>
          <w:szCs w:val="20"/>
        </w:rPr>
        <w:t xml:space="preserve">using an appropriate link function rather than relying on linearity in the extremes. </w:t>
      </w:r>
    </w:p>
    <w:p w14:paraId="776956E0" w14:textId="4452ED52" w:rsidR="00DE696F"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b/>
          <w:bCs/>
          <w:sz w:val="20"/>
          <w:szCs w:val="20"/>
        </w:rPr>
        <w:t>Intercept anchoring and scale stability.</w:t>
      </w:r>
      <w:r w:rsidRPr="00095E28">
        <w:rPr>
          <w:rFonts w:ascii="Arial" w:hAnsi="Arial" w:cs="Arial"/>
          <w:sz w:val="20"/>
          <w:szCs w:val="20"/>
        </w:rPr>
        <w:t xml:space="preserve"> Across specifications, the overall endorsement scale is stable (Table S4). In the saturated fixed-effects model (Model A), the intercept corresponds to the baseline </w:t>
      </w:r>
      <w:proofErr w:type="spellStart"/>
      <w:r w:rsidRPr="00095E28">
        <w:rPr>
          <w:rFonts w:ascii="Arial" w:hAnsi="Arial" w:cs="Arial"/>
          <w:sz w:val="20"/>
          <w:szCs w:val="20"/>
        </w:rPr>
        <w:t>agent×item</w:t>
      </w:r>
      <w:proofErr w:type="spellEnd"/>
      <w:r w:rsidRPr="00095E28">
        <w:rPr>
          <w:rFonts w:ascii="Arial" w:hAnsi="Arial" w:cs="Arial"/>
          <w:sz w:val="20"/>
          <w:szCs w:val="20"/>
        </w:rPr>
        <w:t xml:space="preserve"> cell under treatment coding, but the implied marginal grand mean—obtained by averaging the fixed effects over all agent and item levels in the balanced design—is ≈ 3.18. The crossed random-intercept model (Model B) yields the same value directly (intercept ≈ 3.18). Models C–D similarly anchor the baseline at the animal × affective cell (Model C intercept ≈ 3.08) and the corresponding baseline probability of strong endorsement (Model D intercept ≈ −1.14, implying p</w:t>
      </w:r>
      <w:r w:rsidRPr="00095E28">
        <w:rPr>
          <w:rFonts w:ascii="Cambria Math" w:hAnsi="Cambria Math" w:cs="Cambria Math"/>
          <w:sz w:val="20"/>
          <w:szCs w:val="20"/>
        </w:rPr>
        <w:t>₀</w:t>
      </w:r>
      <w:r w:rsidRPr="00095E28">
        <w:rPr>
          <w:rFonts w:ascii="Arial" w:hAnsi="Arial" w:cs="Arial"/>
          <w:sz w:val="20"/>
          <w:szCs w:val="20"/>
        </w:rPr>
        <w:t xml:space="preserve"> ≈ 0.24). These convergent anchors indicate that the core patterns discussed below are not a byproduct of a particular estimation approach to the mean level of endorsement</w:t>
      </w:r>
      <w:r w:rsidR="00F91CC2">
        <w:rPr>
          <w:rFonts w:ascii="Arial" w:hAnsi="Arial" w:cs="Arial"/>
          <w:sz w:val="20"/>
          <w:szCs w:val="20"/>
        </w:rPr>
        <w:t xml:space="preserve"> </w:t>
      </w:r>
      <w:r w:rsidR="00F91CC2">
        <w:rPr>
          <w:rFonts w:ascii="Arial" w:hAnsi="Arial" w:cs="Arial"/>
          <w:sz w:val="20"/>
          <w:szCs w:val="20"/>
        </w:rPr>
        <w:fldChar w:fldCharType="begin"/>
      </w:r>
      <w:r w:rsidR="00F91CC2">
        <w:rPr>
          <w:rFonts w:ascii="Arial" w:hAnsi="Arial" w:cs="Arial"/>
          <w:sz w:val="20"/>
          <w:szCs w:val="20"/>
        </w:rPr>
        <w:instrText xml:space="preserve"> ADDIN ZOTERO_ITEM CSL_CITATION {"citationID":"DUXp3ZiM","properties":{"formattedCitation":"(B\\uc0\\u252{}rkner &amp; Vuorre, 2019)","plainCitation":"(Bürkner &amp; Vuorre, 2019)","noteIndex":0},"citationItems":[{"id":413,"uris":["http://zotero.org/users/17689459/items/KQIDZQHU"],"itemData":{"id":413,"type":"article-journal","abstract":"Ordinal variables, although extremely common in psychology, are almost exclusively analyzed with statistical models that falsely assume them to be metric. This practice can lead to distorted effect-size estimates, inflated error rates, and other problems. We argue for the application of ordinal models that make appropriate assumptions about the variables under study. In this Tutorial, we first explain the three major classes of ordinal models: the cumulative, sequential, and adjacent-category models. We then show how to fit ordinal models in a fully Bayesian framework with the R package brms, using data sets on opinions about stem-cell research and time courses of marriage. The appendices provide detailed mathematical derivations of the models and a discussion of censored ordinal models. Compared with metric models, ordinal models provide better theoretical interpretation and numerical inference from ordinal data, and we recommend their widespread adoption in psychology.","container-title":"Advances in Methods and Practices in Psychological Science","DOI":"10.1177/2515245918823199","ISSN":"2515-2459","issue":"1","language":"EN","note":"publisher: SAGE Publications Inc","page":"77-101","source":"SAGE Journals","title":"Ordinal Regression Models in Psychology: A Tutorial","title-short":"Ordinal Regression Models in Psychology","volume":"2","author":[{"family":"Bürkner","given":"Paul-Christian"},{"family":"Vuorre","given":"Matti"}],"issued":{"date-parts":[["2019",3,1]]}}}],"schema":"https://github.com/citation-style-language/schema/raw/master/csl-citation.json"} </w:instrText>
      </w:r>
      <w:r w:rsidR="00F91CC2">
        <w:rPr>
          <w:rFonts w:ascii="Arial" w:hAnsi="Arial" w:cs="Arial"/>
          <w:sz w:val="20"/>
          <w:szCs w:val="20"/>
        </w:rPr>
        <w:fldChar w:fldCharType="separate"/>
      </w:r>
      <w:r w:rsidR="00F91CC2" w:rsidRPr="00F91CC2">
        <w:rPr>
          <w:rFonts w:ascii="Arial" w:hAnsi="Arial" w:cs="Arial"/>
          <w:sz w:val="20"/>
          <w:lang w:val="en-GB" w:eastAsia="en-US"/>
        </w:rPr>
        <w:t>(Bürkner &amp; Vuorre, 2019)</w:t>
      </w:r>
      <w:r w:rsidR="00F91CC2">
        <w:rPr>
          <w:rFonts w:ascii="Arial" w:hAnsi="Arial" w:cs="Arial"/>
          <w:sz w:val="20"/>
          <w:szCs w:val="20"/>
        </w:rPr>
        <w:fldChar w:fldCharType="end"/>
      </w:r>
      <w:r w:rsidRPr="00095E28">
        <w:rPr>
          <w:rFonts w:ascii="Arial" w:hAnsi="Arial" w:cs="Arial"/>
          <w:sz w:val="20"/>
          <w:szCs w:val="20"/>
        </w:rPr>
        <w:t>.</w:t>
      </w:r>
    </w:p>
    <w:p w14:paraId="3C672BD8" w14:textId="77777777" w:rsidR="00DE696F" w:rsidRDefault="00DE696F">
      <w:pPr>
        <w:rPr>
          <w:rFonts w:ascii="Arial" w:hAnsi="Arial" w:cs="Arial"/>
          <w:sz w:val="20"/>
          <w:szCs w:val="20"/>
        </w:rPr>
      </w:pPr>
      <w:r>
        <w:rPr>
          <w:rFonts w:ascii="Arial" w:hAnsi="Arial" w:cs="Arial"/>
          <w:sz w:val="20"/>
          <w:szCs w:val="20"/>
        </w:rPr>
        <w:br w:type="page"/>
      </w:r>
    </w:p>
    <w:p w14:paraId="18263A23" w14:textId="77777777" w:rsidR="00095E28" w:rsidRDefault="00095E28" w:rsidP="00DE696F">
      <w:pPr>
        <w:spacing w:before="100" w:beforeAutospacing="1" w:after="100" w:afterAutospacing="1" w:line="360" w:lineRule="auto"/>
        <w:contextualSpacing/>
        <w:jc w:val="both"/>
        <w:rPr>
          <w:rFonts w:ascii="Arial" w:hAnsi="Arial" w:cs="Arial"/>
          <w:sz w:val="20"/>
          <w:szCs w:val="20"/>
        </w:rPr>
      </w:pPr>
    </w:p>
    <w:p w14:paraId="0D910C5C" w14:textId="77777777" w:rsidR="00095E28" w:rsidRPr="00AF3786" w:rsidRDefault="00095E28" w:rsidP="00095E28">
      <w:pPr>
        <w:spacing w:line="360" w:lineRule="auto"/>
        <w:contextualSpacing/>
        <w:jc w:val="center"/>
        <w:outlineLvl w:val="3"/>
        <w:rPr>
          <w:rFonts w:ascii="Arial" w:hAnsi="Arial" w:cs="Arial"/>
          <w:b/>
          <w:bCs/>
          <w:sz w:val="20"/>
        </w:rPr>
      </w:pPr>
      <w:r w:rsidRPr="00AF3786">
        <w:rPr>
          <w:rFonts w:ascii="Arial" w:hAnsi="Arial" w:cs="Arial"/>
          <w:b/>
          <w:bCs/>
          <w:sz w:val="20"/>
        </w:rPr>
        <w:t>Table S</w:t>
      </w:r>
      <w:r>
        <w:rPr>
          <w:rFonts w:ascii="Arial" w:hAnsi="Arial" w:cs="Arial"/>
          <w:b/>
          <w:bCs/>
          <w:sz w:val="20"/>
        </w:rPr>
        <w:t>4</w:t>
      </w:r>
      <w:r w:rsidRPr="00AF3786">
        <w:rPr>
          <w:rFonts w:ascii="Arial" w:hAnsi="Arial" w:cs="Arial"/>
          <w:b/>
          <w:bCs/>
          <w:sz w:val="20"/>
        </w:rPr>
        <w:t xml:space="preserve">. </w:t>
      </w:r>
      <w:r w:rsidRPr="0065326D">
        <w:rPr>
          <w:rFonts w:ascii="Arial" w:hAnsi="Arial" w:cs="Arial"/>
          <w:b/>
          <w:bCs/>
          <w:sz w:val="20"/>
        </w:rPr>
        <w:t>Alternative model specifications: intercept anchoring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1093"/>
        <w:gridCol w:w="1459"/>
        <w:gridCol w:w="3820"/>
      </w:tblGrid>
      <w:tr w:rsidR="00095E28" w:rsidRPr="0065326D" w14:paraId="09894F2C" w14:textId="77777777" w:rsidTr="0059259B">
        <w:trPr>
          <w:tblHeader/>
          <w:tblCellSpacing w:w="15" w:type="dxa"/>
        </w:trPr>
        <w:tc>
          <w:tcPr>
            <w:tcW w:w="2223" w:type="dxa"/>
            <w:vAlign w:val="center"/>
            <w:hideMark/>
          </w:tcPr>
          <w:p w14:paraId="1093EF61" w14:textId="77777777" w:rsidR="00095E28" w:rsidRPr="0065326D" w:rsidRDefault="00095E28" w:rsidP="0059259B">
            <w:pPr>
              <w:jc w:val="center"/>
              <w:rPr>
                <w:rFonts w:ascii="Arial" w:hAnsi="Arial" w:cs="Arial"/>
                <w:b/>
                <w:bCs/>
                <w:sz w:val="20"/>
                <w:szCs w:val="20"/>
              </w:rPr>
            </w:pPr>
            <w:r w:rsidRPr="0065326D">
              <w:rPr>
                <w:rFonts w:ascii="Arial" w:hAnsi="Arial" w:cs="Arial"/>
                <w:b/>
                <w:bCs/>
                <w:sz w:val="20"/>
                <w:szCs w:val="20"/>
              </w:rPr>
              <w:t>Model</w:t>
            </w:r>
          </w:p>
        </w:tc>
        <w:tc>
          <w:tcPr>
            <w:tcW w:w="1063" w:type="dxa"/>
            <w:vAlign w:val="center"/>
            <w:hideMark/>
          </w:tcPr>
          <w:p w14:paraId="16531A6E" w14:textId="77777777" w:rsidR="00095E28" w:rsidRPr="0065326D" w:rsidRDefault="00095E28" w:rsidP="0059259B">
            <w:pPr>
              <w:jc w:val="center"/>
              <w:rPr>
                <w:rFonts w:ascii="Arial" w:hAnsi="Arial" w:cs="Arial"/>
                <w:b/>
                <w:bCs/>
                <w:sz w:val="20"/>
                <w:szCs w:val="20"/>
              </w:rPr>
            </w:pPr>
            <w:r w:rsidRPr="0065326D">
              <w:rPr>
                <w:rFonts w:ascii="Arial" w:hAnsi="Arial" w:cs="Arial"/>
                <w:b/>
                <w:bCs/>
                <w:sz w:val="20"/>
                <w:szCs w:val="20"/>
              </w:rPr>
              <w:t>Outcome</w:t>
            </w:r>
          </w:p>
        </w:tc>
        <w:tc>
          <w:tcPr>
            <w:tcW w:w="1429" w:type="dxa"/>
            <w:vAlign w:val="center"/>
            <w:hideMark/>
          </w:tcPr>
          <w:p w14:paraId="0D29BEAA" w14:textId="77777777" w:rsidR="00095E28" w:rsidRPr="0065326D" w:rsidRDefault="00095E28" w:rsidP="0059259B">
            <w:pPr>
              <w:jc w:val="center"/>
              <w:rPr>
                <w:rFonts w:ascii="Arial" w:hAnsi="Arial" w:cs="Arial"/>
                <w:b/>
                <w:bCs/>
                <w:sz w:val="20"/>
                <w:szCs w:val="20"/>
              </w:rPr>
            </w:pPr>
            <w:r w:rsidRPr="0065326D">
              <w:rPr>
                <w:rFonts w:ascii="Arial" w:hAnsi="Arial" w:cs="Arial"/>
                <w:b/>
                <w:bCs/>
                <w:sz w:val="20"/>
                <w:szCs w:val="20"/>
              </w:rPr>
              <w:t>Intercept (β0)</w:t>
            </w:r>
          </w:p>
        </w:tc>
        <w:tc>
          <w:tcPr>
            <w:tcW w:w="3775" w:type="dxa"/>
            <w:vAlign w:val="center"/>
            <w:hideMark/>
          </w:tcPr>
          <w:p w14:paraId="158424ED" w14:textId="77777777" w:rsidR="00095E28" w:rsidRPr="0065326D" w:rsidRDefault="00095E28" w:rsidP="0059259B">
            <w:pPr>
              <w:jc w:val="center"/>
              <w:rPr>
                <w:rFonts w:ascii="Arial" w:hAnsi="Arial" w:cs="Arial"/>
                <w:b/>
                <w:bCs/>
                <w:sz w:val="20"/>
                <w:szCs w:val="20"/>
              </w:rPr>
            </w:pPr>
            <w:r w:rsidRPr="0065326D">
              <w:rPr>
                <w:rFonts w:ascii="Arial" w:hAnsi="Arial" w:cs="Arial"/>
                <w:b/>
                <w:bCs/>
                <w:sz w:val="20"/>
                <w:szCs w:val="20"/>
              </w:rPr>
              <w:t>Interpretation</w:t>
            </w:r>
          </w:p>
        </w:tc>
      </w:tr>
      <w:tr w:rsidR="00095E28" w:rsidRPr="0065326D" w14:paraId="3753D57F" w14:textId="77777777" w:rsidTr="0059259B">
        <w:trPr>
          <w:tblCellSpacing w:w="15" w:type="dxa"/>
        </w:trPr>
        <w:tc>
          <w:tcPr>
            <w:tcW w:w="2223" w:type="dxa"/>
            <w:vAlign w:val="center"/>
            <w:hideMark/>
          </w:tcPr>
          <w:p w14:paraId="73AF11DD" w14:textId="77777777" w:rsidR="00095E28" w:rsidRPr="0065326D" w:rsidRDefault="00095E28" w:rsidP="0059259B">
            <w:pPr>
              <w:rPr>
                <w:rFonts w:ascii="Arial" w:hAnsi="Arial" w:cs="Arial"/>
                <w:sz w:val="20"/>
                <w:szCs w:val="20"/>
              </w:rPr>
            </w:pPr>
            <w:r w:rsidRPr="0065326D">
              <w:rPr>
                <w:rFonts w:ascii="Arial" w:hAnsi="Arial" w:cs="Arial"/>
                <w:sz w:val="20"/>
                <w:szCs w:val="20"/>
              </w:rPr>
              <w:t>A: OLS FE</w:t>
            </w:r>
          </w:p>
        </w:tc>
        <w:tc>
          <w:tcPr>
            <w:tcW w:w="1063" w:type="dxa"/>
            <w:vAlign w:val="center"/>
            <w:hideMark/>
          </w:tcPr>
          <w:p w14:paraId="1E4D450C"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score</w:t>
            </w:r>
          </w:p>
        </w:tc>
        <w:tc>
          <w:tcPr>
            <w:tcW w:w="1429" w:type="dxa"/>
            <w:vAlign w:val="center"/>
            <w:hideMark/>
          </w:tcPr>
          <w:p w14:paraId="155E9748"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4.94</w:t>
            </w:r>
          </w:p>
        </w:tc>
        <w:tc>
          <w:tcPr>
            <w:tcW w:w="3775" w:type="dxa"/>
            <w:vAlign w:val="center"/>
            <w:hideMark/>
          </w:tcPr>
          <w:p w14:paraId="68DE684A" w14:textId="77777777" w:rsidR="00095E28" w:rsidRPr="0065326D" w:rsidRDefault="00095E28" w:rsidP="0059259B">
            <w:pPr>
              <w:rPr>
                <w:rFonts w:ascii="Arial" w:hAnsi="Arial" w:cs="Arial"/>
                <w:sz w:val="20"/>
                <w:szCs w:val="20"/>
              </w:rPr>
            </w:pPr>
            <w:r>
              <w:rPr>
                <w:rFonts w:ascii="Arial" w:hAnsi="Arial" w:cs="Arial"/>
                <w:sz w:val="20"/>
                <w:szCs w:val="20"/>
              </w:rPr>
              <w:t xml:space="preserve">Baseline agent </w:t>
            </w:r>
            <w:r w:rsidRPr="0065326D">
              <w:rPr>
                <w:rFonts w:ascii="Arial" w:hAnsi="Arial" w:cs="Arial"/>
                <w:sz w:val="20"/>
                <w:szCs w:val="20"/>
              </w:rPr>
              <w:t>×</w:t>
            </w:r>
            <w:r>
              <w:rPr>
                <w:rFonts w:ascii="Arial" w:hAnsi="Arial" w:cs="Arial"/>
                <w:sz w:val="20"/>
                <w:szCs w:val="20"/>
              </w:rPr>
              <w:t xml:space="preserve"> item</w:t>
            </w:r>
            <w:r w:rsidRPr="0065326D">
              <w:rPr>
                <w:rFonts w:ascii="Arial" w:hAnsi="Arial" w:cs="Arial"/>
                <w:sz w:val="20"/>
                <w:szCs w:val="20"/>
              </w:rPr>
              <w:t xml:space="preserve">; marginal mean </w:t>
            </w:r>
            <w:r w:rsidRPr="0065326D">
              <w:rPr>
                <w:rStyle w:val="Textoennegrita"/>
                <w:rFonts w:ascii="Arial" w:hAnsi="Arial" w:cs="Arial"/>
                <w:b w:val="0"/>
                <w:bCs w:val="0"/>
                <w:sz w:val="20"/>
                <w:szCs w:val="20"/>
              </w:rPr>
              <w:t>≈ 3.18</w:t>
            </w:r>
            <w:r>
              <w:rPr>
                <w:b/>
                <w:bCs/>
              </w:rPr>
              <w:t>*</w:t>
            </w:r>
          </w:p>
        </w:tc>
      </w:tr>
      <w:tr w:rsidR="00095E28" w:rsidRPr="0065326D" w14:paraId="31A83059" w14:textId="77777777" w:rsidTr="0059259B">
        <w:trPr>
          <w:tblCellSpacing w:w="15" w:type="dxa"/>
        </w:trPr>
        <w:tc>
          <w:tcPr>
            <w:tcW w:w="2223" w:type="dxa"/>
            <w:vAlign w:val="center"/>
            <w:hideMark/>
          </w:tcPr>
          <w:p w14:paraId="26323138" w14:textId="77777777" w:rsidR="00095E28" w:rsidRPr="0065326D" w:rsidRDefault="00095E28" w:rsidP="0059259B">
            <w:pPr>
              <w:rPr>
                <w:rFonts w:ascii="Arial" w:hAnsi="Arial" w:cs="Arial"/>
                <w:sz w:val="20"/>
                <w:szCs w:val="20"/>
              </w:rPr>
            </w:pPr>
            <w:r w:rsidRPr="0065326D">
              <w:rPr>
                <w:rFonts w:ascii="Arial" w:hAnsi="Arial" w:cs="Arial"/>
                <w:sz w:val="20"/>
                <w:szCs w:val="20"/>
              </w:rPr>
              <w:t>B: LMM RI</w:t>
            </w:r>
          </w:p>
        </w:tc>
        <w:tc>
          <w:tcPr>
            <w:tcW w:w="1063" w:type="dxa"/>
            <w:vAlign w:val="center"/>
            <w:hideMark/>
          </w:tcPr>
          <w:p w14:paraId="6E970124"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score</w:t>
            </w:r>
          </w:p>
        </w:tc>
        <w:tc>
          <w:tcPr>
            <w:tcW w:w="1429" w:type="dxa"/>
            <w:vAlign w:val="center"/>
            <w:hideMark/>
          </w:tcPr>
          <w:p w14:paraId="3213AD14"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3.18</w:t>
            </w:r>
          </w:p>
        </w:tc>
        <w:tc>
          <w:tcPr>
            <w:tcW w:w="3775" w:type="dxa"/>
            <w:vAlign w:val="center"/>
            <w:hideMark/>
          </w:tcPr>
          <w:p w14:paraId="37E39A6E" w14:textId="77777777" w:rsidR="00095E28" w:rsidRPr="0065326D" w:rsidRDefault="00095E28" w:rsidP="0059259B">
            <w:pPr>
              <w:rPr>
                <w:rFonts w:ascii="Arial" w:hAnsi="Arial" w:cs="Arial"/>
                <w:sz w:val="20"/>
                <w:szCs w:val="20"/>
              </w:rPr>
            </w:pPr>
            <w:r>
              <w:rPr>
                <w:rFonts w:ascii="Arial" w:hAnsi="Arial" w:cs="Arial"/>
                <w:sz w:val="20"/>
                <w:szCs w:val="20"/>
              </w:rPr>
              <w:t>G</w:t>
            </w:r>
            <w:r w:rsidRPr="0065326D">
              <w:rPr>
                <w:rFonts w:ascii="Arial" w:hAnsi="Arial" w:cs="Arial"/>
                <w:sz w:val="20"/>
                <w:szCs w:val="20"/>
              </w:rPr>
              <w:t>rand mean endorsement</w:t>
            </w:r>
          </w:p>
        </w:tc>
      </w:tr>
      <w:tr w:rsidR="00095E28" w:rsidRPr="0065326D" w14:paraId="402F2C13" w14:textId="77777777" w:rsidTr="0059259B">
        <w:trPr>
          <w:tblCellSpacing w:w="15" w:type="dxa"/>
        </w:trPr>
        <w:tc>
          <w:tcPr>
            <w:tcW w:w="2223" w:type="dxa"/>
            <w:vAlign w:val="center"/>
            <w:hideMark/>
          </w:tcPr>
          <w:p w14:paraId="1C539DA0" w14:textId="77777777" w:rsidR="00095E28" w:rsidRPr="0065326D" w:rsidRDefault="00095E28" w:rsidP="0059259B">
            <w:pPr>
              <w:rPr>
                <w:rFonts w:ascii="Arial" w:hAnsi="Arial" w:cs="Arial"/>
                <w:sz w:val="20"/>
                <w:szCs w:val="20"/>
              </w:rPr>
            </w:pPr>
            <w:r w:rsidRPr="0065326D">
              <w:rPr>
                <w:rFonts w:ascii="Arial" w:hAnsi="Arial" w:cs="Arial"/>
                <w:sz w:val="20"/>
                <w:szCs w:val="20"/>
              </w:rPr>
              <w:t>C: LMM RI + group/domain</w:t>
            </w:r>
          </w:p>
        </w:tc>
        <w:tc>
          <w:tcPr>
            <w:tcW w:w="1063" w:type="dxa"/>
            <w:vAlign w:val="center"/>
            <w:hideMark/>
          </w:tcPr>
          <w:p w14:paraId="4ED2CE0D"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score</w:t>
            </w:r>
          </w:p>
        </w:tc>
        <w:tc>
          <w:tcPr>
            <w:tcW w:w="1429" w:type="dxa"/>
            <w:vAlign w:val="center"/>
            <w:hideMark/>
          </w:tcPr>
          <w:p w14:paraId="0837BB24"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3.08</w:t>
            </w:r>
          </w:p>
        </w:tc>
        <w:tc>
          <w:tcPr>
            <w:tcW w:w="3775" w:type="dxa"/>
            <w:vAlign w:val="center"/>
            <w:hideMark/>
          </w:tcPr>
          <w:p w14:paraId="5D131590" w14:textId="77777777" w:rsidR="00095E28" w:rsidRPr="0065326D" w:rsidRDefault="00095E28" w:rsidP="0059259B">
            <w:pPr>
              <w:rPr>
                <w:rFonts w:ascii="Arial" w:hAnsi="Arial" w:cs="Arial"/>
                <w:sz w:val="20"/>
                <w:szCs w:val="20"/>
              </w:rPr>
            </w:pPr>
            <w:r>
              <w:rPr>
                <w:rFonts w:ascii="Arial" w:hAnsi="Arial" w:cs="Arial"/>
                <w:sz w:val="20"/>
                <w:szCs w:val="20"/>
              </w:rPr>
              <w:t>B</w:t>
            </w:r>
            <w:r w:rsidRPr="0065326D">
              <w:rPr>
                <w:rFonts w:ascii="Arial" w:hAnsi="Arial" w:cs="Arial"/>
                <w:sz w:val="20"/>
                <w:szCs w:val="20"/>
              </w:rPr>
              <w:t>aseline: animal × affective</w:t>
            </w:r>
          </w:p>
        </w:tc>
      </w:tr>
      <w:tr w:rsidR="00095E28" w:rsidRPr="0065326D" w14:paraId="2406EBE4" w14:textId="77777777" w:rsidTr="0059259B">
        <w:trPr>
          <w:tblCellSpacing w:w="15" w:type="dxa"/>
        </w:trPr>
        <w:tc>
          <w:tcPr>
            <w:tcW w:w="2223" w:type="dxa"/>
            <w:vAlign w:val="center"/>
            <w:hideMark/>
          </w:tcPr>
          <w:p w14:paraId="6CBAAAEB" w14:textId="77777777" w:rsidR="00095E28" w:rsidRPr="0065326D" w:rsidRDefault="00095E28" w:rsidP="0059259B">
            <w:pPr>
              <w:rPr>
                <w:rFonts w:ascii="Arial" w:hAnsi="Arial" w:cs="Arial"/>
                <w:sz w:val="20"/>
                <w:szCs w:val="20"/>
              </w:rPr>
            </w:pPr>
            <w:r w:rsidRPr="0065326D">
              <w:rPr>
                <w:rFonts w:ascii="Arial" w:hAnsi="Arial" w:cs="Arial"/>
                <w:sz w:val="20"/>
                <w:szCs w:val="20"/>
              </w:rPr>
              <w:t>D: GLMM high-endorse</w:t>
            </w:r>
          </w:p>
        </w:tc>
        <w:tc>
          <w:tcPr>
            <w:tcW w:w="1063" w:type="dxa"/>
            <w:vAlign w:val="center"/>
            <w:hideMark/>
          </w:tcPr>
          <w:p w14:paraId="503BE74A"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I(score≥6)</w:t>
            </w:r>
          </w:p>
        </w:tc>
        <w:tc>
          <w:tcPr>
            <w:tcW w:w="1429" w:type="dxa"/>
            <w:vAlign w:val="center"/>
            <w:hideMark/>
          </w:tcPr>
          <w:p w14:paraId="2524EDB5"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−1.14</w:t>
            </w:r>
          </w:p>
        </w:tc>
        <w:tc>
          <w:tcPr>
            <w:tcW w:w="3775" w:type="dxa"/>
            <w:vAlign w:val="center"/>
            <w:hideMark/>
          </w:tcPr>
          <w:p w14:paraId="14BFFAD8" w14:textId="77777777" w:rsidR="00095E28" w:rsidRPr="0065326D" w:rsidRDefault="00095E28" w:rsidP="0059259B">
            <w:pPr>
              <w:rPr>
                <w:rFonts w:ascii="Arial" w:hAnsi="Arial" w:cs="Arial"/>
                <w:sz w:val="20"/>
                <w:szCs w:val="20"/>
              </w:rPr>
            </w:pPr>
            <w:r>
              <w:rPr>
                <w:rFonts w:ascii="Arial" w:hAnsi="Arial" w:cs="Arial"/>
                <w:sz w:val="20"/>
                <w:szCs w:val="20"/>
              </w:rPr>
              <w:t>B</w:t>
            </w:r>
            <w:r w:rsidRPr="0065326D">
              <w:rPr>
                <w:rFonts w:ascii="Arial" w:hAnsi="Arial" w:cs="Arial"/>
                <w:sz w:val="20"/>
                <w:szCs w:val="20"/>
              </w:rPr>
              <w:t xml:space="preserve">aseline p0 = </w:t>
            </w:r>
            <w:r w:rsidRPr="0065326D">
              <w:rPr>
                <w:rStyle w:val="Textoennegrita"/>
                <w:rFonts w:ascii="Arial" w:hAnsi="Arial" w:cs="Arial"/>
                <w:b w:val="0"/>
                <w:bCs w:val="0"/>
                <w:sz w:val="20"/>
                <w:szCs w:val="20"/>
              </w:rPr>
              <w:t>0.24</w:t>
            </w:r>
            <w:r w:rsidRPr="0065326D">
              <w:rPr>
                <w:rFonts w:ascii="Arial" w:hAnsi="Arial" w:cs="Arial"/>
                <w:sz w:val="20"/>
                <w:szCs w:val="20"/>
              </w:rPr>
              <w:t xml:space="preserve"> (animal × affective)</w:t>
            </w:r>
          </w:p>
        </w:tc>
      </w:tr>
    </w:tbl>
    <w:p w14:paraId="38943EE1" w14:textId="77777777" w:rsidR="00095E28" w:rsidRDefault="00095E28" w:rsidP="00095E28">
      <w:pPr>
        <w:spacing w:before="100" w:beforeAutospacing="1" w:after="100" w:afterAutospacing="1" w:line="360" w:lineRule="auto"/>
        <w:contextualSpacing/>
        <w:jc w:val="both"/>
        <w:rPr>
          <w:rFonts w:ascii="Arial" w:hAnsi="Arial" w:cs="Arial"/>
          <w:sz w:val="20"/>
          <w:szCs w:val="20"/>
        </w:rPr>
      </w:pPr>
    </w:p>
    <w:p w14:paraId="2A3D084B" w14:textId="77777777" w:rsidR="00095E28" w:rsidRPr="0065326D" w:rsidRDefault="00095E28" w:rsidP="00095E28">
      <w:pPr>
        <w:spacing w:before="100" w:beforeAutospacing="1" w:after="100" w:afterAutospacing="1" w:line="360" w:lineRule="auto"/>
        <w:ind w:firstLine="567"/>
        <w:contextualSpacing/>
        <w:jc w:val="center"/>
        <w:rPr>
          <w:rFonts w:ascii="Arial" w:hAnsi="Arial" w:cs="Arial"/>
          <w:sz w:val="18"/>
          <w:szCs w:val="18"/>
        </w:rPr>
      </w:pPr>
      <w:r w:rsidRPr="0065326D">
        <w:rPr>
          <w:rFonts w:ascii="Arial" w:hAnsi="Arial" w:cs="Arial"/>
          <w:sz w:val="18"/>
          <w:szCs w:val="18"/>
        </w:rPr>
        <w:t>Note: In the balanced design, the marginal mean is obtained by averaging the fixed effects across agent/item levels (reference levels set to 0).</w:t>
      </w:r>
    </w:p>
    <w:p w14:paraId="060C1249" w14:textId="77777777" w:rsidR="00095E28" w:rsidRDefault="00095E28" w:rsidP="00095E28">
      <w:pPr>
        <w:spacing w:before="100" w:beforeAutospacing="1" w:after="100" w:afterAutospacing="1" w:line="360" w:lineRule="auto"/>
        <w:ind w:firstLine="567"/>
        <w:contextualSpacing/>
        <w:jc w:val="both"/>
        <w:rPr>
          <w:rFonts w:ascii="Arial" w:hAnsi="Arial" w:cs="Arial"/>
          <w:sz w:val="20"/>
          <w:szCs w:val="20"/>
        </w:rPr>
      </w:pPr>
    </w:p>
    <w:p w14:paraId="282988D2" w14:textId="33311127" w:rsidR="00095E28"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b/>
          <w:bCs/>
          <w:sz w:val="20"/>
          <w:szCs w:val="20"/>
        </w:rPr>
        <w:t xml:space="preserve">Agent-group robustness with appropriate caution about precision. </w:t>
      </w:r>
      <w:r w:rsidRPr="00095E28">
        <w:rPr>
          <w:rFonts w:ascii="Arial" w:hAnsi="Arial" w:cs="Arial"/>
          <w:sz w:val="20"/>
          <w:szCs w:val="20"/>
        </w:rPr>
        <w:t>Agent-group contrasts show the same qualitative ordering across Model C and Model D, while also illustrating why multiple specifications are informative (Table S5). In the grouped linear mixed model (Model C), organizational agents receive much lower endorsements than animals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 −2.34), with smaller decreases for machines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 −0.34) and supernatural entities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 −1.61), and near-parity for humans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 +0.13). In the high-endorsement GLMM (Model D), the organizational contrast remains pronounced (OR ≈ 0.18, 95% CI 0.07–0.50), indicating substantially reduced odds of strong endorsement. By contrast, the remaining group contrasts are directionally similar but less precisely estimated (e.g., humans OR ≈ 1.61, 95% CI 0.75–3.46), which is expected because group differences are identified from between-agent variation with a limited number of agents per group. The key takeaway is therefore twofold: (</w:t>
      </w:r>
      <w:proofErr w:type="spellStart"/>
      <w:r w:rsidRPr="00095E28">
        <w:rPr>
          <w:rFonts w:ascii="Arial" w:hAnsi="Arial" w:cs="Arial"/>
          <w:sz w:val="20"/>
          <w:szCs w:val="20"/>
        </w:rPr>
        <w:t>i</w:t>
      </w:r>
      <w:proofErr w:type="spellEnd"/>
      <w:r w:rsidRPr="00095E28">
        <w:rPr>
          <w:rFonts w:ascii="Arial" w:hAnsi="Arial" w:cs="Arial"/>
          <w:sz w:val="20"/>
          <w:szCs w:val="20"/>
        </w:rPr>
        <w:t>) the most consequential group-level contrast (organizations vs. animals) is robust across scale and estimator choices, and (ii) weaker group distinctions should be interpreted as suggestive unless further powered by additional agents or models.</w:t>
      </w:r>
    </w:p>
    <w:p w14:paraId="278714B0" w14:textId="77777777" w:rsidR="00095E28" w:rsidRPr="0065326D" w:rsidRDefault="00095E28" w:rsidP="00095E28">
      <w:pPr>
        <w:pStyle w:val="Ttulo2"/>
        <w:jc w:val="center"/>
        <w:rPr>
          <w:rFonts w:ascii="Arial" w:hAnsi="Arial" w:cs="Arial"/>
          <w:i w:val="0"/>
          <w:iCs w:val="0"/>
          <w:sz w:val="20"/>
          <w:szCs w:val="24"/>
          <w:lang w:eastAsia="en-GB"/>
        </w:rPr>
      </w:pPr>
      <w:r w:rsidRPr="0065326D">
        <w:rPr>
          <w:rFonts w:ascii="Arial" w:hAnsi="Arial" w:cs="Arial"/>
          <w:i w:val="0"/>
          <w:iCs w:val="0"/>
          <w:sz w:val="20"/>
          <w:szCs w:val="24"/>
          <w:lang w:eastAsia="en-GB"/>
        </w:rPr>
        <w:t>Table S5. Agent-group effects (reference = Animal)</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90"/>
        <w:gridCol w:w="1882"/>
        <w:gridCol w:w="2053"/>
      </w:tblGrid>
      <w:tr w:rsidR="00095E28" w:rsidRPr="0065326D" w14:paraId="24A0F2FF" w14:textId="77777777" w:rsidTr="0059259B">
        <w:trPr>
          <w:tblHeader/>
          <w:tblCellSpacing w:w="15" w:type="dxa"/>
          <w:jc w:val="center"/>
        </w:trPr>
        <w:tc>
          <w:tcPr>
            <w:tcW w:w="1645" w:type="dxa"/>
            <w:vAlign w:val="center"/>
            <w:hideMark/>
          </w:tcPr>
          <w:p w14:paraId="04315E29" w14:textId="77777777" w:rsidR="00095E28" w:rsidRPr="0065326D" w:rsidRDefault="00095E28" w:rsidP="0059259B">
            <w:pPr>
              <w:rPr>
                <w:rFonts w:ascii="Arial" w:hAnsi="Arial" w:cs="Arial"/>
                <w:b/>
                <w:bCs/>
                <w:sz w:val="20"/>
                <w:szCs w:val="20"/>
              </w:rPr>
            </w:pPr>
            <w:r w:rsidRPr="0065326D">
              <w:rPr>
                <w:rFonts w:ascii="Arial" w:hAnsi="Arial" w:cs="Arial"/>
                <w:b/>
                <w:bCs/>
                <w:sz w:val="20"/>
                <w:szCs w:val="20"/>
              </w:rPr>
              <w:t>Agent group</w:t>
            </w:r>
          </w:p>
        </w:tc>
        <w:tc>
          <w:tcPr>
            <w:tcW w:w="0" w:type="auto"/>
            <w:vAlign w:val="center"/>
            <w:hideMark/>
          </w:tcPr>
          <w:p w14:paraId="74F6038A" w14:textId="77777777" w:rsidR="00095E28" w:rsidRPr="0065326D" w:rsidRDefault="00095E28" w:rsidP="0059259B">
            <w:pPr>
              <w:jc w:val="right"/>
              <w:rPr>
                <w:rFonts w:ascii="Arial" w:hAnsi="Arial" w:cs="Arial"/>
                <w:b/>
                <w:bCs/>
                <w:sz w:val="20"/>
                <w:szCs w:val="20"/>
              </w:rPr>
            </w:pPr>
            <w:r w:rsidRPr="0065326D">
              <w:rPr>
                <w:rFonts w:ascii="Arial" w:hAnsi="Arial" w:cs="Arial"/>
                <w:b/>
                <w:bCs/>
                <w:sz w:val="20"/>
                <w:szCs w:val="20"/>
              </w:rPr>
              <w:t xml:space="preserve">Model C </w:t>
            </w:r>
            <w:proofErr w:type="spellStart"/>
            <w:r w:rsidRPr="0065326D">
              <w:rPr>
                <w:rFonts w:ascii="Arial" w:hAnsi="Arial" w:cs="Arial"/>
                <w:b/>
                <w:bCs/>
                <w:sz w:val="20"/>
                <w:szCs w:val="20"/>
              </w:rPr>
              <w:t>Δscore</w:t>
            </w:r>
            <w:proofErr w:type="spellEnd"/>
            <w:r w:rsidRPr="0065326D">
              <w:rPr>
                <w:rFonts w:ascii="Arial" w:hAnsi="Arial" w:cs="Arial"/>
                <w:b/>
                <w:bCs/>
                <w:sz w:val="20"/>
                <w:szCs w:val="20"/>
              </w:rPr>
              <w:t xml:space="preserve"> (β)</w:t>
            </w:r>
          </w:p>
        </w:tc>
        <w:tc>
          <w:tcPr>
            <w:tcW w:w="0" w:type="auto"/>
            <w:vAlign w:val="center"/>
            <w:hideMark/>
          </w:tcPr>
          <w:p w14:paraId="1CF2AB43" w14:textId="77777777" w:rsidR="00095E28" w:rsidRPr="0065326D" w:rsidRDefault="00095E28" w:rsidP="0059259B">
            <w:pPr>
              <w:jc w:val="right"/>
              <w:rPr>
                <w:rFonts w:ascii="Arial" w:hAnsi="Arial" w:cs="Arial"/>
                <w:b/>
                <w:bCs/>
                <w:sz w:val="20"/>
                <w:szCs w:val="20"/>
              </w:rPr>
            </w:pPr>
            <w:r w:rsidRPr="0065326D">
              <w:rPr>
                <w:rFonts w:ascii="Arial" w:hAnsi="Arial" w:cs="Arial"/>
                <w:b/>
                <w:bCs/>
                <w:sz w:val="20"/>
                <w:szCs w:val="20"/>
              </w:rPr>
              <w:t>Model D OR (95% CI)</w:t>
            </w:r>
          </w:p>
        </w:tc>
      </w:tr>
      <w:tr w:rsidR="00095E28" w:rsidRPr="0065326D" w14:paraId="0519B18E" w14:textId="77777777" w:rsidTr="0059259B">
        <w:trPr>
          <w:tblCellSpacing w:w="15" w:type="dxa"/>
          <w:jc w:val="center"/>
        </w:trPr>
        <w:tc>
          <w:tcPr>
            <w:tcW w:w="1645" w:type="dxa"/>
            <w:vAlign w:val="center"/>
            <w:hideMark/>
          </w:tcPr>
          <w:p w14:paraId="4D96E951" w14:textId="77777777" w:rsidR="00095E28" w:rsidRPr="0065326D" w:rsidRDefault="00095E28" w:rsidP="0059259B">
            <w:pPr>
              <w:rPr>
                <w:rFonts w:ascii="Arial" w:hAnsi="Arial" w:cs="Arial"/>
                <w:sz w:val="20"/>
                <w:szCs w:val="20"/>
              </w:rPr>
            </w:pPr>
            <w:r w:rsidRPr="0065326D">
              <w:rPr>
                <w:rFonts w:ascii="Arial" w:hAnsi="Arial" w:cs="Arial"/>
                <w:sz w:val="20"/>
                <w:szCs w:val="20"/>
              </w:rPr>
              <w:t>Human</w:t>
            </w:r>
          </w:p>
        </w:tc>
        <w:tc>
          <w:tcPr>
            <w:tcW w:w="0" w:type="auto"/>
            <w:vAlign w:val="center"/>
            <w:hideMark/>
          </w:tcPr>
          <w:p w14:paraId="3181A99C"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+0.13</w:t>
            </w:r>
          </w:p>
        </w:tc>
        <w:tc>
          <w:tcPr>
            <w:tcW w:w="0" w:type="auto"/>
            <w:vAlign w:val="center"/>
            <w:hideMark/>
          </w:tcPr>
          <w:p w14:paraId="56548FB3"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1.61 (1.13–2.30)</w:t>
            </w:r>
          </w:p>
        </w:tc>
      </w:tr>
      <w:tr w:rsidR="00095E28" w:rsidRPr="0065326D" w14:paraId="7098B005" w14:textId="77777777" w:rsidTr="0059259B">
        <w:trPr>
          <w:tblCellSpacing w:w="15" w:type="dxa"/>
          <w:jc w:val="center"/>
        </w:trPr>
        <w:tc>
          <w:tcPr>
            <w:tcW w:w="1645" w:type="dxa"/>
            <w:vAlign w:val="center"/>
            <w:hideMark/>
          </w:tcPr>
          <w:p w14:paraId="45BD3ACD" w14:textId="77777777" w:rsidR="00095E28" w:rsidRPr="0065326D" w:rsidRDefault="00095E28" w:rsidP="0059259B">
            <w:pPr>
              <w:rPr>
                <w:rFonts w:ascii="Arial" w:hAnsi="Arial" w:cs="Arial"/>
                <w:sz w:val="20"/>
                <w:szCs w:val="20"/>
              </w:rPr>
            </w:pPr>
            <w:r w:rsidRPr="0065326D">
              <w:rPr>
                <w:rFonts w:ascii="Arial" w:hAnsi="Arial" w:cs="Arial"/>
                <w:sz w:val="20"/>
                <w:szCs w:val="20"/>
              </w:rPr>
              <w:t>Machine</w:t>
            </w:r>
          </w:p>
        </w:tc>
        <w:tc>
          <w:tcPr>
            <w:tcW w:w="0" w:type="auto"/>
            <w:vAlign w:val="center"/>
            <w:hideMark/>
          </w:tcPr>
          <w:p w14:paraId="07859661"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−0.34</w:t>
            </w:r>
          </w:p>
        </w:tc>
        <w:tc>
          <w:tcPr>
            <w:tcW w:w="0" w:type="auto"/>
            <w:vAlign w:val="center"/>
            <w:hideMark/>
          </w:tcPr>
          <w:p w14:paraId="2AE6BACA"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0.81 (0.61–1.07)</w:t>
            </w:r>
          </w:p>
        </w:tc>
      </w:tr>
      <w:tr w:rsidR="00095E28" w:rsidRPr="0065326D" w14:paraId="2DDD7755" w14:textId="77777777" w:rsidTr="0059259B">
        <w:trPr>
          <w:tblCellSpacing w:w="15" w:type="dxa"/>
          <w:jc w:val="center"/>
        </w:trPr>
        <w:tc>
          <w:tcPr>
            <w:tcW w:w="1645" w:type="dxa"/>
            <w:vAlign w:val="center"/>
            <w:hideMark/>
          </w:tcPr>
          <w:p w14:paraId="2CA5AB73" w14:textId="77777777" w:rsidR="00095E28" w:rsidRPr="0065326D" w:rsidRDefault="00095E28" w:rsidP="0059259B">
            <w:pPr>
              <w:rPr>
                <w:rFonts w:ascii="Arial" w:hAnsi="Arial" w:cs="Arial"/>
                <w:sz w:val="20"/>
                <w:szCs w:val="20"/>
              </w:rPr>
            </w:pPr>
            <w:r w:rsidRPr="0065326D">
              <w:rPr>
                <w:rFonts w:ascii="Arial" w:hAnsi="Arial" w:cs="Arial"/>
                <w:sz w:val="20"/>
                <w:szCs w:val="20"/>
              </w:rPr>
              <w:t>Organization</w:t>
            </w:r>
          </w:p>
        </w:tc>
        <w:tc>
          <w:tcPr>
            <w:tcW w:w="0" w:type="auto"/>
            <w:vAlign w:val="center"/>
            <w:hideMark/>
          </w:tcPr>
          <w:p w14:paraId="6AAF2960"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−2.34</w:t>
            </w:r>
          </w:p>
        </w:tc>
        <w:tc>
          <w:tcPr>
            <w:tcW w:w="0" w:type="auto"/>
            <w:vAlign w:val="center"/>
            <w:hideMark/>
          </w:tcPr>
          <w:p w14:paraId="5CD33678"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0.18 (0.13–0.26)</w:t>
            </w:r>
          </w:p>
        </w:tc>
      </w:tr>
      <w:tr w:rsidR="00095E28" w:rsidRPr="0065326D" w14:paraId="119CF483" w14:textId="77777777" w:rsidTr="0059259B">
        <w:trPr>
          <w:tblCellSpacing w:w="15" w:type="dxa"/>
          <w:jc w:val="center"/>
        </w:trPr>
        <w:tc>
          <w:tcPr>
            <w:tcW w:w="1645" w:type="dxa"/>
            <w:vAlign w:val="center"/>
            <w:hideMark/>
          </w:tcPr>
          <w:p w14:paraId="2437B446" w14:textId="77777777" w:rsidR="00095E28" w:rsidRPr="0065326D" w:rsidRDefault="00095E28" w:rsidP="0059259B">
            <w:pPr>
              <w:rPr>
                <w:rFonts w:ascii="Arial" w:hAnsi="Arial" w:cs="Arial"/>
                <w:sz w:val="20"/>
                <w:szCs w:val="20"/>
              </w:rPr>
            </w:pPr>
            <w:r w:rsidRPr="0065326D">
              <w:rPr>
                <w:rFonts w:ascii="Arial" w:hAnsi="Arial" w:cs="Arial"/>
                <w:sz w:val="20"/>
                <w:szCs w:val="20"/>
              </w:rPr>
              <w:t>Supernatural</w:t>
            </w:r>
          </w:p>
        </w:tc>
        <w:tc>
          <w:tcPr>
            <w:tcW w:w="0" w:type="auto"/>
            <w:vAlign w:val="center"/>
            <w:hideMark/>
          </w:tcPr>
          <w:p w14:paraId="080BA458"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−1.61</w:t>
            </w:r>
          </w:p>
        </w:tc>
        <w:tc>
          <w:tcPr>
            <w:tcW w:w="0" w:type="auto"/>
            <w:vAlign w:val="center"/>
            <w:hideMark/>
          </w:tcPr>
          <w:p w14:paraId="41AC7F50" w14:textId="77777777" w:rsidR="00095E28" w:rsidRPr="0065326D" w:rsidRDefault="00095E28" w:rsidP="0059259B">
            <w:pPr>
              <w:jc w:val="center"/>
              <w:rPr>
                <w:rFonts w:ascii="Arial" w:hAnsi="Arial" w:cs="Arial"/>
                <w:sz w:val="20"/>
                <w:szCs w:val="20"/>
              </w:rPr>
            </w:pPr>
            <w:r w:rsidRPr="0065326D">
              <w:rPr>
                <w:rFonts w:ascii="Arial" w:hAnsi="Arial" w:cs="Arial"/>
                <w:sz w:val="20"/>
                <w:szCs w:val="20"/>
              </w:rPr>
              <w:t>0.49 (0.38–0.63)</w:t>
            </w:r>
          </w:p>
        </w:tc>
      </w:tr>
    </w:tbl>
    <w:p w14:paraId="0930EEB3" w14:textId="77777777" w:rsidR="00095E28" w:rsidRPr="00095E28" w:rsidRDefault="00095E28" w:rsidP="00095E28">
      <w:pPr>
        <w:spacing w:before="100" w:beforeAutospacing="1" w:after="100" w:afterAutospacing="1" w:line="360" w:lineRule="auto"/>
        <w:ind w:firstLine="567"/>
        <w:contextualSpacing/>
        <w:jc w:val="both"/>
        <w:rPr>
          <w:rFonts w:ascii="Arial" w:hAnsi="Arial" w:cs="Arial"/>
          <w:sz w:val="20"/>
          <w:szCs w:val="20"/>
        </w:rPr>
      </w:pPr>
    </w:p>
    <w:p w14:paraId="543117BB" w14:textId="0B272E5C" w:rsidR="0065326D" w:rsidRPr="00095E28"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b/>
          <w:bCs/>
          <w:sz w:val="20"/>
          <w:szCs w:val="20"/>
        </w:rPr>
        <w:t>Domain-level robustness (continuous and tail-event formulations).</w:t>
      </w:r>
      <w:r w:rsidRPr="00095E28">
        <w:rPr>
          <w:rFonts w:ascii="Arial" w:hAnsi="Arial" w:cs="Arial"/>
          <w:sz w:val="20"/>
          <w:szCs w:val="20"/>
        </w:rPr>
        <w:t xml:space="preserve"> Item-domain contrasts are highly consistent across the continuous (Model C) and high-endorsement (Model D) formulations (Table S6). Relative to affective capacities (baseline), all non-affective domains receive higher mean endorsements in Model C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 +0.80 to +1.31), matching the descriptive ordering in the geometric analyses. In the tail-event model, these same domain differences </w:t>
      </w:r>
      <w:r w:rsidRPr="00095E28">
        <w:rPr>
          <w:rFonts w:ascii="Arial" w:hAnsi="Arial" w:cs="Arial"/>
          <w:sz w:val="20"/>
          <w:szCs w:val="20"/>
        </w:rPr>
        <w:lastRenderedPageBreak/>
        <w:t>translate into substantially higher odds of strong endorsement (Model D odds ratios ≈ 2.14–4.33, Table S6). This correspondence indicates that the principal domain ordering is robust both in average judgments and in the upper tail that is most relevant for “strong mind attribution.”</w:t>
      </w:r>
    </w:p>
    <w:p w14:paraId="387447B3" w14:textId="4E8DBBCD" w:rsidR="0065326D" w:rsidRPr="0065326D" w:rsidRDefault="0065326D" w:rsidP="0065326D">
      <w:pPr>
        <w:pStyle w:val="Ttulo2"/>
        <w:jc w:val="center"/>
        <w:rPr>
          <w:rFonts w:ascii="Arial" w:hAnsi="Arial" w:cs="Arial"/>
          <w:i w:val="0"/>
          <w:iCs w:val="0"/>
          <w:sz w:val="20"/>
          <w:szCs w:val="24"/>
          <w:lang w:eastAsia="en-GB"/>
        </w:rPr>
      </w:pPr>
      <w:r w:rsidRPr="0065326D">
        <w:rPr>
          <w:rFonts w:ascii="Arial" w:hAnsi="Arial" w:cs="Arial"/>
          <w:i w:val="0"/>
          <w:iCs w:val="0"/>
          <w:sz w:val="20"/>
          <w:szCs w:val="24"/>
          <w:lang w:eastAsia="en-GB"/>
        </w:rPr>
        <w:t>Table S</w:t>
      </w:r>
      <w:r>
        <w:rPr>
          <w:rFonts w:ascii="Arial" w:hAnsi="Arial" w:cs="Arial"/>
          <w:i w:val="0"/>
          <w:iCs w:val="0"/>
          <w:sz w:val="20"/>
          <w:szCs w:val="24"/>
          <w:lang w:eastAsia="en-GB"/>
        </w:rPr>
        <w:t>6</w:t>
      </w:r>
      <w:r w:rsidRPr="0065326D">
        <w:rPr>
          <w:rFonts w:ascii="Arial" w:hAnsi="Arial" w:cs="Arial"/>
          <w:i w:val="0"/>
          <w:iCs w:val="0"/>
          <w:sz w:val="20"/>
          <w:szCs w:val="24"/>
          <w:lang w:eastAsia="en-GB"/>
        </w:rPr>
        <w:t>. Item-domain effects (reference = Affective)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37"/>
        <w:gridCol w:w="1882"/>
        <w:gridCol w:w="2053"/>
      </w:tblGrid>
      <w:tr w:rsidR="0065326D" w:rsidRPr="0065326D" w14:paraId="2F9A1D31" w14:textId="77777777" w:rsidTr="0065326D">
        <w:trPr>
          <w:tblHeader/>
          <w:tblCellSpacing w:w="15" w:type="dxa"/>
          <w:jc w:val="center"/>
        </w:trPr>
        <w:tc>
          <w:tcPr>
            <w:tcW w:w="1492" w:type="dxa"/>
            <w:vAlign w:val="center"/>
            <w:hideMark/>
          </w:tcPr>
          <w:p w14:paraId="1B03D831" w14:textId="77777777" w:rsidR="0065326D" w:rsidRPr="0065326D" w:rsidRDefault="0065326D">
            <w:pPr>
              <w:jc w:val="center"/>
              <w:rPr>
                <w:rFonts w:ascii="Arial" w:hAnsi="Arial" w:cs="Arial"/>
                <w:b/>
                <w:bCs/>
                <w:sz w:val="20"/>
                <w:szCs w:val="20"/>
              </w:rPr>
            </w:pPr>
            <w:r w:rsidRPr="0065326D">
              <w:rPr>
                <w:rFonts w:ascii="Arial" w:hAnsi="Arial" w:cs="Arial"/>
                <w:b/>
                <w:bCs/>
                <w:sz w:val="20"/>
                <w:szCs w:val="20"/>
              </w:rPr>
              <w:t>Item domain</w:t>
            </w:r>
          </w:p>
        </w:tc>
        <w:tc>
          <w:tcPr>
            <w:tcW w:w="0" w:type="auto"/>
            <w:vAlign w:val="center"/>
            <w:hideMark/>
          </w:tcPr>
          <w:p w14:paraId="7D8991F6" w14:textId="77777777" w:rsidR="0065326D" w:rsidRPr="0065326D" w:rsidRDefault="0065326D">
            <w:pPr>
              <w:jc w:val="right"/>
              <w:rPr>
                <w:rFonts w:ascii="Arial" w:hAnsi="Arial" w:cs="Arial"/>
                <w:b/>
                <w:bCs/>
                <w:sz w:val="20"/>
                <w:szCs w:val="20"/>
              </w:rPr>
            </w:pPr>
            <w:r w:rsidRPr="0065326D">
              <w:rPr>
                <w:rFonts w:ascii="Arial" w:hAnsi="Arial" w:cs="Arial"/>
                <w:b/>
                <w:bCs/>
                <w:sz w:val="20"/>
                <w:szCs w:val="20"/>
              </w:rPr>
              <w:t xml:space="preserve">Model C </w:t>
            </w:r>
            <w:proofErr w:type="spellStart"/>
            <w:r w:rsidRPr="0065326D">
              <w:rPr>
                <w:rFonts w:ascii="Arial" w:hAnsi="Arial" w:cs="Arial"/>
                <w:b/>
                <w:bCs/>
                <w:sz w:val="20"/>
                <w:szCs w:val="20"/>
              </w:rPr>
              <w:t>Δscore</w:t>
            </w:r>
            <w:proofErr w:type="spellEnd"/>
            <w:r w:rsidRPr="0065326D">
              <w:rPr>
                <w:rFonts w:ascii="Arial" w:hAnsi="Arial" w:cs="Arial"/>
                <w:b/>
                <w:bCs/>
                <w:sz w:val="20"/>
                <w:szCs w:val="20"/>
              </w:rPr>
              <w:t xml:space="preserve"> (β)</w:t>
            </w:r>
          </w:p>
        </w:tc>
        <w:tc>
          <w:tcPr>
            <w:tcW w:w="0" w:type="auto"/>
            <w:vAlign w:val="center"/>
            <w:hideMark/>
          </w:tcPr>
          <w:p w14:paraId="21B1731E" w14:textId="77777777" w:rsidR="0065326D" w:rsidRPr="0065326D" w:rsidRDefault="0065326D">
            <w:pPr>
              <w:jc w:val="right"/>
              <w:rPr>
                <w:rFonts w:ascii="Arial" w:hAnsi="Arial" w:cs="Arial"/>
                <w:b/>
                <w:bCs/>
                <w:sz w:val="20"/>
                <w:szCs w:val="20"/>
              </w:rPr>
            </w:pPr>
            <w:r w:rsidRPr="0065326D">
              <w:rPr>
                <w:rFonts w:ascii="Arial" w:hAnsi="Arial" w:cs="Arial"/>
                <w:b/>
                <w:bCs/>
                <w:sz w:val="20"/>
                <w:szCs w:val="20"/>
              </w:rPr>
              <w:t>Model D OR (95% CI)</w:t>
            </w:r>
          </w:p>
        </w:tc>
      </w:tr>
      <w:tr w:rsidR="0065326D" w:rsidRPr="0065326D" w14:paraId="2CB0A874" w14:textId="77777777" w:rsidTr="0065326D">
        <w:trPr>
          <w:tblCellSpacing w:w="15" w:type="dxa"/>
          <w:jc w:val="center"/>
        </w:trPr>
        <w:tc>
          <w:tcPr>
            <w:tcW w:w="1492" w:type="dxa"/>
            <w:vAlign w:val="center"/>
            <w:hideMark/>
          </w:tcPr>
          <w:p w14:paraId="465EABBB" w14:textId="77777777" w:rsidR="0065326D" w:rsidRPr="0065326D" w:rsidRDefault="0065326D">
            <w:pPr>
              <w:rPr>
                <w:rFonts w:ascii="Arial" w:hAnsi="Arial" w:cs="Arial"/>
                <w:sz w:val="20"/>
                <w:szCs w:val="20"/>
              </w:rPr>
            </w:pPr>
            <w:r w:rsidRPr="0065326D">
              <w:rPr>
                <w:rFonts w:ascii="Arial" w:hAnsi="Arial" w:cs="Arial"/>
                <w:sz w:val="20"/>
                <w:szCs w:val="20"/>
              </w:rPr>
              <w:t>Agentic</w:t>
            </w:r>
          </w:p>
        </w:tc>
        <w:tc>
          <w:tcPr>
            <w:tcW w:w="0" w:type="auto"/>
            <w:vAlign w:val="center"/>
            <w:hideMark/>
          </w:tcPr>
          <w:p w14:paraId="38EEF0FD"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+1.10</w:t>
            </w:r>
          </w:p>
        </w:tc>
        <w:tc>
          <w:tcPr>
            <w:tcW w:w="0" w:type="auto"/>
            <w:vAlign w:val="center"/>
            <w:hideMark/>
          </w:tcPr>
          <w:p w14:paraId="419FDB66"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2.80 (1.89–4.15)</w:t>
            </w:r>
          </w:p>
        </w:tc>
      </w:tr>
      <w:tr w:rsidR="0065326D" w:rsidRPr="0065326D" w14:paraId="181EAD2A" w14:textId="77777777" w:rsidTr="0065326D">
        <w:trPr>
          <w:tblCellSpacing w:w="15" w:type="dxa"/>
          <w:jc w:val="center"/>
        </w:trPr>
        <w:tc>
          <w:tcPr>
            <w:tcW w:w="1492" w:type="dxa"/>
            <w:vAlign w:val="center"/>
            <w:hideMark/>
          </w:tcPr>
          <w:p w14:paraId="103B4029" w14:textId="77777777" w:rsidR="0065326D" w:rsidRPr="0065326D" w:rsidRDefault="0065326D">
            <w:pPr>
              <w:rPr>
                <w:rFonts w:ascii="Arial" w:hAnsi="Arial" w:cs="Arial"/>
                <w:sz w:val="20"/>
                <w:szCs w:val="20"/>
              </w:rPr>
            </w:pPr>
            <w:r w:rsidRPr="0065326D">
              <w:rPr>
                <w:rFonts w:ascii="Arial" w:hAnsi="Arial" w:cs="Arial"/>
                <w:sz w:val="20"/>
                <w:szCs w:val="20"/>
              </w:rPr>
              <w:t>Cognitive</w:t>
            </w:r>
          </w:p>
        </w:tc>
        <w:tc>
          <w:tcPr>
            <w:tcW w:w="0" w:type="auto"/>
            <w:vAlign w:val="center"/>
            <w:hideMark/>
          </w:tcPr>
          <w:p w14:paraId="4C192C73"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+1.23</w:t>
            </w:r>
          </w:p>
        </w:tc>
        <w:tc>
          <w:tcPr>
            <w:tcW w:w="0" w:type="auto"/>
            <w:vAlign w:val="center"/>
            <w:hideMark/>
          </w:tcPr>
          <w:p w14:paraId="7CCB2385"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3.29 (2.27–4.76)</w:t>
            </w:r>
          </w:p>
        </w:tc>
      </w:tr>
      <w:tr w:rsidR="0065326D" w:rsidRPr="0065326D" w14:paraId="38741332" w14:textId="77777777" w:rsidTr="0065326D">
        <w:trPr>
          <w:tblCellSpacing w:w="15" w:type="dxa"/>
          <w:jc w:val="center"/>
        </w:trPr>
        <w:tc>
          <w:tcPr>
            <w:tcW w:w="1492" w:type="dxa"/>
            <w:vAlign w:val="center"/>
            <w:hideMark/>
          </w:tcPr>
          <w:p w14:paraId="6BE5E3DF" w14:textId="77777777" w:rsidR="0065326D" w:rsidRPr="0065326D" w:rsidRDefault="0065326D">
            <w:pPr>
              <w:rPr>
                <w:rFonts w:ascii="Arial" w:hAnsi="Arial" w:cs="Arial"/>
                <w:sz w:val="20"/>
                <w:szCs w:val="20"/>
              </w:rPr>
            </w:pPr>
            <w:r w:rsidRPr="0065326D">
              <w:rPr>
                <w:rFonts w:ascii="Arial" w:hAnsi="Arial" w:cs="Arial"/>
                <w:sz w:val="20"/>
                <w:szCs w:val="20"/>
              </w:rPr>
              <w:t>Moral</w:t>
            </w:r>
          </w:p>
        </w:tc>
        <w:tc>
          <w:tcPr>
            <w:tcW w:w="0" w:type="auto"/>
            <w:vAlign w:val="center"/>
            <w:hideMark/>
          </w:tcPr>
          <w:p w14:paraId="6D63C404"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+0.80</w:t>
            </w:r>
          </w:p>
        </w:tc>
        <w:tc>
          <w:tcPr>
            <w:tcW w:w="0" w:type="auto"/>
            <w:vAlign w:val="center"/>
            <w:hideMark/>
          </w:tcPr>
          <w:p w14:paraId="2763BDC6"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2.14 (1.41–3.25)</w:t>
            </w:r>
          </w:p>
        </w:tc>
      </w:tr>
      <w:tr w:rsidR="0065326D" w:rsidRPr="0065326D" w14:paraId="21EA28BE" w14:textId="77777777" w:rsidTr="0065326D">
        <w:trPr>
          <w:tblCellSpacing w:w="15" w:type="dxa"/>
          <w:jc w:val="center"/>
        </w:trPr>
        <w:tc>
          <w:tcPr>
            <w:tcW w:w="1492" w:type="dxa"/>
            <w:vAlign w:val="center"/>
            <w:hideMark/>
          </w:tcPr>
          <w:p w14:paraId="58113CD4" w14:textId="77777777" w:rsidR="0065326D" w:rsidRPr="0065326D" w:rsidRDefault="0065326D">
            <w:pPr>
              <w:rPr>
                <w:rFonts w:ascii="Arial" w:hAnsi="Arial" w:cs="Arial"/>
                <w:sz w:val="20"/>
                <w:szCs w:val="20"/>
              </w:rPr>
            </w:pPr>
            <w:r w:rsidRPr="0065326D">
              <w:rPr>
                <w:rFonts w:ascii="Arial" w:hAnsi="Arial" w:cs="Arial"/>
                <w:sz w:val="20"/>
                <w:szCs w:val="20"/>
              </w:rPr>
              <w:t>Perceptual</w:t>
            </w:r>
          </w:p>
        </w:tc>
        <w:tc>
          <w:tcPr>
            <w:tcW w:w="0" w:type="auto"/>
            <w:vAlign w:val="center"/>
            <w:hideMark/>
          </w:tcPr>
          <w:p w14:paraId="28577ECA"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+1.31</w:t>
            </w:r>
          </w:p>
        </w:tc>
        <w:tc>
          <w:tcPr>
            <w:tcW w:w="0" w:type="auto"/>
            <w:vAlign w:val="center"/>
            <w:hideMark/>
          </w:tcPr>
          <w:p w14:paraId="3FA7C2D5"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4.33 (2.79–6.71)</w:t>
            </w:r>
          </w:p>
        </w:tc>
      </w:tr>
      <w:tr w:rsidR="0065326D" w:rsidRPr="0065326D" w14:paraId="0E8510B9" w14:textId="77777777" w:rsidTr="0065326D">
        <w:trPr>
          <w:tblCellSpacing w:w="15" w:type="dxa"/>
          <w:jc w:val="center"/>
        </w:trPr>
        <w:tc>
          <w:tcPr>
            <w:tcW w:w="1492" w:type="dxa"/>
            <w:vAlign w:val="center"/>
            <w:hideMark/>
          </w:tcPr>
          <w:p w14:paraId="2F29BFD1" w14:textId="77777777" w:rsidR="0065326D" w:rsidRPr="0065326D" w:rsidRDefault="0065326D">
            <w:pPr>
              <w:rPr>
                <w:rFonts w:ascii="Arial" w:hAnsi="Arial" w:cs="Arial"/>
                <w:sz w:val="20"/>
                <w:szCs w:val="20"/>
              </w:rPr>
            </w:pPr>
            <w:r w:rsidRPr="0065326D">
              <w:rPr>
                <w:rFonts w:ascii="Arial" w:hAnsi="Arial" w:cs="Arial"/>
                <w:sz w:val="20"/>
                <w:szCs w:val="20"/>
              </w:rPr>
              <w:t>Physiological</w:t>
            </w:r>
          </w:p>
        </w:tc>
        <w:tc>
          <w:tcPr>
            <w:tcW w:w="0" w:type="auto"/>
            <w:vAlign w:val="center"/>
            <w:hideMark/>
          </w:tcPr>
          <w:p w14:paraId="6FB070A4"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+1.10</w:t>
            </w:r>
          </w:p>
        </w:tc>
        <w:tc>
          <w:tcPr>
            <w:tcW w:w="0" w:type="auto"/>
            <w:vAlign w:val="center"/>
            <w:hideMark/>
          </w:tcPr>
          <w:p w14:paraId="5EDE3ADD"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4.02 (2.56–6.32)</w:t>
            </w:r>
          </w:p>
        </w:tc>
      </w:tr>
      <w:tr w:rsidR="0065326D" w:rsidRPr="0065326D" w14:paraId="1D4E7B4C" w14:textId="77777777" w:rsidTr="0065326D">
        <w:trPr>
          <w:tblCellSpacing w:w="15" w:type="dxa"/>
          <w:jc w:val="center"/>
        </w:trPr>
        <w:tc>
          <w:tcPr>
            <w:tcW w:w="1492" w:type="dxa"/>
            <w:vAlign w:val="center"/>
            <w:hideMark/>
          </w:tcPr>
          <w:p w14:paraId="21DF33EB" w14:textId="77777777" w:rsidR="0065326D" w:rsidRPr="0065326D" w:rsidRDefault="0065326D">
            <w:pPr>
              <w:rPr>
                <w:rFonts w:ascii="Arial" w:hAnsi="Arial" w:cs="Arial"/>
                <w:sz w:val="20"/>
                <w:szCs w:val="20"/>
              </w:rPr>
            </w:pPr>
            <w:r w:rsidRPr="0065326D">
              <w:rPr>
                <w:rFonts w:ascii="Arial" w:hAnsi="Arial" w:cs="Arial"/>
                <w:sz w:val="20"/>
                <w:szCs w:val="20"/>
              </w:rPr>
              <w:t>Unclassified</w:t>
            </w:r>
          </w:p>
        </w:tc>
        <w:tc>
          <w:tcPr>
            <w:tcW w:w="0" w:type="auto"/>
            <w:vAlign w:val="center"/>
            <w:hideMark/>
          </w:tcPr>
          <w:p w14:paraId="0AD78661"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+0.89</w:t>
            </w:r>
          </w:p>
        </w:tc>
        <w:tc>
          <w:tcPr>
            <w:tcW w:w="0" w:type="auto"/>
            <w:vAlign w:val="center"/>
            <w:hideMark/>
          </w:tcPr>
          <w:p w14:paraId="094B0012" w14:textId="77777777" w:rsidR="0065326D" w:rsidRPr="0065326D" w:rsidRDefault="0065326D" w:rsidP="0065326D">
            <w:pPr>
              <w:jc w:val="center"/>
              <w:rPr>
                <w:rFonts w:ascii="Arial" w:hAnsi="Arial" w:cs="Arial"/>
                <w:sz w:val="20"/>
                <w:szCs w:val="20"/>
              </w:rPr>
            </w:pPr>
            <w:r w:rsidRPr="0065326D">
              <w:rPr>
                <w:rFonts w:ascii="Arial" w:hAnsi="Arial" w:cs="Arial"/>
                <w:sz w:val="20"/>
                <w:szCs w:val="20"/>
              </w:rPr>
              <w:t>2.48 (1.77–3.49)</w:t>
            </w:r>
          </w:p>
        </w:tc>
      </w:tr>
    </w:tbl>
    <w:p w14:paraId="1CFACD9F" w14:textId="77777777" w:rsidR="0065326D" w:rsidRDefault="0065326D" w:rsidP="0065326D">
      <w:pPr>
        <w:spacing w:before="100" w:beforeAutospacing="1" w:after="100" w:afterAutospacing="1" w:line="360" w:lineRule="auto"/>
        <w:ind w:firstLine="567"/>
        <w:contextualSpacing/>
        <w:jc w:val="both"/>
        <w:rPr>
          <w:rFonts w:ascii="Arial" w:hAnsi="Arial" w:cs="Arial"/>
          <w:sz w:val="20"/>
          <w:szCs w:val="20"/>
        </w:rPr>
      </w:pPr>
    </w:p>
    <w:p w14:paraId="4526C21A" w14:textId="24FCCD47" w:rsidR="0065326D" w:rsidRDefault="00095E28" w:rsidP="00095E28">
      <w:pPr>
        <w:spacing w:before="100" w:beforeAutospacing="1" w:after="100" w:afterAutospacing="1" w:line="360" w:lineRule="auto"/>
        <w:contextualSpacing/>
        <w:jc w:val="center"/>
        <w:rPr>
          <w:rFonts w:ascii="Arial" w:hAnsi="Arial" w:cs="Arial"/>
          <w:sz w:val="20"/>
          <w:szCs w:val="20"/>
        </w:rPr>
      </w:pPr>
      <w:r w:rsidRPr="00AF3786">
        <w:rPr>
          <w:rFonts w:ascii="Arial" w:hAnsi="Arial" w:cs="Arial"/>
          <w:b/>
          <w:bCs/>
          <w:sz w:val="20"/>
        </w:rPr>
        <w:t>Figure S</w:t>
      </w:r>
      <w:r>
        <w:rPr>
          <w:rFonts w:ascii="Arial" w:hAnsi="Arial" w:cs="Arial"/>
          <w:b/>
          <w:bCs/>
          <w:sz w:val="20"/>
        </w:rPr>
        <w:t>6</w:t>
      </w:r>
      <w:r w:rsidRPr="00AF3786">
        <w:rPr>
          <w:rFonts w:ascii="Arial" w:hAnsi="Arial" w:cs="Arial"/>
          <w:b/>
          <w:bCs/>
          <w:sz w:val="20"/>
        </w:rPr>
        <w:t xml:space="preserve">. </w:t>
      </w:r>
      <w:r>
        <w:rPr>
          <w:rFonts w:ascii="Arial" w:hAnsi="Arial" w:cs="Arial"/>
          <w:b/>
          <w:bCs/>
          <w:sz w:val="20"/>
        </w:rPr>
        <w:t>Concordance of grouped contrasts across models</w:t>
      </w:r>
      <w:r w:rsidRPr="00AF3786">
        <w:rPr>
          <w:rFonts w:ascii="Arial" w:hAnsi="Arial" w:cs="Arial"/>
          <w:sz w:val="20"/>
        </w:rPr>
        <w:t xml:space="preserve"> </w:t>
      </w:r>
    </w:p>
    <w:p w14:paraId="7CE4B078" w14:textId="0069FF34" w:rsidR="0065326D" w:rsidRDefault="00095E28" w:rsidP="00095E28">
      <w:pPr>
        <w:spacing w:before="100" w:beforeAutospacing="1" w:after="100" w:afterAutospacing="1" w:line="360" w:lineRule="auto"/>
        <w:contextualSpacing/>
        <w:jc w:val="center"/>
        <w:rPr>
          <w:rFonts w:ascii="Arial" w:hAnsi="Arial" w:cs="Arial"/>
          <w:sz w:val="20"/>
        </w:rPr>
      </w:pPr>
      <w:r w:rsidRPr="00095E28">
        <w:rPr>
          <w:rFonts w:ascii="Arial" w:hAnsi="Arial" w:cs="Arial"/>
          <w:noProof/>
          <w:sz w:val="20"/>
          <w:szCs w:val="20"/>
        </w:rPr>
        <w:drawing>
          <wp:inline distT="0" distB="0" distL="0" distR="0" wp14:anchorId="7D702A48" wp14:editId="189127EA">
            <wp:extent cx="5338734" cy="3821230"/>
            <wp:effectExtent l="0" t="0" r="0" b="1905"/>
            <wp:docPr id="2001848286" name="Picture 1"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48286" name="Picture 1" descr="A graph with red and blue lines&#10;&#10;AI-generated content may be incorrect."/>
                    <pic:cNvPicPr/>
                  </pic:nvPicPr>
                  <pic:blipFill rotWithShape="1">
                    <a:blip r:embed="rId13"/>
                    <a:srcRect t="9740"/>
                    <a:stretch>
                      <a:fillRect/>
                    </a:stretch>
                  </pic:blipFill>
                  <pic:spPr bwMode="auto">
                    <a:xfrm>
                      <a:off x="0" y="0"/>
                      <a:ext cx="5343659" cy="3824755"/>
                    </a:xfrm>
                    <a:prstGeom prst="rect">
                      <a:avLst/>
                    </a:prstGeom>
                    <a:ln>
                      <a:noFill/>
                    </a:ln>
                    <a:extLst>
                      <a:ext uri="{53640926-AAD7-44D8-BBD7-CCE9431645EC}">
                        <a14:shadowObscured xmlns:a14="http://schemas.microsoft.com/office/drawing/2010/main"/>
                      </a:ext>
                    </a:extLst>
                  </pic:spPr>
                </pic:pic>
              </a:graphicData>
            </a:graphic>
          </wp:inline>
        </w:drawing>
      </w:r>
    </w:p>
    <w:p w14:paraId="7C9F27DC" w14:textId="3873DED2" w:rsidR="00095E28" w:rsidRPr="0065326D" w:rsidRDefault="00095E28" w:rsidP="00095E28">
      <w:pPr>
        <w:spacing w:before="100" w:beforeAutospacing="1" w:after="100" w:afterAutospacing="1" w:line="360" w:lineRule="auto"/>
        <w:ind w:firstLine="567"/>
        <w:contextualSpacing/>
        <w:jc w:val="both"/>
        <w:rPr>
          <w:rFonts w:ascii="Arial" w:hAnsi="Arial" w:cs="Arial"/>
          <w:sz w:val="20"/>
          <w:szCs w:val="20"/>
        </w:rPr>
      </w:pPr>
      <w:r w:rsidRPr="00095E28">
        <w:rPr>
          <w:rFonts w:ascii="Arial" w:hAnsi="Arial" w:cs="Arial"/>
          <w:sz w:val="20"/>
          <w:szCs w:val="20"/>
        </w:rPr>
        <w:t>Figure S</w:t>
      </w:r>
      <w:r>
        <w:rPr>
          <w:rFonts w:ascii="Arial" w:hAnsi="Arial" w:cs="Arial"/>
          <w:sz w:val="20"/>
          <w:szCs w:val="20"/>
        </w:rPr>
        <w:t>6</w:t>
      </w:r>
      <w:r w:rsidRPr="00095E28">
        <w:rPr>
          <w:rFonts w:ascii="Arial" w:hAnsi="Arial" w:cs="Arial"/>
          <w:sz w:val="20"/>
          <w:szCs w:val="20"/>
        </w:rPr>
        <w:t xml:space="preserve"> </w:t>
      </w:r>
      <w:r>
        <w:rPr>
          <w:rFonts w:ascii="Arial" w:hAnsi="Arial" w:cs="Arial"/>
          <w:sz w:val="20"/>
          <w:szCs w:val="20"/>
        </w:rPr>
        <w:t>plots</w:t>
      </w:r>
      <w:r w:rsidRPr="00095E28">
        <w:rPr>
          <w:rFonts w:ascii="Arial" w:hAnsi="Arial" w:cs="Arial"/>
          <w:sz w:val="20"/>
          <w:szCs w:val="20"/>
        </w:rPr>
        <w:t xml:space="preserve"> each grouped contrast from Model C (</w:t>
      </w:r>
      <w:proofErr w:type="spellStart"/>
      <w:r w:rsidRPr="00095E28">
        <w:rPr>
          <w:rFonts w:ascii="Arial" w:hAnsi="Arial" w:cs="Arial"/>
          <w:sz w:val="20"/>
          <w:szCs w:val="20"/>
        </w:rPr>
        <w:t>Δscore</w:t>
      </w:r>
      <w:proofErr w:type="spellEnd"/>
      <w:r w:rsidRPr="00095E28">
        <w:rPr>
          <w:rFonts w:ascii="Arial" w:hAnsi="Arial" w:cs="Arial"/>
          <w:sz w:val="20"/>
          <w:szCs w:val="20"/>
        </w:rPr>
        <w:t xml:space="preserve">) against its counterpart from Model D (log-odds contrast for strong endorsement). Points fall </w:t>
      </w:r>
      <w:r w:rsidR="00B65834">
        <w:rPr>
          <w:rFonts w:ascii="Arial" w:hAnsi="Arial" w:cs="Arial"/>
          <w:sz w:val="20"/>
          <w:szCs w:val="20"/>
        </w:rPr>
        <w:t>with</w:t>
      </w:r>
      <w:r w:rsidRPr="00095E28">
        <w:rPr>
          <w:rFonts w:ascii="Arial" w:hAnsi="Arial" w:cs="Arial"/>
          <w:sz w:val="20"/>
          <w:szCs w:val="20"/>
        </w:rPr>
        <w:t xml:space="preserve">in the expected quadrants (positive domains above/right; negative group contrasts below/left), indicating strong directional concordance </w:t>
      </w:r>
      <w:r w:rsidR="00B65834">
        <w:rPr>
          <w:rFonts w:ascii="Arial" w:hAnsi="Arial" w:cs="Arial"/>
          <w:sz w:val="20"/>
          <w:szCs w:val="20"/>
        </w:rPr>
        <w:t>between</w:t>
      </w:r>
      <w:r w:rsidRPr="00095E28">
        <w:rPr>
          <w:rFonts w:ascii="Arial" w:hAnsi="Arial" w:cs="Arial"/>
          <w:sz w:val="20"/>
          <w:szCs w:val="20"/>
        </w:rPr>
        <w:t xml:space="preserve"> continuous </w:t>
      </w:r>
      <w:r w:rsidR="00B65834">
        <w:rPr>
          <w:rFonts w:ascii="Arial" w:hAnsi="Arial" w:cs="Arial"/>
          <w:sz w:val="20"/>
          <w:szCs w:val="20"/>
        </w:rPr>
        <w:t>and</w:t>
      </w:r>
      <w:r w:rsidRPr="00095E28">
        <w:rPr>
          <w:rFonts w:ascii="Arial" w:hAnsi="Arial" w:cs="Arial"/>
          <w:sz w:val="20"/>
          <w:szCs w:val="20"/>
        </w:rPr>
        <w:t xml:space="preserve"> </w:t>
      </w:r>
      <w:proofErr w:type="spellStart"/>
      <w:r w:rsidRPr="00095E28">
        <w:rPr>
          <w:rFonts w:ascii="Arial" w:hAnsi="Arial" w:cs="Arial"/>
          <w:sz w:val="20"/>
          <w:szCs w:val="20"/>
        </w:rPr>
        <w:t>thresholded</w:t>
      </w:r>
      <w:proofErr w:type="spellEnd"/>
      <w:r w:rsidRPr="00095E28">
        <w:rPr>
          <w:rFonts w:ascii="Arial" w:hAnsi="Arial" w:cs="Arial"/>
          <w:sz w:val="20"/>
          <w:szCs w:val="20"/>
        </w:rPr>
        <w:t xml:space="preserve"> outcomes. </w:t>
      </w:r>
    </w:p>
    <w:p w14:paraId="2412321D" w14:textId="77777777" w:rsidR="00EF19F3" w:rsidRPr="00EF19F3" w:rsidRDefault="00EF19F3" w:rsidP="00EF19F3">
      <w:pPr>
        <w:spacing w:before="100" w:beforeAutospacing="1" w:after="100" w:afterAutospacing="1" w:line="360" w:lineRule="auto"/>
        <w:ind w:firstLine="567"/>
        <w:contextualSpacing/>
        <w:jc w:val="both"/>
        <w:rPr>
          <w:rFonts w:ascii="Arial" w:hAnsi="Arial" w:cs="Arial"/>
          <w:sz w:val="20"/>
          <w:szCs w:val="20"/>
        </w:rPr>
      </w:pPr>
    </w:p>
    <w:p w14:paraId="2704C69B" w14:textId="77777777" w:rsidR="00EF19F3" w:rsidRPr="00EF19F3" w:rsidRDefault="00EF19F3" w:rsidP="00A76BDB">
      <w:pPr>
        <w:spacing w:before="100" w:beforeAutospacing="1" w:after="100" w:afterAutospacing="1" w:line="360" w:lineRule="auto"/>
        <w:contextualSpacing/>
        <w:jc w:val="both"/>
        <w:rPr>
          <w:rFonts w:ascii="Arial" w:hAnsi="Arial" w:cs="Arial"/>
          <w:sz w:val="20"/>
        </w:rPr>
      </w:pPr>
    </w:p>
    <w:p w14:paraId="319265D4" w14:textId="77777777" w:rsidR="00EF19F3" w:rsidRDefault="00EF19F3" w:rsidP="00A76BDB">
      <w:pPr>
        <w:spacing w:before="100" w:beforeAutospacing="1" w:after="100" w:afterAutospacing="1" w:line="360" w:lineRule="auto"/>
        <w:contextualSpacing/>
        <w:jc w:val="both"/>
        <w:rPr>
          <w:rFonts w:ascii="Arial" w:hAnsi="Arial" w:cs="Arial"/>
          <w:sz w:val="20"/>
        </w:rPr>
      </w:pPr>
    </w:p>
    <w:p w14:paraId="5E285CC6" w14:textId="767915D5" w:rsidR="00DE696F" w:rsidRDefault="00A76BDB" w:rsidP="00DE696F">
      <w:pPr>
        <w:spacing w:before="100" w:beforeAutospacing="1" w:after="100" w:afterAutospacing="1" w:line="360" w:lineRule="auto"/>
        <w:contextualSpacing/>
        <w:jc w:val="both"/>
        <w:rPr>
          <w:rFonts w:ascii="Arial" w:hAnsi="Arial" w:cs="Arial"/>
          <w:b/>
          <w:bCs/>
          <w:sz w:val="22"/>
        </w:rPr>
      </w:pPr>
      <w:r>
        <w:rPr>
          <w:rFonts w:ascii="Arial" w:hAnsi="Arial" w:cs="Arial"/>
          <w:b/>
          <w:bCs/>
          <w:sz w:val="22"/>
        </w:rPr>
        <w:lastRenderedPageBreak/>
        <w:t>Reference</w:t>
      </w:r>
      <w:r w:rsidR="00095E28">
        <w:rPr>
          <w:rFonts w:ascii="Arial" w:hAnsi="Arial" w:cs="Arial"/>
          <w:b/>
          <w:bCs/>
          <w:sz w:val="22"/>
        </w:rPr>
        <w:t>s</w:t>
      </w:r>
    </w:p>
    <w:p w14:paraId="588881AA" w14:textId="77777777" w:rsidR="00DE696F" w:rsidRPr="00DE696F" w:rsidRDefault="00DE696F" w:rsidP="00DE696F">
      <w:pPr>
        <w:pStyle w:val="Bibliografa"/>
        <w:spacing w:line="360" w:lineRule="auto"/>
        <w:rPr>
          <w:rFonts w:ascii="Arial" w:hAnsi="Arial" w:cs="Arial"/>
          <w:sz w:val="20"/>
        </w:rPr>
      </w:pPr>
      <w:r>
        <w:rPr>
          <w:rFonts w:ascii="Arial" w:hAnsi="Arial" w:cs="Arial"/>
          <w:sz w:val="20"/>
        </w:rPr>
        <w:fldChar w:fldCharType="begin"/>
      </w:r>
      <w:r>
        <w:rPr>
          <w:rFonts w:ascii="Arial" w:hAnsi="Arial" w:cs="Arial"/>
          <w:sz w:val="20"/>
        </w:rPr>
        <w:instrText xml:space="preserve"> ADDIN ZOTERO_BIBL {"uncited":[],"omitted":[],"custom":[]} CSL_BIBLIOGRAPHY </w:instrText>
      </w:r>
      <w:r>
        <w:rPr>
          <w:rFonts w:ascii="Arial" w:hAnsi="Arial" w:cs="Arial"/>
          <w:sz w:val="20"/>
        </w:rPr>
        <w:fldChar w:fldCharType="separate"/>
      </w:r>
      <w:r w:rsidRPr="00DE696F">
        <w:rPr>
          <w:rFonts w:ascii="Arial" w:hAnsi="Arial" w:cs="Arial"/>
          <w:sz w:val="20"/>
        </w:rPr>
        <w:t xml:space="preserve">Auerswald, M., &amp; Moshagen, M. (2019). How to determine the number of factors to retain in exploratory factor analysis: A comparison of extraction methods under realistic conditions. </w:t>
      </w:r>
      <w:r w:rsidRPr="00DE696F">
        <w:rPr>
          <w:rFonts w:ascii="Arial" w:hAnsi="Arial" w:cs="Arial"/>
          <w:i/>
          <w:iCs/>
          <w:sz w:val="20"/>
        </w:rPr>
        <w:t>Psychological Methods</w:t>
      </w:r>
      <w:r w:rsidRPr="00DE696F">
        <w:rPr>
          <w:rFonts w:ascii="Arial" w:hAnsi="Arial" w:cs="Arial"/>
          <w:sz w:val="20"/>
        </w:rPr>
        <w:t xml:space="preserve">, </w:t>
      </w:r>
      <w:r w:rsidRPr="00DE696F">
        <w:rPr>
          <w:rFonts w:ascii="Arial" w:hAnsi="Arial" w:cs="Arial"/>
          <w:i/>
          <w:iCs/>
          <w:sz w:val="20"/>
        </w:rPr>
        <w:t>24</w:t>
      </w:r>
      <w:r w:rsidRPr="00DE696F">
        <w:rPr>
          <w:rFonts w:ascii="Arial" w:hAnsi="Arial" w:cs="Arial"/>
          <w:sz w:val="20"/>
        </w:rPr>
        <w:t>(4), 468–491. https://doi.org/10.1037/met0000200</w:t>
      </w:r>
    </w:p>
    <w:p w14:paraId="07E34ECC"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Baayen, R. H., Davidson, D. J., &amp; Bates, D. M. (2008). Mixed-effects modeling with crossed random effects for subjects and items. </w:t>
      </w:r>
      <w:r w:rsidRPr="00DE696F">
        <w:rPr>
          <w:rFonts w:ascii="Arial" w:hAnsi="Arial" w:cs="Arial"/>
          <w:i/>
          <w:iCs/>
          <w:sz w:val="20"/>
        </w:rPr>
        <w:t>Journal of Memory and Language, Special Issue: Emerging Data Analysis</w:t>
      </w:r>
      <w:r w:rsidRPr="00DE696F">
        <w:rPr>
          <w:rFonts w:ascii="Arial" w:hAnsi="Arial" w:cs="Arial"/>
          <w:sz w:val="20"/>
        </w:rPr>
        <w:t xml:space="preserve">, </w:t>
      </w:r>
      <w:r w:rsidRPr="00DE696F">
        <w:rPr>
          <w:rFonts w:ascii="Arial" w:hAnsi="Arial" w:cs="Arial"/>
          <w:i/>
          <w:iCs/>
          <w:sz w:val="20"/>
        </w:rPr>
        <w:t>59</w:t>
      </w:r>
      <w:r w:rsidRPr="00DE696F">
        <w:rPr>
          <w:rFonts w:ascii="Arial" w:hAnsi="Arial" w:cs="Arial"/>
          <w:sz w:val="20"/>
        </w:rPr>
        <w:t>(4), 390–412. https://doi.org/10.1016/j.jml.2007.12.005</w:t>
      </w:r>
    </w:p>
    <w:p w14:paraId="36529B23"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Bürkner, P.-C. (2017). </w:t>
      </w:r>
      <w:r w:rsidRPr="00DE696F">
        <w:rPr>
          <w:rFonts w:ascii="Arial" w:hAnsi="Arial" w:cs="Arial"/>
          <w:i/>
          <w:iCs/>
          <w:sz w:val="20"/>
        </w:rPr>
        <w:t>Advanced Bayesian Multilevel Modeling with the R Package brms</w:t>
      </w:r>
      <w:r w:rsidRPr="00DE696F">
        <w:rPr>
          <w:rFonts w:ascii="Arial" w:hAnsi="Arial" w:cs="Arial"/>
          <w:sz w:val="20"/>
        </w:rPr>
        <w:t xml:space="preserve"> (arXiv:1705.11123). arXiv. https://doi.org/10.48550/arXiv.1705.11123</w:t>
      </w:r>
    </w:p>
    <w:p w14:paraId="1A165BF1"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lang w:val="es-ES"/>
        </w:rPr>
        <w:t xml:space="preserve">Bürkner, P.-C., &amp; Vuorre, M. (2019). </w:t>
      </w:r>
      <w:r w:rsidRPr="00DE696F">
        <w:rPr>
          <w:rFonts w:ascii="Arial" w:hAnsi="Arial" w:cs="Arial"/>
          <w:sz w:val="20"/>
        </w:rPr>
        <w:t xml:space="preserve">Ordinal Regression Models in Psychology: A Tutorial. </w:t>
      </w:r>
      <w:r w:rsidRPr="00DE696F">
        <w:rPr>
          <w:rFonts w:ascii="Arial" w:hAnsi="Arial" w:cs="Arial"/>
          <w:i/>
          <w:iCs/>
          <w:sz w:val="20"/>
        </w:rPr>
        <w:t>Advances in Methods and Practices in Psychological Science</w:t>
      </w:r>
      <w:r w:rsidRPr="00DE696F">
        <w:rPr>
          <w:rFonts w:ascii="Arial" w:hAnsi="Arial" w:cs="Arial"/>
          <w:sz w:val="20"/>
        </w:rPr>
        <w:t xml:space="preserve">, </w:t>
      </w:r>
      <w:r w:rsidRPr="00DE696F">
        <w:rPr>
          <w:rFonts w:ascii="Arial" w:hAnsi="Arial" w:cs="Arial"/>
          <w:i/>
          <w:iCs/>
          <w:sz w:val="20"/>
        </w:rPr>
        <w:t>2</w:t>
      </w:r>
      <w:r w:rsidRPr="00DE696F">
        <w:rPr>
          <w:rFonts w:ascii="Arial" w:hAnsi="Arial" w:cs="Arial"/>
          <w:sz w:val="20"/>
        </w:rPr>
        <w:t>(1), 77–101. https://doi.org/10.1177/2515245918823199</w:t>
      </w:r>
    </w:p>
    <w:p w14:paraId="66D1F84D"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Clarkson, D. B., &amp; Jennrich, R. I. (1988). Quartic rotation criteria and algorithms. </w:t>
      </w:r>
      <w:r w:rsidRPr="00DE696F">
        <w:rPr>
          <w:rFonts w:ascii="Arial" w:hAnsi="Arial" w:cs="Arial"/>
          <w:i/>
          <w:iCs/>
          <w:sz w:val="20"/>
        </w:rPr>
        <w:t>Psychometrika</w:t>
      </w:r>
      <w:r w:rsidRPr="00DE696F">
        <w:rPr>
          <w:rFonts w:ascii="Arial" w:hAnsi="Arial" w:cs="Arial"/>
          <w:sz w:val="20"/>
        </w:rPr>
        <w:t xml:space="preserve">, </w:t>
      </w:r>
      <w:r w:rsidRPr="00DE696F">
        <w:rPr>
          <w:rFonts w:ascii="Arial" w:hAnsi="Arial" w:cs="Arial"/>
          <w:i/>
          <w:iCs/>
          <w:sz w:val="20"/>
        </w:rPr>
        <w:t>53</w:t>
      </w:r>
      <w:r w:rsidRPr="00DE696F">
        <w:rPr>
          <w:rFonts w:ascii="Arial" w:hAnsi="Arial" w:cs="Arial"/>
          <w:sz w:val="20"/>
        </w:rPr>
        <w:t>(2), 251–259. https://doi.org/10.1007/BF02294136</w:t>
      </w:r>
    </w:p>
    <w:p w14:paraId="202F9451"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Lim, S., &amp; Jahng, S. (2019). Determining the number of factors using parallel analysis and its recent variants. </w:t>
      </w:r>
      <w:r w:rsidRPr="00DE696F">
        <w:rPr>
          <w:rFonts w:ascii="Arial" w:hAnsi="Arial" w:cs="Arial"/>
          <w:i/>
          <w:iCs/>
          <w:sz w:val="20"/>
        </w:rPr>
        <w:t>Psychological Methods</w:t>
      </w:r>
      <w:r w:rsidRPr="00DE696F">
        <w:rPr>
          <w:rFonts w:ascii="Arial" w:hAnsi="Arial" w:cs="Arial"/>
          <w:sz w:val="20"/>
        </w:rPr>
        <w:t xml:space="preserve">, </w:t>
      </w:r>
      <w:r w:rsidRPr="00DE696F">
        <w:rPr>
          <w:rFonts w:ascii="Arial" w:hAnsi="Arial" w:cs="Arial"/>
          <w:i/>
          <w:iCs/>
          <w:sz w:val="20"/>
        </w:rPr>
        <w:t>24</w:t>
      </w:r>
      <w:r w:rsidRPr="00DE696F">
        <w:rPr>
          <w:rFonts w:ascii="Arial" w:hAnsi="Arial" w:cs="Arial"/>
          <w:sz w:val="20"/>
        </w:rPr>
        <w:t>(4), 452–467. https://doi.org/10.1037/met0000230</w:t>
      </w:r>
    </w:p>
    <w:p w14:paraId="5C59A1F2"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Mair, P. (2018). </w:t>
      </w:r>
      <w:r w:rsidRPr="00DE696F">
        <w:rPr>
          <w:rFonts w:ascii="Arial" w:hAnsi="Arial" w:cs="Arial"/>
          <w:i/>
          <w:iCs/>
          <w:sz w:val="20"/>
        </w:rPr>
        <w:t>Modern Psychometrics with R</w:t>
      </w:r>
      <w:r w:rsidRPr="00DE696F">
        <w:rPr>
          <w:rFonts w:ascii="Arial" w:hAnsi="Arial" w:cs="Arial"/>
          <w:sz w:val="20"/>
        </w:rPr>
        <w:t>. Springer International Publishing. https://doi.org/10.1007/978-3-319-93177-7</w:t>
      </w:r>
    </w:p>
    <w:p w14:paraId="75A6956E"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Meteyard, L., &amp; Davies, R. A. I. (2020). Best practice guidance for linear mixed-effects models in psychological science. </w:t>
      </w:r>
      <w:r w:rsidRPr="00DE696F">
        <w:rPr>
          <w:rFonts w:ascii="Arial" w:hAnsi="Arial" w:cs="Arial"/>
          <w:i/>
          <w:iCs/>
          <w:sz w:val="20"/>
        </w:rPr>
        <w:t>Journal of Memory and Language</w:t>
      </w:r>
      <w:r w:rsidRPr="00DE696F">
        <w:rPr>
          <w:rFonts w:ascii="Arial" w:hAnsi="Arial" w:cs="Arial"/>
          <w:sz w:val="20"/>
        </w:rPr>
        <w:t xml:space="preserve">, </w:t>
      </w:r>
      <w:r w:rsidRPr="00DE696F">
        <w:rPr>
          <w:rFonts w:ascii="Arial" w:hAnsi="Arial" w:cs="Arial"/>
          <w:i/>
          <w:iCs/>
          <w:sz w:val="20"/>
        </w:rPr>
        <w:t>112</w:t>
      </w:r>
      <w:r w:rsidRPr="00DE696F">
        <w:rPr>
          <w:rFonts w:ascii="Arial" w:hAnsi="Arial" w:cs="Arial"/>
          <w:sz w:val="20"/>
        </w:rPr>
        <w:t>, 104092. https://doi.org/10.1016/j.jml.2020.104092</w:t>
      </w:r>
    </w:p>
    <w:p w14:paraId="12BF98F8"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Revelle, W., &amp; Condon, D. (2019). Reliability from α to ω: A tutorial. </w:t>
      </w:r>
      <w:r w:rsidRPr="00DE696F">
        <w:rPr>
          <w:rFonts w:ascii="Arial" w:hAnsi="Arial" w:cs="Arial"/>
          <w:i/>
          <w:iCs/>
          <w:sz w:val="20"/>
        </w:rPr>
        <w:t>Psychological Assessment</w:t>
      </w:r>
      <w:r w:rsidRPr="00DE696F">
        <w:rPr>
          <w:rFonts w:ascii="Arial" w:hAnsi="Arial" w:cs="Arial"/>
          <w:sz w:val="20"/>
        </w:rPr>
        <w:t xml:space="preserve">, </w:t>
      </w:r>
      <w:r w:rsidRPr="00DE696F">
        <w:rPr>
          <w:rFonts w:ascii="Arial" w:hAnsi="Arial" w:cs="Arial"/>
          <w:i/>
          <w:iCs/>
          <w:sz w:val="20"/>
        </w:rPr>
        <w:t>31</w:t>
      </w:r>
      <w:r w:rsidRPr="00DE696F">
        <w:rPr>
          <w:rFonts w:ascii="Arial" w:hAnsi="Arial" w:cs="Arial"/>
          <w:sz w:val="20"/>
        </w:rPr>
        <w:t>(12). https://psycnet.apa.org/buy/2019-45061-001</w:t>
      </w:r>
    </w:p>
    <w:p w14:paraId="5B5C2D3F"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Shrout, P. E., &amp; Fleiss, J. L. (1979). Intraclass correlations: Uses in assessing rater reliability. </w:t>
      </w:r>
      <w:r w:rsidRPr="00DE696F">
        <w:rPr>
          <w:rFonts w:ascii="Arial" w:hAnsi="Arial" w:cs="Arial"/>
          <w:i/>
          <w:iCs/>
          <w:sz w:val="20"/>
        </w:rPr>
        <w:t>Psychological Bulletin</w:t>
      </w:r>
      <w:r w:rsidRPr="00DE696F">
        <w:rPr>
          <w:rFonts w:ascii="Arial" w:hAnsi="Arial" w:cs="Arial"/>
          <w:sz w:val="20"/>
        </w:rPr>
        <w:t xml:space="preserve">, </w:t>
      </w:r>
      <w:r w:rsidRPr="00DE696F">
        <w:rPr>
          <w:rFonts w:ascii="Arial" w:hAnsi="Arial" w:cs="Arial"/>
          <w:i/>
          <w:iCs/>
          <w:sz w:val="20"/>
        </w:rPr>
        <w:t>86</w:t>
      </w:r>
      <w:r w:rsidRPr="00DE696F">
        <w:rPr>
          <w:rFonts w:ascii="Arial" w:hAnsi="Arial" w:cs="Arial"/>
          <w:sz w:val="20"/>
        </w:rPr>
        <w:t>(2), 420–428. https://doi.org/10.1037/0033-2909.86.2.420</w:t>
      </w:r>
    </w:p>
    <w:p w14:paraId="7A40AAD7"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Simonsohn, U., Simmons, J. P., &amp; Nelson, L. D. (2020). Specification curve analysis. </w:t>
      </w:r>
      <w:r w:rsidRPr="00DE696F">
        <w:rPr>
          <w:rFonts w:ascii="Arial" w:hAnsi="Arial" w:cs="Arial"/>
          <w:i/>
          <w:iCs/>
          <w:sz w:val="20"/>
        </w:rPr>
        <w:t>Nature Human Behaviour</w:t>
      </w:r>
      <w:r w:rsidRPr="00DE696F">
        <w:rPr>
          <w:rFonts w:ascii="Arial" w:hAnsi="Arial" w:cs="Arial"/>
          <w:sz w:val="20"/>
        </w:rPr>
        <w:t xml:space="preserve">, </w:t>
      </w:r>
      <w:r w:rsidRPr="00DE696F">
        <w:rPr>
          <w:rFonts w:ascii="Arial" w:hAnsi="Arial" w:cs="Arial"/>
          <w:i/>
          <w:iCs/>
          <w:sz w:val="20"/>
        </w:rPr>
        <w:t>4</w:t>
      </w:r>
      <w:r w:rsidRPr="00DE696F">
        <w:rPr>
          <w:rFonts w:ascii="Arial" w:hAnsi="Arial" w:cs="Arial"/>
          <w:sz w:val="20"/>
        </w:rPr>
        <w:t>(11), 1208–1214. https://doi.org/10.1038/s41562-020-0912-z</w:t>
      </w:r>
    </w:p>
    <w:p w14:paraId="1DE6FBF5" w14:textId="77777777" w:rsidR="00DE696F" w:rsidRPr="00DE696F" w:rsidRDefault="00DE696F" w:rsidP="00DE696F">
      <w:pPr>
        <w:pStyle w:val="Bibliografa"/>
        <w:spacing w:line="360" w:lineRule="auto"/>
        <w:rPr>
          <w:rFonts w:ascii="Arial" w:hAnsi="Arial" w:cs="Arial"/>
          <w:sz w:val="20"/>
        </w:rPr>
      </w:pPr>
      <w:r w:rsidRPr="00DE696F">
        <w:rPr>
          <w:rFonts w:ascii="Arial" w:hAnsi="Arial" w:cs="Arial"/>
          <w:sz w:val="20"/>
        </w:rPr>
        <w:t xml:space="preserve">Steegen, S., Tuerlinckx, F., Gelman, A., &amp; Vanpaemel, W. (2016). Increasing Transparency Through a Multiverse Analysis. </w:t>
      </w:r>
      <w:r w:rsidRPr="00DE696F">
        <w:rPr>
          <w:rFonts w:ascii="Arial" w:hAnsi="Arial" w:cs="Arial"/>
          <w:i/>
          <w:iCs/>
          <w:sz w:val="20"/>
        </w:rPr>
        <w:t>Perspectives on Psychological Science</w:t>
      </w:r>
      <w:r w:rsidRPr="00DE696F">
        <w:rPr>
          <w:rFonts w:ascii="Arial" w:hAnsi="Arial" w:cs="Arial"/>
          <w:sz w:val="20"/>
        </w:rPr>
        <w:t xml:space="preserve">, </w:t>
      </w:r>
      <w:r w:rsidRPr="00DE696F">
        <w:rPr>
          <w:rFonts w:ascii="Arial" w:hAnsi="Arial" w:cs="Arial"/>
          <w:i/>
          <w:iCs/>
          <w:sz w:val="20"/>
        </w:rPr>
        <w:t>11</w:t>
      </w:r>
      <w:r w:rsidRPr="00DE696F">
        <w:rPr>
          <w:rFonts w:ascii="Arial" w:hAnsi="Arial" w:cs="Arial"/>
          <w:sz w:val="20"/>
        </w:rPr>
        <w:t>(5), 702–712. https://doi.org/10.1177/1745691616658637</w:t>
      </w:r>
    </w:p>
    <w:p w14:paraId="128F4E0A" w14:textId="415CB79A" w:rsidR="00DE696F" w:rsidRPr="00AF3786" w:rsidRDefault="00DE696F" w:rsidP="00DE696F">
      <w:pPr>
        <w:spacing w:before="100" w:beforeAutospacing="1" w:after="100" w:afterAutospacing="1" w:line="360" w:lineRule="auto"/>
        <w:contextualSpacing/>
        <w:jc w:val="both"/>
        <w:rPr>
          <w:rFonts w:ascii="Arial" w:hAnsi="Arial" w:cs="Arial"/>
          <w:sz w:val="20"/>
        </w:rPr>
      </w:pPr>
      <w:r>
        <w:rPr>
          <w:rFonts w:ascii="Arial" w:hAnsi="Arial" w:cs="Arial"/>
          <w:sz w:val="20"/>
        </w:rPr>
        <w:fldChar w:fldCharType="end"/>
      </w:r>
    </w:p>
    <w:p w14:paraId="57CB380C"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p>
    <w:p w14:paraId="2A321AD3" w14:textId="77777777" w:rsidR="00AF3786" w:rsidRPr="00AF3786" w:rsidRDefault="00AF3786" w:rsidP="00AF3786">
      <w:pPr>
        <w:spacing w:before="100" w:beforeAutospacing="1" w:after="100" w:afterAutospacing="1" w:line="360" w:lineRule="auto"/>
        <w:ind w:firstLine="567"/>
        <w:contextualSpacing/>
        <w:jc w:val="both"/>
        <w:rPr>
          <w:rFonts w:ascii="Arial" w:hAnsi="Arial" w:cs="Arial"/>
          <w:sz w:val="20"/>
        </w:rPr>
      </w:pPr>
    </w:p>
    <w:p w14:paraId="5F3BCACC" w14:textId="77777777" w:rsidR="00AF3786" w:rsidRPr="00AF3786" w:rsidRDefault="00AF3786" w:rsidP="00AF3786">
      <w:pPr>
        <w:spacing w:line="360" w:lineRule="auto"/>
        <w:contextualSpacing/>
        <w:rPr>
          <w:rFonts w:ascii="Arial" w:hAnsi="Arial" w:cs="Arial"/>
          <w:sz w:val="20"/>
        </w:rPr>
      </w:pPr>
    </w:p>
    <w:p w14:paraId="10C22F57" w14:textId="6DD94803" w:rsidR="007843C9" w:rsidRPr="00AF3786" w:rsidRDefault="007843C9" w:rsidP="00AF3786">
      <w:pPr>
        <w:pStyle w:val="NormalWeb"/>
        <w:shd w:val="clear" w:color="auto" w:fill="FFFFFF"/>
        <w:textAlignment w:val="baseline"/>
        <w:rPr>
          <w:rFonts w:ascii="Arial" w:hAnsi="Arial" w:cs="Arial"/>
          <w:sz w:val="20"/>
          <w:szCs w:val="20"/>
        </w:rPr>
      </w:pPr>
    </w:p>
    <w:sectPr w:rsidR="007843C9" w:rsidRPr="00AF3786" w:rsidSect="00F125EE">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21471" w14:textId="77777777" w:rsidR="0032055A" w:rsidRDefault="0032055A">
      <w:r>
        <w:separator/>
      </w:r>
    </w:p>
  </w:endnote>
  <w:endnote w:type="continuationSeparator" w:id="0">
    <w:p w14:paraId="412C2EF2" w14:textId="77777777" w:rsidR="0032055A" w:rsidRDefault="0032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6907" w14:textId="193174C0" w:rsidR="00AF3786" w:rsidRDefault="00AF3786">
    <w:pPr>
      <w:pStyle w:val="Piedepgina"/>
      <w:jc w:val="right"/>
    </w:pPr>
    <w:r>
      <w:fldChar w:fldCharType="begin"/>
    </w:r>
    <w:r>
      <w:instrText xml:space="preserve"> PAGE   \* MERGEFORMAT </w:instrText>
    </w:r>
    <w:r>
      <w:fldChar w:fldCharType="separate"/>
    </w:r>
    <w:r>
      <w:rPr>
        <w:noProof/>
      </w:rPr>
      <w:t>1</w:t>
    </w:r>
    <w:r>
      <w:fldChar w:fldCharType="end"/>
    </w:r>
  </w:p>
  <w:p w14:paraId="180EEFF6" w14:textId="77777777" w:rsidR="00AF3786" w:rsidRDefault="00AF37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31D3" w14:textId="77777777" w:rsidR="0032055A" w:rsidRDefault="0032055A">
      <w:r>
        <w:separator/>
      </w:r>
    </w:p>
  </w:footnote>
  <w:footnote w:type="continuationSeparator" w:id="0">
    <w:p w14:paraId="1297C2AF" w14:textId="77777777" w:rsidR="0032055A" w:rsidRDefault="0032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0DC9" w14:textId="77777777" w:rsidR="00AF3786" w:rsidRPr="005001AC" w:rsidRDefault="00AF3786" w:rsidP="005001AC">
    <w:pPr>
      <w:jc w:val="right"/>
      <w:rPr>
        <w:sz w:val="20"/>
      </w:rPr>
    </w:pPr>
  </w:p>
  <w:p w14:paraId="0091C365" w14:textId="77777777" w:rsidR="00AF3786" w:rsidRDefault="00AF37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83B44"/>
    <w:rsid w:val="000850DC"/>
    <w:rsid w:val="00095E28"/>
    <w:rsid w:val="000A41E4"/>
    <w:rsid w:val="000C2771"/>
    <w:rsid w:val="000C5F36"/>
    <w:rsid w:val="000F0DCE"/>
    <w:rsid w:val="0010376C"/>
    <w:rsid w:val="00112C5B"/>
    <w:rsid w:val="00114193"/>
    <w:rsid w:val="00115A38"/>
    <w:rsid w:val="0011687B"/>
    <w:rsid w:val="00124F82"/>
    <w:rsid w:val="0016337A"/>
    <w:rsid w:val="00164269"/>
    <w:rsid w:val="001A1BDE"/>
    <w:rsid w:val="001B4F98"/>
    <w:rsid w:val="001C0520"/>
    <w:rsid w:val="001C0975"/>
    <w:rsid w:val="001F0876"/>
    <w:rsid w:val="001F167C"/>
    <w:rsid w:val="001F5E91"/>
    <w:rsid w:val="002077B9"/>
    <w:rsid w:val="00262D72"/>
    <w:rsid w:val="00265626"/>
    <w:rsid w:val="0027562B"/>
    <w:rsid w:val="00294FBB"/>
    <w:rsid w:val="002C030F"/>
    <w:rsid w:val="002C667A"/>
    <w:rsid w:val="0032055A"/>
    <w:rsid w:val="00325D90"/>
    <w:rsid w:val="00331D75"/>
    <w:rsid w:val="00332BFB"/>
    <w:rsid w:val="00355362"/>
    <w:rsid w:val="00363E44"/>
    <w:rsid w:val="00387114"/>
    <w:rsid w:val="00394D47"/>
    <w:rsid w:val="00395E86"/>
    <w:rsid w:val="00397983"/>
    <w:rsid w:val="003A2FD8"/>
    <w:rsid w:val="003B40E6"/>
    <w:rsid w:val="003F6E14"/>
    <w:rsid w:val="00405336"/>
    <w:rsid w:val="0040654D"/>
    <w:rsid w:val="004571D5"/>
    <w:rsid w:val="00461D81"/>
    <w:rsid w:val="0046356B"/>
    <w:rsid w:val="00464F0C"/>
    <w:rsid w:val="00477182"/>
    <w:rsid w:val="004779CB"/>
    <w:rsid w:val="004A159F"/>
    <w:rsid w:val="004B2F21"/>
    <w:rsid w:val="004E42D8"/>
    <w:rsid w:val="004E4AED"/>
    <w:rsid w:val="004E7BA2"/>
    <w:rsid w:val="004F7EDF"/>
    <w:rsid w:val="005001AC"/>
    <w:rsid w:val="00527D71"/>
    <w:rsid w:val="005607DD"/>
    <w:rsid w:val="005609E9"/>
    <w:rsid w:val="005A26C4"/>
    <w:rsid w:val="005A558C"/>
    <w:rsid w:val="005C52D5"/>
    <w:rsid w:val="005D088E"/>
    <w:rsid w:val="005E28F8"/>
    <w:rsid w:val="005E6513"/>
    <w:rsid w:val="006069C6"/>
    <w:rsid w:val="00611A19"/>
    <w:rsid w:val="006140DF"/>
    <w:rsid w:val="00627225"/>
    <w:rsid w:val="00651114"/>
    <w:rsid w:val="0065326D"/>
    <w:rsid w:val="0065772A"/>
    <w:rsid w:val="00670299"/>
    <w:rsid w:val="00690668"/>
    <w:rsid w:val="00691985"/>
    <w:rsid w:val="00694D1B"/>
    <w:rsid w:val="006A1B64"/>
    <w:rsid w:val="006D169A"/>
    <w:rsid w:val="006E3E68"/>
    <w:rsid w:val="00702CDA"/>
    <w:rsid w:val="007108F5"/>
    <w:rsid w:val="00713E5B"/>
    <w:rsid w:val="007402FC"/>
    <w:rsid w:val="007411A1"/>
    <w:rsid w:val="00763345"/>
    <w:rsid w:val="007843C9"/>
    <w:rsid w:val="00797F24"/>
    <w:rsid w:val="007B5946"/>
    <w:rsid w:val="007F5297"/>
    <w:rsid w:val="007F5D5F"/>
    <w:rsid w:val="00807D35"/>
    <w:rsid w:val="00820484"/>
    <w:rsid w:val="00822B80"/>
    <w:rsid w:val="00824DF3"/>
    <w:rsid w:val="00840BB2"/>
    <w:rsid w:val="00885C9B"/>
    <w:rsid w:val="008C069B"/>
    <w:rsid w:val="008C1643"/>
    <w:rsid w:val="008D5D2A"/>
    <w:rsid w:val="008E68FE"/>
    <w:rsid w:val="00914B63"/>
    <w:rsid w:val="009258B8"/>
    <w:rsid w:val="009354F3"/>
    <w:rsid w:val="00943C3C"/>
    <w:rsid w:val="009447DC"/>
    <w:rsid w:val="009519CF"/>
    <w:rsid w:val="00961BA5"/>
    <w:rsid w:val="009743A9"/>
    <w:rsid w:val="009A5287"/>
    <w:rsid w:val="009A670E"/>
    <w:rsid w:val="009B2AC5"/>
    <w:rsid w:val="009B7984"/>
    <w:rsid w:val="009D15C2"/>
    <w:rsid w:val="009D6B1C"/>
    <w:rsid w:val="009F4BED"/>
    <w:rsid w:val="009F54D2"/>
    <w:rsid w:val="009F7D93"/>
    <w:rsid w:val="00A25E2C"/>
    <w:rsid w:val="00A3403B"/>
    <w:rsid w:val="00A51A12"/>
    <w:rsid w:val="00A627D4"/>
    <w:rsid w:val="00A72B81"/>
    <w:rsid w:val="00A74DA2"/>
    <w:rsid w:val="00A76BDB"/>
    <w:rsid w:val="00A9673F"/>
    <w:rsid w:val="00AC15B4"/>
    <w:rsid w:val="00AD499C"/>
    <w:rsid w:val="00AE5A70"/>
    <w:rsid w:val="00AE5D22"/>
    <w:rsid w:val="00AF3786"/>
    <w:rsid w:val="00B003EE"/>
    <w:rsid w:val="00B038F4"/>
    <w:rsid w:val="00B15008"/>
    <w:rsid w:val="00B16F99"/>
    <w:rsid w:val="00B36869"/>
    <w:rsid w:val="00B42F9C"/>
    <w:rsid w:val="00B43B31"/>
    <w:rsid w:val="00B47CFA"/>
    <w:rsid w:val="00B57F00"/>
    <w:rsid w:val="00B65834"/>
    <w:rsid w:val="00B73A1C"/>
    <w:rsid w:val="00B77B2A"/>
    <w:rsid w:val="00B82C22"/>
    <w:rsid w:val="00B8723B"/>
    <w:rsid w:val="00B93DBA"/>
    <w:rsid w:val="00B9440A"/>
    <w:rsid w:val="00BA5F4E"/>
    <w:rsid w:val="00BB2D2A"/>
    <w:rsid w:val="00BD58CF"/>
    <w:rsid w:val="00C046DC"/>
    <w:rsid w:val="00C04CC1"/>
    <w:rsid w:val="00C364C5"/>
    <w:rsid w:val="00C47714"/>
    <w:rsid w:val="00C50C6D"/>
    <w:rsid w:val="00C600D9"/>
    <w:rsid w:val="00C62199"/>
    <w:rsid w:val="00CB2D3D"/>
    <w:rsid w:val="00CC1384"/>
    <w:rsid w:val="00CD0E25"/>
    <w:rsid w:val="00CD3720"/>
    <w:rsid w:val="00CF16C9"/>
    <w:rsid w:val="00CF1848"/>
    <w:rsid w:val="00CF5C2F"/>
    <w:rsid w:val="00D009A7"/>
    <w:rsid w:val="00D04BCF"/>
    <w:rsid w:val="00D143D9"/>
    <w:rsid w:val="00D269AB"/>
    <w:rsid w:val="00D346C2"/>
    <w:rsid w:val="00DA22DA"/>
    <w:rsid w:val="00DA59EA"/>
    <w:rsid w:val="00DB0B1D"/>
    <w:rsid w:val="00DC623A"/>
    <w:rsid w:val="00DD0C98"/>
    <w:rsid w:val="00DD421A"/>
    <w:rsid w:val="00DE2341"/>
    <w:rsid w:val="00DE696F"/>
    <w:rsid w:val="00E257C8"/>
    <w:rsid w:val="00E37047"/>
    <w:rsid w:val="00E60D0F"/>
    <w:rsid w:val="00E85E29"/>
    <w:rsid w:val="00E9773B"/>
    <w:rsid w:val="00EA596B"/>
    <w:rsid w:val="00EC13A3"/>
    <w:rsid w:val="00EC7C85"/>
    <w:rsid w:val="00EF19F3"/>
    <w:rsid w:val="00F04CD9"/>
    <w:rsid w:val="00F125EE"/>
    <w:rsid w:val="00F12E98"/>
    <w:rsid w:val="00F22029"/>
    <w:rsid w:val="00F25DEF"/>
    <w:rsid w:val="00F514EC"/>
    <w:rsid w:val="00F60CD4"/>
    <w:rsid w:val="00F630EA"/>
    <w:rsid w:val="00F7007E"/>
    <w:rsid w:val="00F70200"/>
    <w:rsid w:val="00F70C30"/>
    <w:rsid w:val="00F73193"/>
    <w:rsid w:val="00F74F95"/>
    <w:rsid w:val="00F80705"/>
    <w:rsid w:val="00F83D8E"/>
    <w:rsid w:val="00F91CC2"/>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26D"/>
    <w:rPr>
      <w:sz w:val="24"/>
      <w:szCs w:val="24"/>
      <w:lang w:eastAsia="en-GB"/>
    </w:rPr>
  </w:style>
  <w:style w:type="paragraph" w:styleId="Ttulo1">
    <w:name w:val="heading 1"/>
    <w:basedOn w:val="Normal"/>
    <w:next w:val="Normal"/>
    <w:link w:val="Ttulo1Car"/>
    <w:semiHidden/>
    <w:qFormat/>
    <w:rsid w:val="00B43B31"/>
    <w:pPr>
      <w:keepNext/>
      <w:spacing w:before="240" w:after="60"/>
      <w:outlineLvl w:val="0"/>
    </w:pPr>
    <w:rPr>
      <w:b/>
      <w:bCs/>
      <w:kern w:val="32"/>
      <w:lang w:eastAsia="en-US"/>
    </w:rPr>
  </w:style>
  <w:style w:type="paragraph" w:styleId="Ttulo2">
    <w:name w:val="heading 2"/>
    <w:basedOn w:val="Normal"/>
    <w:next w:val="Normal"/>
    <w:link w:val="Ttulo2Car"/>
    <w:uiPriority w:val="9"/>
    <w:qFormat/>
    <w:rsid w:val="007411A1"/>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ar"/>
    <w:uiPriority w:val="9"/>
    <w:qFormat/>
    <w:rsid w:val="00C600D9"/>
    <w:pPr>
      <w:keepNext/>
      <w:spacing w:line="480" w:lineRule="auto"/>
      <w:outlineLvl w:val="2"/>
    </w:pPr>
    <w:rPr>
      <w:rFonts w:ascii="Times" w:eastAsia="Times" w:hAnsi="Times"/>
      <w:b/>
      <w:szCs w:val="20"/>
      <w:lang w:eastAsia="en-US"/>
    </w:rPr>
  </w:style>
  <w:style w:type="paragraph" w:styleId="Ttulo4">
    <w:name w:val="heading 4"/>
    <w:basedOn w:val="Normal"/>
    <w:next w:val="Normal"/>
    <w:semiHidden/>
    <w:qFormat/>
    <w:rsid w:val="00C600D9"/>
    <w:pPr>
      <w:keepNext/>
      <w:spacing w:line="480" w:lineRule="auto"/>
      <w:outlineLvl w:val="3"/>
    </w:pPr>
    <w:rPr>
      <w:rFonts w:ascii="Times" w:hAnsi="Times"/>
      <w:b/>
      <w:color w:val="0000FF"/>
      <w:sz w:val="44"/>
      <w:szCs w:val="20"/>
      <w:lang w:eastAsia="en-US"/>
    </w:rPr>
  </w:style>
  <w:style w:type="paragraph" w:styleId="Ttulo5">
    <w:name w:val="heading 5"/>
    <w:basedOn w:val="Normal"/>
    <w:next w:val="Normal"/>
    <w:link w:val="Ttulo5Car"/>
    <w:semiHidden/>
    <w:qFormat/>
    <w:rsid w:val="007411A1"/>
    <w:pPr>
      <w:spacing w:before="240" w:after="60"/>
      <w:outlineLvl w:val="4"/>
    </w:pPr>
    <w:rPr>
      <w:rFonts w:ascii="Calibri" w:hAnsi="Calibri"/>
      <w:b/>
      <w:bCs/>
      <w:i/>
      <w:iCs/>
      <w:sz w:val="26"/>
      <w:szCs w:val="26"/>
      <w:lang w:eastAsia="en-US"/>
    </w:rPr>
  </w:style>
  <w:style w:type="paragraph" w:styleId="Ttulo6">
    <w:name w:val="heading 6"/>
    <w:basedOn w:val="Normal"/>
    <w:next w:val="Normal"/>
    <w:link w:val="Ttulo6Car"/>
    <w:semiHidden/>
    <w:qFormat/>
    <w:rsid w:val="007411A1"/>
    <w:pPr>
      <w:spacing w:before="240" w:after="60"/>
      <w:outlineLvl w:val="5"/>
    </w:pPr>
    <w:rPr>
      <w:rFonts w:ascii="Calibri" w:hAnsi="Calibri"/>
      <w:b/>
      <w:bCs/>
      <w:sz w:val="22"/>
      <w:szCs w:val="22"/>
      <w:lang w:eastAsia="en-US"/>
    </w:rPr>
  </w:style>
  <w:style w:type="paragraph" w:styleId="Ttulo7">
    <w:name w:val="heading 7"/>
    <w:basedOn w:val="Normal"/>
    <w:next w:val="Normal"/>
    <w:link w:val="Ttulo7Car"/>
    <w:semiHidden/>
    <w:qFormat/>
    <w:rsid w:val="007411A1"/>
    <w:pPr>
      <w:spacing w:before="240" w:after="60"/>
      <w:outlineLvl w:val="6"/>
    </w:pPr>
    <w:rPr>
      <w:rFonts w:ascii="Calibri" w:hAnsi="Calibri"/>
      <w:lang w:eastAsia="en-US"/>
    </w:rPr>
  </w:style>
  <w:style w:type="paragraph" w:styleId="Ttulo8">
    <w:name w:val="heading 8"/>
    <w:basedOn w:val="Normal"/>
    <w:next w:val="Normal"/>
    <w:link w:val="Ttulo8Car"/>
    <w:semiHidden/>
    <w:qFormat/>
    <w:rsid w:val="007411A1"/>
    <w:pPr>
      <w:spacing w:before="240" w:after="60"/>
      <w:outlineLvl w:val="7"/>
    </w:pPr>
    <w:rPr>
      <w:rFonts w:ascii="Calibri" w:hAnsi="Calibri"/>
      <w:i/>
      <w:iCs/>
      <w:lang w:eastAsia="en-US"/>
    </w:rPr>
  </w:style>
  <w:style w:type="paragraph" w:styleId="Ttulo9">
    <w:name w:val="heading 9"/>
    <w:basedOn w:val="Normal"/>
    <w:next w:val="Normal"/>
    <w:link w:val="Ttulo9Car"/>
    <w:semiHidden/>
    <w:qFormat/>
    <w:rsid w:val="007411A1"/>
    <w:pPr>
      <w:spacing w:before="240" w:after="60"/>
      <w:outlineLvl w:val="8"/>
    </w:pPr>
    <w:rPr>
      <w:rFonts w:ascii="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77182"/>
  </w:style>
  <w:style w:type="character" w:customStyle="1" w:styleId="Ttulo1Car">
    <w:name w:val="Título 1 Car"/>
    <w:basedOn w:val="Fuentedeprrafopredeter"/>
    <w:link w:val="Ttulo1"/>
    <w:semiHidden/>
    <w:rsid w:val="00FF04E3"/>
    <w:rPr>
      <w:b/>
      <w:bCs/>
      <w:kern w:val="32"/>
      <w:sz w:val="24"/>
      <w:szCs w:val="24"/>
    </w:rPr>
  </w:style>
  <w:style w:type="character" w:customStyle="1" w:styleId="Ttulo2Car">
    <w:name w:val="Título 2 Car"/>
    <w:basedOn w:val="Fuentedeprrafopredeter"/>
    <w:link w:val="Ttulo2"/>
    <w:uiPriority w:val="9"/>
    <w:rsid w:val="00FF04E3"/>
    <w:rPr>
      <w:rFonts w:ascii="Cambria" w:hAnsi="Cambria"/>
      <w:b/>
      <w:bCs/>
      <w:i/>
      <w:iCs/>
      <w:sz w:val="28"/>
      <w:szCs w:val="28"/>
    </w:rPr>
  </w:style>
  <w:style w:type="character" w:customStyle="1" w:styleId="Ttulo5Car">
    <w:name w:val="Título 5 Car"/>
    <w:basedOn w:val="Fuentedeprrafopredeter"/>
    <w:link w:val="Ttulo5"/>
    <w:semiHidden/>
    <w:rsid w:val="00FF04E3"/>
    <w:rPr>
      <w:rFonts w:ascii="Calibri" w:hAnsi="Calibri"/>
      <w:b/>
      <w:bCs/>
      <w:i/>
      <w:iCs/>
      <w:sz w:val="26"/>
      <w:szCs w:val="26"/>
    </w:rPr>
  </w:style>
  <w:style w:type="character" w:customStyle="1" w:styleId="Ttulo6Car">
    <w:name w:val="Título 6 Car"/>
    <w:basedOn w:val="Fuentedeprrafopredeter"/>
    <w:link w:val="Ttulo6"/>
    <w:semiHidden/>
    <w:rsid w:val="00FF04E3"/>
    <w:rPr>
      <w:rFonts w:ascii="Calibri" w:hAnsi="Calibri"/>
      <w:b/>
      <w:bCs/>
      <w:sz w:val="22"/>
      <w:szCs w:val="22"/>
    </w:rPr>
  </w:style>
  <w:style w:type="character" w:customStyle="1" w:styleId="Ttulo7Car">
    <w:name w:val="Título 7 Car"/>
    <w:basedOn w:val="Fuentedeprrafopredeter"/>
    <w:link w:val="Ttulo7"/>
    <w:semiHidden/>
    <w:rsid w:val="00FF04E3"/>
    <w:rPr>
      <w:rFonts w:ascii="Calibri" w:hAnsi="Calibri"/>
      <w:sz w:val="24"/>
      <w:szCs w:val="24"/>
    </w:rPr>
  </w:style>
  <w:style w:type="character" w:customStyle="1" w:styleId="Ttulo8Car">
    <w:name w:val="Título 8 Car"/>
    <w:basedOn w:val="Fuentedeprrafopredeter"/>
    <w:link w:val="Ttulo8"/>
    <w:semiHidden/>
    <w:rsid w:val="00FF04E3"/>
    <w:rPr>
      <w:rFonts w:ascii="Calibri" w:hAnsi="Calibri"/>
      <w:i/>
      <w:iCs/>
      <w:sz w:val="24"/>
      <w:szCs w:val="24"/>
    </w:rPr>
  </w:style>
  <w:style w:type="character" w:customStyle="1" w:styleId="Ttulo9Car">
    <w:name w:val="Título 9 Car"/>
    <w:basedOn w:val="Fuentedeprrafopredeter"/>
    <w:link w:val="Ttulo9"/>
    <w:semiHidden/>
    <w:rsid w:val="00FF04E3"/>
    <w:rPr>
      <w:rFonts w:ascii="Cambria" w:hAnsi="Cambria"/>
      <w:sz w:val="22"/>
      <w:szCs w:val="22"/>
    </w:rPr>
  </w:style>
  <w:style w:type="paragraph" w:customStyle="1" w:styleId="SMHeading">
    <w:name w:val="SM Heading"/>
    <w:basedOn w:val="Ttulo1"/>
    <w:qFormat/>
    <w:rsid w:val="00F74F95"/>
  </w:style>
  <w:style w:type="paragraph" w:customStyle="1" w:styleId="SMSubheading">
    <w:name w:val="SM Subheading"/>
    <w:basedOn w:val="Normal"/>
    <w:qFormat/>
    <w:rsid w:val="00B9440A"/>
    <w:rPr>
      <w:szCs w:val="20"/>
      <w:u w:val="words"/>
      <w:lang w:eastAsia="en-US"/>
    </w:rPr>
  </w:style>
  <w:style w:type="paragraph" w:customStyle="1" w:styleId="SMText">
    <w:name w:val="SM Text"/>
    <w:basedOn w:val="Normal"/>
    <w:qFormat/>
    <w:rsid w:val="00B9440A"/>
    <w:pPr>
      <w:ind w:firstLine="480"/>
    </w:pPr>
    <w:rPr>
      <w:szCs w:val="20"/>
      <w:lang w:eastAsia="en-US"/>
    </w:rPr>
  </w:style>
  <w:style w:type="paragraph" w:customStyle="1" w:styleId="SMcaption">
    <w:name w:val="SM caption"/>
    <w:basedOn w:val="SMText"/>
    <w:qFormat/>
    <w:rsid w:val="00B9440A"/>
    <w:pPr>
      <w:ind w:firstLine="0"/>
    </w:pPr>
  </w:style>
  <w:style w:type="paragraph" w:styleId="Textodeglobo">
    <w:name w:val="Balloon Text"/>
    <w:basedOn w:val="Normal"/>
    <w:link w:val="TextodegloboCar"/>
    <w:semiHidden/>
    <w:rsid w:val="00405336"/>
    <w:rPr>
      <w:rFonts w:ascii="Tahoma" w:hAnsi="Tahoma" w:cs="Tahoma"/>
      <w:sz w:val="16"/>
      <w:szCs w:val="16"/>
      <w:lang w:eastAsia="en-US"/>
    </w:rPr>
  </w:style>
  <w:style w:type="character" w:customStyle="1" w:styleId="TextodegloboCar">
    <w:name w:val="Texto de globo Car"/>
    <w:basedOn w:val="Fuentedeprrafopredeter"/>
    <w:link w:val="Textodeglobo"/>
    <w:semiHidden/>
    <w:rsid w:val="00FF04E3"/>
    <w:rPr>
      <w:rFonts w:ascii="Tahoma" w:hAnsi="Tahoma" w:cs="Tahoma"/>
      <w:sz w:val="16"/>
      <w:szCs w:val="16"/>
    </w:rPr>
  </w:style>
  <w:style w:type="paragraph" w:styleId="Bibliografa">
    <w:name w:val="Bibliography"/>
    <w:basedOn w:val="Normal"/>
    <w:next w:val="Normal"/>
    <w:uiPriority w:val="37"/>
    <w:semiHidden/>
    <w:rsid w:val="00405336"/>
    <w:pPr>
      <w:spacing w:line="480" w:lineRule="auto"/>
      <w:ind w:left="720" w:hanging="720"/>
    </w:pPr>
    <w:rPr>
      <w:szCs w:val="20"/>
      <w:lang w:eastAsia="en-US"/>
    </w:rPr>
  </w:style>
  <w:style w:type="paragraph" w:styleId="Textodebloque">
    <w:name w:val="Block Text"/>
    <w:basedOn w:val="Normal"/>
    <w:semiHidden/>
    <w:rsid w:val="00405336"/>
    <w:pPr>
      <w:spacing w:after="120"/>
      <w:ind w:left="1440" w:right="1440"/>
    </w:pPr>
    <w:rPr>
      <w:szCs w:val="20"/>
      <w:lang w:eastAsia="en-US"/>
    </w:rPr>
  </w:style>
  <w:style w:type="paragraph" w:styleId="Textoindependiente">
    <w:name w:val="Body Text"/>
    <w:basedOn w:val="Normal"/>
    <w:link w:val="TextoindependienteCar"/>
    <w:semiHidden/>
    <w:rsid w:val="00405336"/>
    <w:pPr>
      <w:spacing w:after="120"/>
    </w:pPr>
    <w:rPr>
      <w:szCs w:val="20"/>
      <w:lang w:eastAsia="en-US"/>
    </w:rPr>
  </w:style>
  <w:style w:type="character" w:customStyle="1" w:styleId="TextoindependienteCar">
    <w:name w:val="Texto independiente Car"/>
    <w:basedOn w:val="Fuentedeprrafopredeter"/>
    <w:link w:val="Textoindependiente"/>
    <w:semiHidden/>
    <w:rsid w:val="00FF04E3"/>
    <w:rPr>
      <w:sz w:val="24"/>
    </w:rPr>
  </w:style>
  <w:style w:type="paragraph" w:styleId="Textoindependiente2">
    <w:name w:val="Body Text 2"/>
    <w:basedOn w:val="Normal"/>
    <w:link w:val="Textoindependiente2Car"/>
    <w:semiHidden/>
    <w:rsid w:val="00405336"/>
    <w:pPr>
      <w:spacing w:after="120" w:line="480" w:lineRule="auto"/>
    </w:pPr>
    <w:rPr>
      <w:szCs w:val="20"/>
      <w:lang w:eastAsia="en-US"/>
    </w:rPr>
  </w:style>
  <w:style w:type="character" w:customStyle="1" w:styleId="Textoindependiente2Car">
    <w:name w:val="Texto independiente 2 Car"/>
    <w:basedOn w:val="Fuentedeprrafopredeter"/>
    <w:link w:val="Textoindependiente2"/>
    <w:semiHidden/>
    <w:rsid w:val="00FF04E3"/>
    <w:rPr>
      <w:sz w:val="24"/>
    </w:rPr>
  </w:style>
  <w:style w:type="paragraph" w:styleId="Textoindependiente3">
    <w:name w:val="Body Text 3"/>
    <w:basedOn w:val="Normal"/>
    <w:link w:val="Textoindependiente3Car"/>
    <w:semiHidden/>
    <w:rsid w:val="00405336"/>
    <w:pPr>
      <w:spacing w:after="120"/>
    </w:pPr>
    <w:rPr>
      <w:sz w:val="16"/>
      <w:szCs w:val="16"/>
      <w:lang w:eastAsia="en-US"/>
    </w:rPr>
  </w:style>
  <w:style w:type="character" w:customStyle="1" w:styleId="Textoindependiente3Car">
    <w:name w:val="Texto independiente 3 Car"/>
    <w:basedOn w:val="Fuentedeprrafopredeter"/>
    <w:link w:val="Textoindependiente3"/>
    <w:semiHidden/>
    <w:rsid w:val="00FF04E3"/>
    <w:rPr>
      <w:sz w:val="16"/>
      <w:szCs w:val="16"/>
    </w:rPr>
  </w:style>
  <w:style w:type="paragraph" w:styleId="Textoindependienteprimerasangra">
    <w:name w:val="Body Text First Indent"/>
    <w:basedOn w:val="Textoindependiente"/>
    <w:link w:val="TextoindependienteprimerasangraCar"/>
    <w:semiHidden/>
    <w:rsid w:val="00405336"/>
    <w:pPr>
      <w:ind w:firstLine="210"/>
    </w:pPr>
  </w:style>
  <w:style w:type="character" w:customStyle="1" w:styleId="TextoindependienteprimerasangraCar">
    <w:name w:val="Texto independiente primera sangría Car"/>
    <w:basedOn w:val="TextoindependienteCar"/>
    <w:link w:val="Textoindependienteprimerasangra"/>
    <w:semiHidden/>
    <w:rsid w:val="00FF04E3"/>
    <w:rPr>
      <w:sz w:val="24"/>
    </w:rPr>
  </w:style>
  <w:style w:type="paragraph" w:styleId="Sangradetextonormal">
    <w:name w:val="Body Text Indent"/>
    <w:basedOn w:val="Normal"/>
    <w:link w:val="SangradetextonormalCar"/>
    <w:semiHidden/>
    <w:rsid w:val="00405336"/>
    <w:pPr>
      <w:spacing w:after="120"/>
      <w:ind w:left="360"/>
    </w:pPr>
    <w:rPr>
      <w:szCs w:val="20"/>
      <w:lang w:eastAsia="en-US"/>
    </w:rPr>
  </w:style>
  <w:style w:type="character" w:customStyle="1" w:styleId="SangradetextonormalCar">
    <w:name w:val="Sangría de texto normal Car"/>
    <w:basedOn w:val="Fuentedeprrafopredeter"/>
    <w:link w:val="Sangradetextonormal"/>
    <w:semiHidden/>
    <w:rsid w:val="00FF04E3"/>
    <w:rPr>
      <w:sz w:val="24"/>
    </w:rPr>
  </w:style>
  <w:style w:type="paragraph" w:styleId="Textoindependienteprimerasangra2">
    <w:name w:val="Body Text First Indent 2"/>
    <w:basedOn w:val="Sangradetextonormal"/>
    <w:link w:val="Textoindependienteprimerasangra2Car"/>
    <w:semiHidden/>
    <w:rsid w:val="00405336"/>
    <w:pPr>
      <w:ind w:firstLine="210"/>
    </w:pPr>
  </w:style>
  <w:style w:type="character" w:customStyle="1" w:styleId="Textoindependienteprimerasangra2Car">
    <w:name w:val="Texto independiente primera sangría 2 Car"/>
    <w:basedOn w:val="SangradetextonormalCar"/>
    <w:link w:val="Textoindependienteprimerasangra2"/>
    <w:semiHidden/>
    <w:rsid w:val="00FF04E3"/>
    <w:rPr>
      <w:sz w:val="24"/>
    </w:rPr>
  </w:style>
  <w:style w:type="paragraph" w:styleId="Sangra2detindependiente">
    <w:name w:val="Body Text Indent 2"/>
    <w:basedOn w:val="Normal"/>
    <w:link w:val="Sangra2detindependienteCar"/>
    <w:semiHidden/>
    <w:rsid w:val="00405336"/>
    <w:pPr>
      <w:spacing w:after="120" w:line="480" w:lineRule="auto"/>
      <w:ind w:left="360"/>
    </w:pPr>
    <w:rPr>
      <w:szCs w:val="20"/>
      <w:lang w:eastAsia="en-US"/>
    </w:rPr>
  </w:style>
  <w:style w:type="character" w:customStyle="1" w:styleId="Sangra2detindependienteCar">
    <w:name w:val="Sangría 2 de t. independiente Car"/>
    <w:basedOn w:val="Fuentedeprrafopredeter"/>
    <w:link w:val="Sangra2detindependiente"/>
    <w:semiHidden/>
    <w:rsid w:val="00FF04E3"/>
    <w:rPr>
      <w:sz w:val="24"/>
    </w:rPr>
  </w:style>
  <w:style w:type="paragraph" w:styleId="Sangra3detindependiente">
    <w:name w:val="Body Text Indent 3"/>
    <w:basedOn w:val="Normal"/>
    <w:link w:val="Sangra3detindependienteCar"/>
    <w:semiHidden/>
    <w:rsid w:val="00405336"/>
    <w:pPr>
      <w:spacing w:after="120"/>
      <w:ind w:left="360"/>
    </w:pPr>
    <w:rPr>
      <w:sz w:val="16"/>
      <w:szCs w:val="16"/>
      <w:lang w:eastAsia="en-US"/>
    </w:rPr>
  </w:style>
  <w:style w:type="character" w:customStyle="1" w:styleId="Sangra3detindependienteCar">
    <w:name w:val="Sangría 3 de t. independiente Car"/>
    <w:basedOn w:val="Fuentedeprrafopredeter"/>
    <w:link w:val="Sangra3detindependiente"/>
    <w:semiHidden/>
    <w:rsid w:val="00FF04E3"/>
    <w:rPr>
      <w:sz w:val="16"/>
      <w:szCs w:val="16"/>
    </w:rPr>
  </w:style>
  <w:style w:type="paragraph" w:styleId="Descripcin">
    <w:name w:val="caption"/>
    <w:basedOn w:val="Normal"/>
    <w:next w:val="Normal"/>
    <w:semiHidden/>
    <w:qFormat/>
    <w:rsid w:val="00405336"/>
    <w:rPr>
      <w:b/>
      <w:bCs/>
      <w:sz w:val="20"/>
      <w:szCs w:val="20"/>
      <w:lang w:eastAsia="en-US"/>
    </w:rPr>
  </w:style>
  <w:style w:type="paragraph" w:styleId="Cierre">
    <w:name w:val="Closing"/>
    <w:basedOn w:val="Normal"/>
    <w:link w:val="CierreCar"/>
    <w:semiHidden/>
    <w:rsid w:val="00405336"/>
    <w:pPr>
      <w:ind w:left="4320"/>
    </w:pPr>
    <w:rPr>
      <w:szCs w:val="20"/>
      <w:lang w:eastAsia="en-US"/>
    </w:rPr>
  </w:style>
  <w:style w:type="character" w:customStyle="1" w:styleId="CierreCar">
    <w:name w:val="Cierre Car"/>
    <w:basedOn w:val="Fuentedeprrafopredeter"/>
    <w:link w:val="Cierre"/>
    <w:semiHidden/>
    <w:rsid w:val="00FF04E3"/>
    <w:rPr>
      <w:sz w:val="24"/>
    </w:rPr>
  </w:style>
  <w:style w:type="paragraph" w:styleId="Textocomentario">
    <w:name w:val="annotation text"/>
    <w:basedOn w:val="Normal"/>
    <w:link w:val="TextocomentarioCar"/>
    <w:semiHidden/>
    <w:rsid w:val="00405336"/>
    <w:rPr>
      <w:sz w:val="20"/>
      <w:szCs w:val="20"/>
      <w:lang w:eastAsia="en-US"/>
    </w:rPr>
  </w:style>
  <w:style w:type="character" w:customStyle="1" w:styleId="TextocomentarioCar">
    <w:name w:val="Texto comentario Car"/>
    <w:basedOn w:val="Fuentedeprrafopredeter"/>
    <w:link w:val="Textocomentario"/>
    <w:semiHidden/>
    <w:rsid w:val="00FF04E3"/>
  </w:style>
  <w:style w:type="paragraph" w:styleId="Asuntodelcomentario">
    <w:name w:val="annotation subject"/>
    <w:basedOn w:val="Textocomentario"/>
    <w:next w:val="Textocomentario"/>
    <w:link w:val="AsuntodelcomentarioCar"/>
    <w:semiHidden/>
    <w:rsid w:val="00405336"/>
    <w:rPr>
      <w:b/>
      <w:bCs/>
    </w:rPr>
  </w:style>
  <w:style w:type="character" w:customStyle="1" w:styleId="AsuntodelcomentarioCar">
    <w:name w:val="Asunto del comentario Car"/>
    <w:basedOn w:val="TextocomentarioCar"/>
    <w:link w:val="Asuntodelcomentario"/>
    <w:semiHidden/>
    <w:rsid w:val="00FF04E3"/>
    <w:rPr>
      <w:b/>
      <w:bCs/>
    </w:rPr>
  </w:style>
  <w:style w:type="paragraph" w:styleId="Fecha">
    <w:name w:val="Date"/>
    <w:basedOn w:val="Normal"/>
    <w:next w:val="Normal"/>
    <w:link w:val="FechaCar"/>
    <w:semiHidden/>
    <w:rsid w:val="00405336"/>
    <w:rPr>
      <w:szCs w:val="20"/>
      <w:lang w:eastAsia="en-US"/>
    </w:rPr>
  </w:style>
  <w:style w:type="character" w:customStyle="1" w:styleId="FechaCar">
    <w:name w:val="Fecha Car"/>
    <w:basedOn w:val="Fuentedeprrafopredeter"/>
    <w:link w:val="Fecha"/>
    <w:semiHidden/>
    <w:rsid w:val="00FF04E3"/>
    <w:rPr>
      <w:sz w:val="24"/>
    </w:rPr>
  </w:style>
  <w:style w:type="paragraph" w:styleId="Mapadeldocumento">
    <w:name w:val="Document Map"/>
    <w:basedOn w:val="Normal"/>
    <w:link w:val="MapadeldocumentoCar"/>
    <w:semiHidden/>
    <w:rsid w:val="00405336"/>
    <w:rPr>
      <w:rFonts w:ascii="Tahoma" w:hAnsi="Tahoma" w:cs="Tahoma"/>
      <w:sz w:val="16"/>
      <w:szCs w:val="16"/>
      <w:lang w:eastAsia="en-US"/>
    </w:rPr>
  </w:style>
  <w:style w:type="character" w:customStyle="1" w:styleId="MapadeldocumentoCar">
    <w:name w:val="Mapa del documento Car"/>
    <w:basedOn w:val="Fuentedeprrafopredeter"/>
    <w:link w:val="Mapadeldocumento"/>
    <w:semiHidden/>
    <w:rsid w:val="00FF04E3"/>
    <w:rPr>
      <w:rFonts w:ascii="Tahoma" w:hAnsi="Tahoma" w:cs="Tahoma"/>
      <w:sz w:val="16"/>
      <w:szCs w:val="16"/>
    </w:rPr>
  </w:style>
  <w:style w:type="paragraph" w:styleId="Firmadecorreoelectrnico">
    <w:name w:val="E-mail Signature"/>
    <w:basedOn w:val="Normal"/>
    <w:link w:val="FirmadecorreoelectrnicoCar"/>
    <w:semiHidden/>
    <w:rsid w:val="00405336"/>
    <w:rPr>
      <w:szCs w:val="20"/>
      <w:lang w:eastAsia="en-US"/>
    </w:rPr>
  </w:style>
  <w:style w:type="character" w:customStyle="1" w:styleId="FirmadecorreoelectrnicoCar">
    <w:name w:val="Firma de correo electrónico Car"/>
    <w:basedOn w:val="Fuentedeprrafopredeter"/>
    <w:link w:val="Firmadecorreoelectrnico"/>
    <w:semiHidden/>
    <w:rsid w:val="00FF04E3"/>
    <w:rPr>
      <w:sz w:val="24"/>
    </w:rPr>
  </w:style>
  <w:style w:type="paragraph" w:styleId="Textonotaalfinal">
    <w:name w:val="endnote text"/>
    <w:basedOn w:val="Normal"/>
    <w:link w:val="TextonotaalfinalCar"/>
    <w:semiHidden/>
    <w:rsid w:val="00405336"/>
    <w:rPr>
      <w:sz w:val="20"/>
      <w:szCs w:val="20"/>
      <w:lang w:eastAsia="en-US"/>
    </w:rPr>
  </w:style>
  <w:style w:type="character" w:customStyle="1" w:styleId="TextonotaalfinalCar">
    <w:name w:val="Texto nota al final Car"/>
    <w:basedOn w:val="Fuentedeprrafopredeter"/>
    <w:link w:val="Textonotaalfinal"/>
    <w:semiHidden/>
    <w:rsid w:val="00FF04E3"/>
  </w:style>
  <w:style w:type="paragraph" w:styleId="Direccinsobre">
    <w:name w:val="envelope address"/>
    <w:basedOn w:val="Normal"/>
    <w:semiHidden/>
    <w:rsid w:val="00405336"/>
    <w:pPr>
      <w:framePr w:w="7920" w:h="1980" w:hRule="exact" w:hSpace="180" w:wrap="auto" w:hAnchor="page" w:xAlign="center" w:yAlign="bottom"/>
      <w:ind w:left="2880"/>
    </w:pPr>
    <w:rPr>
      <w:rFonts w:ascii="Cambria" w:hAnsi="Cambria"/>
      <w:lang w:eastAsia="en-US"/>
    </w:rPr>
  </w:style>
  <w:style w:type="paragraph" w:styleId="Remitedesobre">
    <w:name w:val="envelope return"/>
    <w:basedOn w:val="Normal"/>
    <w:semiHidden/>
    <w:rsid w:val="00405336"/>
    <w:rPr>
      <w:rFonts w:ascii="Cambria" w:hAnsi="Cambria"/>
      <w:sz w:val="20"/>
      <w:szCs w:val="20"/>
      <w:lang w:eastAsia="en-US"/>
    </w:rPr>
  </w:style>
  <w:style w:type="paragraph" w:styleId="Piedepgina">
    <w:name w:val="footer"/>
    <w:basedOn w:val="Normal"/>
    <w:link w:val="PiedepginaCar"/>
    <w:semiHidden/>
    <w:rsid w:val="00405336"/>
    <w:pPr>
      <w:tabs>
        <w:tab w:val="center" w:pos="4680"/>
        <w:tab w:val="right" w:pos="9360"/>
      </w:tabs>
    </w:pPr>
    <w:rPr>
      <w:szCs w:val="20"/>
      <w:lang w:eastAsia="en-US"/>
    </w:rPr>
  </w:style>
  <w:style w:type="character" w:customStyle="1" w:styleId="PiedepginaCar">
    <w:name w:val="Pie de página Car"/>
    <w:basedOn w:val="Fuentedeprrafopredeter"/>
    <w:link w:val="Piedepgina"/>
    <w:semiHidden/>
    <w:rsid w:val="00FF04E3"/>
    <w:rPr>
      <w:sz w:val="24"/>
    </w:rPr>
  </w:style>
  <w:style w:type="paragraph" w:styleId="Textonotapie">
    <w:name w:val="footnote text"/>
    <w:basedOn w:val="Normal"/>
    <w:link w:val="TextonotapieCar"/>
    <w:semiHidden/>
    <w:rsid w:val="00405336"/>
    <w:rPr>
      <w:sz w:val="20"/>
      <w:szCs w:val="20"/>
      <w:lang w:eastAsia="en-US"/>
    </w:rPr>
  </w:style>
  <w:style w:type="character" w:customStyle="1" w:styleId="TextonotapieCar">
    <w:name w:val="Texto nota pie Car"/>
    <w:basedOn w:val="Fuentedeprrafopredeter"/>
    <w:link w:val="Textonotapie"/>
    <w:semiHidden/>
    <w:rsid w:val="00FF04E3"/>
  </w:style>
  <w:style w:type="paragraph" w:styleId="Encabezado">
    <w:name w:val="header"/>
    <w:basedOn w:val="Normal"/>
    <w:link w:val="EncabezadoCar"/>
    <w:semiHidden/>
    <w:rsid w:val="00405336"/>
    <w:pPr>
      <w:tabs>
        <w:tab w:val="center" w:pos="4680"/>
        <w:tab w:val="right" w:pos="9360"/>
      </w:tabs>
    </w:pPr>
    <w:rPr>
      <w:szCs w:val="20"/>
      <w:lang w:eastAsia="en-US"/>
    </w:rPr>
  </w:style>
  <w:style w:type="character" w:customStyle="1" w:styleId="EncabezadoCar">
    <w:name w:val="Encabezado Car"/>
    <w:basedOn w:val="Fuentedeprrafopredeter"/>
    <w:link w:val="Encabezado"/>
    <w:semiHidden/>
    <w:rsid w:val="00FF04E3"/>
    <w:rPr>
      <w:sz w:val="24"/>
    </w:rPr>
  </w:style>
  <w:style w:type="paragraph" w:styleId="DireccinHTML">
    <w:name w:val="HTML Address"/>
    <w:basedOn w:val="Normal"/>
    <w:link w:val="DireccinHTMLCar"/>
    <w:semiHidden/>
    <w:rsid w:val="00405336"/>
    <w:rPr>
      <w:i/>
      <w:iCs/>
      <w:szCs w:val="20"/>
      <w:lang w:eastAsia="en-US"/>
    </w:rPr>
  </w:style>
  <w:style w:type="character" w:customStyle="1" w:styleId="DireccinHTMLCar">
    <w:name w:val="Dirección HTML Car"/>
    <w:basedOn w:val="Fuentedeprrafopredeter"/>
    <w:link w:val="DireccinHTML"/>
    <w:semiHidden/>
    <w:rsid w:val="00FF04E3"/>
    <w:rPr>
      <w:i/>
      <w:iCs/>
      <w:sz w:val="24"/>
    </w:rPr>
  </w:style>
  <w:style w:type="paragraph" w:styleId="HTMLconformatoprevio">
    <w:name w:val="HTML Preformatted"/>
    <w:basedOn w:val="Normal"/>
    <w:link w:val="HTMLconformatoprevioCar"/>
    <w:semiHidden/>
    <w:rsid w:val="00405336"/>
    <w:rPr>
      <w:rFonts w:ascii="Courier New" w:hAnsi="Courier New" w:cs="Courier New"/>
      <w:sz w:val="20"/>
      <w:szCs w:val="20"/>
      <w:lang w:eastAsia="en-US"/>
    </w:rPr>
  </w:style>
  <w:style w:type="character" w:customStyle="1" w:styleId="HTMLconformatoprevioCar">
    <w:name w:val="HTML con formato previo Car"/>
    <w:basedOn w:val="Fuentedeprrafopredeter"/>
    <w:link w:val="HTMLconformatoprevio"/>
    <w:semiHidden/>
    <w:rsid w:val="00FF04E3"/>
    <w:rPr>
      <w:rFonts w:ascii="Courier New" w:hAnsi="Courier New" w:cs="Courier New"/>
    </w:rPr>
  </w:style>
  <w:style w:type="paragraph" w:styleId="ndice1">
    <w:name w:val="index 1"/>
    <w:basedOn w:val="Normal"/>
    <w:next w:val="Normal"/>
    <w:autoRedefine/>
    <w:semiHidden/>
    <w:rsid w:val="00405336"/>
    <w:pPr>
      <w:ind w:left="240" w:hanging="240"/>
    </w:pPr>
    <w:rPr>
      <w:szCs w:val="20"/>
      <w:lang w:eastAsia="en-US"/>
    </w:rPr>
  </w:style>
  <w:style w:type="paragraph" w:styleId="ndice2">
    <w:name w:val="index 2"/>
    <w:basedOn w:val="Normal"/>
    <w:next w:val="Normal"/>
    <w:autoRedefine/>
    <w:semiHidden/>
    <w:rsid w:val="00405336"/>
    <w:pPr>
      <w:ind w:left="480" w:hanging="240"/>
    </w:pPr>
    <w:rPr>
      <w:szCs w:val="20"/>
      <w:lang w:eastAsia="en-US"/>
    </w:rPr>
  </w:style>
  <w:style w:type="paragraph" w:styleId="ndice3">
    <w:name w:val="index 3"/>
    <w:basedOn w:val="Normal"/>
    <w:next w:val="Normal"/>
    <w:autoRedefine/>
    <w:semiHidden/>
    <w:rsid w:val="00405336"/>
    <w:pPr>
      <w:ind w:left="720" w:hanging="240"/>
    </w:pPr>
    <w:rPr>
      <w:szCs w:val="20"/>
      <w:lang w:eastAsia="en-US"/>
    </w:rPr>
  </w:style>
  <w:style w:type="paragraph" w:styleId="ndice4">
    <w:name w:val="index 4"/>
    <w:basedOn w:val="Normal"/>
    <w:next w:val="Normal"/>
    <w:autoRedefine/>
    <w:semiHidden/>
    <w:rsid w:val="00405336"/>
    <w:pPr>
      <w:ind w:left="960" w:hanging="240"/>
    </w:pPr>
    <w:rPr>
      <w:szCs w:val="20"/>
      <w:lang w:eastAsia="en-US"/>
    </w:rPr>
  </w:style>
  <w:style w:type="paragraph" w:styleId="ndice5">
    <w:name w:val="index 5"/>
    <w:basedOn w:val="Normal"/>
    <w:next w:val="Normal"/>
    <w:autoRedefine/>
    <w:semiHidden/>
    <w:rsid w:val="00405336"/>
    <w:pPr>
      <w:ind w:left="1200" w:hanging="240"/>
    </w:pPr>
    <w:rPr>
      <w:szCs w:val="20"/>
      <w:lang w:eastAsia="en-US"/>
    </w:rPr>
  </w:style>
  <w:style w:type="paragraph" w:styleId="ndice6">
    <w:name w:val="index 6"/>
    <w:basedOn w:val="Normal"/>
    <w:next w:val="Normal"/>
    <w:autoRedefine/>
    <w:semiHidden/>
    <w:rsid w:val="00405336"/>
    <w:pPr>
      <w:ind w:left="1440" w:hanging="240"/>
    </w:pPr>
    <w:rPr>
      <w:szCs w:val="20"/>
      <w:lang w:eastAsia="en-US"/>
    </w:rPr>
  </w:style>
  <w:style w:type="paragraph" w:styleId="ndice7">
    <w:name w:val="index 7"/>
    <w:basedOn w:val="Normal"/>
    <w:next w:val="Normal"/>
    <w:autoRedefine/>
    <w:semiHidden/>
    <w:rsid w:val="00405336"/>
    <w:pPr>
      <w:ind w:left="1680" w:hanging="240"/>
    </w:pPr>
    <w:rPr>
      <w:szCs w:val="20"/>
      <w:lang w:eastAsia="en-US"/>
    </w:rPr>
  </w:style>
  <w:style w:type="paragraph" w:styleId="ndice8">
    <w:name w:val="index 8"/>
    <w:basedOn w:val="Normal"/>
    <w:next w:val="Normal"/>
    <w:autoRedefine/>
    <w:semiHidden/>
    <w:rsid w:val="00405336"/>
    <w:pPr>
      <w:ind w:left="1920" w:hanging="240"/>
    </w:pPr>
    <w:rPr>
      <w:szCs w:val="20"/>
      <w:lang w:eastAsia="en-US"/>
    </w:rPr>
  </w:style>
  <w:style w:type="paragraph" w:styleId="ndice9">
    <w:name w:val="index 9"/>
    <w:basedOn w:val="Normal"/>
    <w:next w:val="Normal"/>
    <w:autoRedefine/>
    <w:semiHidden/>
    <w:rsid w:val="00405336"/>
    <w:pPr>
      <w:ind w:left="2160" w:hanging="240"/>
    </w:pPr>
    <w:rPr>
      <w:szCs w:val="20"/>
      <w:lang w:eastAsia="en-US"/>
    </w:rPr>
  </w:style>
  <w:style w:type="paragraph" w:styleId="Ttulodendice">
    <w:name w:val="index heading"/>
    <w:basedOn w:val="Normal"/>
    <w:next w:val="ndice1"/>
    <w:semiHidden/>
    <w:rsid w:val="00405336"/>
    <w:rPr>
      <w:rFonts w:ascii="Cambria" w:hAnsi="Cambria"/>
      <w:b/>
      <w:bCs/>
      <w:szCs w:val="20"/>
      <w:lang w:eastAsia="en-US"/>
    </w:rPr>
  </w:style>
  <w:style w:type="paragraph" w:styleId="Citadestacada">
    <w:name w:val="Intense Quote"/>
    <w:basedOn w:val="Normal"/>
    <w:next w:val="Normal"/>
    <w:link w:val="CitadestacadaCar"/>
    <w:uiPriority w:val="30"/>
    <w:semiHidden/>
    <w:qFormat/>
    <w:rsid w:val="00405336"/>
    <w:pPr>
      <w:pBdr>
        <w:bottom w:val="single" w:sz="4" w:space="4" w:color="4F81BD"/>
      </w:pBdr>
      <w:spacing w:before="200" w:after="280"/>
      <w:ind w:left="936" w:right="936"/>
    </w:pPr>
    <w:rPr>
      <w:b/>
      <w:bCs/>
      <w:i/>
      <w:iCs/>
      <w:color w:val="4F81BD"/>
      <w:szCs w:val="20"/>
      <w:lang w:eastAsia="en-US"/>
    </w:rPr>
  </w:style>
  <w:style w:type="character" w:customStyle="1" w:styleId="CitadestacadaCar">
    <w:name w:val="Cita destacada Car"/>
    <w:basedOn w:val="Fuentedeprrafopredeter"/>
    <w:link w:val="Citadestacada"/>
    <w:uiPriority w:val="30"/>
    <w:semiHidden/>
    <w:rsid w:val="00FF04E3"/>
    <w:rPr>
      <w:b/>
      <w:bCs/>
      <w:i/>
      <w:iCs/>
      <w:color w:val="4F81BD"/>
      <w:sz w:val="24"/>
    </w:rPr>
  </w:style>
  <w:style w:type="paragraph" w:styleId="Lista">
    <w:name w:val="List"/>
    <w:basedOn w:val="Normal"/>
    <w:semiHidden/>
    <w:rsid w:val="00405336"/>
    <w:pPr>
      <w:ind w:left="360" w:hanging="360"/>
      <w:contextualSpacing/>
    </w:pPr>
    <w:rPr>
      <w:szCs w:val="20"/>
      <w:lang w:eastAsia="en-US"/>
    </w:rPr>
  </w:style>
  <w:style w:type="paragraph" w:styleId="Lista2">
    <w:name w:val="List 2"/>
    <w:basedOn w:val="Normal"/>
    <w:semiHidden/>
    <w:rsid w:val="00405336"/>
    <w:pPr>
      <w:ind w:left="720" w:hanging="360"/>
      <w:contextualSpacing/>
    </w:pPr>
    <w:rPr>
      <w:szCs w:val="20"/>
      <w:lang w:eastAsia="en-US"/>
    </w:rPr>
  </w:style>
  <w:style w:type="paragraph" w:styleId="Lista3">
    <w:name w:val="List 3"/>
    <w:basedOn w:val="Normal"/>
    <w:semiHidden/>
    <w:rsid w:val="00405336"/>
    <w:pPr>
      <w:ind w:left="1080" w:hanging="360"/>
      <w:contextualSpacing/>
    </w:pPr>
    <w:rPr>
      <w:szCs w:val="20"/>
      <w:lang w:eastAsia="en-US"/>
    </w:rPr>
  </w:style>
  <w:style w:type="paragraph" w:styleId="Lista4">
    <w:name w:val="List 4"/>
    <w:basedOn w:val="Normal"/>
    <w:semiHidden/>
    <w:rsid w:val="00405336"/>
    <w:pPr>
      <w:ind w:left="1440" w:hanging="360"/>
      <w:contextualSpacing/>
    </w:pPr>
    <w:rPr>
      <w:szCs w:val="20"/>
      <w:lang w:eastAsia="en-US"/>
    </w:rPr>
  </w:style>
  <w:style w:type="paragraph" w:styleId="Lista5">
    <w:name w:val="List 5"/>
    <w:basedOn w:val="Normal"/>
    <w:semiHidden/>
    <w:rsid w:val="00405336"/>
    <w:pPr>
      <w:ind w:left="1800" w:hanging="360"/>
      <w:contextualSpacing/>
    </w:pPr>
    <w:rPr>
      <w:szCs w:val="20"/>
      <w:lang w:eastAsia="en-US"/>
    </w:rPr>
  </w:style>
  <w:style w:type="paragraph" w:styleId="Listaconvietas">
    <w:name w:val="List Bullet"/>
    <w:basedOn w:val="Normal"/>
    <w:semiHidden/>
    <w:rsid w:val="00405336"/>
    <w:pPr>
      <w:numPr>
        <w:numId w:val="1"/>
      </w:numPr>
      <w:contextualSpacing/>
    </w:pPr>
    <w:rPr>
      <w:szCs w:val="20"/>
      <w:lang w:eastAsia="en-US"/>
    </w:rPr>
  </w:style>
  <w:style w:type="paragraph" w:styleId="Listaconvietas2">
    <w:name w:val="List Bullet 2"/>
    <w:basedOn w:val="Normal"/>
    <w:semiHidden/>
    <w:rsid w:val="00405336"/>
    <w:pPr>
      <w:numPr>
        <w:numId w:val="2"/>
      </w:numPr>
      <w:contextualSpacing/>
    </w:pPr>
    <w:rPr>
      <w:szCs w:val="20"/>
      <w:lang w:eastAsia="en-US"/>
    </w:rPr>
  </w:style>
  <w:style w:type="paragraph" w:styleId="Listaconvietas3">
    <w:name w:val="List Bullet 3"/>
    <w:basedOn w:val="Normal"/>
    <w:semiHidden/>
    <w:rsid w:val="00405336"/>
    <w:pPr>
      <w:numPr>
        <w:numId w:val="3"/>
      </w:numPr>
      <w:contextualSpacing/>
    </w:pPr>
    <w:rPr>
      <w:szCs w:val="20"/>
      <w:lang w:eastAsia="en-US"/>
    </w:rPr>
  </w:style>
  <w:style w:type="paragraph" w:styleId="Listaconvietas4">
    <w:name w:val="List Bullet 4"/>
    <w:basedOn w:val="Normal"/>
    <w:semiHidden/>
    <w:rsid w:val="00405336"/>
    <w:pPr>
      <w:numPr>
        <w:numId w:val="4"/>
      </w:numPr>
      <w:contextualSpacing/>
    </w:pPr>
    <w:rPr>
      <w:szCs w:val="20"/>
      <w:lang w:eastAsia="en-US"/>
    </w:rPr>
  </w:style>
  <w:style w:type="paragraph" w:styleId="Listaconvietas5">
    <w:name w:val="List Bullet 5"/>
    <w:basedOn w:val="Normal"/>
    <w:semiHidden/>
    <w:rsid w:val="00405336"/>
    <w:pPr>
      <w:numPr>
        <w:numId w:val="5"/>
      </w:numPr>
      <w:contextualSpacing/>
    </w:pPr>
    <w:rPr>
      <w:szCs w:val="20"/>
      <w:lang w:eastAsia="en-US"/>
    </w:rPr>
  </w:style>
  <w:style w:type="paragraph" w:styleId="Continuarlista">
    <w:name w:val="List Continue"/>
    <w:basedOn w:val="Normal"/>
    <w:semiHidden/>
    <w:rsid w:val="00405336"/>
    <w:pPr>
      <w:spacing w:after="120"/>
      <w:ind w:left="360"/>
      <w:contextualSpacing/>
    </w:pPr>
    <w:rPr>
      <w:szCs w:val="20"/>
      <w:lang w:eastAsia="en-US"/>
    </w:rPr>
  </w:style>
  <w:style w:type="paragraph" w:styleId="Continuarlista2">
    <w:name w:val="List Continue 2"/>
    <w:basedOn w:val="Normal"/>
    <w:semiHidden/>
    <w:rsid w:val="00405336"/>
    <w:pPr>
      <w:spacing w:after="120"/>
      <w:ind w:left="720"/>
      <w:contextualSpacing/>
    </w:pPr>
    <w:rPr>
      <w:szCs w:val="20"/>
      <w:lang w:eastAsia="en-US"/>
    </w:rPr>
  </w:style>
  <w:style w:type="paragraph" w:styleId="Continuarlista3">
    <w:name w:val="List Continue 3"/>
    <w:basedOn w:val="Normal"/>
    <w:semiHidden/>
    <w:rsid w:val="00405336"/>
    <w:pPr>
      <w:spacing w:after="120"/>
      <w:ind w:left="1080"/>
      <w:contextualSpacing/>
    </w:pPr>
    <w:rPr>
      <w:szCs w:val="20"/>
      <w:lang w:eastAsia="en-US"/>
    </w:rPr>
  </w:style>
  <w:style w:type="paragraph" w:styleId="Continuarlista4">
    <w:name w:val="List Continue 4"/>
    <w:basedOn w:val="Normal"/>
    <w:semiHidden/>
    <w:rsid w:val="00405336"/>
    <w:pPr>
      <w:spacing w:after="120"/>
      <w:ind w:left="1440"/>
      <w:contextualSpacing/>
    </w:pPr>
    <w:rPr>
      <w:szCs w:val="20"/>
      <w:lang w:eastAsia="en-US"/>
    </w:rPr>
  </w:style>
  <w:style w:type="paragraph" w:styleId="Continuarlista5">
    <w:name w:val="List Continue 5"/>
    <w:basedOn w:val="Normal"/>
    <w:semiHidden/>
    <w:rsid w:val="00405336"/>
    <w:pPr>
      <w:spacing w:after="120"/>
      <w:ind w:left="1800"/>
      <w:contextualSpacing/>
    </w:pPr>
    <w:rPr>
      <w:szCs w:val="20"/>
      <w:lang w:eastAsia="en-US"/>
    </w:rPr>
  </w:style>
  <w:style w:type="paragraph" w:styleId="Listaconnmeros">
    <w:name w:val="List Number"/>
    <w:basedOn w:val="Normal"/>
    <w:semiHidden/>
    <w:rsid w:val="00405336"/>
    <w:pPr>
      <w:numPr>
        <w:numId w:val="6"/>
      </w:numPr>
      <w:contextualSpacing/>
    </w:pPr>
    <w:rPr>
      <w:szCs w:val="20"/>
      <w:lang w:eastAsia="en-US"/>
    </w:rPr>
  </w:style>
  <w:style w:type="paragraph" w:styleId="Listaconnmeros2">
    <w:name w:val="List Number 2"/>
    <w:basedOn w:val="Normal"/>
    <w:semiHidden/>
    <w:rsid w:val="00405336"/>
    <w:pPr>
      <w:numPr>
        <w:numId w:val="7"/>
      </w:numPr>
      <w:contextualSpacing/>
    </w:pPr>
    <w:rPr>
      <w:szCs w:val="20"/>
      <w:lang w:eastAsia="en-US"/>
    </w:rPr>
  </w:style>
  <w:style w:type="paragraph" w:styleId="Listaconnmeros3">
    <w:name w:val="List Number 3"/>
    <w:basedOn w:val="Normal"/>
    <w:semiHidden/>
    <w:rsid w:val="00405336"/>
    <w:pPr>
      <w:numPr>
        <w:numId w:val="8"/>
      </w:numPr>
      <w:contextualSpacing/>
    </w:pPr>
    <w:rPr>
      <w:szCs w:val="20"/>
      <w:lang w:eastAsia="en-US"/>
    </w:rPr>
  </w:style>
  <w:style w:type="paragraph" w:styleId="Listaconnmeros4">
    <w:name w:val="List Number 4"/>
    <w:basedOn w:val="Normal"/>
    <w:semiHidden/>
    <w:rsid w:val="00405336"/>
    <w:pPr>
      <w:numPr>
        <w:numId w:val="9"/>
      </w:numPr>
      <w:contextualSpacing/>
    </w:pPr>
    <w:rPr>
      <w:szCs w:val="20"/>
      <w:lang w:eastAsia="en-US"/>
    </w:rPr>
  </w:style>
  <w:style w:type="paragraph" w:styleId="Listaconnmeros5">
    <w:name w:val="List Number 5"/>
    <w:basedOn w:val="Normal"/>
    <w:semiHidden/>
    <w:rsid w:val="00405336"/>
    <w:pPr>
      <w:numPr>
        <w:numId w:val="10"/>
      </w:numPr>
      <w:contextualSpacing/>
    </w:pPr>
    <w:rPr>
      <w:szCs w:val="20"/>
      <w:lang w:eastAsia="en-US"/>
    </w:rPr>
  </w:style>
  <w:style w:type="paragraph" w:styleId="Prrafodelista">
    <w:name w:val="List Paragraph"/>
    <w:basedOn w:val="Normal"/>
    <w:uiPriority w:val="34"/>
    <w:semiHidden/>
    <w:qFormat/>
    <w:rsid w:val="00405336"/>
    <w:pPr>
      <w:ind w:left="720"/>
    </w:pPr>
    <w:rPr>
      <w:szCs w:val="20"/>
      <w:lang w:eastAsia="en-US"/>
    </w:rPr>
  </w:style>
  <w:style w:type="paragraph" w:styleId="Textomacro">
    <w:name w:val="macro"/>
    <w:link w:val="Texto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macroCar">
    <w:name w:val="Texto macro Car"/>
    <w:basedOn w:val="Fuentedeprrafopredeter"/>
    <w:link w:val="Textomacro"/>
    <w:semiHidden/>
    <w:rsid w:val="00FF04E3"/>
    <w:rPr>
      <w:rFonts w:ascii="Courier New" w:hAnsi="Courier New" w:cs="Courier New"/>
      <w:lang w:val="en-US" w:eastAsia="en-US" w:bidi="ar-SA"/>
    </w:rPr>
  </w:style>
  <w:style w:type="paragraph" w:styleId="Encabezadodemensaje">
    <w:name w:val="Message Header"/>
    <w:basedOn w:val="Normal"/>
    <w:link w:val="Encabezadodemensaj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eastAsia="en-US"/>
    </w:rPr>
  </w:style>
  <w:style w:type="character" w:customStyle="1" w:styleId="EncabezadodemensajeCar">
    <w:name w:val="Encabezado de mensaje Car"/>
    <w:basedOn w:val="Fuentedeprrafopredeter"/>
    <w:link w:val="Encabezadodemensaje"/>
    <w:semiHidden/>
    <w:rsid w:val="00FF04E3"/>
    <w:rPr>
      <w:rFonts w:ascii="Cambria" w:hAnsi="Cambria"/>
      <w:sz w:val="24"/>
      <w:szCs w:val="24"/>
      <w:shd w:val="pct20" w:color="auto" w:fill="auto"/>
    </w:rPr>
  </w:style>
  <w:style w:type="paragraph" w:styleId="Sinespaciado">
    <w:name w:val="No Spacing"/>
    <w:uiPriority w:val="1"/>
    <w:semiHidden/>
    <w:qFormat/>
    <w:rsid w:val="00405336"/>
    <w:rPr>
      <w:sz w:val="24"/>
    </w:rPr>
  </w:style>
  <w:style w:type="paragraph" w:styleId="NormalWeb">
    <w:name w:val="Normal (Web)"/>
    <w:basedOn w:val="Normal"/>
    <w:uiPriority w:val="99"/>
    <w:semiHidden/>
    <w:rsid w:val="00405336"/>
    <w:rPr>
      <w:lang w:eastAsia="en-US"/>
    </w:rPr>
  </w:style>
  <w:style w:type="paragraph" w:styleId="Sangranormal">
    <w:name w:val="Normal Indent"/>
    <w:basedOn w:val="Normal"/>
    <w:semiHidden/>
    <w:rsid w:val="00405336"/>
    <w:pPr>
      <w:ind w:left="720"/>
    </w:pPr>
    <w:rPr>
      <w:szCs w:val="20"/>
      <w:lang w:eastAsia="en-US"/>
    </w:rPr>
  </w:style>
  <w:style w:type="paragraph" w:styleId="Encabezadodenota">
    <w:name w:val="Note Heading"/>
    <w:basedOn w:val="Normal"/>
    <w:next w:val="Normal"/>
    <w:link w:val="EncabezadodenotaCar"/>
    <w:semiHidden/>
    <w:rsid w:val="00405336"/>
    <w:rPr>
      <w:szCs w:val="20"/>
      <w:lang w:eastAsia="en-US"/>
    </w:rPr>
  </w:style>
  <w:style w:type="character" w:customStyle="1" w:styleId="EncabezadodenotaCar">
    <w:name w:val="Encabezado de nota Car"/>
    <w:basedOn w:val="Fuentedeprrafopredeter"/>
    <w:link w:val="Encabezadodenota"/>
    <w:semiHidden/>
    <w:rsid w:val="00FF04E3"/>
    <w:rPr>
      <w:sz w:val="24"/>
    </w:rPr>
  </w:style>
  <w:style w:type="paragraph" w:styleId="Textosinformato">
    <w:name w:val="Plain Text"/>
    <w:basedOn w:val="Normal"/>
    <w:link w:val="TextosinformatoCar"/>
    <w:semiHidden/>
    <w:rsid w:val="00405336"/>
    <w:rPr>
      <w:rFonts w:ascii="Courier New" w:hAnsi="Courier New" w:cs="Courier New"/>
      <w:sz w:val="20"/>
      <w:szCs w:val="20"/>
      <w:lang w:eastAsia="en-US"/>
    </w:rPr>
  </w:style>
  <w:style w:type="character" w:customStyle="1" w:styleId="TextosinformatoCar">
    <w:name w:val="Texto sin formato Car"/>
    <w:basedOn w:val="Fuentedeprrafopredeter"/>
    <w:link w:val="Textosinformato"/>
    <w:semiHidden/>
    <w:rsid w:val="00FF04E3"/>
    <w:rPr>
      <w:rFonts w:ascii="Courier New" w:hAnsi="Courier New" w:cs="Courier New"/>
    </w:rPr>
  </w:style>
  <w:style w:type="paragraph" w:styleId="Cita">
    <w:name w:val="Quote"/>
    <w:basedOn w:val="Normal"/>
    <w:next w:val="Normal"/>
    <w:link w:val="CitaCar"/>
    <w:uiPriority w:val="29"/>
    <w:semiHidden/>
    <w:qFormat/>
    <w:rsid w:val="00405336"/>
    <w:rPr>
      <w:i/>
      <w:iCs/>
      <w:color w:val="000000"/>
      <w:szCs w:val="20"/>
      <w:lang w:eastAsia="en-US"/>
    </w:rPr>
  </w:style>
  <w:style w:type="character" w:customStyle="1" w:styleId="CitaCar">
    <w:name w:val="Cita Car"/>
    <w:basedOn w:val="Fuentedeprrafopredeter"/>
    <w:link w:val="Cita"/>
    <w:uiPriority w:val="29"/>
    <w:semiHidden/>
    <w:rsid w:val="00FF04E3"/>
    <w:rPr>
      <w:i/>
      <w:iCs/>
      <w:color w:val="000000"/>
      <w:sz w:val="24"/>
    </w:rPr>
  </w:style>
  <w:style w:type="paragraph" w:styleId="Saludo">
    <w:name w:val="Salutation"/>
    <w:basedOn w:val="Normal"/>
    <w:next w:val="Normal"/>
    <w:link w:val="SaludoCar"/>
    <w:semiHidden/>
    <w:rsid w:val="00405336"/>
    <w:rPr>
      <w:szCs w:val="20"/>
      <w:lang w:eastAsia="en-US"/>
    </w:rPr>
  </w:style>
  <w:style w:type="character" w:customStyle="1" w:styleId="SaludoCar">
    <w:name w:val="Saludo Car"/>
    <w:basedOn w:val="Fuentedeprrafopredeter"/>
    <w:link w:val="Saludo"/>
    <w:semiHidden/>
    <w:rsid w:val="00FF04E3"/>
    <w:rPr>
      <w:sz w:val="24"/>
    </w:rPr>
  </w:style>
  <w:style w:type="paragraph" w:styleId="Firma">
    <w:name w:val="Signature"/>
    <w:basedOn w:val="Normal"/>
    <w:link w:val="FirmaCar"/>
    <w:semiHidden/>
    <w:rsid w:val="00405336"/>
    <w:pPr>
      <w:ind w:left="4320"/>
    </w:pPr>
    <w:rPr>
      <w:szCs w:val="20"/>
      <w:lang w:eastAsia="en-US"/>
    </w:rPr>
  </w:style>
  <w:style w:type="character" w:customStyle="1" w:styleId="FirmaCar">
    <w:name w:val="Firma Car"/>
    <w:basedOn w:val="Fuentedeprrafopredeter"/>
    <w:link w:val="Firma"/>
    <w:semiHidden/>
    <w:rsid w:val="00FF04E3"/>
    <w:rPr>
      <w:sz w:val="24"/>
    </w:rPr>
  </w:style>
  <w:style w:type="paragraph" w:styleId="Subttulo">
    <w:name w:val="Subtitle"/>
    <w:basedOn w:val="Normal"/>
    <w:next w:val="Normal"/>
    <w:link w:val="SubttuloCar"/>
    <w:semiHidden/>
    <w:qFormat/>
    <w:rsid w:val="00405336"/>
    <w:pPr>
      <w:spacing w:after="60"/>
      <w:jc w:val="center"/>
      <w:outlineLvl w:val="1"/>
    </w:pPr>
    <w:rPr>
      <w:rFonts w:ascii="Cambria" w:hAnsi="Cambria"/>
      <w:lang w:eastAsia="en-US"/>
    </w:rPr>
  </w:style>
  <w:style w:type="character" w:customStyle="1" w:styleId="SubttuloCar">
    <w:name w:val="Subtítulo Car"/>
    <w:basedOn w:val="Fuentedeprrafopredeter"/>
    <w:link w:val="Subttulo"/>
    <w:semiHidden/>
    <w:rsid w:val="00FF04E3"/>
    <w:rPr>
      <w:rFonts w:ascii="Cambria" w:hAnsi="Cambria"/>
      <w:sz w:val="24"/>
      <w:szCs w:val="24"/>
    </w:rPr>
  </w:style>
  <w:style w:type="paragraph" w:styleId="Textoconsangra">
    <w:name w:val="table of authorities"/>
    <w:basedOn w:val="Normal"/>
    <w:next w:val="Normal"/>
    <w:semiHidden/>
    <w:rsid w:val="00405336"/>
    <w:pPr>
      <w:ind w:left="240" w:hanging="240"/>
    </w:pPr>
    <w:rPr>
      <w:szCs w:val="20"/>
      <w:lang w:eastAsia="en-US"/>
    </w:rPr>
  </w:style>
  <w:style w:type="paragraph" w:styleId="Tabladeilustraciones">
    <w:name w:val="table of figures"/>
    <w:basedOn w:val="Normal"/>
    <w:next w:val="Normal"/>
    <w:semiHidden/>
    <w:rsid w:val="00405336"/>
    <w:rPr>
      <w:szCs w:val="20"/>
      <w:lang w:eastAsia="en-US"/>
    </w:rPr>
  </w:style>
  <w:style w:type="paragraph" w:styleId="Ttulo">
    <w:name w:val="Title"/>
    <w:basedOn w:val="Normal"/>
    <w:next w:val="Normal"/>
    <w:link w:val="TtuloCar"/>
    <w:semiHidden/>
    <w:qFormat/>
    <w:rsid w:val="00405336"/>
    <w:pPr>
      <w:spacing w:before="240" w:after="60"/>
      <w:jc w:val="center"/>
      <w:outlineLvl w:val="0"/>
    </w:pPr>
    <w:rPr>
      <w:rFonts w:ascii="Cambria" w:hAnsi="Cambria"/>
      <w:b/>
      <w:bCs/>
      <w:kern w:val="28"/>
      <w:sz w:val="32"/>
      <w:szCs w:val="32"/>
      <w:lang w:eastAsia="en-US"/>
    </w:rPr>
  </w:style>
  <w:style w:type="character" w:customStyle="1" w:styleId="TtuloCar">
    <w:name w:val="Título Car"/>
    <w:basedOn w:val="Fuentedeprrafopredeter"/>
    <w:link w:val="Ttulo"/>
    <w:semiHidden/>
    <w:rsid w:val="00FF04E3"/>
    <w:rPr>
      <w:rFonts w:ascii="Cambria" w:hAnsi="Cambria"/>
      <w:b/>
      <w:bCs/>
      <w:kern w:val="28"/>
      <w:sz w:val="32"/>
      <w:szCs w:val="32"/>
    </w:rPr>
  </w:style>
  <w:style w:type="paragraph" w:styleId="Encabezadodelista">
    <w:name w:val="toa heading"/>
    <w:basedOn w:val="Normal"/>
    <w:next w:val="Normal"/>
    <w:semiHidden/>
    <w:rsid w:val="00405336"/>
    <w:pPr>
      <w:spacing w:before="120"/>
    </w:pPr>
    <w:rPr>
      <w:rFonts w:ascii="Cambria" w:hAnsi="Cambria"/>
      <w:b/>
      <w:bCs/>
      <w:lang w:eastAsia="en-US"/>
    </w:rPr>
  </w:style>
  <w:style w:type="paragraph" w:styleId="TDC1">
    <w:name w:val="toc 1"/>
    <w:basedOn w:val="Normal"/>
    <w:next w:val="Normal"/>
    <w:autoRedefine/>
    <w:semiHidden/>
    <w:rsid w:val="00405336"/>
    <w:rPr>
      <w:szCs w:val="20"/>
      <w:lang w:eastAsia="en-US"/>
    </w:rPr>
  </w:style>
  <w:style w:type="paragraph" w:styleId="TDC2">
    <w:name w:val="toc 2"/>
    <w:basedOn w:val="Normal"/>
    <w:next w:val="Normal"/>
    <w:autoRedefine/>
    <w:semiHidden/>
    <w:rsid w:val="00405336"/>
    <w:pPr>
      <w:ind w:left="240"/>
    </w:pPr>
    <w:rPr>
      <w:szCs w:val="20"/>
      <w:lang w:eastAsia="en-US"/>
    </w:rPr>
  </w:style>
  <w:style w:type="paragraph" w:styleId="TDC3">
    <w:name w:val="toc 3"/>
    <w:basedOn w:val="Normal"/>
    <w:next w:val="Normal"/>
    <w:autoRedefine/>
    <w:semiHidden/>
    <w:rsid w:val="00405336"/>
    <w:pPr>
      <w:ind w:left="480"/>
    </w:pPr>
    <w:rPr>
      <w:szCs w:val="20"/>
      <w:lang w:eastAsia="en-US"/>
    </w:rPr>
  </w:style>
  <w:style w:type="paragraph" w:styleId="TDC4">
    <w:name w:val="toc 4"/>
    <w:basedOn w:val="Normal"/>
    <w:next w:val="Normal"/>
    <w:autoRedefine/>
    <w:semiHidden/>
    <w:rsid w:val="00405336"/>
    <w:pPr>
      <w:ind w:left="720"/>
    </w:pPr>
    <w:rPr>
      <w:szCs w:val="20"/>
      <w:lang w:eastAsia="en-US"/>
    </w:rPr>
  </w:style>
  <w:style w:type="paragraph" w:styleId="TDC5">
    <w:name w:val="toc 5"/>
    <w:basedOn w:val="Normal"/>
    <w:next w:val="Normal"/>
    <w:autoRedefine/>
    <w:semiHidden/>
    <w:rsid w:val="00405336"/>
    <w:pPr>
      <w:ind w:left="960"/>
    </w:pPr>
    <w:rPr>
      <w:szCs w:val="20"/>
      <w:lang w:eastAsia="en-US"/>
    </w:rPr>
  </w:style>
  <w:style w:type="paragraph" w:styleId="TDC6">
    <w:name w:val="toc 6"/>
    <w:basedOn w:val="Normal"/>
    <w:next w:val="Normal"/>
    <w:autoRedefine/>
    <w:semiHidden/>
    <w:rsid w:val="00405336"/>
    <w:pPr>
      <w:ind w:left="1200"/>
    </w:pPr>
    <w:rPr>
      <w:szCs w:val="20"/>
      <w:lang w:eastAsia="en-US"/>
    </w:rPr>
  </w:style>
  <w:style w:type="paragraph" w:styleId="TDC7">
    <w:name w:val="toc 7"/>
    <w:basedOn w:val="Normal"/>
    <w:next w:val="Normal"/>
    <w:autoRedefine/>
    <w:semiHidden/>
    <w:rsid w:val="00405336"/>
    <w:pPr>
      <w:ind w:left="1440"/>
    </w:pPr>
    <w:rPr>
      <w:szCs w:val="20"/>
      <w:lang w:eastAsia="en-US"/>
    </w:rPr>
  </w:style>
  <w:style w:type="paragraph" w:styleId="TDC8">
    <w:name w:val="toc 8"/>
    <w:basedOn w:val="Normal"/>
    <w:next w:val="Normal"/>
    <w:autoRedefine/>
    <w:semiHidden/>
    <w:rsid w:val="00405336"/>
    <w:pPr>
      <w:ind w:left="1680"/>
    </w:pPr>
    <w:rPr>
      <w:szCs w:val="20"/>
      <w:lang w:eastAsia="en-US"/>
    </w:rPr>
  </w:style>
  <w:style w:type="paragraph" w:styleId="TDC9">
    <w:name w:val="toc 9"/>
    <w:basedOn w:val="Normal"/>
    <w:next w:val="Normal"/>
    <w:autoRedefine/>
    <w:semiHidden/>
    <w:rsid w:val="00405336"/>
    <w:pPr>
      <w:ind w:left="1920"/>
    </w:pPr>
    <w:rPr>
      <w:szCs w:val="20"/>
      <w:lang w:eastAsia="en-US"/>
    </w:rPr>
  </w:style>
  <w:style w:type="paragraph" w:styleId="TtuloTDC">
    <w:name w:val="TOC Heading"/>
    <w:basedOn w:val="Ttulo1"/>
    <w:next w:val="Normal"/>
    <w:uiPriority w:val="39"/>
    <w:semiHidden/>
    <w:unhideWhenUsed/>
    <w:qFormat/>
    <w:rsid w:val="00405336"/>
    <w:pPr>
      <w:outlineLvl w:val="9"/>
    </w:pPr>
    <w:rPr>
      <w:rFonts w:ascii="Cambria" w:hAnsi="Cambria"/>
      <w:sz w:val="32"/>
      <w:szCs w:val="32"/>
    </w:rPr>
  </w:style>
  <w:style w:type="character" w:styleId="Hipervnculo">
    <w:name w:val="Hyperlink"/>
    <w:basedOn w:val="Fuentedeprrafopredeter"/>
    <w:semiHidden/>
    <w:rsid w:val="007402FC"/>
    <w:rPr>
      <w:color w:val="0000FF"/>
      <w:u w:val="single"/>
    </w:rPr>
  </w:style>
  <w:style w:type="character" w:styleId="nfasis">
    <w:name w:val="Emphasis"/>
    <w:basedOn w:val="Fuentedeprrafopredeter"/>
    <w:uiPriority w:val="20"/>
    <w:qFormat/>
    <w:rsid w:val="00B42F9C"/>
    <w:rPr>
      <w:i/>
      <w:iCs/>
    </w:rPr>
  </w:style>
  <w:style w:type="character" w:styleId="Refdecomentario">
    <w:name w:val="annotation reference"/>
    <w:basedOn w:val="Fuentedeprrafopredeter"/>
    <w:semiHidden/>
    <w:rsid w:val="009258B8"/>
    <w:rPr>
      <w:sz w:val="16"/>
      <w:szCs w:val="16"/>
    </w:rPr>
  </w:style>
  <w:style w:type="character" w:styleId="Hipervnculovisitado">
    <w:name w:val="FollowedHyperlink"/>
    <w:basedOn w:val="Fuentedeprrafopredeter"/>
    <w:semiHidden/>
    <w:unhideWhenUsed/>
    <w:rsid w:val="00611A19"/>
    <w:rPr>
      <w:color w:val="800080" w:themeColor="followedHyperlink"/>
      <w:u w:val="single"/>
    </w:rPr>
  </w:style>
  <w:style w:type="paragraph" w:styleId="Revisin">
    <w:name w:val="Revision"/>
    <w:hidden/>
    <w:uiPriority w:val="99"/>
    <w:semiHidden/>
    <w:rsid w:val="00CD0E25"/>
    <w:rPr>
      <w:sz w:val="24"/>
    </w:rPr>
  </w:style>
  <w:style w:type="character" w:customStyle="1" w:styleId="Ttulo3Car">
    <w:name w:val="Título 3 Car"/>
    <w:basedOn w:val="Fuentedeprrafopredeter"/>
    <w:link w:val="Ttulo3"/>
    <w:uiPriority w:val="9"/>
    <w:rsid w:val="00EF19F3"/>
    <w:rPr>
      <w:rFonts w:ascii="Times" w:eastAsia="Times" w:hAnsi="Times"/>
      <w:b/>
      <w:sz w:val="24"/>
    </w:rPr>
  </w:style>
  <w:style w:type="character" w:styleId="Textoennegrita">
    <w:name w:val="Strong"/>
    <w:basedOn w:val="Fuentedeprrafopredeter"/>
    <w:uiPriority w:val="22"/>
    <w:qFormat/>
    <w:rsid w:val="00EF19F3"/>
    <w:rPr>
      <w:b/>
      <w:bCs/>
    </w:rPr>
  </w:style>
  <w:style w:type="character" w:styleId="CdigoHTML">
    <w:name w:val="HTML Code"/>
    <w:basedOn w:val="Fuentedeprrafopredeter"/>
    <w:uiPriority w:val="99"/>
    <w:semiHidden/>
    <w:unhideWhenUsed/>
    <w:rsid w:val="00EF19F3"/>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6272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140808172">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951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337B-313B-48F1-86F9-56E1389E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7565</Words>
  <Characters>43125</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50589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Didier Grimaldi</cp:lastModifiedBy>
  <cp:revision>3</cp:revision>
  <cp:lastPrinted>2018-02-26T17:19:00Z</cp:lastPrinted>
  <dcterms:created xsi:type="dcterms:W3CDTF">2026-03-18T15:44:00Z</dcterms:created>
  <dcterms:modified xsi:type="dcterms:W3CDTF">2026-03-18T15:44:00Z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id="GnF7ScWG"/&gt;&lt;style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