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FAED" w14:textId="77777777" w:rsidR="003242AD" w:rsidRDefault="003242AD" w:rsidP="003242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Table1: Summary of PPIE monthly meetings</w:t>
      </w:r>
    </w:p>
    <w:p w14:paraId="02792FDE" w14:textId="77777777" w:rsidR="003242AD" w:rsidRDefault="003242AD" w:rsidP="003242AD">
      <w:pPr>
        <w:rPr>
          <w:rFonts w:ascii="Arial" w:hAnsi="Arial" w:cs="Arial"/>
          <w:b/>
          <w:bCs/>
        </w:rPr>
      </w:pPr>
    </w:p>
    <w:p w14:paraId="7E2DFBFC" w14:textId="77777777" w:rsidR="003242AD" w:rsidRPr="006D6683" w:rsidRDefault="003242AD" w:rsidP="003242AD">
      <w:pPr>
        <w:rPr>
          <w:rFonts w:ascii="Arial" w:hAnsi="Arial" w:cs="Arial"/>
        </w:rPr>
      </w:pPr>
      <w:r w:rsidRPr="006D6683">
        <w:rPr>
          <w:rFonts w:ascii="Arial" w:hAnsi="Arial" w:cs="Arial"/>
          <w:b/>
          <w:bCs/>
        </w:rPr>
        <w:t xml:space="preserve">Participant </w:t>
      </w:r>
      <w:r>
        <w:rPr>
          <w:rFonts w:ascii="Arial" w:hAnsi="Arial" w:cs="Arial"/>
          <w:b/>
          <w:bCs/>
        </w:rPr>
        <w:t>e</w:t>
      </w:r>
      <w:r w:rsidRPr="006D6683">
        <w:rPr>
          <w:rFonts w:ascii="Arial" w:hAnsi="Arial" w:cs="Arial"/>
          <w:b/>
          <w:bCs/>
        </w:rPr>
        <w:t>ngagement</w:t>
      </w:r>
    </w:p>
    <w:p w14:paraId="4528F66C" w14:textId="77777777" w:rsidR="003242AD" w:rsidRPr="006D6683" w:rsidRDefault="003242AD" w:rsidP="003242AD">
      <w:pPr>
        <w:rPr>
          <w:rFonts w:ascii="Arial" w:hAnsi="Arial" w:cs="Arial"/>
          <w:vanish/>
        </w:rPr>
      </w:pP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050774FC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4F82722A" w14:textId="77777777" w:rsidR="003242AD" w:rsidRPr="006D6683" w:rsidRDefault="003242AD" w:rsidP="00D2361F">
            <w:pPr>
              <w:jc w:val="center"/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  <w:b/>
                <w:bCs/>
              </w:rPr>
              <w:t xml:space="preserve">Topics </w:t>
            </w:r>
            <w:r>
              <w:rPr>
                <w:rFonts w:ascii="Arial" w:hAnsi="Arial" w:cs="Arial"/>
                <w:b/>
                <w:bCs/>
              </w:rPr>
              <w:t>c</w:t>
            </w:r>
            <w:r w:rsidRPr="006D6683">
              <w:rPr>
                <w:rFonts w:ascii="Arial" w:hAnsi="Arial" w:cs="Arial"/>
                <w:b/>
                <w:bCs/>
              </w:rPr>
              <w:t>overed</w:t>
            </w:r>
          </w:p>
        </w:tc>
        <w:tc>
          <w:tcPr>
            <w:tcW w:w="3809" w:type="dxa"/>
            <w:vAlign w:val="center"/>
          </w:tcPr>
          <w:p w14:paraId="5A62826F" w14:textId="77777777" w:rsidR="003242AD" w:rsidRPr="006D6683" w:rsidRDefault="003242AD" w:rsidP="00D2361F">
            <w:pPr>
              <w:jc w:val="center"/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  <w:b/>
                <w:bCs/>
              </w:rPr>
              <w:t xml:space="preserve">Member’s </w:t>
            </w:r>
            <w:r>
              <w:rPr>
                <w:rFonts w:ascii="Arial" w:hAnsi="Arial" w:cs="Arial"/>
                <w:b/>
                <w:bCs/>
              </w:rPr>
              <w:t>f</w:t>
            </w:r>
            <w:r w:rsidRPr="006D6683">
              <w:rPr>
                <w:rFonts w:ascii="Arial" w:hAnsi="Arial" w:cs="Arial"/>
                <w:b/>
                <w:bCs/>
              </w:rPr>
              <w:t>eedback</w:t>
            </w:r>
          </w:p>
        </w:tc>
        <w:tc>
          <w:tcPr>
            <w:tcW w:w="3641" w:type="dxa"/>
            <w:vAlign w:val="center"/>
          </w:tcPr>
          <w:p w14:paraId="1032B99D" w14:textId="77777777" w:rsidR="003242AD" w:rsidRPr="006D6683" w:rsidRDefault="003242AD" w:rsidP="00D2361F">
            <w:pPr>
              <w:jc w:val="center"/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  <w:b/>
                <w:bCs/>
              </w:rPr>
              <w:t xml:space="preserve">Impact/Actions </w:t>
            </w:r>
            <w:r>
              <w:rPr>
                <w:rFonts w:ascii="Arial" w:hAnsi="Arial" w:cs="Arial"/>
                <w:b/>
                <w:bCs/>
              </w:rPr>
              <w:t>t</w:t>
            </w:r>
            <w:r w:rsidRPr="006D6683">
              <w:rPr>
                <w:rFonts w:ascii="Arial" w:hAnsi="Arial" w:cs="Arial"/>
                <w:b/>
                <w:bCs/>
              </w:rPr>
              <w:t>aken</w:t>
            </w:r>
          </w:p>
        </w:tc>
      </w:tr>
      <w:tr w:rsidR="003242AD" w:rsidRPr="006D6683" w14:paraId="170177A9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0A1F9CD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Basic communication</w:t>
            </w:r>
          </w:p>
        </w:tc>
        <w:tc>
          <w:tcPr>
            <w:tcW w:w="3809" w:type="dxa"/>
            <w:vAlign w:val="center"/>
          </w:tcPr>
          <w:p w14:paraId="79D003BF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Emphasised the importance of correctly using participants’ names or asking when uncertain.</w:t>
            </w:r>
          </w:p>
        </w:tc>
        <w:tc>
          <w:tcPr>
            <w:tcW w:w="3641" w:type="dxa"/>
            <w:vAlign w:val="center"/>
          </w:tcPr>
          <w:p w14:paraId="3C2C9FF6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Shared via meeting minutes. Staff encouraged to follow the recommendation.</w:t>
            </w:r>
          </w:p>
        </w:tc>
      </w:tr>
      <w:tr w:rsidR="003242AD" w:rsidRPr="006D6683" w14:paraId="7877CC6B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2E58595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Language clarity</w:t>
            </w:r>
          </w:p>
        </w:tc>
        <w:tc>
          <w:tcPr>
            <w:tcW w:w="3809" w:type="dxa"/>
            <w:vAlign w:val="center"/>
          </w:tcPr>
          <w:p w14:paraId="0E679135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Recommended avoiding jargon and medical abbreviations.</w:t>
            </w:r>
          </w:p>
        </w:tc>
        <w:tc>
          <w:tcPr>
            <w:tcW w:w="3641" w:type="dxa"/>
            <w:vAlign w:val="center"/>
          </w:tcPr>
          <w:p w14:paraId="363A5FB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Staff encouraged to follow the recommendation.</w:t>
            </w:r>
            <w:r w:rsidRPr="006D6683" w:rsidDel="00E20550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502BD2C8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26EA2141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Motivation for study participation</w:t>
            </w:r>
          </w:p>
        </w:tc>
        <w:tc>
          <w:tcPr>
            <w:tcW w:w="3809" w:type="dxa"/>
            <w:vAlign w:val="center"/>
          </w:tcPr>
          <w:p w14:paraId="7F0A822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Emphasised the broader impact of the study beyond individual experiences—particularly for participants not planning future pregnancies—by highlighting the indirect benefits of participation.</w:t>
            </w:r>
          </w:p>
        </w:tc>
        <w:tc>
          <w:tcPr>
            <w:tcW w:w="3641" w:type="dxa"/>
            <w:vAlign w:val="center"/>
          </w:tcPr>
          <w:p w14:paraId="5130975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Team encouraged to emphasise wider community benefits of the study.</w:t>
            </w:r>
          </w:p>
        </w:tc>
      </w:tr>
      <w:tr w:rsidR="003242AD" w:rsidRPr="006D6683" w14:paraId="7A38509F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3C42102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Community engagement</w:t>
            </w:r>
          </w:p>
        </w:tc>
        <w:tc>
          <w:tcPr>
            <w:tcW w:w="3809" w:type="dxa"/>
            <w:vAlign w:val="center"/>
          </w:tcPr>
          <w:p w14:paraId="4D71BB26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Members valued the educational workshops with a local community group, Mosaic Community Trust (MCT) as a rare opportunity for both the public and healthcare professionals to engage with topics on pregnancy complications.</w:t>
            </w:r>
          </w:p>
        </w:tc>
        <w:tc>
          <w:tcPr>
            <w:tcW w:w="3641" w:type="dxa"/>
            <w:vAlign w:val="center"/>
          </w:tcPr>
          <w:p w14:paraId="1F256FA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Feedback passed to MCT and research team. Plans made to continue workshops</w:t>
            </w:r>
            <w:r>
              <w:rPr>
                <w:rFonts w:ascii="Arial" w:hAnsi="Arial" w:cs="Arial"/>
              </w:rPr>
              <w:t xml:space="preserve">, </w:t>
            </w:r>
            <w:r w:rsidRPr="006D6683">
              <w:rPr>
                <w:rFonts w:ascii="Arial" w:hAnsi="Arial" w:cs="Arial"/>
              </w:rPr>
              <w:t>publish</w:t>
            </w:r>
            <w:r>
              <w:rPr>
                <w:rFonts w:ascii="Arial" w:hAnsi="Arial" w:cs="Arial"/>
              </w:rPr>
              <w:t xml:space="preserve"> and </w:t>
            </w:r>
            <w:r w:rsidRPr="006D6683">
              <w:rPr>
                <w:rFonts w:ascii="Arial" w:hAnsi="Arial" w:cs="Arial"/>
              </w:rPr>
              <w:t xml:space="preserve">present </w:t>
            </w:r>
            <w:r>
              <w:rPr>
                <w:rFonts w:ascii="Arial" w:hAnsi="Arial" w:cs="Arial"/>
              </w:rPr>
              <w:t xml:space="preserve">this activity </w:t>
            </w:r>
            <w:r w:rsidRPr="006D6683">
              <w:rPr>
                <w:rFonts w:ascii="Arial" w:hAnsi="Arial" w:cs="Arial"/>
              </w:rPr>
              <w:t>at conferences.</w:t>
            </w:r>
          </w:p>
        </w:tc>
      </w:tr>
      <w:tr w:rsidR="003242AD" w:rsidRPr="006D6683" w14:paraId="441A144B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5D79DB7F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Preferred recontact methods</w:t>
            </w:r>
          </w:p>
        </w:tc>
        <w:tc>
          <w:tcPr>
            <w:tcW w:w="3809" w:type="dxa"/>
            <w:vAlign w:val="center"/>
          </w:tcPr>
          <w:p w14:paraId="26E67B2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Recommended a layered recontact approach—initial letter/email followed by optional text or phone call—to minimise perceptions of spam.</w:t>
            </w:r>
          </w:p>
        </w:tc>
        <w:tc>
          <w:tcPr>
            <w:tcW w:w="3641" w:type="dxa"/>
            <w:vAlign w:val="center"/>
          </w:tcPr>
          <w:p w14:paraId="730FE6E7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Layered approach noted in team meetings, however, not implemented as recontact was not needed.</w:t>
            </w:r>
            <w:r w:rsidRPr="006D6683" w:rsidDel="000E0117">
              <w:rPr>
                <w:rFonts w:ascii="Arial" w:hAnsi="Arial" w:cs="Arial"/>
              </w:rPr>
              <w:t xml:space="preserve"> </w:t>
            </w:r>
          </w:p>
        </w:tc>
      </w:tr>
    </w:tbl>
    <w:p w14:paraId="37895C23" w14:textId="77777777" w:rsidR="003242AD" w:rsidRPr="006D6683" w:rsidRDefault="003242AD" w:rsidP="003242AD">
      <w:pPr>
        <w:rPr>
          <w:rFonts w:ascii="Arial" w:hAnsi="Arial" w:cs="Arial"/>
        </w:rPr>
      </w:pPr>
    </w:p>
    <w:p w14:paraId="2BA06ADB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Recruitment </w:t>
      </w:r>
      <w:r>
        <w:rPr>
          <w:rFonts w:ascii="Arial" w:hAnsi="Arial" w:cs="Arial"/>
          <w:b/>
          <w:bCs/>
        </w:rPr>
        <w:t>s</w:t>
      </w:r>
      <w:r w:rsidRPr="006D6683">
        <w:rPr>
          <w:rFonts w:ascii="Arial" w:hAnsi="Arial" w:cs="Arial"/>
          <w:b/>
          <w:bCs/>
        </w:rPr>
        <w:t>trategy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1AF51911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4430199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Recruitment during stressful times</w:t>
            </w:r>
          </w:p>
        </w:tc>
        <w:tc>
          <w:tcPr>
            <w:tcW w:w="3809" w:type="dxa"/>
            <w:vAlign w:val="center"/>
          </w:tcPr>
          <w:p w14:paraId="045395DF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Research materials were seen as ill-suited for the high-stress environments typical of preterm birth scenarios.</w:t>
            </w:r>
          </w:p>
        </w:tc>
        <w:tc>
          <w:tcPr>
            <w:tcW w:w="3641" w:type="dxa"/>
            <w:vAlign w:val="center"/>
          </w:tcPr>
          <w:p w14:paraId="15A94CD4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Researchers confirmed contact is only made with clinical team approval.</w:t>
            </w:r>
            <w:r w:rsidRPr="006D6683" w:rsidDel="00367A8B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70BC0D25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47CF4F8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Partner influence</w:t>
            </w:r>
          </w:p>
        </w:tc>
        <w:tc>
          <w:tcPr>
            <w:tcW w:w="3809" w:type="dxa"/>
            <w:vAlign w:val="center"/>
          </w:tcPr>
          <w:p w14:paraId="772BE52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Advocated for direct patient engagement even when partners decline on their behalf.</w:t>
            </w:r>
          </w:p>
        </w:tc>
        <w:tc>
          <w:tcPr>
            <w:tcW w:w="3641" w:type="dxa"/>
            <w:vAlign w:val="center"/>
          </w:tcPr>
          <w:p w14:paraId="6A022E6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Team reminded to prioritise direct participant engagement.</w:t>
            </w:r>
            <w:r w:rsidRPr="006D6683" w:rsidDel="00B57B91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620B7092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795146D0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Recruitment beyond hospitals</w:t>
            </w:r>
          </w:p>
        </w:tc>
        <w:tc>
          <w:tcPr>
            <w:tcW w:w="3809" w:type="dxa"/>
            <w:vAlign w:val="center"/>
          </w:tcPr>
          <w:p w14:paraId="3E169BD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Suggested recruiting beyond hospitals, using community venues </w:t>
            </w:r>
            <w:r w:rsidRPr="006D6683">
              <w:rPr>
                <w:rFonts w:ascii="Arial" w:hAnsi="Arial" w:cs="Arial"/>
              </w:rPr>
              <w:lastRenderedPageBreak/>
              <w:t>such as children’s centres, libraries, and GP surgeries.</w:t>
            </w:r>
          </w:p>
        </w:tc>
        <w:tc>
          <w:tcPr>
            <w:tcW w:w="3641" w:type="dxa"/>
            <w:vAlign w:val="center"/>
          </w:tcPr>
          <w:p w14:paraId="04664255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lastRenderedPageBreak/>
              <w:t xml:space="preserve">Not implemented due to resource and ethics constraints, however, </w:t>
            </w:r>
            <w:r w:rsidRPr="006D6683">
              <w:rPr>
                <w:rFonts w:ascii="Arial" w:hAnsi="Arial" w:cs="Arial"/>
              </w:rPr>
              <w:lastRenderedPageBreak/>
              <w:t>local community advertising was pursued.</w:t>
            </w:r>
          </w:p>
        </w:tc>
      </w:tr>
      <w:tr w:rsidR="003242AD" w:rsidRPr="006D6683" w14:paraId="6A76939D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6BEA8BF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lastRenderedPageBreak/>
              <w:t>Simplifying materials for accessibility</w:t>
            </w:r>
          </w:p>
        </w:tc>
        <w:tc>
          <w:tcPr>
            <w:tcW w:w="3809" w:type="dxa"/>
            <w:vAlign w:val="center"/>
          </w:tcPr>
          <w:p w14:paraId="20099240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Proposed a concise, one-page information sheet to replace the longer patient information booklet to help overcome language and engagement barriers.</w:t>
            </w:r>
          </w:p>
        </w:tc>
        <w:tc>
          <w:tcPr>
            <w:tcW w:w="3641" w:type="dxa"/>
            <w:vAlign w:val="center"/>
          </w:tcPr>
          <w:p w14:paraId="2A3C6835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Suggested revisions discussed and supported but not adopted due to time limitations.</w:t>
            </w:r>
            <w:r w:rsidRPr="006D6683" w:rsidDel="00A53F10">
              <w:rPr>
                <w:rFonts w:ascii="Arial" w:hAnsi="Arial" w:cs="Arial"/>
              </w:rPr>
              <w:t xml:space="preserve"> </w:t>
            </w:r>
          </w:p>
        </w:tc>
      </w:tr>
    </w:tbl>
    <w:p w14:paraId="6209F07C" w14:textId="77777777" w:rsidR="003242AD" w:rsidRPr="006D6683" w:rsidRDefault="003242AD" w:rsidP="003242AD">
      <w:pPr>
        <w:rPr>
          <w:rFonts w:ascii="Arial" w:hAnsi="Arial" w:cs="Arial"/>
        </w:rPr>
      </w:pPr>
    </w:p>
    <w:p w14:paraId="325BA7F4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Equity in </w:t>
      </w:r>
      <w:r>
        <w:rPr>
          <w:rFonts w:ascii="Arial" w:hAnsi="Arial" w:cs="Arial"/>
          <w:b/>
          <w:bCs/>
        </w:rPr>
        <w:t>p</w:t>
      </w:r>
      <w:r w:rsidRPr="006D6683">
        <w:rPr>
          <w:rFonts w:ascii="Arial" w:hAnsi="Arial" w:cs="Arial"/>
          <w:b/>
          <w:bCs/>
        </w:rPr>
        <w:t>articipation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51F4322C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01470C7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Reimbursement fairness</w:t>
            </w:r>
          </w:p>
        </w:tc>
        <w:tc>
          <w:tcPr>
            <w:tcW w:w="3809" w:type="dxa"/>
            <w:vAlign w:val="center"/>
          </w:tcPr>
          <w:p w14:paraId="1DB6F0E1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Raised concerns over reimbursement fairness, especially for out-of-hospital participants, and the time/logistical burden on new parents.</w:t>
            </w:r>
          </w:p>
        </w:tc>
        <w:tc>
          <w:tcPr>
            <w:tcW w:w="3641" w:type="dxa"/>
            <w:vAlign w:val="center"/>
          </w:tcPr>
          <w:p w14:paraId="0E43969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Team clarified reimbursement is limited to specific visit types, based on budget.</w:t>
            </w:r>
            <w:r w:rsidRPr="006D6683" w:rsidDel="002128E9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56212ECF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20359CF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Missing ethnicity data </w:t>
            </w:r>
          </w:p>
        </w:tc>
        <w:tc>
          <w:tcPr>
            <w:tcW w:w="3809" w:type="dxa"/>
            <w:vAlign w:val="center"/>
          </w:tcPr>
          <w:p w14:paraId="43D44D5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Called for improved documentation of participant ethnicity, including currently unclassified entries, to support diversity analysis.</w:t>
            </w:r>
          </w:p>
        </w:tc>
        <w:tc>
          <w:tcPr>
            <w:tcW w:w="3641" w:type="dxa"/>
            <w:vAlign w:val="center"/>
          </w:tcPr>
          <w:p w14:paraId="42A885C8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Team will complete and update data before analysis.</w:t>
            </w:r>
            <w:r w:rsidRPr="006D6683" w:rsidDel="00C35489">
              <w:rPr>
                <w:rFonts w:ascii="Arial" w:hAnsi="Arial" w:cs="Arial"/>
              </w:rPr>
              <w:t xml:space="preserve"> </w:t>
            </w:r>
          </w:p>
        </w:tc>
      </w:tr>
    </w:tbl>
    <w:p w14:paraId="520D9D48" w14:textId="77777777" w:rsidR="003242AD" w:rsidRPr="006D6683" w:rsidRDefault="003242AD" w:rsidP="003242AD">
      <w:pPr>
        <w:rPr>
          <w:rFonts w:ascii="Arial" w:hAnsi="Arial" w:cs="Arial"/>
          <w:b/>
          <w:bCs/>
        </w:rPr>
      </w:pPr>
    </w:p>
    <w:p w14:paraId="6F57A414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Inclusivity and </w:t>
      </w:r>
      <w:r>
        <w:rPr>
          <w:rFonts w:ascii="Arial" w:hAnsi="Arial" w:cs="Arial"/>
          <w:b/>
          <w:bCs/>
        </w:rPr>
        <w:t>d</w:t>
      </w:r>
      <w:r w:rsidRPr="006D6683">
        <w:rPr>
          <w:rFonts w:ascii="Arial" w:hAnsi="Arial" w:cs="Arial"/>
          <w:b/>
          <w:bCs/>
        </w:rPr>
        <w:t xml:space="preserve">iversity 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2E6570DD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103E73B4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Reason for decline</w:t>
            </w:r>
          </w:p>
        </w:tc>
        <w:tc>
          <w:tcPr>
            <w:tcW w:w="3809" w:type="dxa"/>
            <w:vAlign w:val="center"/>
          </w:tcPr>
          <w:p w14:paraId="46E96B2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While declines due to “language barrier” were low, members noted that “no reason given” may still reflect unspoken language challenges.</w:t>
            </w:r>
          </w:p>
        </w:tc>
        <w:tc>
          <w:tcPr>
            <w:tcW w:w="3641" w:type="dxa"/>
            <w:vAlign w:val="center"/>
          </w:tcPr>
          <w:p w14:paraId="03C16C5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Researchers acknowledged the concern, however, data from decliners cannot be collected due to data-sharing policies.</w:t>
            </w:r>
          </w:p>
        </w:tc>
      </w:tr>
      <w:tr w:rsidR="003242AD" w:rsidRPr="006D6683" w14:paraId="1BB2A703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04A7976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Ethnic diversity of participants</w:t>
            </w:r>
          </w:p>
        </w:tc>
        <w:tc>
          <w:tcPr>
            <w:tcW w:w="3809" w:type="dxa"/>
            <w:vAlign w:val="center"/>
          </w:tcPr>
          <w:p w14:paraId="2C68A22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Praised the strong ethnic diversity among study participants, especially at the main site.</w:t>
            </w:r>
          </w:p>
        </w:tc>
        <w:tc>
          <w:tcPr>
            <w:tcW w:w="3641" w:type="dxa"/>
            <w:vAlign w:val="center"/>
          </w:tcPr>
          <w:p w14:paraId="4520F06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Acknowledged and noted in internal discussions.</w:t>
            </w:r>
          </w:p>
        </w:tc>
      </w:tr>
      <w:tr w:rsidR="003242AD" w:rsidRPr="006D6683" w14:paraId="45EB362E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2FBDD58A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Improving diversity</w:t>
            </w:r>
          </w:p>
        </w:tc>
        <w:tc>
          <w:tcPr>
            <w:tcW w:w="3809" w:type="dxa"/>
            <w:vAlign w:val="center"/>
          </w:tcPr>
          <w:p w14:paraId="20B5D27F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Recommended tailoring outreach based on age, region, and social media use to better engage underrepresented communities.</w:t>
            </w:r>
          </w:p>
        </w:tc>
        <w:tc>
          <w:tcPr>
            <w:tcW w:w="3641" w:type="dxa"/>
            <w:vAlign w:val="center"/>
          </w:tcPr>
          <w:p w14:paraId="7A5910EC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Targeted outreach launched via social media</w:t>
            </w:r>
            <w:r>
              <w:rPr>
                <w:rFonts w:ascii="Arial" w:hAnsi="Arial" w:cs="Arial"/>
              </w:rPr>
              <w:t xml:space="preserve"> and </w:t>
            </w:r>
            <w:r w:rsidRPr="006D6683">
              <w:rPr>
                <w:rFonts w:ascii="Arial" w:hAnsi="Arial" w:cs="Arial"/>
              </w:rPr>
              <w:t xml:space="preserve">revised posters (see Supplementary </w:t>
            </w:r>
            <w:r>
              <w:rPr>
                <w:rFonts w:ascii="Arial" w:hAnsi="Arial" w:cs="Arial"/>
              </w:rPr>
              <w:t>m</w:t>
            </w:r>
            <w:r w:rsidRPr="006D6683">
              <w:rPr>
                <w:rFonts w:ascii="Arial" w:hAnsi="Arial" w:cs="Arial"/>
              </w:rPr>
              <w:t xml:space="preserve">aterials </w:t>
            </w:r>
            <w:r>
              <w:rPr>
                <w:rFonts w:ascii="Arial" w:hAnsi="Arial" w:cs="Arial"/>
              </w:rPr>
              <w:t>4</w:t>
            </w:r>
            <w:r w:rsidRPr="006D6683">
              <w:rPr>
                <w:rFonts w:ascii="Arial" w:hAnsi="Arial" w:cs="Arial"/>
              </w:rPr>
              <w:t xml:space="preserve"> &amp; </w:t>
            </w:r>
            <w:r>
              <w:rPr>
                <w:rFonts w:ascii="Arial" w:hAnsi="Arial" w:cs="Arial"/>
              </w:rPr>
              <w:t>Figure 1</w:t>
            </w:r>
            <w:r w:rsidRPr="006D6683">
              <w:rPr>
                <w:rFonts w:ascii="Arial" w:hAnsi="Arial" w:cs="Arial"/>
              </w:rPr>
              <w:t>).</w:t>
            </w:r>
          </w:p>
        </w:tc>
      </w:tr>
    </w:tbl>
    <w:p w14:paraId="6B8A53B5" w14:textId="77777777" w:rsidR="003242AD" w:rsidRPr="006D6683" w:rsidRDefault="003242AD" w:rsidP="003242AD">
      <w:pPr>
        <w:rPr>
          <w:rFonts w:ascii="Arial" w:hAnsi="Arial" w:cs="Arial"/>
          <w:b/>
          <w:bCs/>
        </w:rPr>
      </w:pPr>
    </w:p>
    <w:p w14:paraId="34BA2E28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Consent </w:t>
      </w:r>
      <w:r>
        <w:rPr>
          <w:rFonts w:ascii="Arial" w:hAnsi="Arial" w:cs="Arial"/>
          <w:b/>
          <w:bCs/>
        </w:rPr>
        <w:t>p</w:t>
      </w:r>
      <w:r w:rsidRPr="006D6683">
        <w:rPr>
          <w:rFonts w:ascii="Arial" w:hAnsi="Arial" w:cs="Arial"/>
          <w:b/>
          <w:bCs/>
        </w:rPr>
        <w:t>rocess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5E1E5894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6589817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Clarity of mandatory statements in Informed Consent Form</w:t>
            </w:r>
          </w:p>
        </w:tc>
        <w:tc>
          <w:tcPr>
            <w:tcW w:w="3809" w:type="dxa"/>
            <w:vAlign w:val="center"/>
          </w:tcPr>
          <w:p w14:paraId="67393A6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Suggested placing all mandatory statements at the beginning of the document for improved clarity.</w:t>
            </w:r>
          </w:p>
        </w:tc>
        <w:tc>
          <w:tcPr>
            <w:tcW w:w="3641" w:type="dxa"/>
            <w:vAlign w:val="center"/>
          </w:tcPr>
          <w:p w14:paraId="19835346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Suggestion noted; not implemented due to study near closure but considered for future.</w:t>
            </w:r>
          </w:p>
        </w:tc>
      </w:tr>
    </w:tbl>
    <w:p w14:paraId="4D390FCA" w14:textId="77777777" w:rsidR="003242AD" w:rsidRPr="006D6683" w:rsidRDefault="003242AD" w:rsidP="003242AD">
      <w:pPr>
        <w:rPr>
          <w:rFonts w:ascii="Arial" w:hAnsi="Arial" w:cs="Arial"/>
        </w:rPr>
      </w:pPr>
    </w:p>
    <w:p w14:paraId="211F930C" w14:textId="77777777" w:rsidR="003242AD" w:rsidRPr="006D6683" w:rsidRDefault="003242AD" w:rsidP="003242AD">
      <w:pPr>
        <w:rPr>
          <w:rFonts w:ascii="Arial" w:hAnsi="Arial" w:cs="Arial"/>
          <w:b/>
        </w:rPr>
      </w:pPr>
      <w:r w:rsidRPr="006D6683">
        <w:rPr>
          <w:rFonts w:ascii="Arial" w:hAnsi="Arial" w:cs="Arial"/>
          <w:b/>
        </w:rPr>
        <w:t>Study promotion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2F1B0FE5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535904F5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Expanding study promotion on social media</w:t>
            </w:r>
          </w:p>
        </w:tc>
        <w:tc>
          <w:tcPr>
            <w:tcW w:w="3809" w:type="dxa"/>
            <w:vAlign w:val="center"/>
          </w:tcPr>
          <w:p w14:paraId="191FFD6D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Recommended partnering with Bliss, a charity organisation, to promote the study on social media.</w:t>
            </w:r>
          </w:p>
          <w:p w14:paraId="7B4A10F1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Volunteered to coordinate with the Mid and </w:t>
            </w:r>
            <w:r w:rsidRPr="006D6683">
              <w:rPr>
                <w:rFonts w:ascii="Arial" w:hAnsi="Arial" w:cs="Arial"/>
                <w:color w:val="000000" w:themeColor="text1"/>
              </w:rPr>
              <w:t>South Essex Maternity and Neonatal Voices Partnership (</w:t>
            </w:r>
            <w:r w:rsidRPr="006D6683">
              <w:rPr>
                <w:rFonts w:ascii="Arial" w:hAnsi="Arial" w:cs="Arial"/>
              </w:rPr>
              <w:t>MNVP), a local maternity group for social media outreach.</w:t>
            </w:r>
          </w:p>
        </w:tc>
        <w:tc>
          <w:tcPr>
            <w:tcW w:w="3641" w:type="dxa"/>
            <w:vAlign w:val="center"/>
          </w:tcPr>
          <w:p w14:paraId="6378DF4A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Promotion through Bliss and </w:t>
            </w:r>
            <w:r w:rsidRPr="006D6683">
              <w:rPr>
                <w:rFonts w:ascii="Arial" w:hAnsi="Arial" w:cs="Arial"/>
                <w:color w:val="000000" w:themeColor="text1"/>
              </w:rPr>
              <w:t>the Mid and South Essex</w:t>
            </w:r>
            <w:r w:rsidRPr="006D6683">
              <w:rPr>
                <w:rFonts w:ascii="Arial" w:hAnsi="Arial" w:cs="Arial"/>
              </w:rPr>
              <w:t xml:space="preserve"> MNVP increased self-referrals.</w:t>
            </w:r>
          </w:p>
        </w:tc>
      </w:tr>
    </w:tbl>
    <w:p w14:paraId="3C3DA141" w14:textId="77777777" w:rsidR="003242AD" w:rsidRPr="006D6683" w:rsidRDefault="003242AD" w:rsidP="003242AD">
      <w:pPr>
        <w:rPr>
          <w:rFonts w:ascii="Arial" w:hAnsi="Arial" w:cs="Arial"/>
        </w:rPr>
      </w:pPr>
    </w:p>
    <w:p w14:paraId="23600505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Study </w:t>
      </w:r>
      <w:r>
        <w:rPr>
          <w:rFonts w:ascii="Arial" w:hAnsi="Arial" w:cs="Arial"/>
          <w:b/>
          <w:bCs/>
        </w:rPr>
        <w:t>m</w:t>
      </w:r>
      <w:r w:rsidRPr="006D6683">
        <w:rPr>
          <w:rFonts w:ascii="Arial" w:hAnsi="Arial" w:cs="Arial"/>
          <w:b/>
          <w:bCs/>
        </w:rPr>
        <w:t>aterials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7D125F62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35AD5274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Poster revision (Tone)</w:t>
            </w:r>
          </w:p>
        </w:tc>
        <w:tc>
          <w:tcPr>
            <w:tcW w:w="3809" w:type="dxa"/>
            <w:vAlign w:val="center"/>
          </w:tcPr>
          <w:p w14:paraId="55410A79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The original poster was perceived as cold and unwelcoming; members suggested warmer, more inclusive wording that expressed gratitude and mutual benefit.</w:t>
            </w:r>
          </w:p>
        </w:tc>
        <w:tc>
          <w:tcPr>
            <w:tcW w:w="3641" w:type="dxa"/>
            <w:vAlign w:val="center"/>
          </w:tcPr>
          <w:p w14:paraId="3B3BB819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Language updated to sound warmer and more inclusive (see </w:t>
            </w:r>
            <w:r>
              <w:rPr>
                <w:rFonts w:ascii="Arial" w:hAnsi="Arial" w:cs="Arial"/>
              </w:rPr>
              <w:t>Figure 1</w:t>
            </w:r>
            <w:r w:rsidRPr="006D6683">
              <w:rPr>
                <w:rFonts w:ascii="Arial" w:hAnsi="Arial" w:cs="Arial"/>
              </w:rPr>
              <w:t>).</w:t>
            </w:r>
            <w:r w:rsidRPr="006D6683" w:rsidDel="008D71A0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4C4C9706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44E23DA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Poster revision (Content)</w:t>
            </w:r>
          </w:p>
        </w:tc>
        <w:tc>
          <w:tcPr>
            <w:tcW w:w="3809" w:type="dxa"/>
            <w:vAlign w:val="center"/>
          </w:tcPr>
          <w:p w14:paraId="3664A7C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Requested clearer details about what participation involves.</w:t>
            </w:r>
          </w:p>
        </w:tc>
        <w:tc>
          <w:tcPr>
            <w:tcW w:w="3641" w:type="dxa"/>
            <w:vAlign w:val="center"/>
          </w:tcPr>
          <w:p w14:paraId="4E8480C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Participation details clarified (see</w:t>
            </w:r>
            <w:r>
              <w:rPr>
                <w:rFonts w:ascii="Arial" w:hAnsi="Arial" w:cs="Arial"/>
              </w:rPr>
              <w:t xml:space="preserve"> Figure 1</w:t>
            </w:r>
            <w:r w:rsidRPr="006D6683">
              <w:rPr>
                <w:rFonts w:ascii="Arial" w:hAnsi="Arial" w:cs="Arial"/>
                <w:color w:val="000000" w:themeColor="text1"/>
              </w:rPr>
              <w:t>).</w:t>
            </w:r>
          </w:p>
        </w:tc>
      </w:tr>
      <w:tr w:rsidR="003242AD" w:rsidRPr="006D6683" w14:paraId="0366B0BE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314AA76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Social media advertisement design</w:t>
            </w:r>
          </w:p>
        </w:tc>
        <w:tc>
          <w:tcPr>
            <w:tcW w:w="3809" w:type="dxa"/>
            <w:vAlign w:val="center"/>
          </w:tcPr>
          <w:p w14:paraId="18042B27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Recommended co-developing accessible, clear, and engaging content.</w:t>
            </w:r>
          </w:p>
          <w:p w14:paraId="72F834C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Suggested starting with relatable headlines and using plain language.</w:t>
            </w:r>
          </w:p>
        </w:tc>
        <w:tc>
          <w:tcPr>
            <w:tcW w:w="3641" w:type="dxa"/>
            <w:vAlign w:val="center"/>
          </w:tcPr>
          <w:p w14:paraId="370CDC28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Five clear, accessible ad</w:t>
            </w:r>
            <w:r>
              <w:rPr>
                <w:rFonts w:ascii="Arial" w:hAnsi="Arial" w:cs="Arial"/>
              </w:rPr>
              <w:t>vertisement</w:t>
            </w:r>
            <w:r w:rsidRPr="006D6683">
              <w:rPr>
                <w:rFonts w:ascii="Arial" w:hAnsi="Arial" w:cs="Arial"/>
              </w:rPr>
              <w:t xml:space="preserve">s co-created with members using plain language (see Supplementary </w:t>
            </w:r>
            <w:r>
              <w:rPr>
                <w:rFonts w:ascii="Arial" w:hAnsi="Arial" w:cs="Arial"/>
              </w:rPr>
              <w:t>m</w:t>
            </w:r>
            <w:r w:rsidRPr="006D6683">
              <w:rPr>
                <w:rFonts w:ascii="Arial" w:hAnsi="Arial" w:cs="Arial"/>
              </w:rPr>
              <w:t xml:space="preserve">aterial </w:t>
            </w:r>
            <w:r>
              <w:rPr>
                <w:rFonts w:ascii="Arial" w:hAnsi="Arial" w:cs="Arial"/>
              </w:rPr>
              <w:t>4</w:t>
            </w:r>
            <w:r w:rsidRPr="006D6683">
              <w:rPr>
                <w:rFonts w:ascii="Arial" w:hAnsi="Arial" w:cs="Arial"/>
              </w:rPr>
              <w:t>).</w:t>
            </w:r>
            <w:r w:rsidRPr="006D6683" w:rsidDel="00B371F4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1B006E95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15972412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Cultural sensitivity in imagery</w:t>
            </w:r>
          </w:p>
        </w:tc>
        <w:tc>
          <w:tcPr>
            <w:tcW w:w="3809" w:type="dxa"/>
            <w:vAlign w:val="center"/>
          </w:tcPr>
          <w:p w14:paraId="624F7F1C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Stressed the importance of considering social, cultural, and religious differences in poster and social media imagery.</w:t>
            </w:r>
          </w:p>
        </w:tc>
        <w:tc>
          <w:tcPr>
            <w:tcW w:w="3641" w:type="dxa"/>
            <w:vAlign w:val="center"/>
          </w:tcPr>
          <w:p w14:paraId="1ECC3455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 xml:space="preserve">Image selection adjusted to reflect social, cultural, and religious diversity (see Supplementary </w:t>
            </w:r>
            <w:r>
              <w:rPr>
                <w:rFonts w:ascii="Arial" w:hAnsi="Arial" w:cs="Arial"/>
              </w:rPr>
              <w:t>m</w:t>
            </w:r>
            <w:r w:rsidRPr="006D6683">
              <w:rPr>
                <w:rFonts w:ascii="Arial" w:hAnsi="Arial" w:cs="Arial"/>
              </w:rPr>
              <w:t xml:space="preserve">aterials </w:t>
            </w:r>
            <w:r>
              <w:rPr>
                <w:rFonts w:ascii="Arial" w:hAnsi="Arial" w:cs="Arial"/>
              </w:rPr>
              <w:t>4</w:t>
            </w:r>
            <w:r w:rsidRPr="006D6683">
              <w:rPr>
                <w:rFonts w:ascii="Arial" w:hAnsi="Arial" w:cs="Arial"/>
              </w:rPr>
              <w:t xml:space="preserve"> &amp; </w:t>
            </w:r>
            <w:r>
              <w:rPr>
                <w:rFonts w:ascii="Arial" w:hAnsi="Arial" w:cs="Arial"/>
              </w:rPr>
              <w:t>Figure 1</w:t>
            </w:r>
            <w:r w:rsidRPr="006D6683">
              <w:rPr>
                <w:rFonts w:ascii="Arial" w:hAnsi="Arial" w:cs="Arial"/>
              </w:rPr>
              <w:t>).</w:t>
            </w:r>
            <w:r w:rsidRPr="006D6683" w:rsidDel="00F84A8A">
              <w:rPr>
                <w:rFonts w:ascii="Arial" w:hAnsi="Arial" w:cs="Arial"/>
              </w:rPr>
              <w:t xml:space="preserve"> </w:t>
            </w:r>
          </w:p>
        </w:tc>
      </w:tr>
    </w:tbl>
    <w:p w14:paraId="7A9F0B77" w14:textId="77777777" w:rsidR="003242AD" w:rsidRPr="006D6683" w:rsidRDefault="003242AD" w:rsidP="003242AD">
      <w:pPr>
        <w:rPr>
          <w:rFonts w:ascii="Arial" w:hAnsi="Arial" w:cs="Arial"/>
        </w:rPr>
      </w:pPr>
    </w:p>
    <w:p w14:paraId="4287BD0E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t xml:space="preserve">Understanding </w:t>
      </w:r>
      <w:r>
        <w:rPr>
          <w:rFonts w:ascii="Arial" w:hAnsi="Arial" w:cs="Arial"/>
          <w:b/>
          <w:bCs/>
        </w:rPr>
        <w:t>d</w:t>
      </w:r>
      <w:r w:rsidRPr="006D6683">
        <w:rPr>
          <w:rFonts w:ascii="Arial" w:hAnsi="Arial" w:cs="Arial"/>
          <w:b/>
          <w:bCs/>
        </w:rPr>
        <w:t>ata management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345CFB23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6C6CA06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Comprehension of data usage and storage</w:t>
            </w:r>
          </w:p>
        </w:tc>
        <w:tc>
          <w:tcPr>
            <w:tcW w:w="3809" w:type="dxa"/>
            <w:vAlign w:val="center"/>
          </w:tcPr>
          <w:p w14:paraId="1E531D03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Members found the explanation of data management generally understandable but some parts were confusing and could be clearer.</w:t>
            </w:r>
          </w:p>
        </w:tc>
        <w:tc>
          <w:tcPr>
            <w:tcW w:w="3641" w:type="dxa"/>
            <w:vAlign w:val="center"/>
          </w:tcPr>
          <w:p w14:paraId="758CC48B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Feedback noted, but no changes made due to study timeline and ethics process.</w:t>
            </w:r>
            <w:r w:rsidRPr="006D6683" w:rsidDel="00B97255">
              <w:rPr>
                <w:rFonts w:ascii="Arial" w:hAnsi="Arial" w:cs="Arial"/>
              </w:rPr>
              <w:t xml:space="preserve"> </w:t>
            </w:r>
          </w:p>
        </w:tc>
      </w:tr>
    </w:tbl>
    <w:p w14:paraId="6E1B4441" w14:textId="77777777" w:rsidR="003242AD" w:rsidRPr="006D6683" w:rsidRDefault="003242AD" w:rsidP="003242AD">
      <w:pPr>
        <w:rPr>
          <w:rFonts w:ascii="Arial" w:hAnsi="Arial" w:cs="Arial"/>
        </w:rPr>
      </w:pPr>
    </w:p>
    <w:p w14:paraId="271669F3" w14:textId="77777777" w:rsidR="003242AD" w:rsidRPr="006D6683" w:rsidRDefault="003242AD" w:rsidP="003242AD">
      <w:pPr>
        <w:rPr>
          <w:rFonts w:ascii="Arial" w:hAnsi="Arial" w:cs="Arial"/>
          <w:b/>
          <w:bCs/>
        </w:rPr>
      </w:pPr>
      <w:r w:rsidRPr="006D6683">
        <w:rPr>
          <w:rFonts w:ascii="Arial" w:hAnsi="Arial" w:cs="Arial"/>
          <w:b/>
          <w:bCs/>
        </w:rPr>
        <w:lastRenderedPageBreak/>
        <w:t xml:space="preserve">Dissemination of </w:t>
      </w:r>
      <w:r>
        <w:rPr>
          <w:rFonts w:ascii="Arial" w:hAnsi="Arial" w:cs="Arial"/>
          <w:b/>
          <w:bCs/>
        </w:rPr>
        <w:t>s</w:t>
      </w:r>
      <w:r w:rsidRPr="006D6683">
        <w:rPr>
          <w:rFonts w:ascii="Arial" w:hAnsi="Arial" w:cs="Arial"/>
          <w:b/>
          <w:bCs/>
        </w:rPr>
        <w:t xml:space="preserve">tudy </w:t>
      </w:r>
      <w:r>
        <w:rPr>
          <w:rFonts w:ascii="Arial" w:hAnsi="Arial" w:cs="Arial"/>
          <w:b/>
          <w:bCs/>
        </w:rPr>
        <w:t>r</w:t>
      </w:r>
      <w:r w:rsidRPr="006D6683">
        <w:rPr>
          <w:rFonts w:ascii="Arial" w:hAnsi="Arial" w:cs="Arial"/>
          <w:b/>
          <w:bCs/>
        </w:rPr>
        <w:t>esults</w:t>
      </w:r>
    </w:p>
    <w:tbl>
      <w:tblPr>
        <w:tblW w:w="100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839"/>
        <w:gridCol w:w="3686"/>
      </w:tblGrid>
      <w:tr w:rsidR="003242AD" w:rsidRPr="006D6683" w14:paraId="1AB29BFE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21EB5E54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Preferred platforms for sharing findings</w:t>
            </w:r>
          </w:p>
        </w:tc>
        <w:tc>
          <w:tcPr>
            <w:tcW w:w="3809" w:type="dxa"/>
            <w:vAlign w:val="center"/>
          </w:tcPr>
          <w:p w14:paraId="5D8E8831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Agreed that Tommy’s website and social media channels would be the most effective platforms for disseminating study findings.</w:t>
            </w:r>
          </w:p>
        </w:tc>
        <w:tc>
          <w:tcPr>
            <w:tcW w:w="3641" w:type="dxa"/>
            <w:vAlign w:val="center"/>
          </w:tcPr>
          <w:p w14:paraId="400BAB2C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Findings will be published via Tommy’s website and social channels.</w:t>
            </w:r>
            <w:r w:rsidRPr="006D6683" w:rsidDel="00A87AA0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6BDECA03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51170D0E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Co-authorship and lay summary review</w:t>
            </w:r>
          </w:p>
        </w:tc>
        <w:tc>
          <w:tcPr>
            <w:tcW w:w="3809" w:type="dxa"/>
            <w:vAlign w:val="center"/>
          </w:tcPr>
          <w:p w14:paraId="7C5CAB3F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Expressed willingness to co-author the current article and to review and develop a lay summary for the primary study report.</w:t>
            </w:r>
          </w:p>
        </w:tc>
        <w:tc>
          <w:tcPr>
            <w:tcW w:w="3641" w:type="dxa"/>
            <w:vAlign w:val="center"/>
          </w:tcPr>
          <w:p w14:paraId="0A2295F0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Members to co-author and help draft the lay summary.</w:t>
            </w:r>
            <w:r w:rsidRPr="006D6683" w:rsidDel="0061273F">
              <w:rPr>
                <w:rFonts w:ascii="Arial" w:hAnsi="Arial" w:cs="Arial"/>
              </w:rPr>
              <w:t xml:space="preserve"> </w:t>
            </w:r>
          </w:p>
        </w:tc>
      </w:tr>
      <w:tr w:rsidR="003242AD" w:rsidRPr="006D6683" w14:paraId="7D97785E" w14:textId="77777777" w:rsidTr="00D2361F">
        <w:trPr>
          <w:tblCellSpacing w:w="15" w:type="dxa"/>
        </w:trPr>
        <w:tc>
          <w:tcPr>
            <w:tcW w:w="0" w:type="auto"/>
            <w:vAlign w:val="center"/>
          </w:tcPr>
          <w:p w14:paraId="5CF8CD46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Future public involvement</w:t>
            </w:r>
          </w:p>
        </w:tc>
        <w:tc>
          <w:tcPr>
            <w:tcW w:w="3809" w:type="dxa"/>
            <w:vAlign w:val="center"/>
          </w:tcPr>
          <w:p w14:paraId="4FE7DDC1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Agreed to participate as public advocates at future PPIE events and workshops</w:t>
            </w:r>
          </w:p>
        </w:tc>
        <w:tc>
          <w:tcPr>
            <w:tcW w:w="3641" w:type="dxa"/>
            <w:vAlign w:val="center"/>
          </w:tcPr>
          <w:p w14:paraId="0D332177" w14:textId="77777777" w:rsidR="003242AD" w:rsidRPr="006D6683" w:rsidRDefault="003242AD" w:rsidP="00D2361F">
            <w:pPr>
              <w:rPr>
                <w:rFonts w:ascii="Arial" w:hAnsi="Arial" w:cs="Arial"/>
              </w:rPr>
            </w:pPr>
            <w:r w:rsidRPr="006D6683">
              <w:rPr>
                <w:rFonts w:ascii="Arial" w:hAnsi="Arial" w:cs="Arial"/>
              </w:rPr>
              <w:t>Members will be invited to future events and workshops.</w:t>
            </w:r>
            <w:r w:rsidRPr="006D6683" w:rsidDel="0061273F">
              <w:rPr>
                <w:rFonts w:ascii="Arial" w:hAnsi="Arial" w:cs="Arial"/>
              </w:rPr>
              <w:t xml:space="preserve"> </w:t>
            </w:r>
          </w:p>
        </w:tc>
      </w:tr>
    </w:tbl>
    <w:p w14:paraId="36F19972" w14:textId="77777777" w:rsidR="003242AD" w:rsidRPr="006D6683" w:rsidRDefault="003242AD" w:rsidP="003242AD">
      <w:pPr>
        <w:rPr>
          <w:rFonts w:ascii="Arial" w:hAnsi="Arial" w:cs="Arial"/>
          <w:vanish/>
        </w:rPr>
      </w:pPr>
    </w:p>
    <w:p w14:paraId="6D988872" w14:textId="77777777" w:rsidR="003242AD" w:rsidRPr="006D6683" w:rsidRDefault="003242AD" w:rsidP="003242AD">
      <w:pPr>
        <w:rPr>
          <w:rFonts w:ascii="Arial" w:hAnsi="Arial" w:cs="Arial"/>
          <w:vanish/>
        </w:rPr>
      </w:pPr>
    </w:p>
    <w:p w14:paraId="0FB77C0C" w14:textId="77777777" w:rsidR="003242AD" w:rsidRPr="006D6683" w:rsidRDefault="003242AD" w:rsidP="003242AD">
      <w:pPr>
        <w:rPr>
          <w:rFonts w:ascii="Arial" w:hAnsi="Arial" w:cs="Arial"/>
        </w:rPr>
      </w:pPr>
    </w:p>
    <w:p w14:paraId="6A776DA8" w14:textId="77777777" w:rsidR="003242AD" w:rsidRDefault="003242AD" w:rsidP="003242AD">
      <w:pPr>
        <w:spacing w:line="480" w:lineRule="auto"/>
        <w:rPr>
          <w:rFonts w:ascii="Arial" w:eastAsia="Arial" w:hAnsi="Arial" w:cs="Arial"/>
        </w:rPr>
      </w:pPr>
    </w:p>
    <w:p w14:paraId="369277FB" w14:textId="77777777" w:rsidR="003242AD" w:rsidRDefault="003242AD" w:rsidP="003242AD">
      <w:pPr>
        <w:spacing w:line="480" w:lineRule="auto"/>
        <w:rPr>
          <w:rFonts w:ascii="Arial" w:eastAsia="Arial" w:hAnsi="Arial" w:cs="Arial"/>
        </w:rPr>
      </w:pPr>
    </w:p>
    <w:p w14:paraId="3DF5D835" w14:textId="77777777" w:rsidR="003242AD" w:rsidRDefault="003242AD" w:rsidP="003242AD">
      <w:pPr>
        <w:spacing w:line="480" w:lineRule="auto"/>
        <w:rPr>
          <w:rFonts w:ascii="Arial" w:eastAsia="Arial" w:hAnsi="Arial" w:cs="Arial"/>
        </w:rPr>
      </w:pPr>
    </w:p>
    <w:p w14:paraId="577AF32A" w14:textId="77777777" w:rsidR="003242AD" w:rsidRDefault="003242AD" w:rsidP="003242AD">
      <w:pPr>
        <w:spacing w:line="480" w:lineRule="auto"/>
        <w:rPr>
          <w:rFonts w:ascii="Arial" w:eastAsia="Arial" w:hAnsi="Arial" w:cs="Arial"/>
        </w:rPr>
      </w:pPr>
    </w:p>
    <w:p w14:paraId="0D1E8AF0" w14:textId="77777777" w:rsidR="003242AD" w:rsidRDefault="003242AD" w:rsidP="003242AD">
      <w:pPr>
        <w:spacing w:line="480" w:lineRule="auto"/>
        <w:rPr>
          <w:rFonts w:ascii="Arial" w:eastAsia="Arial" w:hAnsi="Arial" w:cs="Arial"/>
        </w:rPr>
        <w:sectPr w:rsidR="003242AD" w:rsidSect="003242A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69FBE21" w14:textId="6A142BEF" w:rsidR="00E023F9" w:rsidRDefault="00E023F9"/>
    <w:p w14:paraId="227797E7" w14:textId="77777777" w:rsidR="003242AD" w:rsidRPr="009C2C7B" w:rsidRDefault="003242AD" w:rsidP="003242AD">
      <w:pPr>
        <w:rPr>
          <w:rFonts w:ascii="Arial" w:hAnsi="Arial" w:cs="Arial"/>
          <w:b/>
          <w:bCs/>
        </w:rPr>
      </w:pPr>
      <w:r w:rsidRPr="009C2C7B">
        <w:rPr>
          <w:rFonts w:ascii="Arial" w:hAnsi="Arial" w:cs="Arial"/>
          <w:b/>
          <w:bCs/>
        </w:rPr>
        <w:t xml:space="preserve">Table3: Summary of </w:t>
      </w:r>
      <w:r>
        <w:rPr>
          <w:rFonts w:ascii="Arial" w:hAnsi="Arial" w:cs="Arial"/>
          <w:b/>
          <w:bCs/>
        </w:rPr>
        <w:t>q</w:t>
      </w:r>
      <w:r w:rsidRPr="009C2C7B">
        <w:rPr>
          <w:rFonts w:ascii="Arial" w:hAnsi="Arial" w:cs="Arial"/>
          <w:b/>
          <w:bCs/>
        </w:rPr>
        <w:t xml:space="preserve">uantitative </w:t>
      </w:r>
      <w:r>
        <w:rPr>
          <w:rFonts w:ascii="Arial" w:hAnsi="Arial" w:cs="Arial"/>
          <w:b/>
          <w:bCs/>
        </w:rPr>
        <w:t>r</w:t>
      </w:r>
      <w:r w:rsidRPr="009C2C7B">
        <w:rPr>
          <w:rFonts w:ascii="Arial" w:hAnsi="Arial" w:cs="Arial"/>
          <w:b/>
          <w:bCs/>
        </w:rPr>
        <w:t xml:space="preserve">esponses from </w:t>
      </w:r>
      <w:r>
        <w:rPr>
          <w:rFonts w:ascii="Arial" w:hAnsi="Arial" w:cs="Arial"/>
          <w:b/>
          <w:bCs/>
        </w:rPr>
        <w:t>r</w:t>
      </w:r>
      <w:r w:rsidRPr="009C2C7B">
        <w:rPr>
          <w:rFonts w:ascii="Arial" w:hAnsi="Arial" w:cs="Arial"/>
          <w:b/>
          <w:bCs/>
        </w:rPr>
        <w:t>esearchers</w:t>
      </w:r>
    </w:p>
    <w:tbl>
      <w:tblPr>
        <w:tblpPr w:leftFromText="180" w:rightFromText="180" w:horzAnchor="margin" w:tblpY="646"/>
        <w:tblW w:w="15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310"/>
        <w:gridCol w:w="1383"/>
        <w:gridCol w:w="1417"/>
        <w:gridCol w:w="1701"/>
        <w:gridCol w:w="993"/>
        <w:gridCol w:w="992"/>
        <w:gridCol w:w="1417"/>
        <w:gridCol w:w="1134"/>
        <w:gridCol w:w="979"/>
        <w:gridCol w:w="1252"/>
        <w:gridCol w:w="1252"/>
      </w:tblGrid>
      <w:tr w:rsidR="003242AD" w:rsidRPr="009C2C7B" w14:paraId="7DF2FEF2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610B47BE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Respondent </w:t>
            </w:r>
          </w:p>
        </w:tc>
        <w:tc>
          <w:tcPr>
            <w:tcW w:w="1310" w:type="dxa"/>
            <w:noWrap/>
            <w:vAlign w:val="bottom"/>
            <w:hideMark/>
          </w:tcPr>
          <w:p w14:paraId="08CC212A" w14:textId="77777777" w:rsidR="003242AD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Experience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efore PPIE </w:t>
            </w:r>
          </w:p>
          <w:p w14:paraId="1A20F345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83" w:type="dxa"/>
            <w:noWrap/>
            <w:vAlign w:val="bottom"/>
            <w:hideMark/>
          </w:tcPr>
          <w:p w14:paraId="7D215B94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Experience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ained</w:t>
            </w:r>
          </w:p>
          <w:p w14:paraId="03C341D8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14:paraId="74C19F5B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Knowledge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xpanded </w:t>
            </w:r>
          </w:p>
          <w:p w14:paraId="430B667C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  <w:vAlign w:val="bottom"/>
            <w:hideMark/>
          </w:tcPr>
          <w:p w14:paraId="276789C6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Met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xpectations </w:t>
            </w:r>
          </w:p>
          <w:p w14:paraId="4A1D4BE4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noWrap/>
            <w:vAlign w:val="bottom"/>
            <w:hideMark/>
          </w:tcPr>
          <w:p w14:paraId="60F5574C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Overall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mpact </w:t>
            </w:r>
          </w:p>
          <w:p w14:paraId="3F22E6E9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noWrap/>
            <w:vAlign w:val="bottom"/>
            <w:hideMark/>
          </w:tcPr>
          <w:p w14:paraId="39014C7D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Would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nvolve PPIE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gain </w:t>
            </w:r>
          </w:p>
          <w:p w14:paraId="01E03B12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14:paraId="1246C4FC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Impact 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ecruitment</w:t>
            </w:r>
          </w:p>
          <w:p w14:paraId="3FFFA7CE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134" w:type="dxa"/>
            <w:noWrap/>
            <w:vAlign w:val="bottom"/>
            <w:hideMark/>
          </w:tcPr>
          <w:p w14:paraId="4DD5536A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Impact 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tudy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aterials </w:t>
            </w:r>
          </w:p>
          <w:p w14:paraId="0BEDF196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79" w:type="dxa"/>
            <w:noWrap/>
            <w:vAlign w:val="bottom"/>
            <w:hideMark/>
          </w:tcPr>
          <w:p w14:paraId="4259C66F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Impact 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atient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omms </w:t>
            </w:r>
          </w:p>
          <w:p w14:paraId="091E59FB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noWrap/>
            <w:vAlign w:val="bottom"/>
            <w:hideMark/>
          </w:tcPr>
          <w:p w14:paraId="6C6EBADD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Impact 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tudy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ethod </w:t>
            </w:r>
          </w:p>
          <w:p w14:paraId="6F039177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2" w:type="dxa"/>
            <w:noWrap/>
            <w:vAlign w:val="bottom"/>
            <w:hideMark/>
          </w:tcPr>
          <w:p w14:paraId="76F072B2" w14:textId="77777777" w:rsidR="003242AD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Impact on</w:t>
            </w:r>
          </w:p>
          <w:p w14:paraId="016D093C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nclusivity</w:t>
            </w:r>
          </w:p>
          <w:p w14:paraId="4F07EBEF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</w:t>
            </w:r>
            <w:r w:rsidRPr="00A5348D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) </w:t>
            </w:r>
          </w:p>
        </w:tc>
      </w:tr>
      <w:tr w:rsidR="003242AD" w:rsidRPr="009C2C7B" w14:paraId="2C7038F9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6E2B8E63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1</w:t>
            </w:r>
          </w:p>
        </w:tc>
        <w:tc>
          <w:tcPr>
            <w:tcW w:w="1310" w:type="dxa"/>
            <w:noWrap/>
            <w:vAlign w:val="bottom"/>
            <w:hideMark/>
          </w:tcPr>
          <w:p w14:paraId="18024B34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noWrap/>
            <w:vAlign w:val="bottom"/>
            <w:hideMark/>
          </w:tcPr>
          <w:p w14:paraId="2B0BB846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7" w:type="dxa"/>
            <w:noWrap/>
            <w:vAlign w:val="bottom"/>
            <w:hideMark/>
          </w:tcPr>
          <w:p w14:paraId="7BA9199C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2148811E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3" w:type="dxa"/>
            <w:noWrap/>
            <w:vAlign w:val="bottom"/>
            <w:hideMark/>
          </w:tcPr>
          <w:p w14:paraId="758E10B8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14:paraId="66246538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1D4BF14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  <w:vAlign w:val="bottom"/>
            <w:hideMark/>
          </w:tcPr>
          <w:p w14:paraId="05742C21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9" w:type="dxa"/>
            <w:noWrap/>
            <w:vAlign w:val="bottom"/>
            <w:hideMark/>
          </w:tcPr>
          <w:p w14:paraId="54CDA0B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52" w:type="dxa"/>
            <w:noWrap/>
            <w:vAlign w:val="bottom"/>
            <w:hideMark/>
          </w:tcPr>
          <w:p w14:paraId="6F9B6531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52" w:type="dxa"/>
            <w:noWrap/>
            <w:vAlign w:val="bottom"/>
            <w:hideMark/>
          </w:tcPr>
          <w:p w14:paraId="37860B6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3242AD" w:rsidRPr="009C2C7B" w14:paraId="6A2537AB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68467807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2</w:t>
            </w:r>
          </w:p>
        </w:tc>
        <w:tc>
          <w:tcPr>
            <w:tcW w:w="1310" w:type="dxa"/>
            <w:noWrap/>
            <w:vAlign w:val="bottom"/>
            <w:hideMark/>
          </w:tcPr>
          <w:p w14:paraId="7277A0F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noWrap/>
            <w:vAlign w:val="bottom"/>
            <w:hideMark/>
          </w:tcPr>
          <w:p w14:paraId="72684B86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14:paraId="26263B4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23BE014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3" w:type="dxa"/>
            <w:noWrap/>
            <w:vAlign w:val="bottom"/>
            <w:hideMark/>
          </w:tcPr>
          <w:p w14:paraId="4B43770D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noWrap/>
            <w:vAlign w:val="bottom"/>
            <w:hideMark/>
          </w:tcPr>
          <w:p w14:paraId="763B166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53D7176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noWrap/>
            <w:vAlign w:val="bottom"/>
            <w:hideMark/>
          </w:tcPr>
          <w:p w14:paraId="7DA8B34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9" w:type="dxa"/>
            <w:noWrap/>
            <w:vAlign w:val="bottom"/>
            <w:hideMark/>
          </w:tcPr>
          <w:p w14:paraId="4BF2E98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noWrap/>
            <w:vAlign w:val="bottom"/>
            <w:hideMark/>
          </w:tcPr>
          <w:p w14:paraId="40F6FE7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52" w:type="dxa"/>
            <w:noWrap/>
            <w:vAlign w:val="bottom"/>
            <w:hideMark/>
          </w:tcPr>
          <w:p w14:paraId="5E8D3488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3242AD" w:rsidRPr="009C2C7B" w14:paraId="42B4E35F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30D59B66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3</w:t>
            </w:r>
          </w:p>
        </w:tc>
        <w:tc>
          <w:tcPr>
            <w:tcW w:w="1310" w:type="dxa"/>
            <w:noWrap/>
            <w:vAlign w:val="bottom"/>
            <w:hideMark/>
          </w:tcPr>
          <w:p w14:paraId="0DB770B3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3" w:type="dxa"/>
            <w:noWrap/>
            <w:vAlign w:val="bottom"/>
            <w:hideMark/>
          </w:tcPr>
          <w:p w14:paraId="516B31E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18676C6D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noWrap/>
            <w:vAlign w:val="bottom"/>
            <w:hideMark/>
          </w:tcPr>
          <w:p w14:paraId="52B759D4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3" w:type="dxa"/>
            <w:noWrap/>
            <w:vAlign w:val="bottom"/>
            <w:hideMark/>
          </w:tcPr>
          <w:p w14:paraId="5EFDF7C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14:paraId="50166381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05F43524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vAlign w:val="bottom"/>
            <w:hideMark/>
          </w:tcPr>
          <w:p w14:paraId="04A7616D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9" w:type="dxa"/>
            <w:noWrap/>
            <w:vAlign w:val="bottom"/>
            <w:hideMark/>
          </w:tcPr>
          <w:p w14:paraId="245140AE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noWrap/>
            <w:vAlign w:val="bottom"/>
            <w:hideMark/>
          </w:tcPr>
          <w:p w14:paraId="5C2B21E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2" w:type="dxa"/>
            <w:noWrap/>
            <w:vAlign w:val="bottom"/>
            <w:hideMark/>
          </w:tcPr>
          <w:p w14:paraId="7DBFD0A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3242AD" w:rsidRPr="009C2C7B" w14:paraId="5B333C21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308396A5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4</w:t>
            </w:r>
          </w:p>
        </w:tc>
        <w:tc>
          <w:tcPr>
            <w:tcW w:w="1310" w:type="dxa"/>
            <w:noWrap/>
            <w:vAlign w:val="bottom"/>
            <w:hideMark/>
          </w:tcPr>
          <w:p w14:paraId="4336F75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noWrap/>
            <w:vAlign w:val="bottom"/>
            <w:hideMark/>
          </w:tcPr>
          <w:p w14:paraId="2EBB44FB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6152278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noWrap/>
            <w:vAlign w:val="bottom"/>
            <w:hideMark/>
          </w:tcPr>
          <w:p w14:paraId="27C23CE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3" w:type="dxa"/>
            <w:noWrap/>
            <w:vAlign w:val="bottom"/>
            <w:hideMark/>
          </w:tcPr>
          <w:p w14:paraId="61A851B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14:paraId="11540931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5FF14E4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vAlign w:val="bottom"/>
            <w:hideMark/>
          </w:tcPr>
          <w:p w14:paraId="4753E8F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9" w:type="dxa"/>
            <w:noWrap/>
            <w:vAlign w:val="bottom"/>
            <w:hideMark/>
          </w:tcPr>
          <w:p w14:paraId="791CD49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noWrap/>
            <w:vAlign w:val="bottom"/>
            <w:hideMark/>
          </w:tcPr>
          <w:p w14:paraId="6213CF83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2" w:type="dxa"/>
            <w:noWrap/>
            <w:vAlign w:val="bottom"/>
            <w:hideMark/>
          </w:tcPr>
          <w:p w14:paraId="2D0CB2C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3242AD" w:rsidRPr="009C2C7B" w14:paraId="1651AF90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5796B4E6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5</w:t>
            </w:r>
          </w:p>
        </w:tc>
        <w:tc>
          <w:tcPr>
            <w:tcW w:w="1310" w:type="dxa"/>
            <w:noWrap/>
            <w:vAlign w:val="bottom"/>
            <w:hideMark/>
          </w:tcPr>
          <w:p w14:paraId="4BA6BF8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3" w:type="dxa"/>
            <w:noWrap/>
            <w:vAlign w:val="bottom"/>
            <w:hideMark/>
          </w:tcPr>
          <w:p w14:paraId="570DC3E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14:paraId="4621616A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09A2F9F3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3" w:type="dxa"/>
            <w:noWrap/>
            <w:vAlign w:val="bottom"/>
            <w:hideMark/>
          </w:tcPr>
          <w:p w14:paraId="4C5B9BF8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14:paraId="717B57E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23E723F6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vAlign w:val="bottom"/>
            <w:hideMark/>
          </w:tcPr>
          <w:p w14:paraId="755B6A4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9" w:type="dxa"/>
            <w:noWrap/>
            <w:vAlign w:val="bottom"/>
            <w:hideMark/>
          </w:tcPr>
          <w:p w14:paraId="4F0A3FA6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noWrap/>
            <w:vAlign w:val="bottom"/>
            <w:hideMark/>
          </w:tcPr>
          <w:p w14:paraId="5738B35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noWrap/>
            <w:vAlign w:val="bottom"/>
            <w:hideMark/>
          </w:tcPr>
          <w:p w14:paraId="35443FD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3242AD" w:rsidRPr="009C2C7B" w14:paraId="0E6A42EE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56C8F157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Researcher 6</w:t>
            </w:r>
          </w:p>
        </w:tc>
        <w:tc>
          <w:tcPr>
            <w:tcW w:w="1310" w:type="dxa"/>
            <w:noWrap/>
            <w:vAlign w:val="bottom"/>
            <w:hideMark/>
          </w:tcPr>
          <w:p w14:paraId="75DF822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noWrap/>
            <w:vAlign w:val="bottom"/>
            <w:hideMark/>
          </w:tcPr>
          <w:p w14:paraId="1A8FF891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14:paraId="203F9EBB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43B92D6C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3" w:type="dxa"/>
            <w:noWrap/>
            <w:vAlign w:val="bottom"/>
            <w:hideMark/>
          </w:tcPr>
          <w:p w14:paraId="321058A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14:paraId="382514DF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019E7693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vAlign w:val="bottom"/>
            <w:hideMark/>
          </w:tcPr>
          <w:p w14:paraId="3737846C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79" w:type="dxa"/>
            <w:noWrap/>
            <w:vAlign w:val="bottom"/>
            <w:hideMark/>
          </w:tcPr>
          <w:p w14:paraId="67E004B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  <w:tc>
          <w:tcPr>
            <w:tcW w:w="1252" w:type="dxa"/>
            <w:noWrap/>
            <w:vAlign w:val="bottom"/>
            <w:hideMark/>
          </w:tcPr>
          <w:p w14:paraId="1821D1DA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  <w:tc>
          <w:tcPr>
            <w:tcW w:w="1252" w:type="dxa"/>
            <w:noWrap/>
            <w:vAlign w:val="bottom"/>
            <w:hideMark/>
          </w:tcPr>
          <w:p w14:paraId="647C44DA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</w:tr>
      <w:tr w:rsidR="003242AD" w:rsidRPr="009C2C7B" w14:paraId="3983716F" w14:textId="77777777" w:rsidTr="00D2361F">
        <w:trPr>
          <w:trHeight w:val="289"/>
        </w:trPr>
        <w:tc>
          <w:tcPr>
            <w:tcW w:w="1555" w:type="dxa"/>
            <w:noWrap/>
            <w:vAlign w:val="bottom"/>
            <w:hideMark/>
          </w:tcPr>
          <w:p w14:paraId="1D964EDF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310" w:type="dxa"/>
            <w:noWrap/>
            <w:vAlign w:val="bottom"/>
            <w:hideMark/>
          </w:tcPr>
          <w:p w14:paraId="2A5C938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383" w:type="dxa"/>
            <w:noWrap/>
            <w:vAlign w:val="bottom"/>
            <w:hideMark/>
          </w:tcPr>
          <w:p w14:paraId="3C93BB8B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417" w:type="dxa"/>
            <w:noWrap/>
            <w:vAlign w:val="bottom"/>
            <w:hideMark/>
          </w:tcPr>
          <w:p w14:paraId="0A8E8AC2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1701" w:type="dxa"/>
            <w:noWrap/>
            <w:vAlign w:val="bottom"/>
            <w:hideMark/>
          </w:tcPr>
          <w:p w14:paraId="196DDDFD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93" w:type="dxa"/>
            <w:noWrap/>
            <w:vAlign w:val="bottom"/>
            <w:hideMark/>
          </w:tcPr>
          <w:p w14:paraId="26E9FE84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992" w:type="dxa"/>
            <w:noWrap/>
            <w:vAlign w:val="bottom"/>
            <w:hideMark/>
          </w:tcPr>
          <w:p w14:paraId="79D5CBFE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14:paraId="19FFB86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134" w:type="dxa"/>
            <w:noWrap/>
            <w:vAlign w:val="bottom"/>
            <w:hideMark/>
          </w:tcPr>
          <w:p w14:paraId="0251F4E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79" w:type="dxa"/>
            <w:noWrap/>
            <w:vAlign w:val="bottom"/>
            <w:hideMark/>
          </w:tcPr>
          <w:p w14:paraId="1D2CFF36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252" w:type="dxa"/>
            <w:noWrap/>
            <w:vAlign w:val="bottom"/>
            <w:hideMark/>
          </w:tcPr>
          <w:p w14:paraId="6247846C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252" w:type="dxa"/>
            <w:noWrap/>
            <w:vAlign w:val="bottom"/>
            <w:hideMark/>
          </w:tcPr>
          <w:p w14:paraId="6CB010DA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</w:t>
            </w:r>
          </w:p>
        </w:tc>
      </w:tr>
      <w:tr w:rsidR="003242AD" w:rsidRPr="009C2C7B" w14:paraId="278E0283" w14:textId="77777777" w:rsidTr="00D2361F">
        <w:trPr>
          <w:trHeight w:val="289"/>
        </w:trPr>
        <w:tc>
          <w:tcPr>
            <w:tcW w:w="1555" w:type="dxa"/>
            <w:noWrap/>
            <w:vAlign w:val="bottom"/>
          </w:tcPr>
          <w:p w14:paraId="02A37B15" w14:textId="77777777" w:rsidR="003242AD" w:rsidRPr="009C2C7B" w:rsidRDefault="003242AD" w:rsidP="00D23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310" w:type="dxa"/>
            <w:noWrap/>
            <w:vAlign w:val="bottom"/>
          </w:tcPr>
          <w:p w14:paraId="54B57A3E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2-4</w:t>
            </w:r>
          </w:p>
        </w:tc>
        <w:tc>
          <w:tcPr>
            <w:tcW w:w="1383" w:type="dxa"/>
            <w:noWrap/>
            <w:vAlign w:val="bottom"/>
          </w:tcPr>
          <w:p w14:paraId="511F7D68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3-5</w:t>
            </w:r>
          </w:p>
        </w:tc>
        <w:tc>
          <w:tcPr>
            <w:tcW w:w="1417" w:type="dxa"/>
            <w:noWrap/>
            <w:vAlign w:val="bottom"/>
          </w:tcPr>
          <w:p w14:paraId="401AEA4E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4-5</w:t>
            </w:r>
          </w:p>
        </w:tc>
        <w:tc>
          <w:tcPr>
            <w:tcW w:w="1701" w:type="dxa"/>
            <w:noWrap/>
            <w:vAlign w:val="bottom"/>
          </w:tcPr>
          <w:p w14:paraId="639B7EE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3-5</w:t>
            </w:r>
          </w:p>
        </w:tc>
        <w:tc>
          <w:tcPr>
            <w:tcW w:w="993" w:type="dxa"/>
            <w:noWrap/>
            <w:vAlign w:val="bottom"/>
          </w:tcPr>
          <w:p w14:paraId="5F60A2E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4-5</w:t>
            </w:r>
          </w:p>
        </w:tc>
        <w:tc>
          <w:tcPr>
            <w:tcW w:w="992" w:type="dxa"/>
            <w:noWrap/>
            <w:vAlign w:val="bottom"/>
          </w:tcPr>
          <w:p w14:paraId="19569E9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bottom"/>
          </w:tcPr>
          <w:p w14:paraId="2B0DAC97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2-5</w:t>
            </w:r>
          </w:p>
        </w:tc>
        <w:tc>
          <w:tcPr>
            <w:tcW w:w="1134" w:type="dxa"/>
            <w:noWrap/>
            <w:vAlign w:val="bottom"/>
          </w:tcPr>
          <w:p w14:paraId="46A2F220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4-5</w:t>
            </w:r>
          </w:p>
        </w:tc>
        <w:tc>
          <w:tcPr>
            <w:tcW w:w="979" w:type="dxa"/>
            <w:noWrap/>
            <w:vAlign w:val="bottom"/>
          </w:tcPr>
          <w:p w14:paraId="742F8439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4-5</w:t>
            </w:r>
          </w:p>
        </w:tc>
        <w:tc>
          <w:tcPr>
            <w:tcW w:w="1252" w:type="dxa"/>
            <w:noWrap/>
            <w:vAlign w:val="bottom"/>
          </w:tcPr>
          <w:p w14:paraId="5DF06D4D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2-5</w:t>
            </w:r>
          </w:p>
        </w:tc>
        <w:tc>
          <w:tcPr>
            <w:tcW w:w="1252" w:type="dxa"/>
            <w:noWrap/>
            <w:vAlign w:val="bottom"/>
          </w:tcPr>
          <w:p w14:paraId="6B9E00B5" w14:textId="77777777" w:rsidR="003242AD" w:rsidRPr="009C2C7B" w:rsidRDefault="003242AD" w:rsidP="00D2361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2C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2-5</w:t>
            </w:r>
          </w:p>
        </w:tc>
      </w:tr>
    </w:tbl>
    <w:p w14:paraId="0E031EA7" w14:textId="77777777" w:rsidR="003242AD" w:rsidRPr="00623E89" w:rsidRDefault="003242AD" w:rsidP="003242AD"/>
    <w:p w14:paraId="28BBB5F3" w14:textId="77777777" w:rsidR="003242AD" w:rsidRPr="005E1388" w:rsidRDefault="003242AD" w:rsidP="003242AD">
      <w:pPr>
        <w:ind w:left="720" w:hanging="360"/>
        <w:rPr>
          <w:rFonts w:ascii="Arial" w:hAnsi="Arial" w:cs="Arial"/>
        </w:rPr>
      </w:pPr>
      <w:r w:rsidRPr="009C2C7B">
        <w:rPr>
          <w:rFonts w:asciiTheme="minorHAnsi" w:eastAsiaTheme="minorEastAsia" w:hAnsiTheme="minorHAnsi" w:cstheme="minorBidi"/>
        </w:rPr>
        <w:t>a)</w:t>
      </w:r>
      <w:r w:rsidRPr="009C2C7B">
        <w:rPr>
          <w:rFonts w:asciiTheme="minorHAnsi" w:eastAsiaTheme="minorEastAsia" w:hAnsiTheme="minorHAnsi" w:cstheme="minorBidi"/>
        </w:rPr>
        <w:tab/>
      </w:r>
      <w:r w:rsidRPr="005E1388">
        <w:rPr>
          <w:rFonts w:ascii="Arial" w:hAnsi="Arial" w:cs="Arial"/>
        </w:rPr>
        <w:t>1: No experience – 5: Extensive experience</w:t>
      </w:r>
    </w:p>
    <w:p w14:paraId="443FF77B" w14:textId="77777777" w:rsidR="003242AD" w:rsidRPr="005E1388" w:rsidRDefault="003242AD" w:rsidP="003242AD">
      <w:pPr>
        <w:ind w:left="720" w:hanging="360"/>
        <w:rPr>
          <w:rFonts w:ascii="Arial" w:hAnsi="Arial" w:cs="Arial"/>
        </w:rPr>
      </w:pPr>
      <w:r w:rsidRPr="009C2C7B">
        <w:rPr>
          <w:rFonts w:asciiTheme="minorHAnsi" w:eastAsiaTheme="minorEastAsia" w:hAnsiTheme="minorHAnsi" w:cstheme="minorBidi"/>
        </w:rPr>
        <w:t>b)</w:t>
      </w:r>
      <w:r w:rsidRPr="009C2C7B">
        <w:rPr>
          <w:rFonts w:asciiTheme="minorHAnsi" w:eastAsiaTheme="minorEastAsia" w:hAnsiTheme="minorHAnsi" w:cstheme="minorBidi"/>
        </w:rPr>
        <w:tab/>
      </w:r>
      <w:r w:rsidRPr="005E1388">
        <w:rPr>
          <w:rFonts w:ascii="Arial" w:hAnsi="Arial" w:cs="Arial"/>
        </w:rPr>
        <w:t>1: Strongly disagree – 5: Strongly agree</w:t>
      </w:r>
    </w:p>
    <w:p w14:paraId="6505F91B" w14:textId="77777777" w:rsidR="003242AD" w:rsidRPr="005E1388" w:rsidRDefault="003242AD" w:rsidP="003242AD">
      <w:pPr>
        <w:ind w:left="720" w:hanging="360"/>
        <w:rPr>
          <w:rFonts w:ascii="Arial" w:eastAsia="Arial" w:hAnsi="Arial" w:cs="Arial"/>
        </w:rPr>
      </w:pPr>
      <w:r w:rsidRPr="002D1CDA">
        <w:rPr>
          <w:rFonts w:asciiTheme="minorHAnsi" w:eastAsiaTheme="minorEastAsia" w:hAnsiTheme="minorHAnsi" w:cstheme="minorBidi"/>
        </w:rPr>
        <w:t>c)</w:t>
      </w:r>
      <w:r w:rsidRPr="002D1CDA">
        <w:rPr>
          <w:rFonts w:asciiTheme="minorHAnsi" w:eastAsiaTheme="minorEastAsia" w:hAnsiTheme="minorHAnsi" w:cstheme="minorBidi"/>
        </w:rPr>
        <w:tab/>
      </w:r>
      <w:r w:rsidRPr="005E1388">
        <w:rPr>
          <w:rFonts w:ascii="Arial" w:hAnsi="Arial" w:cs="Arial"/>
        </w:rPr>
        <w:t>1: Not at all impactful – 5: Extremely impactful</w:t>
      </w:r>
    </w:p>
    <w:p w14:paraId="31326F54" w14:textId="77777777" w:rsidR="003242AD" w:rsidRPr="005E1388" w:rsidRDefault="003242AD" w:rsidP="003242AD">
      <w:pPr>
        <w:ind w:left="720" w:hanging="360"/>
        <w:rPr>
          <w:rFonts w:ascii="Arial" w:eastAsia="Arial" w:hAnsi="Arial" w:cs="Arial"/>
        </w:rPr>
      </w:pPr>
      <w:r w:rsidRPr="00330CF2">
        <w:rPr>
          <w:rFonts w:asciiTheme="minorHAnsi" w:eastAsiaTheme="minorEastAsia" w:hAnsiTheme="minorHAnsi" w:cstheme="minorBidi"/>
        </w:rPr>
        <w:t>d)</w:t>
      </w:r>
      <w:r w:rsidRPr="00330CF2">
        <w:rPr>
          <w:rFonts w:asciiTheme="minorHAnsi" w:eastAsiaTheme="minorEastAsia" w:hAnsiTheme="minorHAnsi" w:cstheme="minorBidi"/>
        </w:rPr>
        <w:tab/>
      </w:r>
      <w:r w:rsidRPr="005E1388">
        <w:rPr>
          <w:rFonts w:ascii="Arial" w:hAnsi="Arial" w:cs="Arial"/>
        </w:rPr>
        <w:t>1: Not at all likely – 5: Extremely likely</w:t>
      </w:r>
    </w:p>
    <w:p w14:paraId="4311F1D7" w14:textId="77777777" w:rsidR="003242AD" w:rsidRDefault="003242AD"/>
    <w:sectPr w:rsidR="003242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2AD"/>
    <w:rsid w:val="000C4033"/>
    <w:rsid w:val="003242AD"/>
    <w:rsid w:val="004B42CB"/>
    <w:rsid w:val="005F2B46"/>
    <w:rsid w:val="006E1731"/>
    <w:rsid w:val="00751E95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D4654"/>
  <w15:chartTrackingRefBased/>
  <w15:docId w15:val="{3308158B-BDA5-42AB-B98E-10A3D99A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2AD"/>
    <w:rPr>
      <w:rFonts w:ascii="Aptos" w:eastAsia="Aptos" w:hAnsi="Aptos" w:cs="Aptos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4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2A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2A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2A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2A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2A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2A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2A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2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2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2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2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2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2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2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2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2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4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2A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4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2A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42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2AD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42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2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2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2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939</Words>
  <Characters>6011</Characters>
  <Application>Microsoft Office Word</Application>
  <DocSecurity>0</DocSecurity>
  <Lines>300</Lines>
  <Paragraphs>115</Paragraphs>
  <ScaleCrop>false</ScaleCrop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2026-03-24T13:57:00Z</dcterms:created>
  <dcterms:modified xsi:type="dcterms:W3CDTF">2026-03-24T13:58:00Z</dcterms:modified>
</cp:coreProperties>
</file>