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09" w:rsidRPr="00FE5709" w:rsidRDefault="00FE2FAE" w:rsidP="00FE5709">
      <w:pPr>
        <w:pStyle w:val="NormalWeb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>Table S</w:t>
      </w:r>
      <w:r w:rsidR="00FE5709" w:rsidRPr="00FE5709">
        <w:rPr>
          <w:b/>
          <w:bCs/>
          <w:iCs/>
        </w:rPr>
        <w:t>1.Sequence of primer used for Quantitative Real-Time PCR (</w:t>
      </w:r>
      <w:proofErr w:type="spellStart"/>
      <w:r w:rsidR="00FE5709" w:rsidRPr="00FE5709">
        <w:rPr>
          <w:b/>
          <w:bCs/>
          <w:iCs/>
        </w:rPr>
        <w:t>qRT</w:t>
      </w:r>
      <w:proofErr w:type="spellEnd"/>
      <w:r w:rsidR="00FE5709" w:rsidRPr="00FE5709">
        <w:rPr>
          <w:b/>
          <w:bCs/>
          <w:iCs/>
        </w:rPr>
        <w:t>-PCR)</w:t>
      </w:r>
    </w:p>
    <w:tbl>
      <w:tblPr>
        <w:tblStyle w:val="TableGrid"/>
        <w:tblW w:w="9606" w:type="dxa"/>
        <w:tblLayout w:type="fixed"/>
        <w:tblLook w:val="04A0"/>
      </w:tblPr>
      <w:tblGrid>
        <w:gridCol w:w="1101"/>
        <w:gridCol w:w="992"/>
        <w:gridCol w:w="1255"/>
        <w:gridCol w:w="871"/>
        <w:gridCol w:w="5387"/>
      </w:tblGrid>
      <w:tr w:rsidR="00FE5709" w:rsidRPr="00FE5709" w:rsidTr="00385ED0">
        <w:trPr>
          <w:trHeight w:val="242"/>
        </w:trPr>
        <w:tc>
          <w:tcPr>
            <w:tcW w:w="110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Gene</w:t>
            </w:r>
          </w:p>
        </w:tc>
        <w:tc>
          <w:tcPr>
            <w:tcW w:w="99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Cycles</w:t>
            </w:r>
          </w:p>
        </w:tc>
        <w:tc>
          <w:tcPr>
            <w:tcW w:w="1255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Tem.(˚C)</w:t>
            </w:r>
          </w:p>
        </w:tc>
        <w:tc>
          <w:tcPr>
            <w:tcW w:w="87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en-IN"/>
              </w:rPr>
            </w:pPr>
          </w:p>
        </w:tc>
        <w:tc>
          <w:tcPr>
            <w:tcW w:w="5387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5’ to 3’ Sequences</w:t>
            </w:r>
          </w:p>
        </w:tc>
      </w:tr>
      <w:tr w:rsidR="00FE5709" w:rsidRPr="00FE5709" w:rsidTr="00385ED0">
        <w:trPr>
          <w:trHeight w:val="215"/>
        </w:trPr>
        <w:tc>
          <w:tcPr>
            <w:tcW w:w="1101" w:type="dxa"/>
            <w:vMerge w:val="restart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i/>
              </w:rPr>
            </w:pPr>
            <w:r w:rsidRPr="00FE5709">
              <w:rPr>
                <w:b/>
                <w:bCs/>
              </w:rPr>
              <w:t>MAX</w:t>
            </w:r>
          </w:p>
        </w:tc>
        <w:tc>
          <w:tcPr>
            <w:tcW w:w="992" w:type="dxa"/>
            <w:vMerge w:val="restart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1255" w:type="dxa"/>
            <w:vMerge w:val="restart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60</w:t>
            </w:r>
          </w:p>
        </w:tc>
        <w:tc>
          <w:tcPr>
            <w:tcW w:w="87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F</w:t>
            </w:r>
          </w:p>
        </w:tc>
        <w:tc>
          <w:tcPr>
            <w:tcW w:w="5387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CTTCTGCTGATCCTGTCTGATG</w:t>
            </w:r>
          </w:p>
        </w:tc>
      </w:tr>
      <w:tr w:rsidR="00FE5709" w:rsidRPr="00FE5709" w:rsidTr="00385ED0">
        <w:trPr>
          <w:trHeight w:val="162"/>
        </w:trPr>
        <w:tc>
          <w:tcPr>
            <w:tcW w:w="1101" w:type="dxa"/>
            <w:vMerge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1255" w:type="dxa"/>
            <w:vMerge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87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R</w:t>
            </w:r>
          </w:p>
        </w:tc>
        <w:tc>
          <w:tcPr>
            <w:tcW w:w="5387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TGCTGTGAAGGGAGATGTATTG</w:t>
            </w:r>
          </w:p>
        </w:tc>
      </w:tr>
      <w:tr w:rsidR="00FE5709" w:rsidRPr="00FE5709" w:rsidTr="00385ED0">
        <w:trPr>
          <w:trHeight w:val="152"/>
        </w:trPr>
        <w:tc>
          <w:tcPr>
            <w:tcW w:w="1101" w:type="dxa"/>
            <w:vMerge w:val="restart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MTURN</w:t>
            </w:r>
          </w:p>
        </w:tc>
        <w:tc>
          <w:tcPr>
            <w:tcW w:w="992" w:type="dxa"/>
            <w:vMerge w:val="restart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1255" w:type="dxa"/>
            <w:vMerge w:val="restart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60</w:t>
            </w:r>
          </w:p>
        </w:tc>
        <w:tc>
          <w:tcPr>
            <w:tcW w:w="87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F</w:t>
            </w:r>
          </w:p>
        </w:tc>
        <w:tc>
          <w:tcPr>
            <w:tcW w:w="5387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GATTTGGAGCCCGTGAAGAA</w:t>
            </w:r>
          </w:p>
        </w:tc>
      </w:tr>
      <w:tr w:rsidR="00FE5709" w:rsidRPr="00FE5709" w:rsidTr="00385ED0">
        <w:trPr>
          <w:trHeight w:val="217"/>
        </w:trPr>
        <w:tc>
          <w:tcPr>
            <w:tcW w:w="1101" w:type="dxa"/>
            <w:vMerge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1255" w:type="dxa"/>
            <w:vMerge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87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R</w:t>
            </w:r>
          </w:p>
        </w:tc>
        <w:tc>
          <w:tcPr>
            <w:tcW w:w="5387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GGACGGTTTGGGCATTTCTA</w:t>
            </w:r>
          </w:p>
        </w:tc>
      </w:tr>
      <w:tr w:rsidR="00FE5709" w:rsidRPr="00FE5709" w:rsidTr="00385ED0">
        <w:trPr>
          <w:trHeight w:val="199"/>
        </w:trPr>
        <w:tc>
          <w:tcPr>
            <w:tcW w:w="1101" w:type="dxa"/>
            <w:vMerge w:val="restart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i/>
              </w:rPr>
            </w:pPr>
            <w:r w:rsidRPr="00FE5709">
              <w:rPr>
                <w:b/>
                <w:bCs/>
              </w:rPr>
              <w:t>HLA‑B</w:t>
            </w:r>
          </w:p>
        </w:tc>
        <w:tc>
          <w:tcPr>
            <w:tcW w:w="992" w:type="dxa"/>
            <w:vMerge w:val="restart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1255" w:type="dxa"/>
            <w:vMerge w:val="restart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60</w:t>
            </w:r>
          </w:p>
        </w:tc>
        <w:tc>
          <w:tcPr>
            <w:tcW w:w="87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F</w:t>
            </w:r>
          </w:p>
        </w:tc>
        <w:tc>
          <w:tcPr>
            <w:tcW w:w="5387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GCACCCACACTGAAAGATGA</w:t>
            </w:r>
          </w:p>
        </w:tc>
      </w:tr>
      <w:tr w:rsidR="00FE5709" w:rsidRPr="00FE5709" w:rsidTr="00385ED0">
        <w:trPr>
          <w:trHeight w:val="177"/>
        </w:trPr>
        <w:tc>
          <w:tcPr>
            <w:tcW w:w="1101" w:type="dxa"/>
            <w:vMerge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1255" w:type="dxa"/>
            <w:vMerge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87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R</w:t>
            </w:r>
          </w:p>
        </w:tc>
        <w:tc>
          <w:tcPr>
            <w:tcW w:w="5387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AGGAGTCATAGGAGTGGTAAGG</w:t>
            </w:r>
          </w:p>
        </w:tc>
      </w:tr>
      <w:tr w:rsidR="00FE5709" w:rsidRPr="00FE5709" w:rsidTr="00385ED0">
        <w:trPr>
          <w:trHeight w:val="197"/>
        </w:trPr>
        <w:tc>
          <w:tcPr>
            <w:tcW w:w="110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i/>
              </w:rPr>
            </w:pPr>
            <w:r w:rsidRPr="00FE5709">
              <w:rPr>
                <w:b/>
                <w:bCs/>
                <w:i/>
              </w:rPr>
              <w:t>CAV1</w:t>
            </w:r>
          </w:p>
        </w:tc>
        <w:tc>
          <w:tcPr>
            <w:tcW w:w="99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1255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60</w:t>
            </w:r>
          </w:p>
        </w:tc>
        <w:tc>
          <w:tcPr>
            <w:tcW w:w="87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F</w:t>
            </w:r>
          </w:p>
        </w:tc>
        <w:tc>
          <w:tcPr>
            <w:tcW w:w="5387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GGTTGACACTAGCCCAATGA</w:t>
            </w:r>
          </w:p>
        </w:tc>
      </w:tr>
      <w:tr w:rsidR="00FE5709" w:rsidRPr="00FE5709" w:rsidTr="00385ED0">
        <w:trPr>
          <w:trHeight w:val="98"/>
        </w:trPr>
        <w:tc>
          <w:tcPr>
            <w:tcW w:w="110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i/>
              </w:rPr>
            </w:pPr>
          </w:p>
        </w:tc>
        <w:tc>
          <w:tcPr>
            <w:tcW w:w="99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1255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</w:p>
        </w:tc>
        <w:tc>
          <w:tcPr>
            <w:tcW w:w="87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R</w:t>
            </w:r>
          </w:p>
        </w:tc>
        <w:tc>
          <w:tcPr>
            <w:tcW w:w="5387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GTTGATGAGAGGCAGGGAAA</w:t>
            </w:r>
          </w:p>
        </w:tc>
      </w:tr>
      <w:tr w:rsidR="00FE5709" w:rsidRPr="00FE5709" w:rsidTr="00385ED0">
        <w:trPr>
          <w:trHeight w:val="359"/>
        </w:trPr>
        <w:tc>
          <w:tcPr>
            <w:tcW w:w="110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i/>
              </w:rPr>
            </w:pPr>
            <w:r w:rsidRPr="00FE5709">
              <w:rPr>
                <w:b/>
                <w:bCs/>
                <w:i/>
              </w:rPr>
              <w:t>GAPDH</w:t>
            </w:r>
          </w:p>
        </w:tc>
        <w:tc>
          <w:tcPr>
            <w:tcW w:w="99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1255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56</w:t>
            </w:r>
          </w:p>
        </w:tc>
        <w:tc>
          <w:tcPr>
            <w:tcW w:w="871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F</w:t>
            </w:r>
          </w:p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</w:rPr>
            </w:pPr>
            <w:r w:rsidRPr="00FE5709">
              <w:rPr>
                <w:b/>
                <w:bCs/>
              </w:rPr>
              <w:t>R</w:t>
            </w:r>
          </w:p>
        </w:tc>
        <w:tc>
          <w:tcPr>
            <w:tcW w:w="5387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GAAGGTGAAGGTCGGAGTC</w:t>
            </w:r>
          </w:p>
          <w:p w:rsidR="00FE5709" w:rsidRPr="00FE5709" w:rsidRDefault="00FE5709" w:rsidP="00FE5709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GAAGATGGTGATGGGATTTC</w:t>
            </w:r>
          </w:p>
        </w:tc>
      </w:tr>
    </w:tbl>
    <w:p w:rsidR="00FE5709" w:rsidRPr="00FE5709" w:rsidRDefault="00FE5709" w:rsidP="00FE5709">
      <w:pPr>
        <w:pStyle w:val="NormalWeb"/>
        <w:spacing w:before="0" w:beforeAutospacing="0" w:after="0" w:afterAutospacing="0" w:line="360" w:lineRule="auto"/>
        <w:jc w:val="both"/>
        <w:rPr>
          <w:b/>
          <w:bCs/>
          <w:iCs/>
        </w:rPr>
      </w:pPr>
    </w:p>
    <w:p w:rsidR="00FE5709" w:rsidRPr="00FE5709" w:rsidRDefault="00FE5709" w:rsidP="00FE5709">
      <w:pPr>
        <w:pStyle w:val="NormalWeb"/>
        <w:spacing w:line="360" w:lineRule="auto"/>
        <w:jc w:val="both"/>
        <w:rPr>
          <w:b/>
          <w:bCs/>
          <w:iCs/>
        </w:rPr>
      </w:pPr>
    </w:p>
    <w:p w:rsidR="00FE5709" w:rsidRDefault="00FE5709" w:rsidP="00FE5709">
      <w:pPr>
        <w:pStyle w:val="NormalWeb"/>
        <w:spacing w:line="360" w:lineRule="auto"/>
        <w:jc w:val="both"/>
        <w:rPr>
          <w:b/>
          <w:bCs/>
          <w:iCs/>
        </w:rPr>
      </w:pPr>
    </w:p>
    <w:p w:rsidR="00FE5709" w:rsidRDefault="00FE5709" w:rsidP="00FE5709">
      <w:pPr>
        <w:pStyle w:val="NormalWeb"/>
        <w:spacing w:line="360" w:lineRule="auto"/>
        <w:jc w:val="both"/>
        <w:rPr>
          <w:b/>
          <w:bCs/>
          <w:iCs/>
        </w:rPr>
      </w:pPr>
    </w:p>
    <w:p w:rsidR="00FE5709" w:rsidRDefault="00FE5709" w:rsidP="00FE5709">
      <w:pPr>
        <w:pStyle w:val="NormalWeb"/>
        <w:spacing w:line="360" w:lineRule="auto"/>
        <w:jc w:val="both"/>
        <w:rPr>
          <w:b/>
          <w:bCs/>
          <w:iCs/>
        </w:rPr>
      </w:pPr>
    </w:p>
    <w:p w:rsidR="00FE5709" w:rsidRDefault="00FE5709" w:rsidP="00FE5709">
      <w:pPr>
        <w:pStyle w:val="NormalWeb"/>
        <w:spacing w:line="360" w:lineRule="auto"/>
        <w:jc w:val="both"/>
        <w:rPr>
          <w:b/>
          <w:bCs/>
          <w:iCs/>
        </w:rPr>
      </w:pPr>
    </w:p>
    <w:p w:rsidR="00FE5709" w:rsidRDefault="00FE5709" w:rsidP="00FE5709">
      <w:pPr>
        <w:pStyle w:val="NormalWeb"/>
        <w:spacing w:line="360" w:lineRule="auto"/>
        <w:jc w:val="both"/>
        <w:rPr>
          <w:b/>
          <w:bCs/>
          <w:iCs/>
        </w:rPr>
      </w:pPr>
    </w:p>
    <w:p w:rsidR="00FE5709" w:rsidRDefault="00FE5709" w:rsidP="00FE5709">
      <w:pPr>
        <w:pStyle w:val="NormalWeb"/>
        <w:spacing w:line="360" w:lineRule="auto"/>
        <w:jc w:val="both"/>
        <w:rPr>
          <w:b/>
          <w:bCs/>
          <w:iCs/>
        </w:rPr>
      </w:pPr>
    </w:p>
    <w:p w:rsidR="00D16399" w:rsidRDefault="00D16399" w:rsidP="00FE5709">
      <w:pPr>
        <w:pStyle w:val="NormalWeb"/>
        <w:spacing w:line="360" w:lineRule="auto"/>
        <w:jc w:val="both"/>
        <w:rPr>
          <w:b/>
          <w:bCs/>
          <w:iCs/>
        </w:rPr>
      </w:pPr>
    </w:p>
    <w:p w:rsidR="00FE5709" w:rsidRPr="00FE5709" w:rsidRDefault="00FE2FAE" w:rsidP="00FE5709">
      <w:pPr>
        <w:pStyle w:val="NormalWeb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>Table S</w:t>
      </w:r>
      <w:r w:rsidR="00FE5709" w:rsidRPr="00FE5709">
        <w:rPr>
          <w:b/>
          <w:bCs/>
          <w:iCs/>
        </w:rPr>
        <w:t xml:space="preserve">2: </w:t>
      </w:r>
      <w:r w:rsidR="00FE5709" w:rsidRPr="00FE5709">
        <w:rPr>
          <w:b/>
          <w:bCs/>
        </w:rPr>
        <w:t xml:space="preserve">Sequences of primers used in </w:t>
      </w:r>
      <w:proofErr w:type="spellStart"/>
      <w:r w:rsidR="00FE5709" w:rsidRPr="00FE5709">
        <w:rPr>
          <w:b/>
          <w:bCs/>
        </w:rPr>
        <w:t>methylation</w:t>
      </w:r>
      <w:proofErr w:type="spellEnd"/>
      <w:r w:rsidR="00FE5709" w:rsidRPr="00FE5709">
        <w:rPr>
          <w:b/>
          <w:bCs/>
        </w:rPr>
        <w:t>-specific PCR (MSP)</w:t>
      </w:r>
    </w:p>
    <w:tbl>
      <w:tblPr>
        <w:tblStyle w:val="TableGrid"/>
        <w:tblW w:w="10128" w:type="dxa"/>
        <w:tblInd w:w="-522" w:type="dxa"/>
        <w:tblLayout w:type="fixed"/>
        <w:tblLook w:val="04A0"/>
      </w:tblPr>
      <w:tblGrid>
        <w:gridCol w:w="720"/>
        <w:gridCol w:w="1350"/>
        <w:gridCol w:w="888"/>
        <w:gridCol w:w="5232"/>
        <w:gridCol w:w="1080"/>
        <w:gridCol w:w="858"/>
      </w:tblGrid>
      <w:tr w:rsidR="00FE5709" w:rsidRPr="00FE5709" w:rsidTr="00FE5709">
        <w:trPr>
          <w:trHeight w:val="260"/>
        </w:trPr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proofErr w:type="spellStart"/>
            <w:r w:rsidRPr="00FE5709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Gene</w:t>
            </w: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Sequences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Cycles</w:t>
            </w: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Tem.(˚C)</w:t>
            </w:r>
          </w:p>
        </w:tc>
      </w:tr>
      <w:tr w:rsidR="00FE5709" w:rsidRPr="00FE5709" w:rsidTr="00FE5709">
        <w:trPr>
          <w:trHeight w:val="225"/>
        </w:trPr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1</w:t>
            </w: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i/>
              </w:rPr>
            </w:pPr>
            <w:r w:rsidRPr="00FE5709">
              <w:rPr>
                <w:b/>
                <w:bCs/>
                <w:i/>
              </w:rPr>
              <w:t>MAX</w:t>
            </w: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MF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GCGGAAGTTAGTTTAGATTTTAGTTC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56</w:t>
            </w:r>
          </w:p>
        </w:tc>
      </w:tr>
      <w:tr w:rsidR="00FE5709" w:rsidRPr="00FE5709" w:rsidTr="00FE5709"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UF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TACCTACAACAACAACAACAACG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</w:tr>
      <w:tr w:rsidR="00FE5709" w:rsidRPr="00FE5709" w:rsidTr="00FE5709"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UF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TGGAAGTTAGTTTAGATTTTAGTTTGT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56</w:t>
            </w:r>
          </w:p>
        </w:tc>
      </w:tr>
      <w:tr w:rsidR="00FE5709" w:rsidRPr="00FE5709" w:rsidTr="00FE5709">
        <w:trPr>
          <w:trHeight w:val="85"/>
        </w:trPr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UR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CCTACAACAACAACAACAACACC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</w:tr>
      <w:tr w:rsidR="00FE5709" w:rsidRPr="00FE5709" w:rsidTr="00FE5709"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2</w:t>
            </w: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i/>
              </w:rPr>
            </w:pPr>
            <w:r w:rsidRPr="00FE5709">
              <w:rPr>
                <w:b/>
                <w:bCs/>
                <w:i/>
              </w:rPr>
              <w:t>MTURN</w:t>
            </w: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MF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GTAAAACGTCGGTTAAGACGTG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52</w:t>
            </w:r>
          </w:p>
        </w:tc>
      </w:tr>
      <w:tr w:rsidR="00FE5709" w:rsidRPr="00FE5709" w:rsidTr="00FE5709"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MR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GATCCATCTTAATTATCACGAAA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</w:tr>
      <w:tr w:rsidR="00FE5709" w:rsidRPr="00FE5709" w:rsidTr="00FE5709"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UF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GTAAAATGTTGGTTAAGATGTGG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52</w:t>
            </w:r>
          </w:p>
        </w:tc>
      </w:tr>
      <w:tr w:rsidR="00FE5709" w:rsidRPr="00FE5709" w:rsidTr="00FE5709">
        <w:trPr>
          <w:trHeight w:val="71"/>
        </w:trPr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UR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AAAACAATCCATCTTAATTATCACAAAA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</w:tr>
      <w:tr w:rsidR="00FE5709" w:rsidRPr="00FE5709" w:rsidTr="00FE5709"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3</w:t>
            </w: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i/>
              </w:rPr>
            </w:pPr>
            <w:r w:rsidRPr="00FE5709">
              <w:rPr>
                <w:b/>
                <w:bCs/>
                <w:i/>
              </w:rPr>
              <w:t>HLA-B</w:t>
            </w: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MF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GTTAAGAAGGAGTAGTAGGACGGC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58</w:t>
            </w:r>
          </w:p>
        </w:tc>
      </w:tr>
      <w:tr w:rsidR="00FE5709" w:rsidRPr="00FE5709" w:rsidTr="00FE5709"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MR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CTAAACCCACACCATAAAAACG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</w:tr>
      <w:tr w:rsidR="00FE5709" w:rsidRPr="00FE5709" w:rsidTr="00FE5709">
        <w:trPr>
          <w:trHeight w:val="103"/>
        </w:trPr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UF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GTTAAGAAGGAGTAGTAGGATGGT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58</w:t>
            </w:r>
          </w:p>
        </w:tc>
      </w:tr>
      <w:tr w:rsidR="00FE5709" w:rsidRPr="00FE5709" w:rsidTr="00FE5709">
        <w:trPr>
          <w:trHeight w:val="98"/>
        </w:trPr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UR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CACACCATAAAAACATTCATAAACC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</w:tr>
      <w:tr w:rsidR="00FE5709" w:rsidRPr="00FE5709" w:rsidTr="00FE5709">
        <w:trPr>
          <w:trHeight w:val="197"/>
        </w:trPr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4</w:t>
            </w: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i/>
              </w:rPr>
            </w:pPr>
            <w:r w:rsidRPr="00FE5709">
              <w:rPr>
                <w:b/>
                <w:bCs/>
                <w:i/>
              </w:rPr>
              <w:t>CAV1</w:t>
            </w: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MF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GGTTATGGTAGACGAGTTGAGC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50</w:t>
            </w:r>
          </w:p>
        </w:tc>
      </w:tr>
      <w:tr w:rsidR="00FE5709" w:rsidRPr="00FE5709" w:rsidTr="00FE5709">
        <w:trPr>
          <w:trHeight w:val="64"/>
        </w:trPr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i/>
              </w:rPr>
            </w:pP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MR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AATAAAACTAACCTTCCAAATACCGT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</w:tr>
      <w:tr w:rsidR="00FE5709" w:rsidRPr="00FE5709" w:rsidTr="00FE5709">
        <w:trPr>
          <w:trHeight w:val="170"/>
        </w:trPr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i/>
              </w:rPr>
            </w:pP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UF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TTATGGTAGATGAGTTGAGTGAGA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50</w:t>
            </w:r>
          </w:p>
        </w:tc>
      </w:tr>
      <w:tr w:rsidR="00FE5709" w:rsidRPr="00FE5709" w:rsidTr="00FE5709">
        <w:trPr>
          <w:trHeight w:val="224"/>
        </w:trPr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i/>
              </w:rPr>
            </w:pPr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UR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AATAAAACTAACCTTCCAAATACCATC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</w:tr>
      <w:tr w:rsidR="00FE5709" w:rsidRPr="00FE5709" w:rsidTr="00FE5709">
        <w:trPr>
          <w:trHeight w:val="944"/>
        </w:trPr>
        <w:tc>
          <w:tcPr>
            <w:tcW w:w="72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5</w:t>
            </w:r>
          </w:p>
        </w:tc>
        <w:tc>
          <w:tcPr>
            <w:tcW w:w="135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i/>
              </w:rPr>
            </w:pPr>
            <w:r w:rsidRPr="00FE5709">
              <w:rPr>
                <w:b/>
                <w:bCs/>
                <w:i/>
              </w:rPr>
              <w:t>β-</w:t>
            </w:r>
            <w:proofErr w:type="spellStart"/>
            <w:r w:rsidRPr="00FE5709">
              <w:rPr>
                <w:b/>
                <w:bCs/>
                <w:i/>
              </w:rPr>
              <w:t>actin</w:t>
            </w:r>
            <w:proofErr w:type="spellEnd"/>
          </w:p>
        </w:tc>
        <w:tc>
          <w:tcPr>
            <w:tcW w:w="88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MF</w:t>
            </w:r>
          </w:p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MR</w:t>
            </w:r>
          </w:p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UF</w:t>
            </w:r>
          </w:p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UR</w:t>
            </w:r>
          </w:p>
        </w:tc>
        <w:tc>
          <w:tcPr>
            <w:tcW w:w="5232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TATTATTGTCGAAAGAGAAATCGTT </w:t>
            </w:r>
            <w:r w:rsidRPr="00FE5709">
              <w:rPr>
                <w:b/>
                <w:bCs/>
                <w:lang w:val="en-IN"/>
              </w:rPr>
              <w:br/>
              <w:t xml:space="preserve"> CGATAATAATAACCTATCCGTCGAA</w:t>
            </w:r>
          </w:p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en-IN"/>
              </w:rPr>
            </w:pPr>
            <w:r w:rsidRPr="00FE5709">
              <w:rPr>
                <w:b/>
                <w:bCs/>
                <w:lang w:val="en-IN"/>
              </w:rPr>
              <w:t>ATTATTGTTGAAAGAGAAATTG </w:t>
            </w:r>
            <w:r w:rsidRPr="00FE5709">
              <w:rPr>
                <w:b/>
                <w:bCs/>
                <w:lang w:val="en-IN"/>
              </w:rPr>
              <w:br/>
              <w:t xml:space="preserve"> CAATAATAATAACCTATCCATCAAAA</w:t>
            </w:r>
          </w:p>
        </w:tc>
        <w:tc>
          <w:tcPr>
            <w:tcW w:w="1080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40</w:t>
            </w:r>
          </w:p>
        </w:tc>
        <w:tc>
          <w:tcPr>
            <w:tcW w:w="858" w:type="dxa"/>
          </w:tcPr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54</w:t>
            </w:r>
          </w:p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</w:p>
          <w:p w:rsidR="00FE5709" w:rsidRPr="00FE5709" w:rsidRDefault="00FE5709" w:rsidP="00FE5709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</w:rPr>
            </w:pPr>
            <w:r w:rsidRPr="00FE5709">
              <w:rPr>
                <w:b/>
                <w:bCs/>
              </w:rPr>
              <w:t>54</w:t>
            </w:r>
          </w:p>
        </w:tc>
      </w:tr>
    </w:tbl>
    <w:p w:rsidR="00FE5709" w:rsidRDefault="00FE5709" w:rsidP="00A001BA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</w:p>
    <w:p w:rsidR="00FE5709" w:rsidRDefault="00FE5709" w:rsidP="00A001BA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A001BA">
        <w:rPr>
          <w:noProof/>
        </w:rPr>
        <w:lastRenderedPageBreak/>
        <w:drawing>
          <wp:inline distT="0" distB="0" distL="0" distR="0">
            <wp:extent cx="5434143" cy="557784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143" cy="557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1BA" w:rsidRDefault="00A001BA" w:rsidP="00FE5709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 xml:space="preserve">Fig </w:t>
      </w:r>
      <w:r w:rsidR="00902BAF">
        <w:rPr>
          <w:b/>
          <w:bCs/>
        </w:rPr>
        <w:t xml:space="preserve">S1: </w:t>
      </w:r>
      <w:r w:rsidRPr="00EA203C">
        <w:rPr>
          <w:bCs/>
        </w:rPr>
        <w:t xml:space="preserve">Representative </w:t>
      </w:r>
      <w:proofErr w:type="spellStart"/>
      <w:proofErr w:type="gramStart"/>
      <w:r w:rsidRPr="00EA203C">
        <w:rPr>
          <w:bCs/>
        </w:rPr>
        <w:t>agarose</w:t>
      </w:r>
      <w:proofErr w:type="spellEnd"/>
      <w:proofErr w:type="gramEnd"/>
      <w:r w:rsidRPr="00EA203C">
        <w:rPr>
          <w:bCs/>
        </w:rPr>
        <w:t xml:space="preserve"> gel electrophoresis</w:t>
      </w:r>
      <w:r>
        <w:rPr>
          <w:bCs/>
        </w:rPr>
        <w:t xml:space="preserve"> of </w:t>
      </w:r>
      <w:proofErr w:type="spellStart"/>
      <w:r>
        <w:rPr>
          <w:bCs/>
        </w:rPr>
        <w:t>methylated</w:t>
      </w:r>
      <w:proofErr w:type="spellEnd"/>
      <w:r>
        <w:rPr>
          <w:bCs/>
        </w:rPr>
        <w:t xml:space="preserve"> and </w:t>
      </w:r>
      <w:proofErr w:type="spellStart"/>
      <w:r>
        <w:rPr>
          <w:bCs/>
        </w:rPr>
        <w:t>unmethylated</w:t>
      </w:r>
      <w:proofErr w:type="spellEnd"/>
      <w:r>
        <w:rPr>
          <w:bCs/>
        </w:rPr>
        <w:t xml:space="preserve"> </w:t>
      </w:r>
      <w:r w:rsidRPr="00EA203C">
        <w:rPr>
          <w:bCs/>
        </w:rPr>
        <w:t xml:space="preserve">promoter-specific </w:t>
      </w:r>
      <w:proofErr w:type="spellStart"/>
      <w:r w:rsidRPr="00EA203C">
        <w:rPr>
          <w:bCs/>
        </w:rPr>
        <w:t>amplicons</w:t>
      </w:r>
      <w:proofErr w:type="spellEnd"/>
      <w:r w:rsidRPr="00EA203C">
        <w:rPr>
          <w:bCs/>
        </w:rPr>
        <w:t xml:space="preserve"> generated by </w:t>
      </w:r>
      <w:proofErr w:type="spellStart"/>
      <w:r w:rsidRPr="00EA203C">
        <w:rPr>
          <w:bCs/>
        </w:rPr>
        <w:t>methylation</w:t>
      </w:r>
      <w:proofErr w:type="spellEnd"/>
      <w:r w:rsidRPr="00EA203C">
        <w:rPr>
          <w:bCs/>
        </w:rPr>
        <w:t>-specific PCR (MS-PCR).</w:t>
      </w:r>
    </w:p>
    <w:p w:rsidR="00A001BA" w:rsidRDefault="00A001BA" w:rsidP="00FE5709">
      <w:pPr>
        <w:pStyle w:val="NormalWeb"/>
        <w:spacing w:before="0" w:beforeAutospacing="0" w:after="0" w:afterAutospacing="0"/>
        <w:jc w:val="both"/>
        <w:rPr>
          <w:bCs/>
        </w:rPr>
      </w:pPr>
    </w:p>
    <w:p w:rsidR="00A001BA" w:rsidRDefault="00A001BA" w:rsidP="00FE5709">
      <w:pPr>
        <w:pStyle w:val="NormalWeb"/>
        <w:spacing w:before="0" w:beforeAutospacing="0" w:after="0" w:afterAutospacing="0"/>
        <w:jc w:val="both"/>
        <w:rPr>
          <w:bCs/>
        </w:rPr>
      </w:pPr>
      <w:r w:rsidRPr="00311B00">
        <w:rPr>
          <w:bCs/>
        </w:rPr>
        <w:t>(I) Tissue samples:</w:t>
      </w:r>
      <w:r w:rsidRPr="00311B00">
        <w:t xml:space="preserve"> Representative gel images for </w:t>
      </w:r>
      <w:r w:rsidRPr="00311B00">
        <w:rPr>
          <w:bCs/>
        </w:rPr>
        <w:t>(a) MAX, (b) MTURN, (c) HLA-B, (d) CAV1,</w:t>
      </w:r>
      <w:r w:rsidRPr="00311B00">
        <w:t xml:space="preserve"> and </w:t>
      </w:r>
      <w:r w:rsidRPr="00311B00">
        <w:rPr>
          <w:bCs/>
        </w:rPr>
        <w:t>(e) β-</w:t>
      </w:r>
      <w:proofErr w:type="spellStart"/>
      <w:r w:rsidRPr="00311B00">
        <w:rPr>
          <w:bCs/>
        </w:rPr>
        <w:t>actin</w:t>
      </w:r>
      <w:proofErr w:type="spellEnd"/>
      <w:r w:rsidRPr="00311B00">
        <w:t xml:space="preserve">. </w:t>
      </w:r>
      <w:r w:rsidRPr="00311B00">
        <w:rPr>
          <w:bCs/>
        </w:rPr>
        <w:t>Lane 1</w:t>
      </w:r>
      <w:r w:rsidRPr="00311B00">
        <w:t xml:space="preserve">, universal control DNA; </w:t>
      </w:r>
      <w:r w:rsidRPr="00311B00">
        <w:rPr>
          <w:bCs/>
        </w:rPr>
        <w:t>lanes 2–3</w:t>
      </w:r>
      <w:r w:rsidRPr="00311B00">
        <w:t>, tumor-free tissue (</w:t>
      </w:r>
      <w:r w:rsidRPr="00311B00">
        <w:rPr>
          <w:bCs/>
        </w:rPr>
        <w:t>TF</w:t>
      </w:r>
      <w:r w:rsidRPr="00311B00">
        <w:t xml:space="preserve">); </w:t>
      </w:r>
      <w:r w:rsidRPr="00311B00">
        <w:rPr>
          <w:bCs/>
        </w:rPr>
        <w:t>lanes 4–5</w:t>
      </w:r>
      <w:r w:rsidRPr="00311B00">
        <w:t>, NSCLC tumor tissue (</w:t>
      </w:r>
      <w:r w:rsidRPr="00311B00">
        <w:rPr>
          <w:bCs/>
        </w:rPr>
        <w:t>TT-NSCLC</w:t>
      </w:r>
      <w:r w:rsidRPr="00311B00">
        <w:t xml:space="preserve">); </w:t>
      </w:r>
      <w:r w:rsidRPr="00311B00">
        <w:rPr>
          <w:bCs/>
        </w:rPr>
        <w:t>lane 6</w:t>
      </w:r>
      <w:r w:rsidRPr="00311B00">
        <w:t>, SCLC tumor tissue (</w:t>
      </w:r>
      <w:r w:rsidRPr="00311B00">
        <w:rPr>
          <w:bCs/>
        </w:rPr>
        <w:t>TT-SCLC</w:t>
      </w:r>
      <w:r w:rsidRPr="00311B00">
        <w:t>).</w:t>
      </w:r>
      <w:r w:rsidRPr="00311B00">
        <w:br/>
      </w:r>
    </w:p>
    <w:p w:rsidR="00A001BA" w:rsidRDefault="00A001BA" w:rsidP="00FE5709">
      <w:pPr>
        <w:pStyle w:val="NormalWeb"/>
        <w:spacing w:before="0" w:beforeAutospacing="0" w:after="0" w:afterAutospacing="0"/>
        <w:jc w:val="both"/>
      </w:pPr>
      <w:r w:rsidRPr="00311B00">
        <w:rPr>
          <w:bCs/>
        </w:rPr>
        <w:lastRenderedPageBreak/>
        <w:t>(II) Plasma samples:</w:t>
      </w:r>
      <w:r w:rsidRPr="00311B00">
        <w:t xml:space="preserve"> Representative gel images for </w:t>
      </w:r>
      <w:r w:rsidRPr="00311B00">
        <w:rPr>
          <w:bCs/>
        </w:rPr>
        <w:t>(a) MAX, (b) MTURN, (c) HLA-B, (d) CAV1,</w:t>
      </w:r>
      <w:r w:rsidRPr="00311B00">
        <w:t xml:space="preserve"> and </w:t>
      </w:r>
      <w:r w:rsidRPr="00311B00">
        <w:rPr>
          <w:bCs/>
        </w:rPr>
        <w:t>(e) β-</w:t>
      </w:r>
      <w:proofErr w:type="spellStart"/>
      <w:r w:rsidRPr="00311B00">
        <w:rPr>
          <w:bCs/>
        </w:rPr>
        <w:t>actin</w:t>
      </w:r>
      <w:proofErr w:type="spellEnd"/>
      <w:r w:rsidRPr="00311B00">
        <w:t xml:space="preserve">. </w:t>
      </w:r>
      <w:r w:rsidRPr="00311B00">
        <w:rPr>
          <w:bCs/>
        </w:rPr>
        <w:t>Lane 1</w:t>
      </w:r>
      <w:r w:rsidRPr="00311B00">
        <w:t xml:space="preserve">, universal control DNA; </w:t>
      </w:r>
      <w:r w:rsidRPr="00311B00">
        <w:rPr>
          <w:bCs/>
        </w:rPr>
        <w:t>lanes 2–3</w:t>
      </w:r>
      <w:r w:rsidRPr="00311B00">
        <w:t xml:space="preserve">, healthy control </w:t>
      </w:r>
      <w:proofErr w:type="spellStart"/>
      <w:r w:rsidRPr="00311B00">
        <w:t>cfDNA</w:t>
      </w:r>
      <w:proofErr w:type="spellEnd"/>
      <w:r w:rsidRPr="00311B00">
        <w:t xml:space="preserve">; </w:t>
      </w:r>
      <w:r w:rsidRPr="00311B00">
        <w:rPr>
          <w:bCs/>
        </w:rPr>
        <w:t>lanes 4–5</w:t>
      </w:r>
      <w:r w:rsidRPr="00311B00">
        <w:t xml:space="preserve">, NSCLC </w:t>
      </w:r>
      <w:proofErr w:type="spellStart"/>
      <w:r w:rsidRPr="00311B00">
        <w:t>cfDNA</w:t>
      </w:r>
      <w:proofErr w:type="spellEnd"/>
      <w:r w:rsidRPr="00311B00">
        <w:t xml:space="preserve">; </w:t>
      </w:r>
      <w:r w:rsidRPr="00311B00">
        <w:rPr>
          <w:bCs/>
        </w:rPr>
        <w:t>lane 6</w:t>
      </w:r>
      <w:r w:rsidRPr="00311B00">
        <w:t xml:space="preserve">, SCLC </w:t>
      </w:r>
      <w:proofErr w:type="spellStart"/>
      <w:r w:rsidRPr="00311B00">
        <w:t>cfDNA</w:t>
      </w:r>
      <w:proofErr w:type="spellEnd"/>
      <w:r w:rsidRPr="00311B00">
        <w:t xml:space="preserve">. </w:t>
      </w:r>
      <w:proofErr w:type="gramStart"/>
      <w:r w:rsidRPr="00311B00">
        <w:rPr>
          <w:bCs/>
        </w:rPr>
        <w:t>β-</w:t>
      </w:r>
      <w:proofErr w:type="spellStart"/>
      <w:r w:rsidRPr="00311B00">
        <w:rPr>
          <w:bCs/>
        </w:rPr>
        <w:t>actin</w:t>
      </w:r>
      <w:proofErr w:type="spellEnd"/>
      <w:proofErr w:type="gramEnd"/>
      <w:r w:rsidRPr="00311B00">
        <w:t xml:space="preserve"> was used as an internal control.</w:t>
      </w:r>
    </w:p>
    <w:p w:rsidR="00A001BA" w:rsidRPr="00311B00" w:rsidRDefault="00A001BA" w:rsidP="00FE5709">
      <w:pPr>
        <w:pStyle w:val="NormalWeb"/>
        <w:spacing w:before="0" w:beforeAutospacing="0" w:after="0" w:afterAutospacing="0"/>
        <w:jc w:val="both"/>
        <w:rPr>
          <w:bCs/>
        </w:rPr>
      </w:pPr>
    </w:p>
    <w:p w:rsidR="00A001BA" w:rsidRPr="00325CA0" w:rsidRDefault="00A001BA" w:rsidP="00FE5709">
      <w:pPr>
        <w:pStyle w:val="NormalWeb"/>
        <w:spacing w:before="0" w:beforeAutospacing="0" w:after="0" w:afterAutospacing="0"/>
        <w:jc w:val="both"/>
      </w:pPr>
      <w:r w:rsidRPr="00311B00">
        <w:rPr>
          <w:bCs/>
        </w:rPr>
        <w:t>Footnotes / Abbreviations:</w:t>
      </w:r>
      <w:r w:rsidRPr="00311B00">
        <w:rPr>
          <w:rFonts w:hAnsi="Symbol"/>
        </w:rPr>
        <w:t xml:space="preserve"> </w:t>
      </w:r>
      <w:r w:rsidRPr="00A001BA">
        <w:rPr>
          <w:rStyle w:val="Strong"/>
          <w:b w:val="0"/>
        </w:rPr>
        <w:t>MAX</w:t>
      </w:r>
      <w:r w:rsidRPr="00A001BA">
        <w:rPr>
          <w:b/>
        </w:rPr>
        <w:t xml:space="preserve">: </w:t>
      </w:r>
      <w:r w:rsidRPr="00A001BA">
        <w:rPr>
          <w:rStyle w:val="Strong"/>
          <w:b w:val="0"/>
        </w:rPr>
        <w:t>MYC associated transcriptional regulator X</w:t>
      </w:r>
      <w:r w:rsidRPr="00A001BA">
        <w:rPr>
          <w:b/>
        </w:rPr>
        <w:t xml:space="preserve">, </w:t>
      </w:r>
      <w:proofErr w:type="gramStart"/>
      <w:r w:rsidRPr="00A001BA">
        <w:rPr>
          <w:rStyle w:val="Strong"/>
          <w:b w:val="0"/>
        </w:rPr>
        <w:t>MTURN</w:t>
      </w:r>
      <w:r w:rsidRPr="00A001BA">
        <w:rPr>
          <w:b/>
        </w:rPr>
        <w:t xml:space="preserve"> :</w:t>
      </w:r>
      <w:proofErr w:type="gramEnd"/>
      <w:r w:rsidRPr="00A001BA">
        <w:rPr>
          <w:b/>
        </w:rPr>
        <w:t xml:space="preserve"> </w:t>
      </w:r>
      <w:proofErr w:type="spellStart"/>
      <w:r w:rsidRPr="00A001BA">
        <w:rPr>
          <w:rStyle w:val="Strong"/>
          <w:b w:val="0"/>
        </w:rPr>
        <w:t>maturin</w:t>
      </w:r>
      <w:proofErr w:type="spellEnd"/>
      <w:r w:rsidRPr="00A001BA">
        <w:rPr>
          <w:rStyle w:val="Strong"/>
          <w:b w:val="0"/>
        </w:rPr>
        <w:t>, neural progenitor differentiation regulator homolog</w:t>
      </w:r>
      <w:r w:rsidRPr="00A001BA">
        <w:rPr>
          <w:b/>
        </w:rPr>
        <w:t xml:space="preserve">, </w:t>
      </w:r>
      <w:r w:rsidRPr="00A001BA">
        <w:rPr>
          <w:rStyle w:val="Strong"/>
          <w:b w:val="0"/>
        </w:rPr>
        <w:t>HLA-B</w:t>
      </w:r>
      <w:r w:rsidRPr="00A001BA">
        <w:rPr>
          <w:b/>
        </w:rPr>
        <w:t xml:space="preserve">: </w:t>
      </w:r>
      <w:r w:rsidRPr="00A001BA">
        <w:rPr>
          <w:rStyle w:val="Strong"/>
          <w:b w:val="0"/>
        </w:rPr>
        <w:t xml:space="preserve">major </w:t>
      </w:r>
      <w:proofErr w:type="spellStart"/>
      <w:r w:rsidRPr="00A001BA">
        <w:rPr>
          <w:rStyle w:val="Strong"/>
          <w:b w:val="0"/>
        </w:rPr>
        <w:t>histocompatibility</w:t>
      </w:r>
      <w:proofErr w:type="spellEnd"/>
      <w:r w:rsidRPr="00A001BA">
        <w:rPr>
          <w:rStyle w:val="Strong"/>
          <w:b w:val="0"/>
        </w:rPr>
        <w:t xml:space="preserve"> complex, class I, B</w:t>
      </w:r>
      <w:r w:rsidRPr="00A001BA">
        <w:rPr>
          <w:b/>
        </w:rPr>
        <w:t xml:space="preserve"> , </w:t>
      </w:r>
      <w:r w:rsidRPr="00A001BA">
        <w:rPr>
          <w:rStyle w:val="Strong"/>
          <w:b w:val="0"/>
        </w:rPr>
        <w:t>CAV1</w:t>
      </w:r>
      <w:r w:rsidRPr="00A001BA">
        <w:rPr>
          <w:b/>
        </w:rPr>
        <w:t xml:space="preserve">: </w:t>
      </w:r>
      <w:proofErr w:type="spellStart"/>
      <w:r w:rsidRPr="00A001BA">
        <w:rPr>
          <w:rStyle w:val="Strong"/>
          <w:b w:val="0"/>
        </w:rPr>
        <w:t>caveolin</w:t>
      </w:r>
      <w:proofErr w:type="spellEnd"/>
      <w:r w:rsidRPr="00A001BA">
        <w:rPr>
          <w:rStyle w:val="Strong"/>
          <w:b w:val="0"/>
        </w:rPr>
        <w:t xml:space="preserve"> 1</w:t>
      </w:r>
      <w:r w:rsidRPr="00311B00">
        <w:t xml:space="preserve">. </w:t>
      </w:r>
      <w:r w:rsidRPr="00311B00">
        <w:rPr>
          <w:bCs/>
        </w:rPr>
        <w:t>U</w:t>
      </w:r>
      <w:r>
        <w:t>-</w:t>
      </w:r>
      <w:proofErr w:type="spellStart"/>
      <w:r>
        <w:t>unmethylated</w:t>
      </w:r>
      <w:proofErr w:type="spellEnd"/>
      <w:r>
        <w:t xml:space="preserve"> DNA, </w:t>
      </w:r>
      <w:r w:rsidRPr="00311B00">
        <w:rPr>
          <w:bCs/>
        </w:rPr>
        <w:t>M</w:t>
      </w:r>
      <w:r>
        <w:t>-</w:t>
      </w:r>
      <w:proofErr w:type="spellStart"/>
      <w:r>
        <w:t>methylated</w:t>
      </w:r>
      <w:proofErr w:type="spellEnd"/>
      <w:r>
        <w:t xml:space="preserve"> DNA, </w:t>
      </w:r>
      <w:r w:rsidRPr="00311B00">
        <w:rPr>
          <w:bCs/>
        </w:rPr>
        <w:t>L</w:t>
      </w:r>
      <w:r>
        <w:t xml:space="preserve">- DNA ladder; </w:t>
      </w:r>
      <w:proofErr w:type="spellStart"/>
      <w:r w:rsidRPr="00311B00">
        <w:rPr>
          <w:bCs/>
        </w:rPr>
        <w:t>bp</w:t>
      </w:r>
      <w:proofErr w:type="spellEnd"/>
      <w:r>
        <w:t xml:space="preserve">- base pairs, </w:t>
      </w:r>
      <w:r w:rsidRPr="00311B00">
        <w:rPr>
          <w:bCs/>
        </w:rPr>
        <w:t>SCLC</w:t>
      </w:r>
      <w:r>
        <w:t>-</w:t>
      </w:r>
      <w:r w:rsidRPr="00311B00">
        <w:t xml:space="preserve"> small cell lung cancer; </w:t>
      </w:r>
      <w:r w:rsidRPr="00311B00">
        <w:rPr>
          <w:bCs/>
        </w:rPr>
        <w:t>NSCLC</w:t>
      </w:r>
      <w:r>
        <w:t>-</w:t>
      </w:r>
      <w:r w:rsidRPr="00311B00">
        <w:t xml:space="preserve"> non-small cell lung cancer; </w:t>
      </w:r>
      <w:r w:rsidRPr="00311B00">
        <w:rPr>
          <w:bCs/>
        </w:rPr>
        <w:t>TT</w:t>
      </w:r>
      <w:r>
        <w:t xml:space="preserve">-tumor tissue, </w:t>
      </w:r>
      <w:r w:rsidRPr="00311B00">
        <w:rPr>
          <w:bCs/>
        </w:rPr>
        <w:t>TF</w:t>
      </w:r>
      <w:r>
        <w:t xml:space="preserve">-tumor-free tissue, </w:t>
      </w:r>
      <w:proofErr w:type="spellStart"/>
      <w:r w:rsidRPr="00311B00">
        <w:rPr>
          <w:bCs/>
        </w:rPr>
        <w:t>cfDNA</w:t>
      </w:r>
      <w:proofErr w:type="spellEnd"/>
      <w:r>
        <w:t>-</w:t>
      </w:r>
      <w:r w:rsidRPr="00311B00">
        <w:t>cell-free DNA.</w:t>
      </w:r>
      <w:r w:rsidRPr="002813F7">
        <w:rPr>
          <w:rFonts w:ascii="Arial" w:hAnsi="Arial" w:cs="Arial"/>
          <w:vanish/>
          <w:sz w:val="16"/>
          <w:szCs w:val="16"/>
        </w:rPr>
        <w:t>Top of Form</w:t>
      </w:r>
    </w:p>
    <w:p w:rsidR="00A001BA" w:rsidRDefault="00A001BA"/>
    <w:sectPr w:rsidR="00A001BA" w:rsidSect="009D0D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709" w:rsidRDefault="00FE5709" w:rsidP="00FE5709">
      <w:pPr>
        <w:spacing w:after="0" w:line="240" w:lineRule="auto"/>
      </w:pPr>
      <w:r>
        <w:separator/>
      </w:r>
    </w:p>
  </w:endnote>
  <w:endnote w:type="continuationSeparator" w:id="1">
    <w:p w:rsidR="00FE5709" w:rsidRDefault="00FE5709" w:rsidP="00FE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709" w:rsidRDefault="00FE5709" w:rsidP="00FE5709">
      <w:pPr>
        <w:spacing w:after="0" w:line="240" w:lineRule="auto"/>
      </w:pPr>
      <w:r>
        <w:separator/>
      </w:r>
    </w:p>
  </w:footnote>
  <w:footnote w:type="continuationSeparator" w:id="1">
    <w:p w:rsidR="00FE5709" w:rsidRDefault="00FE5709" w:rsidP="00FE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09" w:rsidRDefault="00FE5709">
    <w:pPr>
      <w:pStyle w:val="Header"/>
    </w:pPr>
  </w:p>
  <w:p w:rsidR="00FE5709" w:rsidRDefault="00FE5709">
    <w:pPr>
      <w:pStyle w:val="Header"/>
    </w:pPr>
  </w:p>
  <w:p w:rsidR="00FE5709" w:rsidRDefault="00FE5709">
    <w:pPr>
      <w:pStyle w:val="Header"/>
    </w:pPr>
  </w:p>
  <w:p w:rsidR="00FE5709" w:rsidRDefault="00FE5709">
    <w:pPr>
      <w:pStyle w:val="Header"/>
    </w:pPr>
  </w:p>
  <w:p w:rsidR="00FE5709" w:rsidRDefault="00FE5709">
    <w:pPr>
      <w:pStyle w:val="Header"/>
    </w:pPr>
  </w:p>
  <w:p w:rsidR="00FE5709" w:rsidRDefault="00FE5709">
    <w:pPr>
      <w:pStyle w:val="Header"/>
    </w:pPr>
  </w:p>
  <w:p w:rsidR="00FE5709" w:rsidRDefault="00FE5709">
    <w:pPr>
      <w:pStyle w:val="Header"/>
    </w:pPr>
  </w:p>
  <w:p w:rsidR="00FE5709" w:rsidRDefault="00FE57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1BA"/>
    <w:rsid w:val="00075396"/>
    <w:rsid w:val="007B52B2"/>
    <w:rsid w:val="00902BAF"/>
    <w:rsid w:val="009D0D8D"/>
    <w:rsid w:val="00A001BA"/>
    <w:rsid w:val="00C629B2"/>
    <w:rsid w:val="00CD4841"/>
    <w:rsid w:val="00D16399"/>
    <w:rsid w:val="00FE2FAE"/>
    <w:rsid w:val="00FE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01B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E5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709"/>
  </w:style>
  <w:style w:type="paragraph" w:styleId="Footer">
    <w:name w:val="footer"/>
    <w:basedOn w:val="Normal"/>
    <w:link w:val="FooterChar"/>
    <w:uiPriority w:val="99"/>
    <w:semiHidden/>
    <w:unhideWhenUsed/>
    <w:rsid w:val="00FE5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709"/>
  </w:style>
  <w:style w:type="table" w:styleId="TableGrid">
    <w:name w:val="Table Grid"/>
    <w:basedOn w:val="TableNormal"/>
    <w:uiPriority w:val="59"/>
    <w:rsid w:val="00FE5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2026-03-04T09:37:00Z</dcterms:created>
  <dcterms:modified xsi:type="dcterms:W3CDTF">2026-03-23T16:37:00Z</dcterms:modified>
</cp:coreProperties>
</file>