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44AD9" w14:textId="77777777" w:rsidR="00B06C7A" w:rsidRPr="00186900" w:rsidRDefault="00B06C7A" w:rsidP="00110A2F">
      <w:pPr>
        <w:pStyle w:val="Heading1"/>
        <w:jc w:val="left"/>
        <w:rPr>
          <w:rFonts w:cs="Times New Roman"/>
        </w:rPr>
      </w:pPr>
      <w:r w:rsidRPr="00186900">
        <w:rPr>
          <w:rFonts w:cs="Times New Roman"/>
        </w:rPr>
        <w:t>Gonadal histology of adult western mosquitofish (Gambusia affinis) following early life exposure to 17α-ethynylestradiol, 17β- trenbolone, and/or atrazine</w:t>
      </w:r>
    </w:p>
    <w:p w14:paraId="7A0BB698" w14:textId="77777777" w:rsidR="00B06C7A" w:rsidRPr="00186900" w:rsidRDefault="00B06C7A" w:rsidP="00110A2F">
      <w:pPr>
        <w:spacing w:line="480" w:lineRule="auto"/>
        <w:rPr>
          <w:rFonts w:ascii="Times New Roman" w:hAnsi="Times New Roman" w:cs="Times New Roman"/>
        </w:rPr>
      </w:pPr>
    </w:p>
    <w:p w14:paraId="35DF5A62" w14:textId="730AA292" w:rsidR="00B06C7A" w:rsidRPr="00186900" w:rsidRDefault="00B06C7A" w:rsidP="00110A2F">
      <w:pPr>
        <w:spacing w:line="480" w:lineRule="auto"/>
        <w:rPr>
          <w:rFonts w:ascii="Times New Roman" w:hAnsi="Times New Roman" w:cs="Times New Roman"/>
        </w:rPr>
      </w:pPr>
      <w:r w:rsidRPr="00186900">
        <w:rPr>
          <w:rFonts w:ascii="Times New Roman" w:hAnsi="Times New Roman" w:cs="Times New Roman"/>
        </w:rPr>
        <w:t>Caroline Matkin* 0000-0002-7701-8255, Bruce Felgenhauer, Paul Klerks 0000-0001-9895-5144</w:t>
      </w:r>
    </w:p>
    <w:p w14:paraId="549B39A4" w14:textId="77777777" w:rsidR="00B06C7A" w:rsidRPr="00186900" w:rsidRDefault="00B06C7A" w:rsidP="00110A2F">
      <w:pPr>
        <w:spacing w:line="480" w:lineRule="auto"/>
        <w:rPr>
          <w:rFonts w:ascii="Times New Roman" w:hAnsi="Times New Roman" w:cs="Times New Roman"/>
        </w:rPr>
      </w:pPr>
      <w:r w:rsidRPr="00186900">
        <w:rPr>
          <w:rFonts w:ascii="Times New Roman" w:hAnsi="Times New Roman" w:cs="Times New Roman"/>
          <w:highlight w:val="yellow"/>
        </w:rPr>
        <w:t>Department of Biology, University of Louisiana at Lafayette, 410 E. St. Mary Blvd, Lafayette, LA 70503</w:t>
      </w:r>
      <w:r w:rsidRPr="00186900">
        <w:rPr>
          <w:rFonts w:ascii="Times New Roman" w:hAnsi="Times New Roman" w:cs="Times New Roman"/>
        </w:rPr>
        <w:t xml:space="preserve"> </w:t>
      </w:r>
    </w:p>
    <w:p w14:paraId="164DB839" w14:textId="77777777" w:rsidR="00B06C7A" w:rsidRPr="00186900" w:rsidRDefault="00B06C7A" w:rsidP="00110A2F">
      <w:pPr>
        <w:spacing w:line="480" w:lineRule="auto"/>
        <w:rPr>
          <w:rFonts w:ascii="Times New Roman" w:hAnsi="Times New Roman" w:cs="Times New Roman"/>
        </w:rPr>
      </w:pPr>
      <w:r w:rsidRPr="00186900">
        <w:rPr>
          <w:rFonts w:ascii="Times New Roman" w:hAnsi="Times New Roman" w:cs="Times New Roman"/>
        </w:rPr>
        <w:t xml:space="preserve">Corresponding author: </w:t>
      </w:r>
      <w:hyperlink r:id="rId6" w:history="1">
        <w:r w:rsidRPr="00186900">
          <w:rPr>
            <w:rStyle w:val="Hyperlink"/>
            <w:rFonts w:ascii="Times New Roman" w:hAnsi="Times New Roman" w:cs="Times New Roman"/>
          </w:rPr>
          <w:t>ca</w:t>
        </w:r>
        <w:r w:rsidRPr="00186900">
          <w:rPr>
            <w:rStyle w:val="Hyperlink"/>
            <w:rFonts w:ascii="Times New Roman" w:hAnsi="Times New Roman" w:cs="Times New Roman"/>
          </w:rPr>
          <w:t>r</w:t>
        </w:r>
        <w:r w:rsidRPr="00186900">
          <w:rPr>
            <w:rStyle w:val="Hyperlink"/>
            <w:rFonts w:ascii="Times New Roman" w:hAnsi="Times New Roman" w:cs="Times New Roman"/>
          </w:rPr>
          <w:t>olinematkin1@gmail.com</w:t>
        </w:r>
      </w:hyperlink>
      <w:r w:rsidRPr="00186900">
        <w:rPr>
          <w:rFonts w:ascii="Times New Roman" w:hAnsi="Times New Roman" w:cs="Times New Roman"/>
        </w:rPr>
        <w:t xml:space="preserve"> </w:t>
      </w:r>
    </w:p>
    <w:p w14:paraId="370CEC94" w14:textId="765C382D" w:rsidR="00B06C7A" w:rsidRDefault="00110A2F" w:rsidP="00110A2F">
      <w:pPr>
        <w:spacing w:line="480" w:lineRule="auto"/>
        <w:rPr>
          <w:rFonts w:ascii="Times New Roman" w:hAnsi="Times New Roman" w:cs="Times New Roman"/>
        </w:rPr>
      </w:pPr>
      <w:r>
        <w:rPr>
          <w:rFonts w:ascii="Times New Roman" w:hAnsi="Times New Roman" w:cs="Times New Roman"/>
        </w:rPr>
        <w:t>In preparation for Archives of Environmental Contamination and Toxicology</w:t>
      </w:r>
    </w:p>
    <w:p w14:paraId="5C9362BA" w14:textId="044580BB" w:rsidR="00B06C7A" w:rsidRDefault="00B06C7A" w:rsidP="00110A2F">
      <w:pPr>
        <w:pStyle w:val="Heading2"/>
        <w:spacing w:line="480" w:lineRule="auto"/>
        <w:rPr>
          <w:rFonts w:cs="Times New Roman"/>
        </w:rPr>
      </w:pPr>
      <w:r w:rsidRPr="00186900">
        <w:rPr>
          <w:rFonts w:cs="Times New Roman"/>
        </w:rPr>
        <w:t xml:space="preserve">Supplementary Information </w:t>
      </w:r>
    </w:p>
    <w:p w14:paraId="4695928A" w14:textId="15D3B027" w:rsidR="00186900" w:rsidRDefault="00186900" w:rsidP="00186900">
      <w:pPr>
        <w:rPr>
          <w:rFonts w:ascii="Times New Roman" w:eastAsiaTheme="majorEastAsia" w:hAnsi="Times New Roman" w:cs="Times New Roman"/>
        </w:rPr>
      </w:pPr>
      <w:r w:rsidRPr="00186900">
        <w:rPr>
          <w:rFonts w:ascii="Times New Roman" w:eastAsiaTheme="majorEastAsia" w:hAnsi="Times New Roman" w:cs="Times New Roman"/>
        </w:rPr>
        <w:t>Supplemental information is provided on (</w:t>
      </w:r>
      <w:r w:rsidR="002C1067">
        <w:rPr>
          <w:rFonts w:ascii="Times New Roman" w:eastAsiaTheme="majorEastAsia" w:hAnsi="Times New Roman" w:cs="Times New Roman"/>
        </w:rPr>
        <w:t xml:space="preserve">Fig. </w:t>
      </w:r>
      <w:r w:rsidRPr="00186900">
        <w:rPr>
          <w:rFonts w:ascii="Times New Roman" w:eastAsiaTheme="majorEastAsia" w:hAnsi="Times New Roman" w:cs="Times New Roman"/>
        </w:rPr>
        <w:t>S1) experimental timeline; (</w:t>
      </w:r>
      <w:r w:rsidR="002C1067">
        <w:rPr>
          <w:rFonts w:ascii="Times New Roman" w:eastAsiaTheme="majorEastAsia" w:hAnsi="Times New Roman" w:cs="Times New Roman"/>
        </w:rPr>
        <w:t xml:space="preserve">Table </w:t>
      </w:r>
      <w:r w:rsidRPr="00186900">
        <w:rPr>
          <w:rFonts w:ascii="Times New Roman" w:eastAsiaTheme="majorEastAsia" w:hAnsi="Times New Roman" w:cs="Times New Roman"/>
        </w:rPr>
        <w:t>S</w:t>
      </w:r>
      <w:r w:rsidR="002C1067">
        <w:rPr>
          <w:rFonts w:ascii="Times New Roman" w:eastAsiaTheme="majorEastAsia" w:hAnsi="Times New Roman" w:cs="Times New Roman"/>
        </w:rPr>
        <w:t>1</w:t>
      </w:r>
      <w:r w:rsidRPr="00186900">
        <w:rPr>
          <w:rFonts w:ascii="Times New Roman" w:eastAsiaTheme="majorEastAsia" w:hAnsi="Times New Roman" w:cs="Times New Roman"/>
        </w:rPr>
        <w:t>) treatment groups; (</w:t>
      </w:r>
      <w:r w:rsidR="002C1067">
        <w:rPr>
          <w:rFonts w:ascii="Times New Roman" w:eastAsiaTheme="majorEastAsia" w:hAnsi="Times New Roman" w:cs="Times New Roman"/>
        </w:rPr>
        <w:t xml:space="preserve">Table </w:t>
      </w:r>
      <w:r w:rsidRPr="00186900">
        <w:rPr>
          <w:rFonts w:ascii="Times New Roman" w:eastAsiaTheme="majorEastAsia" w:hAnsi="Times New Roman" w:cs="Times New Roman"/>
        </w:rPr>
        <w:t>S</w:t>
      </w:r>
      <w:r w:rsidR="002C1067">
        <w:rPr>
          <w:rFonts w:ascii="Times New Roman" w:eastAsiaTheme="majorEastAsia" w:hAnsi="Times New Roman" w:cs="Times New Roman"/>
        </w:rPr>
        <w:t>2</w:t>
      </w:r>
      <w:r w:rsidRPr="00186900">
        <w:rPr>
          <w:rFonts w:ascii="Times New Roman" w:eastAsiaTheme="majorEastAsia" w:hAnsi="Times New Roman" w:cs="Times New Roman"/>
        </w:rPr>
        <w:t>) analytical chemistry; (</w:t>
      </w:r>
      <w:r w:rsidR="002C1067">
        <w:rPr>
          <w:rFonts w:ascii="Times New Roman" w:eastAsiaTheme="majorEastAsia" w:hAnsi="Times New Roman" w:cs="Times New Roman"/>
        </w:rPr>
        <w:t xml:space="preserve">Fig. </w:t>
      </w:r>
      <w:r w:rsidRPr="00186900">
        <w:rPr>
          <w:rFonts w:ascii="Times New Roman" w:eastAsiaTheme="majorEastAsia" w:hAnsi="Times New Roman" w:cs="Times New Roman"/>
        </w:rPr>
        <w:t>S</w:t>
      </w:r>
      <w:r w:rsidR="002C1067">
        <w:rPr>
          <w:rFonts w:ascii="Times New Roman" w:eastAsiaTheme="majorEastAsia" w:hAnsi="Times New Roman" w:cs="Times New Roman"/>
        </w:rPr>
        <w:t>2</w:t>
      </w:r>
      <w:r w:rsidRPr="00186900">
        <w:rPr>
          <w:rFonts w:ascii="Times New Roman" w:eastAsiaTheme="majorEastAsia" w:hAnsi="Times New Roman" w:cs="Times New Roman"/>
        </w:rPr>
        <w:t>) survival results; and (</w:t>
      </w:r>
      <w:r w:rsidR="002C1067">
        <w:rPr>
          <w:rFonts w:ascii="Times New Roman" w:eastAsiaTheme="majorEastAsia" w:hAnsi="Times New Roman" w:cs="Times New Roman"/>
        </w:rPr>
        <w:t xml:space="preserve">Table </w:t>
      </w:r>
      <w:r w:rsidRPr="00186900">
        <w:rPr>
          <w:rFonts w:ascii="Times New Roman" w:eastAsiaTheme="majorEastAsia" w:hAnsi="Times New Roman" w:cs="Times New Roman"/>
        </w:rPr>
        <w:t>S</w:t>
      </w:r>
      <w:r w:rsidR="002C1067">
        <w:rPr>
          <w:rFonts w:ascii="Times New Roman" w:eastAsiaTheme="majorEastAsia" w:hAnsi="Times New Roman" w:cs="Times New Roman"/>
        </w:rPr>
        <w:t>3</w:t>
      </w:r>
      <w:r w:rsidRPr="00186900">
        <w:rPr>
          <w:rFonts w:ascii="Times New Roman" w:eastAsiaTheme="majorEastAsia" w:hAnsi="Times New Roman" w:cs="Times New Roman"/>
        </w:rPr>
        <w:t xml:space="preserve">) sex ratio results.  </w:t>
      </w:r>
    </w:p>
    <w:p w14:paraId="388141BB" w14:textId="18C97359" w:rsidR="00186900" w:rsidRDefault="00186900" w:rsidP="00186900">
      <w:pPr>
        <w:rPr>
          <w:rFonts w:ascii="Times New Roman" w:eastAsiaTheme="majorEastAsia" w:hAnsi="Times New Roman" w:cs="Times New Roman"/>
        </w:rPr>
      </w:pPr>
    </w:p>
    <w:p w14:paraId="035AE45E" w14:textId="77777777" w:rsidR="00186900" w:rsidRPr="00186900" w:rsidRDefault="00186900" w:rsidP="00186900">
      <w:pPr>
        <w:rPr>
          <w:rFonts w:ascii="Times New Roman" w:eastAsiaTheme="majorEastAsia" w:hAnsi="Times New Roman" w:cs="Times New Roman"/>
        </w:rPr>
      </w:pPr>
    </w:p>
    <w:p w14:paraId="56E341A3" w14:textId="527AE5F2" w:rsidR="00186900" w:rsidRDefault="00186900" w:rsidP="00186900"/>
    <w:p w14:paraId="4FD458B8" w14:textId="527EBB49" w:rsidR="00186900" w:rsidRDefault="00186900" w:rsidP="00186900">
      <w:r>
        <w:rPr>
          <w:noProof/>
        </w:rPr>
        <w:drawing>
          <wp:inline distT="0" distB="0" distL="0" distR="0" wp14:anchorId="508A48EA" wp14:editId="641C1804">
            <wp:extent cx="5715000" cy="198021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7"/>
                    <a:stretch>
                      <a:fillRect/>
                    </a:stretch>
                  </pic:blipFill>
                  <pic:spPr>
                    <a:xfrm>
                      <a:off x="0" y="0"/>
                      <a:ext cx="5715000" cy="1980214"/>
                    </a:xfrm>
                    <a:prstGeom prst="rect">
                      <a:avLst/>
                    </a:prstGeom>
                  </pic:spPr>
                </pic:pic>
              </a:graphicData>
            </a:graphic>
          </wp:inline>
        </w:drawing>
      </w:r>
    </w:p>
    <w:p w14:paraId="6347BB66" w14:textId="68C9A77E" w:rsidR="00B06C7A" w:rsidRDefault="00B06C7A" w:rsidP="00B06C7A"/>
    <w:p w14:paraId="5999C4E0" w14:textId="77777777" w:rsidR="00186900" w:rsidRPr="00186900" w:rsidRDefault="00186900" w:rsidP="00186900">
      <w:pPr>
        <w:rPr>
          <w:rFonts w:ascii="Times New Roman" w:eastAsiaTheme="majorEastAsia" w:hAnsi="Times New Roman" w:cstheme="majorBidi"/>
          <w:b/>
          <w:bCs/>
          <w:color w:val="000000" w:themeColor="text1"/>
        </w:rPr>
      </w:pPr>
      <w:r w:rsidRPr="00186900">
        <w:rPr>
          <w:rFonts w:ascii="Times New Roman" w:eastAsiaTheme="majorEastAsia" w:hAnsi="Times New Roman" w:cstheme="majorBidi"/>
          <w:b/>
          <w:bCs/>
          <w:color w:val="000000" w:themeColor="text1"/>
        </w:rPr>
        <w:t xml:space="preserve">Fig. S1 </w:t>
      </w:r>
      <w:r w:rsidRPr="00186900">
        <w:rPr>
          <w:rFonts w:ascii="Times New Roman" w:eastAsia="Times New Roman" w:hAnsi="Times New Roman" w:cs="Times New Roman"/>
        </w:rPr>
        <w:t>Timeline of the 76-day experiment with western mosquitofish (</w:t>
      </w:r>
      <w:r w:rsidRPr="00186900">
        <w:rPr>
          <w:rFonts w:ascii="Times New Roman" w:eastAsia="Times New Roman" w:hAnsi="Times New Roman" w:cs="Times New Roman"/>
          <w:i/>
          <w:iCs/>
        </w:rPr>
        <w:t>Gambusia affinis</w:t>
      </w:r>
      <w:r w:rsidRPr="00186900">
        <w:rPr>
          <w:rFonts w:ascii="Times New Roman" w:eastAsia="Times New Roman" w:hAnsi="Times New Roman" w:cs="Times New Roman"/>
        </w:rPr>
        <w:t>), including two on site 24-hour acclimation periods (in moderately hard reconstituted fresh water and well water, respectively), early life 30-day static renewal exposure, and a 46-day recovery period.</w:t>
      </w:r>
    </w:p>
    <w:p w14:paraId="1B2B6D0F" w14:textId="5F42D278" w:rsidR="00186900" w:rsidRDefault="00186900" w:rsidP="00B06C7A"/>
    <w:p w14:paraId="06BD983F" w14:textId="77777777" w:rsidR="00186900" w:rsidRDefault="00186900" w:rsidP="00B06C7A">
      <w:pPr>
        <w:rPr>
          <w:rFonts w:ascii="Times New Roman" w:eastAsiaTheme="majorEastAsia" w:hAnsi="Times New Roman" w:cstheme="majorBidi"/>
          <w:b/>
          <w:bCs/>
          <w:color w:val="000000" w:themeColor="text1"/>
        </w:rPr>
      </w:pPr>
    </w:p>
    <w:p w14:paraId="42C1DABA" w14:textId="77777777" w:rsidR="00186900" w:rsidRDefault="00186900" w:rsidP="00B06C7A">
      <w:pPr>
        <w:rPr>
          <w:rFonts w:ascii="Times New Roman" w:eastAsiaTheme="majorEastAsia" w:hAnsi="Times New Roman" w:cstheme="majorBidi"/>
          <w:b/>
          <w:bCs/>
          <w:color w:val="000000" w:themeColor="text1"/>
        </w:rPr>
      </w:pPr>
    </w:p>
    <w:p w14:paraId="528BC20D" w14:textId="77777777" w:rsidR="00186900" w:rsidRDefault="00186900" w:rsidP="00B06C7A">
      <w:pPr>
        <w:rPr>
          <w:rFonts w:ascii="Times New Roman" w:eastAsiaTheme="majorEastAsia" w:hAnsi="Times New Roman" w:cstheme="majorBidi"/>
          <w:b/>
          <w:bCs/>
          <w:color w:val="000000" w:themeColor="text1"/>
        </w:rPr>
      </w:pPr>
    </w:p>
    <w:p w14:paraId="1853C8FD" w14:textId="77777777" w:rsidR="008C35D4" w:rsidRDefault="008C35D4" w:rsidP="00B06C7A">
      <w:pPr>
        <w:rPr>
          <w:rFonts w:ascii="Times New Roman" w:eastAsiaTheme="majorEastAsia" w:hAnsi="Times New Roman" w:cstheme="majorBidi"/>
          <w:b/>
          <w:bCs/>
          <w:color w:val="000000" w:themeColor="text1"/>
        </w:rPr>
      </w:pPr>
    </w:p>
    <w:p w14:paraId="21912C66" w14:textId="4CB008F0" w:rsidR="00186900" w:rsidRDefault="00186900" w:rsidP="00B06C7A">
      <w:pPr>
        <w:rPr>
          <w:rFonts w:ascii="Times New Roman" w:eastAsiaTheme="majorEastAsia" w:hAnsi="Times New Roman" w:cstheme="majorBidi"/>
          <w:color w:val="000000" w:themeColor="text1"/>
        </w:rPr>
      </w:pPr>
      <w:r w:rsidRPr="00186900">
        <w:rPr>
          <w:rFonts w:ascii="Times New Roman" w:eastAsiaTheme="majorEastAsia" w:hAnsi="Times New Roman" w:cstheme="majorBidi"/>
          <w:b/>
          <w:bCs/>
          <w:color w:val="000000" w:themeColor="text1"/>
        </w:rPr>
        <w:lastRenderedPageBreak/>
        <w:t>Table S1:</w:t>
      </w:r>
      <w:r w:rsidRPr="00186900">
        <w:rPr>
          <w:rFonts w:ascii="Times New Roman" w:eastAsiaTheme="majorEastAsia" w:hAnsi="Times New Roman" w:cstheme="majorBidi"/>
          <w:color w:val="000000" w:themeColor="text1"/>
        </w:rPr>
        <w:t xml:space="preserve"> Treatment groups (n = 9) and compound concentrations used in 30-day static renewal exposure.</w:t>
      </w:r>
    </w:p>
    <w:p w14:paraId="3F10D4FF" w14:textId="4B27B4EC" w:rsidR="00186900" w:rsidRDefault="00186900" w:rsidP="00B06C7A">
      <w:r>
        <w:rPr>
          <w:noProof/>
        </w:rPr>
        <w:drawing>
          <wp:inline distT="0" distB="0" distL="0" distR="0" wp14:anchorId="3B6FAAC4" wp14:editId="45F6F340">
            <wp:extent cx="5708165" cy="2057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rotWithShape="1">
                    <a:blip r:embed="rId8"/>
                    <a:srcRect l="5282" t="7246" r="24137" b="59834"/>
                    <a:stretch/>
                  </pic:blipFill>
                  <pic:spPr bwMode="auto">
                    <a:xfrm>
                      <a:off x="0" y="0"/>
                      <a:ext cx="5724475" cy="2063279"/>
                    </a:xfrm>
                    <a:prstGeom prst="rect">
                      <a:avLst/>
                    </a:prstGeom>
                    <a:ln>
                      <a:noFill/>
                    </a:ln>
                    <a:extLst>
                      <a:ext uri="{53640926-AAD7-44D8-BBD7-CCE9431645EC}">
                        <a14:shadowObscured xmlns:a14="http://schemas.microsoft.com/office/drawing/2010/main"/>
                      </a:ext>
                    </a:extLst>
                  </pic:spPr>
                </pic:pic>
              </a:graphicData>
            </a:graphic>
          </wp:inline>
        </w:drawing>
      </w:r>
    </w:p>
    <w:p w14:paraId="4D54A0BE" w14:textId="6922A08D" w:rsidR="00186900" w:rsidRDefault="00186900" w:rsidP="00B06C7A"/>
    <w:p w14:paraId="151D1180" w14:textId="77777777" w:rsidR="00186900" w:rsidRPr="00186900" w:rsidRDefault="00186900" w:rsidP="00186900">
      <w:pPr>
        <w:rPr>
          <w:rFonts w:ascii="Times New Roman" w:hAnsi="Times New Roman" w:cs="Times New Roman"/>
          <w:b/>
          <w:bCs/>
          <w:u w:val="single"/>
        </w:rPr>
      </w:pPr>
      <w:r w:rsidRPr="00186900">
        <w:rPr>
          <w:rFonts w:ascii="Times New Roman" w:hAnsi="Times New Roman" w:cs="Times New Roman"/>
          <w:b/>
          <w:bCs/>
          <w:u w:val="single"/>
        </w:rPr>
        <w:t xml:space="preserve">Chemical Analyses Overview: </w:t>
      </w:r>
    </w:p>
    <w:p w14:paraId="28157E5F" w14:textId="06B82B2E" w:rsidR="00186900" w:rsidRPr="00186900" w:rsidRDefault="00186900" w:rsidP="00186900">
      <w:pPr>
        <w:pStyle w:val="CommentText"/>
        <w:rPr>
          <w:sz w:val="24"/>
          <w:szCs w:val="24"/>
        </w:rPr>
      </w:pPr>
      <w:r w:rsidRPr="00186900">
        <w:rPr>
          <w:sz w:val="24"/>
          <w:szCs w:val="24"/>
        </w:rPr>
        <w:tab/>
      </w:r>
      <w:r w:rsidRPr="00186900">
        <w:rPr>
          <w:sz w:val="24"/>
          <w:szCs w:val="24"/>
        </w:rPr>
        <w:t>SPE was necessary due to the low concentration of compounds present in solution, thus it was essential to concentrate the compounds in order to quantify. To begin, the starting volume was 400 mL (volume used in exposures) and then after SPE the volume was reduced to 2 mL (volume reduction, but not compound reduction). Next, the sample was brought to complete dryness to again reduce the amount of volume, and then rehydrated to a final volume of 50 µL. A volume of 50 µL supplies two injections into the HPLC. The concentration in each 25 µL must have a high enough concentration in order to be greater than the limit of detection (LOD) of the HPLC. In summation, this explains why an injection of 25 µL from the 400 mL exposure solution was not possible as the concentration would have been below the LOD.</w:t>
      </w:r>
    </w:p>
    <w:p w14:paraId="5B9DCC51" w14:textId="77777777" w:rsidR="00186900" w:rsidRPr="00186900" w:rsidRDefault="00186900" w:rsidP="00186900">
      <w:pPr>
        <w:pStyle w:val="CommentText"/>
        <w:rPr>
          <w:sz w:val="24"/>
          <w:szCs w:val="24"/>
        </w:rPr>
      </w:pPr>
    </w:p>
    <w:p w14:paraId="4FB4160B" w14:textId="136BD338" w:rsidR="00186900" w:rsidRPr="00186900" w:rsidRDefault="00186900" w:rsidP="00186900">
      <w:pPr>
        <w:pStyle w:val="CommentText"/>
        <w:rPr>
          <w:sz w:val="24"/>
          <w:szCs w:val="24"/>
        </w:rPr>
      </w:pPr>
      <w:r w:rsidRPr="00186900">
        <w:rPr>
          <w:b/>
          <w:bCs/>
          <w:sz w:val="24"/>
          <w:szCs w:val="24"/>
        </w:rPr>
        <w:t>Table S2:</w:t>
      </w:r>
      <w:r w:rsidRPr="00186900">
        <w:rPr>
          <w:sz w:val="24"/>
          <w:szCs w:val="24"/>
        </w:rPr>
        <w:t xml:space="preserve"> HPLC gradient for separation of EE</w:t>
      </w:r>
      <w:r w:rsidRPr="00186900">
        <w:rPr>
          <w:sz w:val="24"/>
          <w:szCs w:val="24"/>
          <w:vertAlign w:val="subscript"/>
        </w:rPr>
        <w:t>2</w:t>
      </w:r>
      <w:r w:rsidRPr="00186900">
        <w:rPr>
          <w:sz w:val="24"/>
          <w:szCs w:val="24"/>
        </w:rPr>
        <w:t xml:space="preserve">, TB, and </w:t>
      </w:r>
      <w:proofErr w:type="spellStart"/>
      <w:r w:rsidRPr="00186900">
        <w:rPr>
          <w:sz w:val="24"/>
          <w:szCs w:val="24"/>
        </w:rPr>
        <w:t>Atr</w:t>
      </w:r>
      <w:proofErr w:type="spellEnd"/>
      <w:r w:rsidRPr="00186900">
        <w:rPr>
          <w:sz w:val="24"/>
          <w:szCs w:val="24"/>
        </w:rPr>
        <w:t xml:space="preserve"> using a Pinnacle DB Biphenyl column. Flow rate = 1 mL/min, Solvent A = DiH2O, Solvent B = Acetonitrile. EE</w:t>
      </w:r>
      <w:r w:rsidRPr="00186900">
        <w:rPr>
          <w:sz w:val="24"/>
          <w:szCs w:val="24"/>
          <w:vertAlign w:val="subscript"/>
        </w:rPr>
        <w:t>2</w:t>
      </w:r>
      <w:r w:rsidRPr="00186900">
        <w:rPr>
          <w:sz w:val="24"/>
          <w:szCs w:val="24"/>
        </w:rPr>
        <w:t xml:space="preserve">, 17α -ethynylestradiol; TB, 17β- trenbolone; </w:t>
      </w:r>
      <w:proofErr w:type="spellStart"/>
      <w:r w:rsidRPr="00186900">
        <w:rPr>
          <w:sz w:val="24"/>
          <w:szCs w:val="24"/>
        </w:rPr>
        <w:t>Atr</w:t>
      </w:r>
      <w:proofErr w:type="spellEnd"/>
      <w:r w:rsidRPr="00186900">
        <w:rPr>
          <w:sz w:val="24"/>
          <w:szCs w:val="24"/>
        </w:rPr>
        <w:t>, Atrazine.</w:t>
      </w:r>
    </w:p>
    <w:p w14:paraId="707633A3" w14:textId="4E1B7305" w:rsidR="00186900" w:rsidRDefault="00186900" w:rsidP="00B06C7A"/>
    <w:p w14:paraId="0E186049" w14:textId="7F942149" w:rsidR="00186900" w:rsidRDefault="00186900" w:rsidP="00B06C7A">
      <w:r w:rsidRPr="0003297B">
        <w:rPr>
          <w:noProof/>
          <w:color w:val="000000"/>
        </w:rPr>
        <w:drawing>
          <wp:inline distT="0" distB="0" distL="0" distR="0" wp14:anchorId="06C28216" wp14:editId="6F052FF3">
            <wp:extent cx="3949700" cy="1841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49700" cy="1841500"/>
                    </a:xfrm>
                    <a:prstGeom prst="rect">
                      <a:avLst/>
                    </a:prstGeom>
                  </pic:spPr>
                </pic:pic>
              </a:graphicData>
            </a:graphic>
          </wp:inline>
        </w:drawing>
      </w:r>
    </w:p>
    <w:p w14:paraId="70CDD764" w14:textId="289065CF" w:rsidR="00186900" w:rsidRDefault="00186900" w:rsidP="00B06C7A"/>
    <w:p w14:paraId="469E8DDE" w14:textId="67DE0736" w:rsidR="00186900" w:rsidRDefault="00186900" w:rsidP="00B06C7A">
      <w:r>
        <w:rPr>
          <w:noProof/>
        </w:rPr>
        <w:lastRenderedPageBreak/>
        <w:drawing>
          <wp:inline distT="0" distB="0" distL="0" distR="0" wp14:anchorId="738191D7" wp14:editId="4CC4DB91">
            <wp:extent cx="5699173" cy="2949677"/>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0"/>
                    <a:stretch>
                      <a:fillRect/>
                    </a:stretch>
                  </pic:blipFill>
                  <pic:spPr>
                    <a:xfrm>
                      <a:off x="0" y="0"/>
                      <a:ext cx="5726759" cy="2963954"/>
                    </a:xfrm>
                    <a:prstGeom prst="rect">
                      <a:avLst/>
                    </a:prstGeom>
                  </pic:spPr>
                </pic:pic>
              </a:graphicData>
            </a:graphic>
          </wp:inline>
        </w:drawing>
      </w:r>
    </w:p>
    <w:p w14:paraId="5D2DCFEA" w14:textId="17E80DC9" w:rsidR="00186900" w:rsidRPr="00186900" w:rsidRDefault="00186900" w:rsidP="00186900">
      <w:pPr>
        <w:rPr>
          <w:rFonts w:ascii="Times New Roman" w:eastAsia="Times New Roman" w:hAnsi="Times New Roman" w:cs="Times New Roman"/>
        </w:rPr>
      </w:pPr>
      <w:r w:rsidRPr="00186900">
        <w:rPr>
          <w:rFonts w:ascii="Times New Roman" w:eastAsia="Times New Roman" w:hAnsi="Times New Roman" w:cs="Times New Roman"/>
          <w:b/>
          <w:bCs/>
        </w:rPr>
        <w:t>Fig. S</w:t>
      </w:r>
      <w:r w:rsidR="002C1067">
        <w:rPr>
          <w:rFonts w:ascii="Times New Roman" w:eastAsia="Times New Roman" w:hAnsi="Times New Roman" w:cs="Times New Roman"/>
          <w:b/>
          <w:bCs/>
        </w:rPr>
        <w:t>2</w:t>
      </w:r>
      <w:r w:rsidRPr="00186900">
        <w:rPr>
          <w:rFonts w:ascii="Times New Roman" w:eastAsia="Times New Roman" w:hAnsi="Times New Roman" w:cs="Times New Roman"/>
        </w:rPr>
        <w:t xml:space="preserve"> Survival (proportion) of western mosquitofish (</w:t>
      </w:r>
      <w:r w:rsidRPr="00186900">
        <w:rPr>
          <w:rFonts w:ascii="Times New Roman" w:eastAsia="Times New Roman" w:hAnsi="Times New Roman" w:cs="Times New Roman"/>
          <w:i/>
          <w:iCs/>
        </w:rPr>
        <w:t>Gambusia affinis</w:t>
      </w:r>
      <w:r w:rsidRPr="00186900">
        <w:rPr>
          <w:rFonts w:ascii="Times New Roman" w:eastAsia="Times New Roman" w:hAnsi="Times New Roman" w:cs="Times New Roman"/>
        </w:rPr>
        <w:t>) during the 30–76-day recovery period following a 30-day exposure to the following treatments: Control; Simulated CAFO runoff low (50 ng/L EE</w:t>
      </w:r>
      <w:r w:rsidRPr="00186900">
        <w:rPr>
          <w:rFonts w:ascii="Times New Roman" w:eastAsia="Times New Roman" w:hAnsi="Times New Roman" w:cs="Times New Roman"/>
          <w:vertAlign w:val="subscript"/>
        </w:rPr>
        <w:t>2</w:t>
      </w:r>
      <w:r w:rsidRPr="00186900">
        <w:rPr>
          <w:rFonts w:ascii="Times New Roman" w:eastAsia="Times New Roman" w:hAnsi="Times New Roman" w:cs="Times New Roman"/>
        </w:rPr>
        <w:t xml:space="preserve">, 10 ng/L TB, and 150 ng/L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Simulated CAFO runoff high (250 ng/L EE</w:t>
      </w:r>
      <w:r w:rsidRPr="00186900">
        <w:rPr>
          <w:rFonts w:ascii="Times New Roman" w:eastAsia="Times New Roman" w:hAnsi="Times New Roman" w:cs="Times New Roman"/>
          <w:vertAlign w:val="subscript"/>
        </w:rPr>
        <w:t>2</w:t>
      </w:r>
      <w:r w:rsidRPr="00186900">
        <w:rPr>
          <w:rFonts w:ascii="Times New Roman" w:eastAsia="Times New Roman" w:hAnsi="Times New Roman" w:cs="Times New Roman"/>
        </w:rPr>
        <w:t xml:space="preserve">, 50 ng/L TB, and 1,500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EE</w:t>
      </w:r>
      <w:r w:rsidRPr="00186900">
        <w:rPr>
          <w:rFonts w:ascii="Times New Roman" w:eastAsia="Times New Roman" w:hAnsi="Times New Roman" w:cs="Times New Roman"/>
          <w:vertAlign w:val="subscript"/>
        </w:rPr>
        <w:t xml:space="preserve">2 </w:t>
      </w:r>
      <w:r w:rsidRPr="00186900">
        <w:rPr>
          <w:rFonts w:ascii="Times New Roman" w:eastAsia="Times New Roman" w:hAnsi="Times New Roman" w:cs="Times New Roman"/>
        </w:rPr>
        <w:t>low (50 ng/L); EE</w:t>
      </w:r>
      <w:r w:rsidRPr="00186900">
        <w:rPr>
          <w:rFonts w:ascii="Times New Roman" w:eastAsia="Times New Roman" w:hAnsi="Times New Roman" w:cs="Times New Roman"/>
          <w:vertAlign w:val="subscript"/>
        </w:rPr>
        <w:t xml:space="preserve">2 </w:t>
      </w:r>
      <w:r w:rsidRPr="00186900">
        <w:rPr>
          <w:rFonts w:ascii="Times New Roman" w:eastAsia="Times New Roman" w:hAnsi="Times New Roman" w:cs="Times New Roman"/>
        </w:rPr>
        <w:t xml:space="preserve">high (250 ng/L); TB low (10 ng/L); TB high (50 ng/L);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xml:space="preserve"> low (150 ng/L); and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xml:space="preserve"> high (1,500 ng/L). Four individuals exposed to TB high escaped their containers and could not be recovered, therefore the data was censored in the survival analysis No deaths occurred during the 30-day exposure period. Data for males and females were combined in each treatment for analysis. Survival did not differ among treatments (</w:t>
      </w:r>
      <w:r w:rsidRPr="00186900">
        <w:rPr>
          <w:rFonts w:ascii="Times New Roman" w:eastAsia="Times New Roman" w:hAnsi="Times New Roman" w:cs="Times New Roman"/>
          <w:i/>
          <w:iCs/>
        </w:rPr>
        <w:t>P</w:t>
      </w:r>
      <w:r w:rsidRPr="00186900">
        <w:rPr>
          <w:rFonts w:ascii="Times New Roman" w:eastAsia="Times New Roman" w:hAnsi="Times New Roman" w:cs="Times New Roman"/>
        </w:rPr>
        <w:t xml:space="preserve"> = 0.061 in Kaplan Meier survival analysis). EE</w:t>
      </w:r>
      <w:r w:rsidRPr="00186900">
        <w:rPr>
          <w:rFonts w:ascii="Times New Roman" w:eastAsia="Times New Roman" w:hAnsi="Times New Roman" w:cs="Times New Roman"/>
          <w:vertAlign w:val="subscript"/>
        </w:rPr>
        <w:t>2</w:t>
      </w:r>
      <w:r w:rsidRPr="00186900">
        <w:rPr>
          <w:rFonts w:ascii="Times New Roman" w:eastAsia="Times New Roman" w:hAnsi="Times New Roman" w:cs="Times New Roman"/>
        </w:rPr>
        <w:t xml:space="preserve">, 17α -ethynylestradiol; TB, 17β- trenbolone;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Atrazine</w:t>
      </w:r>
    </w:p>
    <w:p w14:paraId="4BC785D2" w14:textId="6881862C" w:rsidR="00186900" w:rsidRDefault="00186900" w:rsidP="00B06C7A"/>
    <w:p w14:paraId="07496696" w14:textId="77777777" w:rsidR="00186900" w:rsidRDefault="00186900" w:rsidP="00186900">
      <w:pPr>
        <w:rPr>
          <w:rFonts w:ascii="Times New Roman" w:eastAsia="Times New Roman" w:hAnsi="Times New Roman" w:cs="Times New Roman"/>
          <w:b/>
          <w:bCs/>
        </w:rPr>
      </w:pPr>
    </w:p>
    <w:p w14:paraId="4B096368" w14:textId="77777777" w:rsidR="00186900" w:rsidRDefault="00186900" w:rsidP="00186900">
      <w:pPr>
        <w:rPr>
          <w:rFonts w:ascii="Times New Roman" w:eastAsia="Times New Roman" w:hAnsi="Times New Roman" w:cs="Times New Roman"/>
          <w:b/>
          <w:bCs/>
        </w:rPr>
      </w:pPr>
    </w:p>
    <w:p w14:paraId="3CFE8C1A" w14:textId="77777777" w:rsidR="00186900" w:rsidRDefault="00186900" w:rsidP="00186900">
      <w:pPr>
        <w:rPr>
          <w:rFonts w:ascii="Times New Roman" w:eastAsia="Times New Roman" w:hAnsi="Times New Roman" w:cs="Times New Roman"/>
          <w:b/>
          <w:bCs/>
        </w:rPr>
      </w:pPr>
    </w:p>
    <w:p w14:paraId="10CEB1D2" w14:textId="77777777" w:rsidR="00186900" w:rsidRDefault="00186900" w:rsidP="00186900">
      <w:pPr>
        <w:rPr>
          <w:rFonts w:ascii="Times New Roman" w:eastAsia="Times New Roman" w:hAnsi="Times New Roman" w:cs="Times New Roman"/>
          <w:b/>
          <w:bCs/>
        </w:rPr>
      </w:pPr>
    </w:p>
    <w:p w14:paraId="5B996AB4" w14:textId="77777777" w:rsidR="00186900" w:rsidRDefault="00186900" w:rsidP="00186900">
      <w:pPr>
        <w:rPr>
          <w:rFonts w:ascii="Times New Roman" w:eastAsia="Times New Roman" w:hAnsi="Times New Roman" w:cs="Times New Roman"/>
          <w:b/>
          <w:bCs/>
        </w:rPr>
      </w:pPr>
    </w:p>
    <w:p w14:paraId="6CB28A18" w14:textId="77777777" w:rsidR="00186900" w:rsidRDefault="00186900" w:rsidP="00186900">
      <w:pPr>
        <w:rPr>
          <w:rFonts w:ascii="Times New Roman" w:eastAsia="Times New Roman" w:hAnsi="Times New Roman" w:cs="Times New Roman"/>
          <w:b/>
          <w:bCs/>
        </w:rPr>
      </w:pPr>
    </w:p>
    <w:p w14:paraId="5399BAAD" w14:textId="77777777" w:rsidR="00186900" w:rsidRDefault="00186900" w:rsidP="00186900">
      <w:pPr>
        <w:rPr>
          <w:rFonts w:ascii="Times New Roman" w:eastAsia="Times New Roman" w:hAnsi="Times New Roman" w:cs="Times New Roman"/>
          <w:b/>
          <w:bCs/>
        </w:rPr>
      </w:pPr>
    </w:p>
    <w:p w14:paraId="5C8E2DD4" w14:textId="77777777" w:rsidR="00186900" w:rsidRDefault="00186900" w:rsidP="00186900">
      <w:pPr>
        <w:rPr>
          <w:rFonts w:ascii="Times New Roman" w:eastAsia="Times New Roman" w:hAnsi="Times New Roman" w:cs="Times New Roman"/>
          <w:b/>
          <w:bCs/>
        </w:rPr>
      </w:pPr>
    </w:p>
    <w:p w14:paraId="7ACC256C" w14:textId="77777777" w:rsidR="00186900" w:rsidRDefault="00186900" w:rsidP="00186900">
      <w:pPr>
        <w:rPr>
          <w:rFonts w:ascii="Times New Roman" w:eastAsia="Times New Roman" w:hAnsi="Times New Roman" w:cs="Times New Roman"/>
          <w:b/>
          <w:bCs/>
        </w:rPr>
      </w:pPr>
    </w:p>
    <w:p w14:paraId="31C5A7DD" w14:textId="77777777" w:rsidR="00186900" w:rsidRDefault="00186900" w:rsidP="00186900">
      <w:pPr>
        <w:rPr>
          <w:rFonts w:ascii="Times New Roman" w:eastAsia="Times New Roman" w:hAnsi="Times New Roman" w:cs="Times New Roman"/>
          <w:b/>
          <w:bCs/>
        </w:rPr>
      </w:pPr>
    </w:p>
    <w:p w14:paraId="2E085270" w14:textId="77777777" w:rsidR="00186900" w:rsidRDefault="00186900" w:rsidP="00186900">
      <w:pPr>
        <w:rPr>
          <w:rFonts w:ascii="Times New Roman" w:eastAsia="Times New Roman" w:hAnsi="Times New Roman" w:cs="Times New Roman"/>
          <w:b/>
          <w:bCs/>
        </w:rPr>
      </w:pPr>
    </w:p>
    <w:p w14:paraId="2E04E509" w14:textId="77777777" w:rsidR="00186900" w:rsidRDefault="00186900" w:rsidP="00186900">
      <w:pPr>
        <w:rPr>
          <w:rFonts w:ascii="Times New Roman" w:eastAsia="Times New Roman" w:hAnsi="Times New Roman" w:cs="Times New Roman"/>
          <w:b/>
          <w:bCs/>
        </w:rPr>
      </w:pPr>
    </w:p>
    <w:p w14:paraId="051834EA" w14:textId="77777777" w:rsidR="00186900" w:rsidRDefault="00186900" w:rsidP="00186900">
      <w:pPr>
        <w:rPr>
          <w:rFonts w:ascii="Times New Roman" w:eastAsia="Times New Roman" w:hAnsi="Times New Roman" w:cs="Times New Roman"/>
          <w:b/>
          <w:bCs/>
        </w:rPr>
      </w:pPr>
    </w:p>
    <w:p w14:paraId="710FD492" w14:textId="77777777" w:rsidR="00186900" w:rsidRDefault="00186900" w:rsidP="00186900">
      <w:pPr>
        <w:rPr>
          <w:rFonts w:ascii="Times New Roman" w:eastAsia="Times New Roman" w:hAnsi="Times New Roman" w:cs="Times New Roman"/>
          <w:b/>
          <w:bCs/>
        </w:rPr>
      </w:pPr>
    </w:p>
    <w:p w14:paraId="0A5FD9CA" w14:textId="77777777" w:rsidR="00186900" w:rsidRDefault="00186900" w:rsidP="00186900">
      <w:pPr>
        <w:rPr>
          <w:rFonts w:ascii="Times New Roman" w:eastAsia="Times New Roman" w:hAnsi="Times New Roman" w:cs="Times New Roman"/>
          <w:b/>
          <w:bCs/>
        </w:rPr>
      </w:pPr>
    </w:p>
    <w:p w14:paraId="0105E339" w14:textId="77777777" w:rsidR="00186900" w:rsidRDefault="00186900" w:rsidP="00186900">
      <w:pPr>
        <w:rPr>
          <w:rFonts w:ascii="Times New Roman" w:eastAsia="Times New Roman" w:hAnsi="Times New Roman" w:cs="Times New Roman"/>
          <w:b/>
          <w:bCs/>
        </w:rPr>
      </w:pPr>
    </w:p>
    <w:p w14:paraId="12BBBADF" w14:textId="77777777" w:rsidR="00186900" w:rsidRDefault="00186900" w:rsidP="00186900">
      <w:pPr>
        <w:rPr>
          <w:rFonts w:ascii="Times New Roman" w:eastAsia="Times New Roman" w:hAnsi="Times New Roman" w:cs="Times New Roman"/>
          <w:b/>
          <w:bCs/>
        </w:rPr>
      </w:pPr>
    </w:p>
    <w:p w14:paraId="500E3EB7" w14:textId="77777777" w:rsidR="00186900" w:rsidRDefault="00186900" w:rsidP="00186900">
      <w:pPr>
        <w:rPr>
          <w:rFonts w:ascii="Times New Roman" w:eastAsia="Times New Roman" w:hAnsi="Times New Roman" w:cs="Times New Roman"/>
          <w:b/>
          <w:bCs/>
        </w:rPr>
      </w:pPr>
    </w:p>
    <w:p w14:paraId="3F29B261" w14:textId="223B17D6" w:rsidR="00186900" w:rsidRDefault="00186900" w:rsidP="00186900">
      <w:pPr>
        <w:rPr>
          <w:rFonts w:ascii="Times New Roman" w:eastAsia="Times New Roman" w:hAnsi="Times New Roman" w:cs="Times New Roman"/>
        </w:rPr>
      </w:pPr>
      <w:r w:rsidRPr="00186900">
        <w:rPr>
          <w:rFonts w:ascii="Times New Roman" w:eastAsia="Times New Roman" w:hAnsi="Times New Roman" w:cs="Times New Roman"/>
          <w:b/>
          <w:bCs/>
        </w:rPr>
        <w:lastRenderedPageBreak/>
        <w:t>Table S3:</w:t>
      </w:r>
      <w:r w:rsidRPr="00186900">
        <w:rPr>
          <w:rFonts w:ascii="Times New Roman" w:eastAsia="Times New Roman" w:hAnsi="Times New Roman" w:cs="Times New Roman"/>
        </w:rPr>
        <w:t xml:space="preserve"> Sex ratios (as percentages) and female sexual maturity (as percentages) of western mosquitofish (Gambusia affinis) determined on day 76 after exposure to treatments‡. Sex ratio and female sexual maturity were evaluated visually on the basis of external secondary sex characteristics. Fish with a modified anal fin (gonopodium) were designated as male, whereas those without a gonopodium were designated female. Female sexual maturity was determined based on the presence or absence of a gravid spot, where the gravid spot indicated sexual maturity while its absence indicated sexually immaturity. EE</w:t>
      </w:r>
      <w:r w:rsidRPr="00186900">
        <w:rPr>
          <w:rFonts w:ascii="Times New Roman" w:eastAsia="Times New Roman" w:hAnsi="Times New Roman" w:cs="Times New Roman"/>
          <w:vertAlign w:val="subscript"/>
        </w:rPr>
        <w:t>2</w:t>
      </w:r>
      <w:r w:rsidRPr="00186900">
        <w:rPr>
          <w:rFonts w:ascii="Times New Roman" w:eastAsia="Times New Roman" w:hAnsi="Times New Roman" w:cs="Times New Roman"/>
        </w:rPr>
        <w:t xml:space="preserve">, 17α -ethynylestradiol; TB, 17β- trenbolone; </w:t>
      </w:r>
      <w:proofErr w:type="spellStart"/>
      <w:r w:rsidRPr="00186900">
        <w:rPr>
          <w:rFonts w:ascii="Times New Roman" w:eastAsia="Times New Roman" w:hAnsi="Times New Roman" w:cs="Times New Roman"/>
        </w:rPr>
        <w:t>Atr</w:t>
      </w:r>
      <w:proofErr w:type="spellEnd"/>
      <w:r w:rsidRPr="00186900">
        <w:rPr>
          <w:rFonts w:ascii="Times New Roman" w:eastAsia="Times New Roman" w:hAnsi="Times New Roman" w:cs="Times New Roman"/>
        </w:rPr>
        <w:t xml:space="preserve">, Atrazine. </w:t>
      </w:r>
      <w:r w:rsidRPr="00186900">
        <w:rPr>
          <w:rFonts w:ascii="Times New Roman" w:eastAsia="Times New Roman" w:hAnsi="Times New Roman" w:cs="Times New Roman"/>
          <w:i/>
          <w:iCs/>
        </w:rPr>
        <w:t>n</w:t>
      </w:r>
      <w:r w:rsidRPr="00186900">
        <w:rPr>
          <w:rFonts w:ascii="Times New Roman" w:eastAsia="Times New Roman" w:hAnsi="Times New Roman" w:cs="Times New Roman"/>
        </w:rPr>
        <w:t xml:space="preserve"> = number of individuals. </w:t>
      </w:r>
    </w:p>
    <w:p w14:paraId="17AE37F5" w14:textId="52FA9428" w:rsidR="00186900" w:rsidRPr="00186900" w:rsidRDefault="00186900" w:rsidP="00186900">
      <w:pPr>
        <w:rPr>
          <w:rFonts w:ascii="Times New Roman" w:eastAsia="Times New Roman" w:hAnsi="Times New Roman" w:cs="Times New Roman"/>
        </w:rPr>
      </w:pPr>
      <w:r>
        <w:rPr>
          <w:noProof/>
        </w:rPr>
        <w:drawing>
          <wp:inline distT="0" distB="0" distL="0" distR="0" wp14:anchorId="7212A1EA" wp14:editId="4FDA709D">
            <wp:extent cx="5767821" cy="37172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1">
                      <a:extLst>
                        <a:ext uri="{28A0092B-C50C-407E-A947-70E740481C1C}">
                          <a14:useLocalDpi xmlns:a14="http://schemas.microsoft.com/office/drawing/2010/main" val="0"/>
                        </a:ext>
                      </a:extLst>
                    </a:blip>
                    <a:srcRect l="6858" t="5557" r="8009" b="52047"/>
                    <a:stretch/>
                  </pic:blipFill>
                  <pic:spPr bwMode="auto">
                    <a:xfrm>
                      <a:off x="0" y="0"/>
                      <a:ext cx="5782735" cy="3726846"/>
                    </a:xfrm>
                    <a:prstGeom prst="rect">
                      <a:avLst/>
                    </a:prstGeom>
                    <a:ln>
                      <a:noFill/>
                    </a:ln>
                    <a:extLst>
                      <a:ext uri="{53640926-AAD7-44D8-BBD7-CCE9431645EC}">
                        <a14:shadowObscured xmlns:a14="http://schemas.microsoft.com/office/drawing/2010/main"/>
                      </a:ext>
                    </a:extLst>
                  </pic:spPr>
                </pic:pic>
              </a:graphicData>
            </a:graphic>
          </wp:inline>
        </w:drawing>
      </w:r>
    </w:p>
    <w:p w14:paraId="4C05363A" w14:textId="77777777" w:rsidR="00186900" w:rsidRPr="00B06C7A" w:rsidRDefault="00186900" w:rsidP="00B06C7A"/>
    <w:sectPr w:rsidR="00186900" w:rsidRPr="00B06C7A" w:rsidSect="00B06C7A">
      <w:footerReference w:type="even" r:id="rId12"/>
      <w:footerReference w:type="defaul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A0B39" w14:textId="77777777" w:rsidR="006C76D2" w:rsidRDefault="006C76D2" w:rsidP="008C35D4">
      <w:r>
        <w:separator/>
      </w:r>
    </w:p>
  </w:endnote>
  <w:endnote w:type="continuationSeparator" w:id="0">
    <w:p w14:paraId="48815077" w14:textId="77777777" w:rsidR="006C76D2" w:rsidRDefault="006C76D2" w:rsidP="008C3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56623"/>
      <w:docPartObj>
        <w:docPartGallery w:val="Page Numbers (Bottom of Page)"/>
        <w:docPartUnique/>
      </w:docPartObj>
    </w:sdtPr>
    <w:sdtContent>
      <w:p w14:paraId="7A386163" w14:textId="08068AB4" w:rsidR="008C35D4" w:rsidRDefault="008C35D4" w:rsidP="006C45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80BF52" w14:textId="77777777" w:rsidR="008C35D4" w:rsidRDefault="008C35D4" w:rsidP="008C35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7869897"/>
      <w:docPartObj>
        <w:docPartGallery w:val="Page Numbers (Bottom of Page)"/>
        <w:docPartUnique/>
      </w:docPartObj>
    </w:sdtPr>
    <w:sdtContent>
      <w:p w14:paraId="68DFBD7F" w14:textId="106DB570" w:rsidR="008C35D4" w:rsidRDefault="008C35D4" w:rsidP="006C45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BAA884" w14:textId="77777777" w:rsidR="008C35D4" w:rsidRDefault="008C35D4" w:rsidP="008C35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C88A1" w14:textId="77777777" w:rsidR="006C76D2" w:rsidRDefault="006C76D2" w:rsidP="008C35D4">
      <w:r>
        <w:separator/>
      </w:r>
    </w:p>
  </w:footnote>
  <w:footnote w:type="continuationSeparator" w:id="0">
    <w:p w14:paraId="23102878" w14:textId="77777777" w:rsidR="006C76D2" w:rsidRDefault="006C76D2" w:rsidP="008C35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C7A"/>
    <w:rsid w:val="00110A2F"/>
    <w:rsid w:val="00186900"/>
    <w:rsid w:val="002C1067"/>
    <w:rsid w:val="003C4AA6"/>
    <w:rsid w:val="00400707"/>
    <w:rsid w:val="006C76D2"/>
    <w:rsid w:val="008C2FE4"/>
    <w:rsid w:val="008C35D4"/>
    <w:rsid w:val="0092451E"/>
    <w:rsid w:val="00B06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18EE76"/>
  <w15:chartTrackingRefBased/>
  <w15:docId w15:val="{52BBF6F5-DC98-6E4A-8B33-9E67493F9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C7A"/>
    <w:pPr>
      <w:keepNext/>
      <w:keepLines/>
      <w:spacing w:line="480" w:lineRule="auto"/>
      <w:jc w:val="center"/>
      <w:outlineLvl w:val="0"/>
    </w:pPr>
    <w:rPr>
      <w:rFonts w:ascii="Times New Roman" w:eastAsiaTheme="majorEastAsia" w:hAnsi="Times New Roman" w:cstheme="majorBidi"/>
      <w:b/>
      <w:color w:val="000000" w:themeColor="text1"/>
      <w:szCs w:val="32"/>
    </w:rPr>
  </w:style>
  <w:style w:type="paragraph" w:styleId="Heading2">
    <w:name w:val="heading 2"/>
    <w:basedOn w:val="Normal"/>
    <w:next w:val="Normal"/>
    <w:link w:val="Heading2Char"/>
    <w:uiPriority w:val="9"/>
    <w:unhideWhenUsed/>
    <w:qFormat/>
    <w:rsid w:val="00B06C7A"/>
    <w:pPr>
      <w:keepNext/>
      <w:keepLines/>
      <w:spacing w:before="40"/>
      <w:outlineLvl w:val="1"/>
    </w:pPr>
    <w:rPr>
      <w:rFonts w:ascii="Times New Roman" w:eastAsiaTheme="majorEastAsia" w:hAnsi="Times New Roman" w:cstheme="majorBidi"/>
      <w:b/>
      <w:color w:val="000000" w:themeColor="text1"/>
      <w:szCs w:val="26"/>
    </w:rPr>
  </w:style>
  <w:style w:type="paragraph" w:styleId="Heading5">
    <w:name w:val="heading 5"/>
    <w:basedOn w:val="Normal"/>
    <w:next w:val="Normal"/>
    <w:link w:val="Heading5Char"/>
    <w:uiPriority w:val="9"/>
    <w:semiHidden/>
    <w:unhideWhenUsed/>
    <w:qFormat/>
    <w:rsid w:val="0018690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C7A"/>
    <w:rPr>
      <w:rFonts w:ascii="Times New Roman" w:eastAsiaTheme="majorEastAsia" w:hAnsi="Times New Roman" w:cstheme="majorBidi"/>
      <w:b/>
      <w:color w:val="000000" w:themeColor="text1"/>
      <w:szCs w:val="32"/>
    </w:rPr>
  </w:style>
  <w:style w:type="character" w:styleId="Hyperlink">
    <w:name w:val="Hyperlink"/>
    <w:basedOn w:val="DefaultParagraphFont"/>
    <w:uiPriority w:val="99"/>
    <w:unhideWhenUsed/>
    <w:rsid w:val="00B06C7A"/>
    <w:rPr>
      <w:color w:val="0563C1" w:themeColor="hyperlink"/>
      <w:u w:val="single"/>
    </w:rPr>
  </w:style>
  <w:style w:type="character" w:styleId="FollowedHyperlink">
    <w:name w:val="FollowedHyperlink"/>
    <w:basedOn w:val="DefaultParagraphFont"/>
    <w:uiPriority w:val="99"/>
    <w:semiHidden/>
    <w:unhideWhenUsed/>
    <w:rsid w:val="00B06C7A"/>
    <w:rPr>
      <w:color w:val="954F72" w:themeColor="followedHyperlink"/>
      <w:u w:val="single"/>
    </w:rPr>
  </w:style>
  <w:style w:type="character" w:styleId="LineNumber">
    <w:name w:val="line number"/>
    <w:basedOn w:val="DefaultParagraphFont"/>
    <w:uiPriority w:val="99"/>
    <w:semiHidden/>
    <w:unhideWhenUsed/>
    <w:rsid w:val="00B06C7A"/>
  </w:style>
  <w:style w:type="character" w:customStyle="1" w:styleId="Heading2Char">
    <w:name w:val="Heading 2 Char"/>
    <w:basedOn w:val="DefaultParagraphFont"/>
    <w:link w:val="Heading2"/>
    <w:uiPriority w:val="9"/>
    <w:rsid w:val="00B06C7A"/>
    <w:rPr>
      <w:rFonts w:ascii="Times New Roman" w:eastAsiaTheme="majorEastAsia" w:hAnsi="Times New Roman" w:cstheme="majorBidi"/>
      <w:b/>
      <w:color w:val="000000" w:themeColor="text1"/>
      <w:szCs w:val="26"/>
    </w:rPr>
  </w:style>
  <w:style w:type="character" w:customStyle="1" w:styleId="Heading5Char">
    <w:name w:val="Heading 5 Char"/>
    <w:basedOn w:val="DefaultParagraphFont"/>
    <w:link w:val="Heading5"/>
    <w:uiPriority w:val="9"/>
    <w:rsid w:val="00186900"/>
    <w:rPr>
      <w:rFonts w:asciiTheme="majorHAnsi" w:eastAsiaTheme="majorEastAsia" w:hAnsiTheme="majorHAnsi" w:cstheme="majorBidi"/>
      <w:color w:val="2F5496" w:themeColor="accent1" w:themeShade="BF"/>
    </w:rPr>
  </w:style>
  <w:style w:type="paragraph" w:styleId="CommentText">
    <w:name w:val="annotation text"/>
    <w:basedOn w:val="Normal"/>
    <w:link w:val="CommentTextChar"/>
    <w:uiPriority w:val="99"/>
    <w:unhideWhenUsed/>
    <w:rsid w:val="00186900"/>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18690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C35D4"/>
    <w:pPr>
      <w:tabs>
        <w:tab w:val="center" w:pos="4680"/>
        <w:tab w:val="right" w:pos="9360"/>
      </w:tabs>
    </w:pPr>
  </w:style>
  <w:style w:type="character" w:customStyle="1" w:styleId="FooterChar">
    <w:name w:val="Footer Char"/>
    <w:basedOn w:val="DefaultParagraphFont"/>
    <w:link w:val="Footer"/>
    <w:uiPriority w:val="99"/>
    <w:rsid w:val="008C35D4"/>
  </w:style>
  <w:style w:type="character" w:styleId="PageNumber">
    <w:name w:val="page number"/>
    <w:basedOn w:val="DefaultParagraphFont"/>
    <w:uiPriority w:val="99"/>
    <w:semiHidden/>
    <w:unhideWhenUsed/>
    <w:rsid w:val="008C3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rolinematkin1@gmail.com" TargetMode="Externa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Sciarrillo</dc:creator>
  <cp:keywords/>
  <dc:description/>
  <cp:lastModifiedBy>Caroline Sciarrillo</cp:lastModifiedBy>
  <cp:revision>4</cp:revision>
  <dcterms:created xsi:type="dcterms:W3CDTF">2021-09-15T16:36:00Z</dcterms:created>
  <dcterms:modified xsi:type="dcterms:W3CDTF">2021-09-15T16:37:00Z</dcterms:modified>
</cp:coreProperties>
</file>