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6E44" w14:textId="77777777" w:rsidR="00DA1E13" w:rsidRPr="00DA1E13" w:rsidRDefault="00DA1E13" w:rsidP="00DA1E13">
      <w:pPr>
        <w:rPr>
          <w:b/>
          <w:bCs/>
          <w:lang w:val="en-ZA"/>
        </w:rPr>
      </w:pPr>
      <w:r w:rsidRPr="00DA1E13">
        <w:rPr>
          <w:b/>
          <w:bCs/>
          <w:lang w:val="en-ZA"/>
        </w:rPr>
        <w:t>SUPPLEMENTARY</w:t>
      </w:r>
    </w:p>
    <w:p w14:paraId="38FC1D04" w14:textId="77777777" w:rsidR="00DA1E13" w:rsidRPr="00DA1E13" w:rsidRDefault="00DA1E13" w:rsidP="00DA1E13">
      <w:pPr>
        <w:rPr>
          <w:lang w:val="en-ZA"/>
        </w:rPr>
      </w:pPr>
      <w:r w:rsidRPr="00DA1E13">
        <w:rPr>
          <w:b/>
          <w:bCs/>
          <w:lang w:val="en-ZA"/>
        </w:rPr>
        <w:t xml:space="preserve">Supplementary Table 1 </w:t>
      </w:r>
      <w:r w:rsidRPr="00DA1E13">
        <w:rPr>
          <w:lang w:val="en-ZA"/>
        </w:rPr>
        <w:t>Socioeconomic status, behavioural factors and physical activity patterns stratified by glucose tolerance status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18"/>
        <w:gridCol w:w="1514"/>
        <w:gridCol w:w="1678"/>
        <w:gridCol w:w="1367"/>
        <w:gridCol w:w="1440"/>
        <w:gridCol w:w="992"/>
      </w:tblGrid>
      <w:tr w:rsidR="00DA1E13" w:rsidRPr="00DA1E13" w14:paraId="6F54A755" w14:textId="77777777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F51A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Socio-economic status and behavioral factors</w:t>
            </w:r>
          </w:p>
        </w:tc>
      </w:tr>
      <w:tr w:rsidR="00DA1E13" w:rsidRPr="00DA1E13" w14:paraId="1DC28DA7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44D42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4ADAD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All (n=65)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7916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NGT (n=29)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0ED4F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IGT (n=24)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CDCF2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T2D (n=12)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50375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p -value</w:t>
            </w:r>
          </w:p>
        </w:tc>
      </w:tr>
      <w:tr w:rsidR="00DA1E13" w:rsidRPr="00DA1E13" w14:paraId="647B2B91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F398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Age (years)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E356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56 (50-60)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4144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56(50-56)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C48A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56 (49-50)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BF45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58(53-61)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D8B71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0.485</w:t>
            </w:r>
          </w:p>
        </w:tc>
      </w:tr>
      <w:tr w:rsidR="00DA1E13" w:rsidRPr="00DA1E13" w14:paraId="01D6F839" w14:textId="77777777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3862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Sociodemographic factors</w:t>
            </w:r>
          </w:p>
        </w:tc>
      </w:tr>
      <w:tr w:rsidR="00DA1E13" w:rsidRPr="00DA1E13" w14:paraId="47E8BA5C" w14:textId="77777777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566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Marital status, n (%)</w:t>
            </w:r>
          </w:p>
        </w:tc>
      </w:tr>
      <w:tr w:rsidR="00DA1E13" w:rsidRPr="00DA1E13" w14:paraId="4D24894B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3F73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Unmarried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0B6C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33 (50.8)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169D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15 (51.7)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399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12 (50.0)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0974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6 (50.0)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8434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0.990</w:t>
            </w:r>
          </w:p>
        </w:tc>
      </w:tr>
      <w:tr w:rsidR="00DA1E13" w:rsidRPr="00DA1E13" w14:paraId="513E8D59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A4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Married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513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32 (49.2)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C57B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14(48.3)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EE5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12 (50.0)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D77A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6 (50.0)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22A3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</w:p>
        </w:tc>
      </w:tr>
      <w:tr w:rsidR="00DA1E13" w:rsidRPr="00DA1E13" w14:paraId="02038DA0" w14:textId="77777777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69C5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Highest level of education, n (%)</w:t>
            </w:r>
            <w:r w:rsidRPr="00DA1E13">
              <w:rPr>
                <w:lang w:val="en-US"/>
              </w:rPr>
              <w:t> </w:t>
            </w:r>
          </w:p>
        </w:tc>
      </w:tr>
      <w:tr w:rsidR="00DA1E13" w:rsidRPr="00DA1E13" w14:paraId="328B284B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B8B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Primary/Some secondary education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2B15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33 (60.0)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B193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19 (65.5)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324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13 (54.2)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0B36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7 (58.3)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F7A5" w14:textId="77777777" w:rsidR="00DA1E13" w:rsidRPr="00DA1E13" w:rsidRDefault="00DA1E13" w:rsidP="00DA1E13">
            <w:pPr>
              <w:spacing w:after="160" w:line="278" w:lineRule="auto"/>
              <w:rPr>
                <w:lang w:val="en-US"/>
              </w:rPr>
            </w:pPr>
          </w:p>
          <w:p w14:paraId="79807DC2" w14:textId="77777777" w:rsidR="00DA1E13" w:rsidRPr="00DA1E13" w:rsidRDefault="00DA1E13" w:rsidP="00DA1E13">
            <w:pPr>
              <w:spacing w:after="160" w:line="278" w:lineRule="auto"/>
              <w:rPr>
                <w:lang w:val="en-US"/>
              </w:rPr>
            </w:pPr>
          </w:p>
          <w:p w14:paraId="51656F64" w14:textId="77777777" w:rsidR="00DA1E13" w:rsidRPr="00DA1E13" w:rsidRDefault="00DA1E13" w:rsidP="00DA1E13">
            <w:pPr>
              <w:spacing w:after="160" w:line="278" w:lineRule="auto"/>
              <w:rPr>
                <w:lang w:val="en-US"/>
              </w:rPr>
            </w:pPr>
            <w:r w:rsidRPr="00DA1E13">
              <w:rPr>
                <w:lang w:val="en-US"/>
              </w:rPr>
              <w:t>0.697</w:t>
            </w:r>
          </w:p>
          <w:p w14:paraId="3B6F292B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</w:p>
        </w:tc>
      </w:tr>
      <w:tr w:rsidR="00DA1E13" w:rsidRPr="00DA1E13" w14:paraId="1EA5D06A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9EA3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Completed Grade 12/ Tertiary education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A171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26 (40.0)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37CE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10(34.5)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A5D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11 (45.8)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FD71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5(41.7)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D303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</w:p>
        </w:tc>
      </w:tr>
      <w:tr w:rsidR="00DA1E13" w:rsidRPr="00DA1E13" w14:paraId="6169C6F4" w14:textId="77777777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406F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Employment, n (%)</w:t>
            </w:r>
          </w:p>
        </w:tc>
      </w:tr>
      <w:tr w:rsidR="00DA1E13" w:rsidRPr="00DA1E13" w14:paraId="00849799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564F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Unemployed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DC1C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32 (49.2)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D59E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15 (51.7)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F81F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12 (50.0)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A26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5 (41.7)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9EBE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ZA"/>
              </w:rPr>
              <w:t>0.897</w:t>
            </w:r>
          </w:p>
        </w:tc>
      </w:tr>
      <w:tr w:rsidR="00DA1E13" w:rsidRPr="00DA1E13" w14:paraId="019206E0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816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Employment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33F1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33 (50.8)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7181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14 (48.3)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2A3F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12 (50.0)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7832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7 (58.3)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F0AE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</w:p>
        </w:tc>
      </w:tr>
      <w:tr w:rsidR="00DA1E13" w:rsidRPr="00DA1E13" w14:paraId="5D488572" w14:textId="77777777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73AC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Behavioral and lifestyle factors</w:t>
            </w:r>
            <w:r w:rsidRPr="00DA1E13">
              <w:rPr>
                <w:lang w:val="en-US"/>
              </w:rPr>
              <w:t> </w:t>
            </w:r>
          </w:p>
        </w:tc>
      </w:tr>
      <w:tr w:rsidR="00DA1E13" w:rsidRPr="00DA1E13" w14:paraId="6A2D084D" w14:textId="77777777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444D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Smoking status, n (%)</w:t>
            </w:r>
          </w:p>
        </w:tc>
      </w:tr>
      <w:tr w:rsidR="00DA1E13" w:rsidRPr="00DA1E13" w14:paraId="72F6D7F9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5301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Never smoked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2FD2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64 (98.5)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58B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28 (96.6)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4A2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24 (100%)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A6EF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FBA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</w:p>
          <w:p w14:paraId="00525E43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ZA"/>
              </w:rPr>
              <w:t>1.00</w:t>
            </w:r>
          </w:p>
        </w:tc>
      </w:tr>
      <w:tr w:rsidR="00DA1E13" w:rsidRPr="00DA1E13" w14:paraId="493FCB33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6F0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Current smoker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6CA2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 (1.5)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5DD2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 (3.4)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F90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AD81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 xml:space="preserve"> 12 (100%)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0E0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</w:p>
        </w:tc>
      </w:tr>
      <w:tr w:rsidR="00DA1E13" w:rsidRPr="00DA1E13" w14:paraId="0D025327" w14:textId="77777777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3C05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Alcohol intake, n (%)</w:t>
            </w:r>
          </w:p>
        </w:tc>
      </w:tr>
      <w:tr w:rsidR="00DA1E13" w:rsidRPr="00DA1E13" w14:paraId="5018BB04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AFA6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No/Never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3ACA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57 (91.9)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15CC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26 (92.9)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18B7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21 (91.3)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3A6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10 (90.90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8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</w:p>
          <w:p w14:paraId="7861842D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ZA"/>
              </w:rPr>
              <w:t>1.00</w:t>
            </w:r>
          </w:p>
        </w:tc>
      </w:tr>
      <w:tr w:rsidR="00DA1E13" w:rsidRPr="00DA1E13" w14:paraId="087BAA49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6E47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Yes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943A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5 (8.1)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4744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2 (7.1)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DF82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2 (8.7)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55F8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 (9.1)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D97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</w:p>
        </w:tc>
      </w:tr>
      <w:tr w:rsidR="00DA1E13" w:rsidRPr="00DA1E13" w14:paraId="4305943D" w14:textId="77777777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7643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/>
                <w:bCs/>
                <w:lang w:val="en-US"/>
              </w:rPr>
              <w:t>Actigraphy data (Physical activity)</w:t>
            </w:r>
          </w:p>
        </w:tc>
      </w:tr>
      <w:tr w:rsidR="00DA1E13" w:rsidRPr="00DA1E13" w14:paraId="08770E12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C3AD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lastRenderedPageBreak/>
              <w:t>Light (min/d)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9CC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379.3 ± 94.9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2BC2A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378.1 ± 100.9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9556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393.3 ± 101.3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D0D9B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354.2 ± 62.1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C2F5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Cs/>
                <w:lang w:val="en-US"/>
              </w:rPr>
              <w:t>0.542</w:t>
            </w:r>
          </w:p>
        </w:tc>
      </w:tr>
      <w:tr w:rsidR="00DA1E13" w:rsidRPr="00DA1E13" w14:paraId="67AEC4D1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36C94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Cs/>
                <w:lang w:val="en-US"/>
              </w:rPr>
              <w:t>Total MVPA (min/d)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951C4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38.0 (24.3 - 52.8)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2AA8A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40.5 (27.3 - 57.9)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53DE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41.8 (24.3 - 54.0)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4DBF2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33.3 (7.7 - 44.0)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DDFC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Cs/>
                <w:lang w:val="en-US"/>
              </w:rPr>
              <w:t>0.356</w:t>
            </w:r>
          </w:p>
        </w:tc>
      </w:tr>
      <w:tr w:rsidR="00DA1E13" w:rsidRPr="00DA1E13" w14:paraId="057302FB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16F93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MVPA (% per day)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23897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4.6 (3.1 - 5.8)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1B8B2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4.9 (3.1 - 6.5)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75536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4.6 (3.2 - 6.0)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CDC92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4.0 (0.9 - 4.6)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B2B8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Cs/>
                <w:lang w:val="en-US"/>
              </w:rPr>
              <w:t>0.464</w:t>
            </w:r>
          </w:p>
        </w:tc>
      </w:tr>
      <w:tr w:rsidR="00DA1E13" w:rsidRPr="00DA1E13" w14:paraId="59A77262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60B43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Cs/>
                <w:lang w:val="en-US"/>
              </w:rPr>
              <w:t>Total MVPA (mins/</w:t>
            </w:r>
            <w:proofErr w:type="spellStart"/>
            <w:r w:rsidRPr="00DA1E13">
              <w:rPr>
                <w:bCs/>
                <w:lang w:val="en-US"/>
              </w:rPr>
              <w:t>wk</w:t>
            </w:r>
            <w:proofErr w:type="spellEnd"/>
            <w:r w:rsidRPr="00DA1E13">
              <w:rPr>
                <w:bCs/>
                <w:lang w:val="en-US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AC609" w14:textId="77777777" w:rsidR="00DA1E13" w:rsidRPr="00DA1E13" w:rsidRDefault="00DA1E13" w:rsidP="00DA1E13">
            <w:pPr>
              <w:spacing w:after="160" w:line="278" w:lineRule="auto"/>
              <w:rPr>
                <w:bCs/>
                <w:lang w:val="en-US"/>
              </w:rPr>
            </w:pPr>
            <w:r w:rsidRPr="00DA1E13">
              <w:rPr>
                <w:bCs/>
                <w:lang w:val="en-US"/>
              </w:rPr>
              <w:t>266.0</w:t>
            </w:r>
          </w:p>
          <w:p w14:paraId="5DFBFFB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Cs/>
                <w:lang w:val="en-US"/>
              </w:rPr>
              <w:t>(170.3 - 369.8)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CFA86" w14:textId="77777777" w:rsidR="00DA1E13" w:rsidRPr="00DA1E13" w:rsidRDefault="00DA1E13" w:rsidP="00DA1E13">
            <w:pPr>
              <w:spacing w:after="160" w:line="278" w:lineRule="auto"/>
              <w:rPr>
                <w:bCs/>
                <w:lang w:val="en-US"/>
              </w:rPr>
            </w:pPr>
            <w:r w:rsidRPr="00DA1E13">
              <w:rPr>
                <w:bCs/>
                <w:lang w:val="en-US"/>
              </w:rPr>
              <w:t>283.5</w:t>
            </w:r>
          </w:p>
          <w:p w14:paraId="6673BC9F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Cs/>
                <w:lang w:val="en-US"/>
              </w:rPr>
              <w:t>(191.1 - 405.4)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806B8" w14:textId="77777777" w:rsidR="00DA1E13" w:rsidRPr="00DA1E13" w:rsidRDefault="00DA1E13" w:rsidP="00DA1E13">
            <w:pPr>
              <w:spacing w:after="160" w:line="278" w:lineRule="auto"/>
              <w:rPr>
                <w:bCs/>
                <w:lang w:val="en-US"/>
              </w:rPr>
            </w:pPr>
            <w:r w:rsidRPr="00DA1E13">
              <w:rPr>
                <w:bCs/>
                <w:lang w:val="en-US"/>
              </w:rPr>
              <w:t>292.6</w:t>
            </w:r>
          </w:p>
          <w:p w14:paraId="11C663FD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Cs/>
                <w:lang w:val="en-US"/>
              </w:rPr>
              <w:t>(170.3 - 378.0)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9BA9" w14:textId="77777777" w:rsidR="00DA1E13" w:rsidRPr="00DA1E13" w:rsidRDefault="00DA1E13" w:rsidP="00DA1E13">
            <w:pPr>
              <w:spacing w:after="160" w:line="278" w:lineRule="auto"/>
              <w:rPr>
                <w:bCs/>
                <w:lang w:val="en-US"/>
              </w:rPr>
            </w:pPr>
            <w:r w:rsidRPr="00DA1E13">
              <w:rPr>
                <w:bCs/>
                <w:lang w:val="en-US"/>
              </w:rPr>
              <w:t>233.3</w:t>
            </w:r>
          </w:p>
          <w:p w14:paraId="49BE4A98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Cs/>
                <w:lang w:val="en-US"/>
              </w:rPr>
              <w:t>(53.7 - 308.0)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8127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Cs/>
                <w:lang w:val="en-US"/>
              </w:rPr>
              <w:t>0.356</w:t>
            </w:r>
          </w:p>
        </w:tc>
      </w:tr>
      <w:tr w:rsidR="00DA1E13" w:rsidRPr="00DA1E13" w14:paraId="1E644D37" w14:textId="77777777"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02CE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proofErr w:type="spellStart"/>
            <w:r w:rsidRPr="00DA1E13">
              <w:rPr>
                <w:b/>
                <w:lang w:val="en-US"/>
              </w:rPr>
              <w:t>ActivPal</w:t>
            </w:r>
            <w:proofErr w:type="spellEnd"/>
            <w:r w:rsidRPr="00DA1E13">
              <w:rPr>
                <w:b/>
                <w:lang w:val="en-US"/>
              </w:rPr>
              <w:t xml:space="preserve"> data (Sedentary </w:t>
            </w:r>
            <w:proofErr w:type="spellStart"/>
            <w:r w:rsidRPr="00DA1E13">
              <w:rPr>
                <w:b/>
                <w:lang w:val="en-US"/>
              </w:rPr>
              <w:t>behaviour</w:t>
            </w:r>
            <w:proofErr w:type="spellEnd"/>
            <w:r w:rsidRPr="00DA1E13">
              <w:rPr>
                <w:b/>
                <w:lang w:val="en-US"/>
              </w:rPr>
              <w:t>)</w:t>
            </w:r>
          </w:p>
        </w:tc>
      </w:tr>
      <w:tr w:rsidR="00DA1E13" w:rsidRPr="00DA1E13" w14:paraId="48733B0C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2E93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Sedentary (min/d)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87E5F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501.0 ± 137.0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4FB9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504.0 ± 151.0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4E47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495.0 ± 134.4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7DF2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510.2 ± 114.1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7DE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0.948</w:t>
            </w:r>
          </w:p>
        </w:tc>
      </w:tr>
      <w:tr w:rsidR="00DA1E13" w:rsidRPr="00DA1E13" w14:paraId="02816FAA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0851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Sedentary (% per day)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4AD72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50.6 ± 13.2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B3B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50.1 ± 13.4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19AB8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49.8 ± 13.5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96EDF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53.2 ± 12.7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155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0.751</w:t>
            </w:r>
          </w:p>
        </w:tc>
      </w:tr>
      <w:tr w:rsidR="00DA1E13" w:rsidRPr="00DA1E13" w14:paraId="2A81954D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578D1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Standing (% per day)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8BC45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37.2 ± 10.8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BABD0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37.5 ± 10.8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B1113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37.4 ± 11.4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AB676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36.2 ± 10.4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74F3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0.939</w:t>
            </w:r>
          </w:p>
        </w:tc>
      </w:tr>
      <w:tr w:rsidR="00DA1E13" w:rsidRPr="00DA1E13" w14:paraId="66C7AAAD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96ABD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Cs/>
                <w:lang w:val="en-US"/>
              </w:rPr>
              <w:t>Stepping (% per day)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09E3D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11.8 (9.4 - 14.0)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3723D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11.9 (8.8 - 14.8)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24D19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12.1 (10.2 - 13.6)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4A81A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10.0 (8.3 - 13.2)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B633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Cs/>
                <w:lang w:val="en-US"/>
              </w:rPr>
              <w:t>0.418</w:t>
            </w:r>
          </w:p>
        </w:tc>
      </w:tr>
      <w:tr w:rsidR="00DA1E13" w:rsidRPr="00DA1E13" w14:paraId="7987F4BF" w14:textId="7777777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9B46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Cs/>
                <w:lang w:val="en-US"/>
              </w:rPr>
              <w:t>Steps per day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0798A" w14:textId="77777777" w:rsidR="00DA1E13" w:rsidRPr="00DA1E13" w:rsidRDefault="00DA1E13" w:rsidP="00DA1E13">
            <w:pPr>
              <w:spacing w:after="160" w:line="278" w:lineRule="auto"/>
              <w:rPr>
                <w:lang w:val="en-US"/>
              </w:rPr>
            </w:pPr>
            <w:r w:rsidRPr="00DA1E13">
              <w:rPr>
                <w:lang w:val="en-US"/>
              </w:rPr>
              <w:t>8333.3</w:t>
            </w:r>
          </w:p>
          <w:p w14:paraId="663363F2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(7120.7 - 10661.7)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E1953" w14:textId="77777777" w:rsidR="00DA1E13" w:rsidRPr="00DA1E13" w:rsidRDefault="00DA1E13" w:rsidP="00DA1E13">
            <w:pPr>
              <w:spacing w:after="160" w:line="278" w:lineRule="auto"/>
              <w:rPr>
                <w:lang w:val="en-US"/>
              </w:rPr>
            </w:pPr>
            <w:r w:rsidRPr="00DA1E13">
              <w:rPr>
                <w:lang w:val="en-US"/>
              </w:rPr>
              <w:t>8275.4</w:t>
            </w:r>
          </w:p>
          <w:p w14:paraId="526E59E5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(7194.9 - 12579.7)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B90BD" w14:textId="77777777" w:rsidR="00DA1E13" w:rsidRPr="00DA1E13" w:rsidRDefault="00DA1E13" w:rsidP="00DA1E13">
            <w:pPr>
              <w:spacing w:after="160" w:line="278" w:lineRule="auto"/>
              <w:rPr>
                <w:lang w:val="en-US"/>
              </w:rPr>
            </w:pPr>
            <w:r w:rsidRPr="00DA1E13">
              <w:rPr>
                <w:lang w:val="en-US"/>
              </w:rPr>
              <w:t>8978.9</w:t>
            </w:r>
          </w:p>
          <w:p w14:paraId="156C87BE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(7349.0 - 9789.1)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038D8" w14:textId="77777777" w:rsidR="00DA1E13" w:rsidRPr="00DA1E13" w:rsidRDefault="00DA1E13" w:rsidP="00DA1E13">
            <w:pPr>
              <w:spacing w:after="160" w:line="278" w:lineRule="auto"/>
              <w:rPr>
                <w:lang w:val="en-US"/>
              </w:rPr>
            </w:pPr>
            <w:r w:rsidRPr="00DA1E13">
              <w:rPr>
                <w:lang w:val="en-US"/>
              </w:rPr>
              <w:t>7437.7</w:t>
            </w:r>
          </w:p>
          <w:p w14:paraId="40B1B8D8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lang w:val="en-US"/>
              </w:rPr>
              <w:t>(5612.6 - 10317.0)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1267" w14:textId="77777777" w:rsidR="00DA1E13" w:rsidRPr="00DA1E13" w:rsidRDefault="00DA1E13" w:rsidP="00DA1E13">
            <w:pPr>
              <w:spacing w:after="160" w:line="278" w:lineRule="auto"/>
              <w:rPr>
                <w:lang w:val="en-ZA"/>
              </w:rPr>
            </w:pPr>
            <w:r w:rsidRPr="00DA1E13">
              <w:rPr>
                <w:bCs/>
                <w:lang w:val="en-US"/>
              </w:rPr>
              <w:t>0.419</w:t>
            </w:r>
          </w:p>
        </w:tc>
      </w:tr>
    </w:tbl>
    <w:p w14:paraId="6FC542FD" w14:textId="77777777" w:rsidR="00DA1E13" w:rsidRPr="00DA1E13" w:rsidRDefault="00DA1E13" w:rsidP="00DA1E13">
      <w:pPr>
        <w:rPr>
          <w:i/>
          <w:iCs/>
          <w:lang w:val="en-ZA"/>
        </w:rPr>
      </w:pPr>
      <w:r w:rsidRPr="00DA1E13">
        <w:rPr>
          <w:lang w:val="en-ZA"/>
        </w:rPr>
        <w:t>Data are presented as means ± SD or median (25</w:t>
      </w:r>
      <w:r w:rsidRPr="00DA1E13">
        <w:rPr>
          <w:vertAlign w:val="superscript"/>
          <w:lang w:val="en-ZA"/>
        </w:rPr>
        <w:t>th</w:t>
      </w:r>
      <w:r w:rsidRPr="00DA1E13">
        <w:rPr>
          <w:lang w:val="en-ZA"/>
        </w:rPr>
        <w:t>-75</w:t>
      </w:r>
      <w:r w:rsidRPr="00DA1E13">
        <w:rPr>
          <w:vertAlign w:val="superscript"/>
          <w:lang w:val="en-ZA"/>
        </w:rPr>
        <w:t>th</w:t>
      </w:r>
      <w:r w:rsidRPr="00DA1E13">
        <w:rPr>
          <w:lang w:val="en-ZA"/>
        </w:rPr>
        <w:t xml:space="preserve"> percentile) and </w:t>
      </w:r>
      <w:r w:rsidRPr="00DA1E13">
        <w:rPr>
          <w:bCs/>
          <w:lang w:val="en-ZA"/>
        </w:rPr>
        <w:t>n (%), as appropriate.</w:t>
      </w:r>
      <w:r w:rsidRPr="00DA1E13">
        <w:rPr>
          <w:lang w:val="en-ZA"/>
        </w:rPr>
        <w:t xml:space="preserve"> P-value were calculated using one-way analysis of variance (ANOVA) or Kruskal-Wallis test for continuous variables, and Fishers or Chi-square tests for categorical variables.</w:t>
      </w:r>
      <w:r w:rsidRPr="00DA1E13">
        <w:rPr>
          <w:i/>
          <w:iCs/>
          <w:lang w:val="en-ZA"/>
        </w:rPr>
        <w:t xml:space="preserve"> Abbreviations:</w:t>
      </w:r>
      <w:r w:rsidRPr="00DA1E13">
        <w:rPr>
          <w:b/>
          <w:bCs/>
          <w:lang w:val="en-ZA"/>
        </w:rPr>
        <w:t xml:space="preserve"> </w:t>
      </w:r>
      <w:r w:rsidRPr="00DA1E13">
        <w:rPr>
          <w:i/>
          <w:iCs/>
          <w:lang w:val="en-ZA"/>
        </w:rPr>
        <w:t xml:space="preserve">NGT, normal glucose tolerance; IGT, impaired glucose tolerance; T2D, type 2 diabetes; MVPA, moderate-to-vigorous physical activity. </w:t>
      </w:r>
    </w:p>
    <w:p w14:paraId="7DA7CAA2" w14:textId="77777777" w:rsidR="00DA1E13" w:rsidRPr="00DA1E13" w:rsidRDefault="00DA1E13" w:rsidP="00DA1E13">
      <w:pPr>
        <w:rPr>
          <w:i/>
          <w:iCs/>
          <w:lang w:val="en-ZA"/>
        </w:rPr>
      </w:pPr>
    </w:p>
    <w:p w14:paraId="2915AA41" w14:textId="77777777" w:rsidR="00DA1E13" w:rsidRPr="00DA1E13" w:rsidRDefault="00DA1E13" w:rsidP="00DA1E13">
      <w:pPr>
        <w:rPr>
          <w:i/>
          <w:iCs/>
          <w:lang w:val="en-ZA"/>
        </w:rPr>
      </w:pPr>
    </w:p>
    <w:p w14:paraId="3F314DC4" w14:textId="77777777" w:rsidR="00DA1E13" w:rsidRPr="00DA1E13" w:rsidRDefault="00DA1E13" w:rsidP="00DA1E13">
      <w:pPr>
        <w:rPr>
          <w:i/>
          <w:iCs/>
          <w:lang w:val="en-ZA"/>
        </w:rPr>
      </w:pPr>
    </w:p>
    <w:p w14:paraId="61811CFC" w14:textId="77777777" w:rsidR="00DA1E13" w:rsidRPr="00DA1E13" w:rsidRDefault="00DA1E13" w:rsidP="00DA1E13">
      <w:pPr>
        <w:rPr>
          <w:i/>
          <w:iCs/>
          <w:lang w:val="en-ZA"/>
        </w:rPr>
      </w:pPr>
    </w:p>
    <w:p w14:paraId="3141E602" w14:textId="77777777" w:rsidR="00DA1E13" w:rsidRPr="00DA1E13" w:rsidRDefault="00DA1E13" w:rsidP="00DA1E13">
      <w:pPr>
        <w:rPr>
          <w:i/>
          <w:iCs/>
          <w:lang w:val="en-ZA"/>
        </w:rPr>
      </w:pPr>
    </w:p>
    <w:p w14:paraId="4821BB3C" w14:textId="77777777" w:rsidR="00DA1E13" w:rsidRPr="00DA1E13" w:rsidRDefault="00DA1E13" w:rsidP="00DA1E13">
      <w:pPr>
        <w:rPr>
          <w:i/>
          <w:iCs/>
          <w:lang w:val="en-ZA"/>
        </w:rPr>
      </w:pPr>
    </w:p>
    <w:p w14:paraId="5118C4D6" w14:textId="77777777" w:rsidR="00DA1E13" w:rsidRPr="00DA1E13" w:rsidRDefault="00DA1E13" w:rsidP="00DA1E13">
      <w:pPr>
        <w:rPr>
          <w:i/>
          <w:iCs/>
          <w:lang w:val="en-ZA"/>
        </w:rPr>
      </w:pPr>
    </w:p>
    <w:p w14:paraId="3E442FFE" w14:textId="77777777" w:rsidR="00DA1E13" w:rsidRPr="00DA1E13" w:rsidRDefault="00DA1E13" w:rsidP="00DA1E13">
      <w:pPr>
        <w:rPr>
          <w:i/>
          <w:iCs/>
          <w:lang w:val="en-ZA"/>
        </w:rPr>
      </w:pPr>
    </w:p>
    <w:p w14:paraId="58F1EC7A" w14:textId="77777777" w:rsidR="00DA1E13" w:rsidRPr="00DA1E13" w:rsidRDefault="00DA1E13" w:rsidP="00DA1E13">
      <w:pPr>
        <w:rPr>
          <w:i/>
          <w:iCs/>
          <w:lang w:val="en-ZA"/>
        </w:rPr>
      </w:pPr>
    </w:p>
    <w:p w14:paraId="5409EFEB" w14:textId="77777777" w:rsidR="00DA1E13" w:rsidRPr="00DA1E13" w:rsidRDefault="00DA1E13" w:rsidP="00DA1E13">
      <w:pPr>
        <w:rPr>
          <w:i/>
          <w:iCs/>
          <w:lang w:val="en-ZA"/>
        </w:rPr>
      </w:pPr>
    </w:p>
    <w:p w14:paraId="1C45DDEB" w14:textId="77777777" w:rsidR="00DA1E13" w:rsidRPr="00DA1E13" w:rsidRDefault="00DA1E13" w:rsidP="00DA1E13">
      <w:pPr>
        <w:rPr>
          <w:i/>
          <w:iCs/>
          <w:lang w:val="en-ZA"/>
        </w:rPr>
      </w:pPr>
    </w:p>
    <w:p w14:paraId="3F5F4827" w14:textId="77777777" w:rsidR="00DA1E13" w:rsidRPr="00DA1E13" w:rsidRDefault="00DA1E13" w:rsidP="00DA1E13">
      <w:pPr>
        <w:rPr>
          <w:i/>
          <w:iCs/>
          <w:lang w:val="en-ZA"/>
        </w:rPr>
      </w:pPr>
    </w:p>
    <w:p w14:paraId="455FDA75" w14:textId="77777777" w:rsidR="00DA1E13" w:rsidRPr="00DA1E13" w:rsidRDefault="00DA1E13" w:rsidP="00DA1E13">
      <w:pPr>
        <w:rPr>
          <w:i/>
          <w:iCs/>
          <w:lang w:val="en-ZA"/>
        </w:rPr>
      </w:pPr>
    </w:p>
    <w:p w14:paraId="094C8FA0" w14:textId="77777777" w:rsidR="00DA1E13" w:rsidRPr="00DA1E13" w:rsidRDefault="00DA1E13" w:rsidP="00DA1E13">
      <w:pPr>
        <w:rPr>
          <w:i/>
          <w:iCs/>
          <w:lang w:val="en-ZA"/>
        </w:rPr>
      </w:pPr>
    </w:p>
    <w:p w14:paraId="592EADC9" w14:textId="77777777" w:rsidR="00DA1E13" w:rsidRPr="00DA1E13" w:rsidRDefault="00DA1E13" w:rsidP="00DA1E13">
      <w:pPr>
        <w:rPr>
          <w:i/>
          <w:iCs/>
          <w:lang w:val="en-ZA"/>
        </w:rPr>
      </w:pPr>
    </w:p>
    <w:p w14:paraId="6ECDEEDA" w14:textId="77777777" w:rsidR="00DA1E13" w:rsidRPr="00DA1E13" w:rsidRDefault="00DA1E13" w:rsidP="00DA1E13">
      <w:pPr>
        <w:rPr>
          <w:i/>
          <w:iCs/>
          <w:lang w:val="en-ZA"/>
        </w:rPr>
      </w:pPr>
    </w:p>
    <w:p w14:paraId="6D51248B" w14:textId="77777777" w:rsidR="00DA1E13" w:rsidRPr="00DA1E13" w:rsidRDefault="00DA1E13" w:rsidP="00DA1E13">
      <w:pPr>
        <w:rPr>
          <w:i/>
          <w:iCs/>
          <w:lang w:val="en-ZA"/>
        </w:rPr>
      </w:pPr>
    </w:p>
    <w:p w14:paraId="5CF3D25E" w14:textId="77777777" w:rsidR="00DA1E13" w:rsidRPr="00DA1E13" w:rsidRDefault="00DA1E13" w:rsidP="00DA1E13">
      <w:pPr>
        <w:rPr>
          <w:i/>
          <w:iCs/>
          <w:lang w:val="en-ZA"/>
        </w:rPr>
      </w:pPr>
    </w:p>
    <w:p w14:paraId="10DA5351" w14:textId="77777777" w:rsidR="00DA1E13" w:rsidRPr="00DA1E13" w:rsidRDefault="00DA1E13" w:rsidP="00DA1E13">
      <w:pPr>
        <w:rPr>
          <w:i/>
          <w:iCs/>
          <w:lang w:val="en-ZA"/>
        </w:rPr>
      </w:pPr>
    </w:p>
    <w:p w14:paraId="22BB04DF" w14:textId="77777777" w:rsidR="00DA1E13" w:rsidRPr="00DA1E13" w:rsidRDefault="00DA1E13" w:rsidP="00DA1E13">
      <w:pPr>
        <w:rPr>
          <w:i/>
          <w:iCs/>
          <w:lang w:val="en-ZA"/>
        </w:rPr>
      </w:pPr>
    </w:p>
    <w:p w14:paraId="7BB6AC8F" w14:textId="77777777" w:rsidR="00DA1E13" w:rsidRPr="00DA1E13" w:rsidRDefault="00DA1E13" w:rsidP="00DA1E13">
      <w:pPr>
        <w:rPr>
          <w:i/>
          <w:iCs/>
          <w:lang w:val="en-ZA"/>
        </w:rPr>
      </w:pPr>
    </w:p>
    <w:p w14:paraId="2A06EA14" w14:textId="77777777" w:rsidR="00DA1E13" w:rsidRPr="00DA1E13" w:rsidRDefault="00DA1E13" w:rsidP="00DA1E13">
      <w:pPr>
        <w:rPr>
          <w:i/>
          <w:iCs/>
          <w:lang w:val="en-ZA"/>
        </w:rPr>
      </w:pPr>
    </w:p>
    <w:p w14:paraId="664ECC1E" w14:textId="77777777" w:rsidR="00DA1E13" w:rsidRPr="00DA1E13" w:rsidRDefault="00DA1E13" w:rsidP="00DA1E13">
      <w:pPr>
        <w:rPr>
          <w:lang w:val="en-ZA"/>
        </w:rPr>
      </w:pPr>
    </w:p>
    <w:p w14:paraId="77F98658" w14:textId="77777777" w:rsidR="00DA1E13" w:rsidRPr="00DA1E13" w:rsidRDefault="00DA1E13" w:rsidP="00DA1E13">
      <w:pPr>
        <w:rPr>
          <w:b/>
          <w:bCs/>
          <w:lang w:val="en-ZA"/>
        </w:rPr>
        <w:sectPr w:rsidR="00DA1E13" w:rsidRPr="00DA1E13" w:rsidSect="00DA1E13">
          <w:pgSz w:w="11906" w:h="16838"/>
          <w:pgMar w:top="1440" w:right="1440" w:bottom="1440" w:left="1440" w:header="709" w:footer="709" w:gutter="0"/>
          <w:cols w:space="720"/>
        </w:sectPr>
      </w:pPr>
    </w:p>
    <w:p w14:paraId="3AA3C9F1" w14:textId="5EC77DCC" w:rsidR="00DA1E13" w:rsidRPr="00DA1E13" w:rsidRDefault="00DA1E13" w:rsidP="00DA1E13">
      <w:pPr>
        <w:rPr>
          <w:b/>
          <w:bCs/>
          <w:lang w:val="en-ZA"/>
        </w:rPr>
      </w:pPr>
      <w:r w:rsidRPr="00DA1E13">
        <w:rPr>
          <w:lang w:val="en-ZA"/>
        </w:rPr>
        <w:lastRenderedPageBreak/>
        <w:drawing>
          <wp:inline distT="0" distB="0" distL="0" distR="0" wp14:anchorId="7CCA5DCD" wp14:editId="03735102">
            <wp:extent cx="5731510" cy="1870075"/>
            <wp:effectExtent l="0" t="0" r="0" b="0"/>
            <wp:docPr id="1328170736" name="Picture 2" descr="A screenshot of a computer screen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screenshot of a computer screen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6F2A6" w14:textId="77777777" w:rsidR="00DA1E13" w:rsidRPr="00DA1E13" w:rsidRDefault="00DA1E13" w:rsidP="00DA1E13">
      <w:pPr>
        <w:rPr>
          <w:i/>
          <w:iCs/>
          <w:lang w:val="en-ZA"/>
        </w:rPr>
      </w:pPr>
      <w:r w:rsidRPr="00DA1E13">
        <w:rPr>
          <w:b/>
          <w:bCs/>
          <w:lang w:val="en-US"/>
        </w:rPr>
        <w:t xml:space="preserve">Supplementary Fig. 1 </w:t>
      </w:r>
      <w:r w:rsidRPr="00DA1E13">
        <w:rPr>
          <w:lang w:val="en-US"/>
        </w:rPr>
        <w:t xml:space="preserve">Differences in fasting metabolites by </w:t>
      </w:r>
      <w:proofErr w:type="spellStart"/>
      <w:r w:rsidRPr="00DA1E13">
        <w:rPr>
          <w:lang w:val="en-US"/>
        </w:rPr>
        <w:t>glycaemic</w:t>
      </w:r>
      <w:proofErr w:type="spellEnd"/>
      <w:r w:rsidRPr="00DA1E13">
        <w:rPr>
          <w:lang w:val="en-US"/>
        </w:rPr>
        <w:t xml:space="preserve"> group.</w:t>
      </w:r>
      <w:r w:rsidRPr="00DA1E13">
        <w:rPr>
          <w:b/>
          <w:bCs/>
          <w:lang w:val="en-US"/>
        </w:rPr>
        <w:t xml:space="preserve"> </w:t>
      </w:r>
      <w:r w:rsidRPr="00DA1E13">
        <w:rPr>
          <w:lang w:val="en-US"/>
        </w:rPr>
        <w:t xml:space="preserve"> a.) OPLS model </w:t>
      </w:r>
      <w:proofErr w:type="gramStart"/>
      <w:r w:rsidRPr="00DA1E13">
        <w:rPr>
          <w:lang w:val="en-US"/>
        </w:rPr>
        <w:t>illustrating</w:t>
      </w:r>
      <w:proofErr w:type="gramEnd"/>
      <w:r w:rsidRPr="00DA1E13">
        <w:rPr>
          <w:lang w:val="en-US"/>
        </w:rPr>
        <w:t xml:space="preserve"> differences in metabolite signatures between individuals with normal glucose tolerance (NGT) and type 2 diabetes (T2D), with individuals with impaired glucose tolerance (IGT) predicted into the model. b.) </w:t>
      </w:r>
      <w:proofErr w:type="spellStart"/>
      <w:r w:rsidRPr="00DA1E13">
        <w:rPr>
          <w:lang w:val="en-US"/>
        </w:rPr>
        <w:t>Glycaemic</w:t>
      </w:r>
      <w:proofErr w:type="spellEnd"/>
      <w:r w:rsidRPr="00DA1E13">
        <w:rPr>
          <w:lang w:val="en-US"/>
        </w:rPr>
        <w:t xml:space="preserve"> group-related differences in the fasting circulating metabolites. The Y-axis represents OPLS-derived differences across all metabolites, while the X-axis shows corresponding p-values. c.) OPLS weights (w*) </w:t>
      </w:r>
      <w:r w:rsidRPr="00DA1E13">
        <w:rPr>
          <w:lang w:val="en-GB"/>
        </w:rPr>
        <w:t xml:space="preserve">of </w:t>
      </w:r>
      <w:r w:rsidRPr="00DA1E13">
        <w:rPr>
          <w:lang w:val="en-US"/>
        </w:rPr>
        <w:t>metabolites</w:t>
      </w:r>
      <w:r w:rsidRPr="00DA1E13">
        <w:rPr>
          <w:lang w:val="en-ZA"/>
        </w:rPr>
        <w:t xml:space="preserve"> distinguishing NGT from T2D were determined through a combined univariate and multivariate analysis at a 95% confidence level. Positive w* values indicate higher levels in T2D, while negative w* values indicate higher levels in NGT.</w:t>
      </w:r>
      <w:r w:rsidRPr="00DA1E13">
        <w:rPr>
          <w:lang w:val="en-US"/>
        </w:rPr>
        <w:t xml:space="preserve"> </w:t>
      </w:r>
      <w:r w:rsidRPr="00DA1E13">
        <w:rPr>
          <w:lang w:val="en-ZA"/>
        </w:rPr>
        <w:t>Metabolites are categorised by biochemical class, including amino acids, branched-chain amino acids (BCAA), carbohydrates, lipids, fatty acids and unclassified metabolites.</w:t>
      </w:r>
      <w:r w:rsidRPr="00DA1E13">
        <w:rPr>
          <w:i/>
          <w:iCs/>
          <w:lang w:val="en-ZA"/>
        </w:rPr>
        <w:t xml:space="preserve"> Abbreviations: OPLS, Orthogonal Partial Least Squares; NGT, Normal Glucose Tolerance; T2D, Type 2 Diabetes; IGT, Impaired Glucose Tolerance</w:t>
      </w:r>
    </w:p>
    <w:p w14:paraId="2C17AAD0" w14:textId="77777777" w:rsidR="00DA1E13" w:rsidRPr="00DA1E13" w:rsidRDefault="00DA1E13" w:rsidP="00DA1E13">
      <w:pPr>
        <w:rPr>
          <w:lang w:val="en-US"/>
        </w:rPr>
      </w:pPr>
      <w:r w:rsidRPr="00DA1E13">
        <w:rPr>
          <w:i/>
          <w:iCs/>
          <w:lang w:val="en-ZA"/>
        </w:rPr>
        <w:t xml:space="preserve"> </w:t>
      </w:r>
    </w:p>
    <w:p w14:paraId="00B64461" w14:textId="77777777" w:rsidR="00767E38" w:rsidRDefault="00767E38"/>
    <w:sectPr w:rsidR="00767E38" w:rsidSect="00DA1E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13"/>
    <w:rsid w:val="00767E38"/>
    <w:rsid w:val="00820AF1"/>
    <w:rsid w:val="00866F7D"/>
    <w:rsid w:val="00DA1E13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CF3D"/>
  <w15:chartTrackingRefBased/>
  <w15:docId w15:val="{3DBE9212-B63F-4E88-A69B-5F29D59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E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2026-04-07T15:20:00Z</dcterms:created>
  <dcterms:modified xsi:type="dcterms:W3CDTF">2026-04-07T15:20:00Z</dcterms:modified>
</cp:coreProperties>
</file>