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7C586" w14:textId="77777777" w:rsidR="00AA03F3" w:rsidRDefault="00AA03F3" w:rsidP="00AA03F3">
      <w:pPr>
        <w:pStyle w:val="LO-normal"/>
        <w:rPr>
          <w:rFonts w:ascii="Times New Roman" w:eastAsia="Times New Roman" w:hAnsi="Times New Roman" w:cs="Times New Roman"/>
          <w:b/>
          <w:bCs/>
        </w:rPr>
      </w:pPr>
      <w:r>
        <w:rPr>
          <w:rFonts w:ascii="Times New Roman" w:eastAsia="Times New Roman" w:hAnsi="Times New Roman" w:cs="Times New Roman"/>
          <w:b/>
          <w:bCs/>
        </w:rPr>
        <w:t>Supplementary Figure legends:</w:t>
      </w:r>
    </w:p>
    <w:p w14:paraId="77E1ABE0" w14:textId="77777777" w:rsidR="00AA03F3" w:rsidRDefault="00AA03F3" w:rsidP="00AA03F3">
      <w:pPr>
        <w:pStyle w:val="LO-normal"/>
        <w:rPr>
          <w:rFonts w:ascii="Times New Roman" w:eastAsia="Times New Roman" w:hAnsi="Times New Roman" w:cs="Times New Roman"/>
        </w:rPr>
      </w:pPr>
    </w:p>
    <w:p w14:paraId="278B9681"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Figure S1. Phylogenetic relationship among 105 vertebrate species. Unrooted phylogenetic tree showing relationships among 57 mammals, 27 </w:t>
      </w:r>
      <w:proofErr w:type="spellStart"/>
      <w:r>
        <w:rPr>
          <w:rFonts w:ascii="Times New Roman" w:eastAsia="Times New Roman" w:hAnsi="Times New Roman" w:cs="Times New Roman"/>
        </w:rPr>
        <w:t>aves</w:t>
      </w:r>
      <w:proofErr w:type="spellEnd"/>
      <w:r>
        <w:rPr>
          <w:rFonts w:ascii="Times New Roman" w:eastAsia="Times New Roman" w:hAnsi="Times New Roman" w:cs="Times New Roman"/>
        </w:rPr>
        <w:t xml:space="preserve">, 17 reptiles, and 4 non-amniotes, generated using </w:t>
      </w:r>
      <w:hyperlink r:id="rId4">
        <w:r>
          <w:rPr>
            <w:rFonts w:ascii="Times New Roman" w:eastAsia="Times New Roman" w:hAnsi="Times New Roman" w:cs="Times New Roman"/>
            <w:color w:val="1155CC"/>
            <w:u w:val="single"/>
          </w:rPr>
          <w:t>TimeTree.org</w:t>
        </w:r>
      </w:hyperlink>
      <w:r>
        <w:rPr>
          <w:rFonts w:ascii="Times New Roman" w:eastAsia="Times New Roman" w:hAnsi="Times New Roman" w:cs="Times New Roman"/>
        </w:rPr>
        <w:t xml:space="preserve"> from our species list. The lower panel displays the geological timescale with key attributes evolving across phylogenetic branches. </w:t>
      </w:r>
    </w:p>
    <w:p w14:paraId="31199C85" w14:textId="77777777" w:rsidR="00AA03F3" w:rsidRDefault="00AA03F3" w:rsidP="00AA03F3">
      <w:pPr>
        <w:pStyle w:val="LO-normal"/>
        <w:rPr>
          <w:rFonts w:ascii="Times New Roman" w:eastAsia="Times New Roman" w:hAnsi="Times New Roman" w:cs="Times New Roman"/>
        </w:rPr>
      </w:pPr>
    </w:p>
    <w:p w14:paraId="3E9662FF"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Figure S2. GC-normalized mean pG4 density flanking TSSs across vertebrate clades. Boxplot showing mean normalized pG4 density (±2 kb flanking TSSs) for mammals (red), </w:t>
      </w:r>
      <w:proofErr w:type="spellStart"/>
      <w:r>
        <w:rPr>
          <w:rFonts w:ascii="Times New Roman" w:eastAsia="Times New Roman" w:hAnsi="Times New Roman" w:cs="Times New Roman"/>
        </w:rPr>
        <w:t>aves</w:t>
      </w:r>
      <w:proofErr w:type="spellEnd"/>
      <w:r>
        <w:rPr>
          <w:rFonts w:ascii="Times New Roman" w:eastAsia="Times New Roman" w:hAnsi="Times New Roman" w:cs="Times New Roman"/>
        </w:rPr>
        <w:t xml:space="preserve"> (blue), reptiles (green), and non-amniotes (purple). Aves exhibit the highest density, followed by mammals, with reptiles intermediate and non-amniotes lowest (P &lt; 0.05 vs mammals, Wilcoxon rank-sum test). Asterisks indicate statistical significance. Data derived from 50-bp bins normalized to species-specific GC content (see methods, Table S4).</w:t>
      </w:r>
    </w:p>
    <w:p w14:paraId="2A60B1D2" w14:textId="77777777" w:rsidR="00AA03F3" w:rsidRDefault="00AA03F3" w:rsidP="00AA03F3">
      <w:pPr>
        <w:pStyle w:val="LO-normal"/>
        <w:rPr>
          <w:rFonts w:ascii="Times New Roman" w:eastAsia="Times New Roman" w:hAnsi="Times New Roman" w:cs="Times New Roman"/>
        </w:rPr>
      </w:pPr>
    </w:p>
    <w:p w14:paraId="5A928F51" w14:textId="77777777" w:rsidR="00AA03F3" w:rsidRDefault="00AA03F3" w:rsidP="00AA03F3">
      <w:pPr>
        <w:pStyle w:val="LO-normal"/>
        <w:rPr>
          <w:rFonts w:ascii="Times New Roman" w:eastAsia="Times New Roman" w:hAnsi="Times New Roman" w:cs="Times New Roman"/>
        </w:rPr>
      </w:pPr>
      <w:r>
        <w:rPr>
          <w:rFonts w:ascii="Cardo" w:eastAsia="Cardo" w:hAnsi="Cardo" w:cs="Cardo"/>
        </w:rPr>
        <w:t xml:space="preserve">Figure S3. Clade-specific pG4 density variation surrounding TSSs (±2 kb). Heatmap of mean normalized pG4 density in 50-bp bins across individual vertebrate species, with clades clustered separately (mammals, </w:t>
      </w:r>
      <w:proofErr w:type="spellStart"/>
      <w:r>
        <w:rPr>
          <w:rFonts w:ascii="Cardo" w:eastAsia="Cardo" w:hAnsi="Cardo" w:cs="Cardo"/>
        </w:rPr>
        <w:t>aves</w:t>
      </w:r>
      <w:proofErr w:type="spellEnd"/>
      <w:r>
        <w:rPr>
          <w:rFonts w:ascii="Cardo" w:eastAsia="Cardo" w:hAnsi="Cardo" w:cs="Cardo"/>
        </w:rPr>
        <w:t xml:space="preserve">, reptiles, non-amniotes). Clade colors: mammals (red), </w:t>
      </w:r>
      <w:proofErr w:type="spellStart"/>
      <w:r>
        <w:rPr>
          <w:rFonts w:ascii="Cardo" w:eastAsia="Cardo" w:hAnsi="Cardo" w:cs="Cardo"/>
        </w:rPr>
        <w:t>aves</w:t>
      </w:r>
      <w:proofErr w:type="spellEnd"/>
      <w:r>
        <w:rPr>
          <w:rFonts w:ascii="Cardo" w:eastAsia="Cardo" w:hAnsi="Cardo" w:cs="Cardo"/>
        </w:rPr>
        <w:t xml:space="preserve"> (blue), reptiles (green), non-amniotes (purple). The upper plot shows the mean profile across all vertebrates ± SE. The dashed blue line represents TSS. Continuous bin numbers are marked below the plot (1-80). Color scale transitions from blue (low) → yellow (moderate) → red (high) GC-normalized pG4 density (see methods, Tables S3-S4).</w:t>
      </w:r>
    </w:p>
    <w:p w14:paraId="439101F3" w14:textId="77777777" w:rsidR="00AA03F3" w:rsidRDefault="00AA03F3" w:rsidP="00AA03F3">
      <w:pPr>
        <w:pStyle w:val="LO-normal"/>
        <w:rPr>
          <w:rFonts w:ascii="Times New Roman" w:eastAsia="Times New Roman" w:hAnsi="Times New Roman" w:cs="Times New Roman"/>
        </w:rPr>
      </w:pPr>
    </w:p>
    <w:p w14:paraId="2D0493DB"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Figure S4. GC normalized pG4 density across transcript regions (UTRs and exons). Boxplots show mean normalized pG4 density in 5' UTRs, 3' UTRs, and exons across mammals (red), </w:t>
      </w:r>
      <w:proofErr w:type="spellStart"/>
      <w:r>
        <w:rPr>
          <w:rFonts w:ascii="Times New Roman" w:eastAsia="Times New Roman" w:hAnsi="Times New Roman" w:cs="Times New Roman"/>
        </w:rPr>
        <w:t>aves</w:t>
      </w:r>
      <w:proofErr w:type="spellEnd"/>
      <w:r>
        <w:rPr>
          <w:rFonts w:ascii="Times New Roman" w:eastAsia="Times New Roman" w:hAnsi="Times New Roman" w:cs="Times New Roman"/>
        </w:rPr>
        <w:t xml:space="preserve"> (blue), reptiles (green), and non-amniotes (purple). 5' UTRs exhibit amniote-specific conservation with no significant differences among mammals, </w:t>
      </w:r>
      <w:proofErr w:type="spellStart"/>
      <w:r>
        <w:rPr>
          <w:rFonts w:ascii="Times New Roman" w:eastAsia="Times New Roman" w:hAnsi="Times New Roman" w:cs="Times New Roman"/>
        </w:rPr>
        <w:t>aves</w:t>
      </w:r>
      <w:proofErr w:type="spellEnd"/>
      <w:r>
        <w:rPr>
          <w:rFonts w:ascii="Times New Roman" w:eastAsia="Times New Roman" w:hAnsi="Times New Roman" w:cs="Times New Roman"/>
        </w:rPr>
        <w:t xml:space="preserve">, and reptiles (P &gt; 0.05), but reduced density in non-amniotes (P &lt; 0.05 vs mammals, Wilcoxon rank-sum test). Exons show homeotherm-specific enrichment (mammals = </w:t>
      </w:r>
      <w:proofErr w:type="spellStart"/>
      <w:r>
        <w:rPr>
          <w:rFonts w:ascii="Times New Roman" w:eastAsia="Times New Roman" w:hAnsi="Times New Roman" w:cs="Times New Roman"/>
        </w:rPr>
        <w:t>aves</w:t>
      </w:r>
      <w:proofErr w:type="spellEnd"/>
      <w:r>
        <w:rPr>
          <w:rFonts w:ascii="Times New Roman" w:eastAsia="Times New Roman" w:hAnsi="Times New Roman" w:cs="Times New Roman"/>
        </w:rPr>
        <w:t xml:space="preserve">) with progressive decline through reptiles to non-amniotes (P &lt; 0.05 vs mammals). 3' UTRs display a clear evolutionary gradient: mammals &gt; </w:t>
      </w:r>
      <w:proofErr w:type="spellStart"/>
      <w:r>
        <w:rPr>
          <w:rFonts w:ascii="Times New Roman" w:eastAsia="Times New Roman" w:hAnsi="Times New Roman" w:cs="Times New Roman"/>
        </w:rPr>
        <w:t>aves</w:t>
      </w:r>
      <w:proofErr w:type="spellEnd"/>
      <w:r>
        <w:rPr>
          <w:rFonts w:ascii="Times New Roman" w:eastAsia="Times New Roman" w:hAnsi="Times New Roman" w:cs="Times New Roman"/>
        </w:rPr>
        <w:t xml:space="preserve"> &gt; reptiles &gt; non-amniotes (P &lt; 0.05 vs mammals). Asterisks indicate statistical significance. Data from scaled binning with species-specific GC normalization (see methods, Table S4).</w:t>
      </w:r>
    </w:p>
    <w:p w14:paraId="23A90477" w14:textId="77777777" w:rsidR="00AA03F3" w:rsidRDefault="00AA03F3" w:rsidP="00AA03F3">
      <w:pPr>
        <w:pStyle w:val="LO-normal"/>
        <w:rPr>
          <w:rFonts w:ascii="Times New Roman" w:eastAsia="Times New Roman" w:hAnsi="Times New Roman" w:cs="Times New Roman"/>
        </w:rPr>
      </w:pPr>
    </w:p>
    <w:p w14:paraId="261CFCC8" w14:textId="77777777" w:rsidR="00AA03F3" w:rsidRDefault="00AA03F3" w:rsidP="00AA03F3">
      <w:pPr>
        <w:pStyle w:val="LO-normal"/>
        <w:rPr>
          <w:rFonts w:ascii="Times New Roman" w:eastAsia="Times New Roman" w:hAnsi="Times New Roman" w:cs="Times New Roman"/>
        </w:rPr>
      </w:pPr>
      <w:r>
        <w:rPr>
          <w:rFonts w:ascii="Cardo" w:eastAsia="Cardo" w:hAnsi="Cardo" w:cs="Cardo"/>
        </w:rPr>
        <w:t xml:space="preserve">Figure S5. Clade-specific pG4 density variation across 5' UTRs. Heatmap of mean normalized pG4 density in scaled bins across individual vertebrate species, with clades clustered separately (mammals, </w:t>
      </w:r>
      <w:proofErr w:type="spellStart"/>
      <w:r>
        <w:rPr>
          <w:rFonts w:ascii="Cardo" w:eastAsia="Cardo" w:hAnsi="Cardo" w:cs="Cardo"/>
        </w:rPr>
        <w:t>aves</w:t>
      </w:r>
      <w:proofErr w:type="spellEnd"/>
      <w:r>
        <w:rPr>
          <w:rFonts w:ascii="Cardo" w:eastAsia="Cardo" w:hAnsi="Cardo" w:cs="Cardo"/>
        </w:rPr>
        <w:t xml:space="preserve">, reptiles, non-amniotes). Clade colors: mammals (red), </w:t>
      </w:r>
      <w:proofErr w:type="spellStart"/>
      <w:r>
        <w:rPr>
          <w:rFonts w:ascii="Cardo" w:eastAsia="Cardo" w:hAnsi="Cardo" w:cs="Cardo"/>
        </w:rPr>
        <w:t>aves</w:t>
      </w:r>
      <w:proofErr w:type="spellEnd"/>
      <w:r>
        <w:rPr>
          <w:rFonts w:ascii="Cardo" w:eastAsia="Cardo" w:hAnsi="Cardo" w:cs="Cardo"/>
        </w:rPr>
        <w:t xml:space="preserve"> (blue), reptiles (green), non-amniotes (purple). The upper plot shows the mean profile across all vertebrates ± SE. 5' UTR start/end are marked below the plot; bin numbers (1-100) are shown beneath. Color scale: blue (low) → yellow (moderate) → red (high) GC-normalized pG4 density (see methods, Table S3).</w:t>
      </w:r>
    </w:p>
    <w:p w14:paraId="411A5D4C" w14:textId="77777777" w:rsidR="00AA03F3" w:rsidRDefault="00AA03F3" w:rsidP="00AA03F3">
      <w:pPr>
        <w:pStyle w:val="LO-normal"/>
        <w:rPr>
          <w:rFonts w:ascii="Times New Roman" w:eastAsia="Times New Roman" w:hAnsi="Times New Roman" w:cs="Times New Roman"/>
        </w:rPr>
      </w:pPr>
    </w:p>
    <w:p w14:paraId="2B7A01E1" w14:textId="77777777" w:rsidR="00AA03F3" w:rsidRDefault="00AA03F3" w:rsidP="00AA03F3">
      <w:pPr>
        <w:pStyle w:val="LO-normal"/>
        <w:rPr>
          <w:rFonts w:ascii="Times New Roman" w:eastAsia="Times New Roman" w:hAnsi="Times New Roman" w:cs="Times New Roman"/>
        </w:rPr>
      </w:pPr>
      <w:r>
        <w:rPr>
          <w:rFonts w:ascii="Cardo" w:eastAsia="Cardo" w:hAnsi="Cardo" w:cs="Cardo"/>
        </w:rPr>
        <w:t xml:space="preserve">Figure S6. Clade-specific pG4 density variation across 3' UTRs. Heatmap of mean normalized pG4 density in scaled bins across individual vertebrate species, with clades clustered separately (mammals, </w:t>
      </w:r>
      <w:proofErr w:type="spellStart"/>
      <w:r>
        <w:rPr>
          <w:rFonts w:ascii="Cardo" w:eastAsia="Cardo" w:hAnsi="Cardo" w:cs="Cardo"/>
        </w:rPr>
        <w:t>aves</w:t>
      </w:r>
      <w:proofErr w:type="spellEnd"/>
      <w:r>
        <w:rPr>
          <w:rFonts w:ascii="Cardo" w:eastAsia="Cardo" w:hAnsi="Cardo" w:cs="Cardo"/>
        </w:rPr>
        <w:t xml:space="preserve">, reptiles, non-amniotes). Clade colors: mammals (red), </w:t>
      </w:r>
      <w:proofErr w:type="spellStart"/>
      <w:r>
        <w:rPr>
          <w:rFonts w:ascii="Cardo" w:eastAsia="Cardo" w:hAnsi="Cardo" w:cs="Cardo"/>
        </w:rPr>
        <w:t>aves</w:t>
      </w:r>
      <w:proofErr w:type="spellEnd"/>
      <w:r>
        <w:rPr>
          <w:rFonts w:ascii="Cardo" w:eastAsia="Cardo" w:hAnsi="Cardo" w:cs="Cardo"/>
        </w:rPr>
        <w:t xml:space="preserve"> (blue), reptiles (green), non-amniotes (purple). The upper plot shows the mean profile across all vertebrates ± SE. 3' UTR </w:t>
      </w:r>
      <w:r>
        <w:rPr>
          <w:rFonts w:ascii="Cardo" w:eastAsia="Cardo" w:hAnsi="Cardo" w:cs="Cardo"/>
        </w:rPr>
        <w:lastRenderedPageBreak/>
        <w:t>start/end are marked below the plot; bin numbers (1-100) are shown beneath. Color scale: blue (low) → yellow (moderate) → red (high) GC-normalized pG4 density (see methods, Table S3).</w:t>
      </w:r>
    </w:p>
    <w:p w14:paraId="02A6E358" w14:textId="77777777" w:rsidR="00AA03F3" w:rsidRDefault="00AA03F3" w:rsidP="00AA03F3">
      <w:pPr>
        <w:pStyle w:val="LO-normal"/>
        <w:rPr>
          <w:rFonts w:ascii="Times New Roman" w:eastAsia="Times New Roman" w:hAnsi="Times New Roman" w:cs="Times New Roman"/>
        </w:rPr>
      </w:pPr>
    </w:p>
    <w:p w14:paraId="576C48D6"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Figure S7. GC normalized pG4 density across introns. Boxplot showing mean normalized pG4 density in introns for mammals (red), </w:t>
      </w:r>
      <w:proofErr w:type="spellStart"/>
      <w:r>
        <w:rPr>
          <w:rFonts w:ascii="Times New Roman" w:eastAsia="Times New Roman" w:hAnsi="Times New Roman" w:cs="Times New Roman"/>
        </w:rPr>
        <w:t>aves</w:t>
      </w:r>
      <w:proofErr w:type="spellEnd"/>
      <w:r>
        <w:rPr>
          <w:rFonts w:ascii="Times New Roman" w:eastAsia="Times New Roman" w:hAnsi="Times New Roman" w:cs="Times New Roman"/>
        </w:rPr>
        <w:t xml:space="preserve"> (blue), reptiles (green), and non-amniotes (purple). Mammals exhibit the highest density, followed by reptiles, then non-amniotes, with </w:t>
      </w:r>
      <w:proofErr w:type="spellStart"/>
      <w:r>
        <w:rPr>
          <w:rFonts w:ascii="Times New Roman" w:eastAsia="Times New Roman" w:hAnsi="Times New Roman" w:cs="Times New Roman"/>
        </w:rPr>
        <w:t>aves</w:t>
      </w:r>
      <w:proofErr w:type="spellEnd"/>
      <w:r>
        <w:rPr>
          <w:rFonts w:ascii="Times New Roman" w:eastAsia="Times New Roman" w:hAnsi="Times New Roman" w:cs="Times New Roman"/>
        </w:rPr>
        <w:t xml:space="preserve"> lowest (P &lt; 0.05 vs mammals, Wilcoxon rank-sum test). Asterisks indicate statistical significance. Data from scaled binning with species-specific GC normalization (see methods, Table S4).</w:t>
      </w:r>
    </w:p>
    <w:p w14:paraId="7033177A" w14:textId="77777777" w:rsidR="00AA03F3" w:rsidRDefault="00AA03F3" w:rsidP="00AA03F3">
      <w:pPr>
        <w:pStyle w:val="LO-normal"/>
        <w:rPr>
          <w:rFonts w:ascii="Times New Roman" w:eastAsia="Times New Roman" w:hAnsi="Times New Roman" w:cs="Times New Roman"/>
        </w:rPr>
      </w:pPr>
    </w:p>
    <w:p w14:paraId="73189D13"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Figure S8. GC normalized pG4 density across the gene body. Boxplot showing mean normalized pG4 density in introns for mammals (red), </w:t>
      </w:r>
      <w:proofErr w:type="spellStart"/>
      <w:r>
        <w:rPr>
          <w:rFonts w:ascii="Times New Roman" w:eastAsia="Times New Roman" w:hAnsi="Times New Roman" w:cs="Times New Roman"/>
        </w:rPr>
        <w:t>aves</w:t>
      </w:r>
      <w:proofErr w:type="spellEnd"/>
      <w:r>
        <w:rPr>
          <w:rFonts w:ascii="Times New Roman" w:eastAsia="Times New Roman" w:hAnsi="Times New Roman" w:cs="Times New Roman"/>
        </w:rPr>
        <w:t xml:space="preserve"> (blue), reptiles (green), and non-amniotes (purple). Mammals, reptiles, and non-amniotes show no significant differences (P &gt; 0.05), while </w:t>
      </w:r>
      <w:proofErr w:type="spellStart"/>
      <w:r>
        <w:rPr>
          <w:rFonts w:ascii="Times New Roman" w:eastAsia="Times New Roman" w:hAnsi="Times New Roman" w:cs="Times New Roman"/>
        </w:rPr>
        <w:t>aves</w:t>
      </w:r>
      <w:proofErr w:type="spellEnd"/>
      <w:r>
        <w:rPr>
          <w:rFonts w:ascii="Times New Roman" w:eastAsia="Times New Roman" w:hAnsi="Times New Roman" w:cs="Times New Roman"/>
        </w:rPr>
        <w:t xml:space="preserve"> exhibit significantly lower density (P &lt; 0.05 vs mammals, Wilcoxon rank-sum test). Asterisks indicate statistical significance. Data from scaled binning with species-specific GC normalization (see methods, Table S4).</w:t>
      </w:r>
    </w:p>
    <w:p w14:paraId="124EE88D" w14:textId="77777777" w:rsidR="00AA03F3" w:rsidRDefault="00AA03F3" w:rsidP="00AA03F3">
      <w:pPr>
        <w:pStyle w:val="LO-normal"/>
        <w:rPr>
          <w:rFonts w:ascii="Times New Roman" w:eastAsia="Times New Roman" w:hAnsi="Times New Roman" w:cs="Times New Roman"/>
        </w:rPr>
      </w:pPr>
    </w:p>
    <w:p w14:paraId="783C2C6E" w14:textId="77777777" w:rsidR="00AA03F3" w:rsidRDefault="00AA03F3" w:rsidP="00AA03F3">
      <w:pPr>
        <w:pStyle w:val="LO-normal"/>
        <w:rPr>
          <w:rFonts w:ascii="Times New Roman" w:eastAsia="Times New Roman" w:hAnsi="Times New Roman" w:cs="Times New Roman"/>
        </w:rPr>
      </w:pPr>
      <w:r>
        <w:rPr>
          <w:rFonts w:ascii="Cardo" w:eastAsia="Cardo" w:hAnsi="Cardo" w:cs="Cardo"/>
        </w:rPr>
        <w:t xml:space="preserve">Figure S9. Clade-specific pG4 density variation across exons. Heatmap of mean normalized pG4 density in scaled bins across individual vertebrate species, with clades clustered separately (mammals, </w:t>
      </w:r>
      <w:proofErr w:type="spellStart"/>
      <w:r>
        <w:rPr>
          <w:rFonts w:ascii="Cardo" w:eastAsia="Cardo" w:hAnsi="Cardo" w:cs="Cardo"/>
        </w:rPr>
        <w:t>aves</w:t>
      </w:r>
      <w:proofErr w:type="spellEnd"/>
      <w:r>
        <w:rPr>
          <w:rFonts w:ascii="Cardo" w:eastAsia="Cardo" w:hAnsi="Cardo" w:cs="Cardo"/>
        </w:rPr>
        <w:t xml:space="preserve">, reptiles, non-amniotes). Clade colors: mammals (red), </w:t>
      </w:r>
      <w:proofErr w:type="spellStart"/>
      <w:r>
        <w:rPr>
          <w:rFonts w:ascii="Cardo" w:eastAsia="Cardo" w:hAnsi="Cardo" w:cs="Cardo"/>
        </w:rPr>
        <w:t>aves</w:t>
      </w:r>
      <w:proofErr w:type="spellEnd"/>
      <w:r>
        <w:rPr>
          <w:rFonts w:ascii="Cardo" w:eastAsia="Cardo" w:hAnsi="Cardo" w:cs="Cardo"/>
        </w:rPr>
        <w:t xml:space="preserve"> (blue), reptiles (green), non-amniotes (purple). The upper plot shows the mean profile across all vertebrates ± SE. Exon start/end are marked below the plot; bin numbers (1-100) are shown beneath. Color scale: blue (low) → yellow (moderate) → red (high) GC-normalized pG4 density (see methods, Table S3).</w:t>
      </w:r>
    </w:p>
    <w:p w14:paraId="3781758B" w14:textId="77777777" w:rsidR="00AA03F3" w:rsidRDefault="00AA03F3" w:rsidP="00AA03F3">
      <w:pPr>
        <w:pStyle w:val="LO-normal"/>
        <w:rPr>
          <w:rFonts w:ascii="Times New Roman" w:eastAsia="Times New Roman" w:hAnsi="Times New Roman" w:cs="Times New Roman"/>
        </w:rPr>
      </w:pPr>
    </w:p>
    <w:p w14:paraId="7C871974" w14:textId="77777777" w:rsidR="00AA03F3" w:rsidRDefault="00AA03F3" w:rsidP="00AA03F3">
      <w:pPr>
        <w:pStyle w:val="LO-normal"/>
        <w:rPr>
          <w:rFonts w:ascii="Times New Roman" w:eastAsia="Times New Roman" w:hAnsi="Times New Roman" w:cs="Times New Roman"/>
        </w:rPr>
      </w:pPr>
      <w:r>
        <w:rPr>
          <w:rFonts w:ascii="Cardo" w:eastAsia="Cardo" w:hAnsi="Cardo" w:cs="Cardo"/>
        </w:rPr>
        <w:t xml:space="preserve">Figure S10. Clade-specific pG4 density variation across introns. Heatmap of mean normalized pG4 density in scaled bins across individual vertebrate species, with clades clustered separately (mammals, </w:t>
      </w:r>
      <w:proofErr w:type="spellStart"/>
      <w:r>
        <w:rPr>
          <w:rFonts w:ascii="Cardo" w:eastAsia="Cardo" w:hAnsi="Cardo" w:cs="Cardo"/>
        </w:rPr>
        <w:t>aves</w:t>
      </w:r>
      <w:proofErr w:type="spellEnd"/>
      <w:r>
        <w:rPr>
          <w:rFonts w:ascii="Cardo" w:eastAsia="Cardo" w:hAnsi="Cardo" w:cs="Cardo"/>
        </w:rPr>
        <w:t xml:space="preserve">, reptiles, non-amniotes). Clade colors: mammals (red), </w:t>
      </w:r>
      <w:proofErr w:type="spellStart"/>
      <w:r>
        <w:rPr>
          <w:rFonts w:ascii="Cardo" w:eastAsia="Cardo" w:hAnsi="Cardo" w:cs="Cardo"/>
        </w:rPr>
        <w:t>aves</w:t>
      </w:r>
      <w:proofErr w:type="spellEnd"/>
      <w:r>
        <w:rPr>
          <w:rFonts w:ascii="Cardo" w:eastAsia="Cardo" w:hAnsi="Cardo" w:cs="Cardo"/>
        </w:rPr>
        <w:t xml:space="preserve"> (blue), reptiles (green), non-amniotes (purple). The upper plot shows the mean profile across all vertebrates ± SE. Intron start/end are marked below the plot; bin numbers (1-100) are shown beneath. Color scale: blue (low) → yellow (moderate) → red (high) GC-normalized pG4 density (see methods, Table S3).</w:t>
      </w:r>
    </w:p>
    <w:p w14:paraId="65E86DAD" w14:textId="77777777" w:rsidR="00AA03F3" w:rsidRDefault="00AA03F3" w:rsidP="00AA03F3">
      <w:pPr>
        <w:pStyle w:val="LO-normal"/>
        <w:rPr>
          <w:rFonts w:ascii="Times New Roman" w:eastAsia="Times New Roman" w:hAnsi="Times New Roman" w:cs="Times New Roman"/>
        </w:rPr>
      </w:pPr>
    </w:p>
    <w:p w14:paraId="20C46D7A" w14:textId="77777777" w:rsidR="00AA03F3" w:rsidRDefault="00AA03F3" w:rsidP="00AA03F3">
      <w:pPr>
        <w:pStyle w:val="LO-normal"/>
        <w:rPr>
          <w:rFonts w:ascii="Times New Roman" w:eastAsia="Times New Roman" w:hAnsi="Times New Roman" w:cs="Times New Roman"/>
        </w:rPr>
      </w:pPr>
      <w:r>
        <w:rPr>
          <w:rFonts w:ascii="Cardo" w:eastAsia="Cardo" w:hAnsi="Cardo" w:cs="Cardo"/>
        </w:rPr>
        <w:t xml:space="preserve">Figure S11. Clade-specific pG4 density variation across the gene body. Heatmap of mean normalized pG4 density in scaled bins across individual vertebrate species, with clades clustered separately (mammals, </w:t>
      </w:r>
      <w:proofErr w:type="spellStart"/>
      <w:r>
        <w:rPr>
          <w:rFonts w:ascii="Cardo" w:eastAsia="Cardo" w:hAnsi="Cardo" w:cs="Cardo"/>
        </w:rPr>
        <w:t>aves</w:t>
      </w:r>
      <w:proofErr w:type="spellEnd"/>
      <w:r>
        <w:rPr>
          <w:rFonts w:ascii="Cardo" w:eastAsia="Cardo" w:hAnsi="Cardo" w:cs="Cardo"/>
        </w:rPr>
        <w:t xml:space="preserve">, reptiles, non-amniotes). Clade colors: mammals (red), </w:t>
      </w:r>
      <w:proofErr w:type="spellStart"/>
      <w:r>
        <w:rPr>
          <w:rFonts w:ascii="Cardo" w:eastAsia="Cardo" w:hAnsi="Cardo" w:cs="Cardo"/>
        </w:rPr>
        <w:t>aves</w:t>
      </w:r>
      <w:proofErr w:type="spellEnd"/>
      <w:r>
        <w:rPr>
          <w:rFonts w:ascii="Cardo" w:eastAsia="Cardo" w:hAnsi="Cardo" w:cs="Cardo"/>
        </w:rPr>
        <w:t xml:space="preserve"> (blue), reptiles (green), non-amniotes (purple). The upper plot shows the mean profile across all vertebrates ± SE. The gene body start/end are marked below the plot; bin numbers (1-100) are shown beneath. Color scale: blue (low) → yellow (moderate) → red (high) GC-normalized pG4 density (see methods, Table S3).</w:t>
      </w:r>
    </w:p>
    <w:p w14:paraId="2AA89CD1" w14:textId="77777777" w:rsidR="00AA03F3" w:rsidRDefault="00AA03F3" w:rsidP="00AA03F3">
      <w:pPr>
        <w:pStyle w:val="LO-normal"/>
        <w:rPr>
          <w:rFonts w:ascii="Times New Roman" w:eastAsia="Times New Roman" w:hAnsi="Times New Roman" w:cs="Times New Roman"/>
        </w:rPr>
      </w:pPr>
    </w:p>
    <w:p w14:paraId="2194B9F2"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Figure S12. Genome-wide point mutation rates in potential pG4-forming regions show evolution-dependent enhancement favoring GC retention by CGGBP1. Point mutation rates were determined as the percentage of each mutation type out of the total mutations for each sample, adjusted by subtracting the input control background. Different mutation types are illustrated as bar graphs. The analysis reveals an increased mutation rate in Hs, reflecting a genome-wide bias toward GC-content preservation in potential pG4-forming regions. Bars are color-coded by sample: Lc (blue), Ac (green), Gg (red), Hs (yellow), and Ev (grey). All mutation type proportions relative to total mutations are statistically significant (Chi-square test, P &lt; 0.01; Table S12).</w:t>
      </w:r>
    </w:p>
    <w:p w14:paraId="61AE3F58" w14:textId="77777777" w:rsidR="00AA03F3" w:rsidRDefault="00AA03F3" w:rsidP="00AA03F3">
      <w:pPr>
        <w:pStyle w:val="LO-normal"/>
        <w:rPr>
          <w:rFonts w:ascii="Times New Roman" w:eastAsia="Times New Roman" w:hAnsi="Times New Roman" w:cs="Times New Roman"/>
        </w:rPr>
      </w:pPr>
    </w:p>
    <w:p w14:paraId="74C10947"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Figure S13. Potential pG4-forming regions are distinguished by their notable GC asymmetry. </w:t>
      </w:r>
    </w:p>
    <w:p w14:paraId="2C8DE1BB"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(a): pG4-free regions lack central enrichment of GC-skew within their ±1 kb flanks. (b): Predicted G4s in promoters exhibit pronounced central GC-skew enrichment. (c): Potential G4-forming regions show strong G/C asymmetry enrichment. GC-skew signals were plotted across ±1 kb flanks around the center of pG4-free regions, promoter-associated predicted G4s, and genome-wide potential G4-forming regions. Genome-wide potential G4-forming regions display higher GC-skew than those found specifically in promoters.</w:t>
      </w:r>
    </w:p>
    <w:p w14:paraId="5A197D00" w14:textId="77777777" w:rsidR="00AA03F3" w:rsidRDefault="00AA03F3" w:rsidP="00AA03F3">
      <w:pPr>
        <w:pStyle w:val="LO-normal"/>
        <w:rPr>
          <w:rFonts w:ascii="Times New Roman" w:eastAsia="Times New Roman" w:hAnsi="Times New Roman" w:cs="Times New Roman"/>
        </w:rPr>
      </w:pPr>
    </w:p>
    <w:p w14:paraId="1EDD6070"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Figure S14. Human CGGBP1 maintains elevated G/C asymmetry and G4-forming potential in mutation-free regions. Scaled and normalized counts of potential G4-forming regions were plotted ±1 kb around one million randomly selected mutation-free regions across samples. Hs exhibits higher genome-wide G4-forming potential compared to Lc, Ac, Gg, and Ev. Similarly, GC-skew signals, also scaled and normalized by the number of mutation-free regions per sample, were plotted around the same set of regions. Regions with higher associated G4-forming potential display greater G/C asymmetry, with Hs maintaining significantly higher genome-wide G/C asymmetry than the other samples.</w:t>
      </w:r>
    </w:p>
    <w:p w14:paraId="2DC970B2" w14:textId="77777777" w:rsidR="00AA03F3" w:rsidRDefault="00AA03F3" w:rsidP="00AA03F3">
      <w:pPr>
        <w:pStyle w:val="LO-normal"/>
        <w:rPr>
          <w:rFonts w:ascii="Times New Roman" w:eastAsia="Times New Roman" w:hAnsi="Times New Roman" w:cs="Times New Roman"/>
        </w:rPr>
      </w:pPr>
    </w:p>
    <w:p w14:paraId="23F5257F"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Figure S15. CGGBP1 drives evolutionary-dependent GC bias in point mutations within promoters and associated potential G4-forming regions. (a) &amp; (b): Point mutation rates were calculated as the percentage of each mutation type relative to the total mutations within each sample, with background correction applied by subtracting the input control. Different mutation types are shown as bar graphs. Overall, the analysis reveals an elevated mutation rate in Hs, reflecting a bias toward preserving GC content in both potential G4-forming (b) regions and background promoters (a). Bars are color-coded by sample: Lc (blue), Ac (green), Gg (red), Hs (yellow), and Ev (grey). All mutation type proportions relative to total point mutations are statistically significant (Chi-square test, P &lt; 0.01; Table S10 for promoters and Table S11 for potential G4s in promoters).</w:t>
      </w:r>
    </w:p>
    <w:p w14:paraId="0EAC41E5" w14:textId="77777777" w:rsidR="00AA03F3" w:rsidRDefault="00AA03F3" w:rsidP="00AA03F3">
      <w:pPr>
        <w:pStyle w:val="LO-normal"/>
        <w:rPr>
          <w:rFonts w:ascii="Times New Roman" w:eastAsia="Times New Roman" w:hAnsi="Times New Roman" w:cs="Times New Roman"/>
        </w:rPr>
      </w:pPr>
    </w:p>
    <w:p w14:paraId="0168AFFC"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Figure S16. CGGBP1 maintains GC-content in DNA regions known to form G-quadruplexes by restricting methylation-associated C-to-T transitions. (a): Regions capable of forming G-quadruplexes within the chromatin-constrained nuclear environment (G4-IP-Nat; GSM6122749) show sensitivity to CGGBP1-dependent methylation-associated C-to-T transitions. Human CGGBP1 (Hs) strongly restricts these </w:t>
      </w:r>
      <w:proofErr w:type="spellStart"/>
      <w:r>
        <w:rPr>
          <w:rFonts w:ascii="Times New Roman" w:eastAsia="Times New Roman" w:hAnsi="Times New Roman" w:cs="Times New Roman"/>
        </w:rPr>
        <w:t>meC</w:t>
      </w:r>
      <w:proofErr w:type="spellEnd"/>
      <w:r>
        <w:rPr>
          <w:rFonts w:ascii="Times New Roman" w:eastAsia="Times New Roman" w:hAnsi="Times New Roman" w:cs="Times New Roman"/>
        </w:rPr>
        <w:t xml:space="preserve">-to-T transitions, while empty vector control (Ev) and avian (Gg) forms exhibit slightly higher transition rates compared to input (background). Poikilothermic forms (Lc and Ac) display elevated </w:t>
      </w:r>
      <w:proofErr w:type="spellStart"/>
      <w:r>
        <w:rPr>
          <w:rFonts w:ascii="Times New Roman" w:eastAsia="Times New Roman" w:hAnsi="Times New Roman" w:cs="Times New Roman"/>
        </w:rPr>
        <w:t>meC</w:t>
      </w:r>
      <w:proofErr w:type="spellEnd"/>
      <w:r>
        <w:rPr>
          <w:rFonts w:ascii="Times New Roman" w:eastAsia="Times New Roman" w:hAnsi="Times New Roman" w:cs="Times New Roman"/>
        </w:rPr>
        <w:t xml:space="preserve">-to-T transition rates in these verified G4-forming regions. (b): Potential G-quadruplex regions identified from heat-denatured genomic DNA, which lacks chromatin constraints and double-stranded structure (G4-IP-Denat; GSM6122750), do not associate with methylation patterns. No central enrichment or CGGBP1-dependent differences in </w:t>
      </w:r>
      <w:proofErr w:type="spellStart"/>
      <w:r>
        <w:rPr>
          <w:rFonts w:ascii="Times New Roman" w:eastAsia="Times New Roman" w:hAnsi="Times New Roman" w:cs="Times New Roman"/>
        </w:rPr>
        <w:t>meC</w:t>
      </w:r>
      <w:proofErr w:type="spellEnd"/>
      <w:r>
        <w:rPr>
          <w:rFonts w:ascii="Times New Roman" w:eastAsia="Times New Roman" w:hAnsi="Times New Roman" w:cs="Times New Roman"/>
        </w:rPr>
        <w:t xml:space="preserve">-to-T transitions are observed in these regions. C-to-T transition signals, calculated as the fraction of all transition mutations with average background subtraction, are plotted ±0.1 Mb around peak centers for both G4-IP-Nat and G4-IP-Denat samples. (c): Differentially captured regions (DCRs), experimentally validated G4-forming loci highly sensitive to CGGBP1 levels (GSE202456), display species-specific </w:t>
      </w:r>
      <w:proofErr w:type="spellStart"/>
      <w:r>
        <w:rPr>
          <w:rFonts w:ascii="Times New Roman" w:eastAsia="Times New Roman" w:hAnsi="Times New Roman" w:cs="Times New Roman"/>
        </w:rPr>
        <w:t>meC</w:t>
      </w:r>
      <w:proofErr w:type="spellEnd"/>
      <w:r>
        <w:rPr>
          <w:rFonts w:ascii="Times New Roman" w:eastAsia="Times New Roman" w:hAnsi="Times New Roman" w:cs="Times New Roman"/>
        </w:rPr>
        <w:t xml:space="preserve">-to-T transition patterns distinguishing poikilotherms (Lc, Ac) from homeotherms (Hs, Gg, Ev). Poikilotherms show poor restriction of </w:t>
      </w:r>
      <w:proofErr w:type="spellStart"/>
      <w:r>
        <w:rPr>
          <w:rFonts w:ascii="Times New Roman" w:eastAsia="Times New Roman" w:hAnsi="Times New Roman" w:cs="Times New Roman"/>
        </w:rPr>
        <w:t>meC</w:t>
      </w:r>
      <w:proofErr w:type="spellEnd"/>
      <w:r>
        <w:rPr>
          <w:rFonts w:ascii="Times New Roman" w:eastAsia="Times New Roman" w:hAnsi="Times New Roman" w:cs="Times New Roman"/>
        </w:rPr>
        <w:t xml:space="preserve">-to-T transitions, whereas homeotherms, particularly Hs CGGBP1, strongly restrict these transitions. The empty vector control (Ev) represents endogenous CGGBP1 and displays intermediate restriction, with Gg showing moderate </w:t>
      </w:r>
      <w:r>
        <w:rPr>
          <w:rFonts w:ascii="Times New Roman" w:eastAsia="Times New Roman" w:hAnsi="Times New Roman" w:cs="Times New Roman"/>
        </w:rPr>
        <w:lastRenderedPageBreak/>
        <w:t>restriction relative to background input. Transition rates were calculated as the fraction of C-to-T mutations among all transitions, with averages subtracted per sample. Differences between groups are statistically significant (Chi-square test, P &lt; 0.01; Table S14).</w:t>
      </w:r>
    </w:p>
    <w:p w14:paraId="2833F618" w14:textId="77777777" w:rsidR="00AA03F3" w:rsidRDefault="00AA03F3" w:rsidP="00AA03F3">
      <w:pPr>
        <w:pStyle w:val="LO-normal"/>
        <w:rPr>
          <w:rFonts w:ascii="Times New Roman" w:eastAsia="Times New Roman" w:hAnsi="Times New Roman" w:cs="Times New Roman"/>
        </w:rPr>
      </w:pPr>
    </w:p>
    <w:p w14:paraId="6C74BC40"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Figure S17. Chromatin-constrained G4-forming regions are defined by pronounced G/C asymmetry. G4-forming regions within the chromatin-constrained nuclear environment (G4-IP-Nat, GSM6122749) exhibit pronounced GC-skew enrichment, flanked by broader areas of low GC-skew. In contrast, G4-IP-Denat regions (GSM6122750) display only background genomic GC-skew levels without any central enrichment. These patterns are illustrated by heat maps generated from ±0.1 Mb flanks around the peak centers of each region.</w:t>
      </w:r>
    </w:p>
    <w:p w14:paraId="5566DE2B" w14:textId="77777777" w:rsidR="00AA03F3" w:rsidRDefault="00AA03F3" w:rsidP="00AA03F3">
      <w:pPr>
        <w:pStyle w:val="LO-normal"/>
        <w:rPr>
          <w:rFonts w:ascii="Times New Roman" w:eastAsia="Times New Roman" w:hAnsi="Times New Roman" w:cs="Times New Roman"/>
        </w:rPr>
      </w:pPr>
    </w:p>
    <w:p w14:paraId="6666040A"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Figure S18. Heatmap showing </w:t>
      </w:r>
      <w:proofErr w:type="spellStart"/>
      <w:r>
        <w:rPr>
          <w:rFonts w:ascii="Times New Roman" w:eastAsia="Times New Roman" w:hAnsi="Times New Roman" w:cs="Times New Roman"/>
        </w:rPr>
        <w:t>meC</w:t>
      </w:r>
      <w:proofErr w:type="spellEnd"/>
      <w:r>
        <w:rPr>
          <w:rFonts w:ascii="Times New Roman" w:eastAsia="Times New Roman" w:hAnsi="Times New Roman" w:cs="Times New Roman"/>
        </w:rPr>
        <w:t>-to-T mutation rates across genome-wide GC-rich TFBS. Unsupervised hierarchical clustering clearly separates homeotherm (Gg, Hs) from poikilotherm (Lc, Ac) CGGBP orthologs, plus controls (Ev, Input). Human cells overexpressing these orthologs were MeDIP-sequenced and analyzed via MAP-MAP pipeline. Each row represents one TFBS (names on left), each column one sample. C-to-T rates were calculated as fraction of total transitions per motif per sample, then normalized by subtracting the mean rate for that motif across all samples. Blue-to-red scale shows low-to-high normalized mutation rates. Boxes below highlight homeotherms (red), poikilotherms (green), and controls (grey).</w:t>
      </w:r>
    </w:p>
    <w:p w14:paraId="72B5ED77" w14:textId="77777777" w:rsidR="00AA03F3" w:rsidRDefault="00AA03F3" w:rsidP="00AA03F3">
      <w:pPr>
        <w:pStyle w:val="LO-normal"/>
        <w:rPr>
          <w:rFonts w:ascii="Times New Roman" w:eastAsia="Times New Roman" w:hAnsi="Times New Roman" w:cs="Times New Roman"/>
        </w:rPr>
      </w:pPr>
    </w:p>
    <w:p w14:paraId="4863D568"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Figure S19. Absolute GC retention bias in TFBS in pG4s and their background. Scatter plots showing the correlation of mean absolute GC-content (%) for transcription factor binding sites (TFBS) between Homeotherms (y-axis) and Poikilotherms (x-axis). </w:t>
      </w:r>
      <w:proofErr w:type="spellStart"/>
      <w:r>
        <w:rPr>
          <w:rFonts w:ascii="Times New Roman" w:eastAsia="Times New Roman" w:hAnsi="Times New Roman" w:cs="Times New Roman"/>
        </w:rPr>
        <w:t>Genomewide</w:t>
      </w:r>
      <w:proofErr w:type="spellEnd"/>
      <w:r>
        <w:rPr>
          <w:rFonts w:ascii="Times New Roman" w:eastAsia="Times New Roman" w:hAnsi="Times New Roman" w:cs="Times New Roman"/>
        </w:rPr>
        <w:t xml:space="preserve"> (upper) and promoters (lower) are shown in different panels with motif enrichment status in homeotherms shown below with different colors highly enriched (Red), moderately enriched (light red), highly reduced (blue), and moderately reduced (light blue). (a): pG4-free background regions: Correlation of GC-content in TFBS located outside of predicted G4 regions. Slopes (β ~ 1.0) and mean shifts (ranging from -0.22% to +1.97%) indicate baseline thermal group differences in genomic composition. (b): pG4 regions: Correlation of GC-content for TFBS overlapping with potential G4-forming sequences (pG4s). Homeotherms exhibit a systematic increase in absolute GC-content across almost all categories (e.g., +1.05% shift for highly enriched genomic motifs; P &lt; 0.001, Paired Wilcoxon test). The dashed line represents the 1:1 parity line (y = x); the solid black line represents the linear regression fit. Statistical metrics including R-squared (R</w:t>
      </w:r>
      <w:r>
        <w:rPr>
          <w:rFonts w:ascii="Times New Roman" w:eastAsia="Times New Roman" w:hAnsi="Times New Roman" w:cs="Times New Roman"/>
          <w:vertAlign w:val="superscript"/>
        </w:rPr>
        <w:t>2</w:t>
      </w:r>
      <w:r>
        <w:rPr>
          <w:rFonts w:ascii="Times New Roman" w:eastAsia="Times New Roman" w:hAnsi="Times New Roman" w:cs="Times New Roman"/>
        </w:rPr>
        <w:t>), beta-slope (β), and P-values are indicated within each panel (Table S20).</w:t>
      </w:r>
    </w:p>
    <w:p w14:paraId="38FED544" w14:textId="77777777" w:rsidR="00AA03F3" w:rsidRDefault="00AA03F3" w:rsidP="00AA03F3">
      <w:pPr>
        <w:pStyle w:val="LO-normal"/>
        <w:rPr>
          <w:rFonts w:ascii="Times New Roman" w:eastAsia="Times New Roman" w:hAnsi="Times New Roman" w:cs="Times New Roman"/>
        </w:rPr>
      </w:pPr>
    </w:p>
    <w:p w14:paraId="23486D6B"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Figure S20. Mutation protection hotspots in homeotherm pG4 TFBS across vertebrate genomes. Dendrogram sequence logo plots show sequence logos for 91 significantly enriched/reduced motifs (24 Highly Enriched, 39 Moderately Enriched, 10 Highly Reduced, 18 Moderately Reduced) from vertebrate genomes classified into thermal groups, comparing pG4 regions vs pG4-free backgrounds in homeotherms vs poikilotherms, clustered alongside JASPAR 2026 reference logos. Hierarchical clustering (Pearson correlation) groups similar motif architectures. Light red highlighting marks GC-loss hotspots where homeotherm motifs show C-enrichment (suppressed C-to-T) and G-enrichment (suppressed G-to-A), direct evidence of mutation protection at functionally critical positions.</w:t>
      </w:r>
    </w:p>
    <w:p w14:paraId="2C9A61F0" w14:textId="77777777" w:rsidR="00AA03F3" w:rsidRDefault="00AA03F3" w:rsidP="00AA03F3">
      <w:pPr>
        <w:pStyle w:val="LO-normal"/>
        <w:rPr>
          <w:rFonts w:ascii="Times New Roman" w:eastAsia="Times New Roman" w:hAnsi="Times New Roman" w:cs="Times New Roman"/>
        </w:rPr>
      </w:pPr>
    </w:p>
    <w:p w14:paraId="39ABF347"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lastRenderedPageBreak/>
        <w:t>Figure S21. Mutation protection hotspots in homeotherm pG4 TFBS across vertebrate promoters. Dendrogram sequence logo plots show sequence logos for 97 significantly enriched/reduced motifs (24 Highly Enriched, 36 Moderately Enriched, 18 Highly Reduced, 19 Moderately Reduced) in vertebrate promoters classified into thermal groups, comparing pG4 regions vs pG4-free backgrounds in homeotherms vs poikilotherms, clustered alongside JASPAR 2026 reference logos. Hierarchical clustering (Pearson correlation) groups similar motif architectures. Light red highlighting marks GC-loss hotspots where homeotherm motifs show C-enrichment (suppressed C-to-T) and G-enrichment (suppressed G-to-A), direct evidence of mutation protection at functionally critical positions.</w:t>
      </w:r>
    </w:p>
    <w:p w14:paraId="14A0C263" w14:textId="77777777" w:rsidR="00AA03F3" w:rsidRDefault="00AA03F3" w:rsidP="00AA03F3">
      <w:pPr>
        <w:pStyle w:val="LO-normal"/>
        <w:rPr>
          <w:rFonts w:ascii="Times New Roman" w:eastAsia="Times New Roman" w:hAnsi="Times New Roman" w:cs="Times New Roman"/>
        </w:rPr>
      </w:pPr>
    </w:p>
    <w:p w14:paraId="764E1066" w14:textId="77777777" w:rsidR="00AA03F3" w:rsidRDefault="00AA03F3" w:rsidP="00AA03F3">
      <w:pPr>
        <w:pStyle w:val="LO-normal"/>
        <w:rPr>
          <w:rFonts w:ascii="Times New Roman" w:eastAsia="Times New Roman" w:hAnsi="Times New Roman" w:cs="Times New Roman"/>
          <w:b/>
          <w:bCs/>
        </w:rPr>
      </w:pPr>
      <w:r>
        <w:rPr>
          <w:rFonts w:ascii="Times New Roman" w:eastAsia="Times New Roman" w:hAnsi="Times New Roman" w:cs="Times New Roman"/>
          <w:b/>
          <w:bCs/>
        </w:rPr>
        <w:t>Supplementary Table legends:</w:t>
      </w:r>
    </w:p>
    <w:p w14:paraId="2BD8215A" w14:textId="77777777" w:rsidR="00AA03F3" w:rsidRDefault="00AA03F3" w:rsidP="00AA03F3">
      <w:pPr>
        <w:pStyle w:val="LO-normal"/>
        <w:rPr>
          <w:rFonts w:ascii="Times New Roman" w:eastAsia="Times New Roman" w:hAnsi="Times New Roman" w:cs="Times New Roman"/>
          <w:b/>
          <w:bCs/>
        </w:rPr>
      </w:pPr>
    </w:p>
    <w:p w14:paraId="1D843CC2"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Table S1. Summary of G4-forming potential and associated features across 105 vertebrate genomes</w:t>
      </w:r>
    </w:p>
    <w:p w14:paraId="751BA7C1" w14:textId="77777777" w:rsidR="00AA03F3" w:rsidRDefault="00AA03F3" w:rsidP="00AA03F3">
      <w:pPr>
        <w:pStyle w:val="LO-normal"/>
        <w:rPr>
          <w:rFonts w:ascii="Times New Roman" w:eastAsia="Times New Roman" w:hAnsi="Times New Roman" w:cs="Times New Roman"/>
        </w:rPr>
      </w:pPr>
    </w:p>
    <w:p w14:paraId="40FF89AE"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Table S2. Genome-wide PIC and correlation statistics for pG4-associated features across vertebrate genomes</w:t>
      </w:r>
    </w:p>
    <w:p w14:paraId="2651A7B6" w14:textId="77777777" w:rsidR="00AA03F3" w:rsidRDefault="00AA03F3" w:rsidP="00AA03F3">
      <w:pPr>
        <w:pStyle w:val="LO-normal"/>
        <w:rPr>
          <w:rFonts w:ascii="Times New Roman" w:eastAsia="Times New Roman" w:hAnsi="Times New Roman" w:cs="Times New Roman"/>
        </w:rPr>
      </w:pPr>
    </w:p>
    <w:p w14:paraId="259BC03E"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Table S3. GC-normalized pG4 density across functional regions in vertebrate genomes</w:t>
      </w:r>
    </w:p>
    <w:p w14:paraId="632ADD2B" w14:textId="77777777" w:rsidR="00AA03F3" w:rsidRDefault="00AA03F3" w:rsidP="00AA03F3">
      <w:pPr>
        <w:pStyle w:val="LO-normal"/>
        <w:rPr>
          <w:rFonts w:ascii="Times New Roman" w:eastAsia="Times New Roman" w:hAnsi="Times New Roman" w:cs="Times New Roman"/>
        </w:rPr>
      </w:pPr>
    </w:p>
    <w:p w14:paraId="7E73A1DE"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Table S4. Statistical metrics for pG4 density across vertebrate functional genomic regions</w:t>
      </w:r>
    </w:p>
    <w:p w14:paraId="3515CD64" w14:textId="77777777" w:rsidR="00AA03F3" w:rsidRDefault="00AA03F3" w:rsidP="00AA03F3">
      <w:pPr>
        <w:pStyle w:val="LO-normal"/>
        <w:rPr>
          <w:rFonts w:ascii="Times New Roman" w:eastAsia="Times New Roman" w:hAnsi="Times New Roman" w:cs="Times New Roman"/>
        </w:rPr>
      </w:pPr>
    </w:p>
    <w:p w14:paraId="20754607"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S5. Summary of G4-forming potential and associated features across 105 vertebrate 1 kb </w:t>
      </w:r>
      <w:r>
        <w:rPr>
          <w:rFonts w:ascii="Times New Roman" w:eastAsia="Times New Roman" w:hAnsi="Times New Roman" w:cs="Times New Roman"/>
          <w:i/>
          <w:iCs/>
        </w:rPr>
        <w:t>cis</w:t>
      </w:r>
      <w:r>
        <w:rPr>
          <w:rFonts w:ascii="Times New Roman" w:eastAsia="Times New Roman" w:hAnsi="Times New Roman" w:cs="Times New Roman"/>
        </w:rPr>
        <w:t xml:space="preserve"> promoter</w:t>
      </w:r>
    </w:p>
    <w:p w14:paraId="4E0C4612" w14:textId="77777777" w:rsidR="00AA03F3" w:rsidRDefault="00AA03F3" w:rsidP="00AA03F3">
      <w:pPr>
        <w:pStyle w:val="LO-normal"/>
        <w:rPr>
          <w:rFonts w:ascii="Times New Roman" w:eastAsia="Times New Roman" w:hAnsi="Times New Roman" w:cs="Times New Roman"/>
        </w:rPr>
      </w:pPr>
    </w:p>
    <w:p w14:paraId="47E8FDF9"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Table S6. Promoter PIC and correlation statistics for pG4-associated features across vertebrate genomes</w:t>
      </w:r>
    </w:p>
    <w:p w14:paraId="506426B4" w14:textId="77777777" w:rsidR="00AA03F3" w:rsidRDefault="00AA03F3" w:rsidP="00AA03F3">
      <w:pPr>
        <w:pStyle w:val="LO-normal"/>
        <w:rPr>
          <w:rFonts w:ascii="Times New Roman" w:eastAsia="Times New Roman" w:hAnsi="Times New Roman" w:cs="Times New Roman"/>
        </w:rPr>
      </w:pPr>
    </w:p>
    <w:p w14:paraId="2D2D9ACA"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S7. Summary of point mutation in potential G4-forming regions genome-wide in publicly available </w:t>
      </w:r>
      <w:proofErr w:type="spellStart"/>
      <w:r>
        <w:rPr>
          <w:rFonts w:ascii="Times New Roman" w:eastAsia="Times New Roman" w:hAnsi="Times New Roman" w:cs="Times New Roman"/>
        </w:rPr>
        <w:t>MeDIP</w:t>
      </w:r>
      <w:proofErr w:type="spellEnd"/>
      <w:r>
        <w:rPr>
          <w:rFonts w:ascii="Times New Roman" w:eastAsia="Times New Roman" w:hAnsi="Times New Roman" w:cs="Times New Roman"/>
        </w:rPr>
        <w:t xml:space="preserve"> dataset (GSE281704) after over-expression of evolutionary forms of CGGBP1</w:t>
      </w:r>
    </w:p>
    <w:p w14:paraId="4997F13A" w14:textId="77777777" w:rsidR="00AA03F3" w:rsidRDefault="00AA03F3" w:rsidP="00AA03F3">
      <w:pPr>
        <w:pStyle w:val="LO-normal"/>
        <w:rPr>
          <w:rFonts w:ascii="Times New Roman" w:eastAsia="Times New Roman" w:hAnsi="Times New Roman" w:cs="Times New Roman"/>
        </w:rPr>
      </w:pPr>
    </w:p>
    <w:p w14:paraId="650E2099"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S8. Statistical summary of individual point mutations in potential G4-forming regions </w:t>
      </w:r>
      <w:proofErr w:type="spellStart"/>
      <w:r>
        <w:rPr>
          <w:rFonts w:ascii="Times New Roman" w:eastAsia="Times New Roman" w:hAnsi="Times New Roman" w:cs="Times New Roman"/>
        </w:rPr>
        <w:t>genomewide</w:t>
      </w:r>
      <w:proofErr w:type="spellEnd"/>
      <w:r>
        <w:rPr>
          <w:rFonts w:ascii="Times New Roman" w:eastAsia="Times New Roman" w:hAnsi="Times New Roman" w:cs="Times New Roman"/>
        </w:rPr>
        <w:t xml:space="preserve"> in publicly available </w:t>
      </w:r>
      <w:proofErr w:type="spellStart"/>
      <w:r>
        <w:rPr>
          <w:rFonts w:ascii="Times New Roman" w:eastAsia="Times New Roman" w:hAnsi="Times New Roman" w:cs="Times New Roman"/>
        </w:rPr>
        <w:t>MeDIP</w:t>
      </w:r>
      <w:proofErr w:type="spellEnd"/>
      <w:r>
        <w:rPr>
          <w:rFonts w:ascii="Times New Roman" w:eastAsia="Times New Roman" w:hAnsi="Times New Roman" w:cs="Times New Roman"/>
        </w:rPr>
        <w:t xml:space="preserve"> dataset (GSE281704) after over-expression of evolutionary forms of CGGBP1</w:t>
      </w:r>
    </w:p>
    <w:p w14:paraId="6A058850" w14:textId="77777777" w:rsidR="00AA03F3" w:rsidRDefault="00AA03F3" w:rsidP="00AA03F3">
      <w:pPr>
        <w:pStyle w:val="LO-normal"/>
        <w:rPr>
          <w:rFonts w:ascii="Times New Roman" w:eastAsia="Times New Roman" w:hAnsi="Times New Roman" w:cs="Times New Roman"/>
        </w:rPr>
      </w:pPr>
    </w:p>
    <w:p w14:paraId="714B5321"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S9. Summary of point mutation in pG4s in 1kb promoters and entire promoters in publicly available </w:t>
      </w:r>
      <w:proofErr w:type="spellStart"/>
      <w:r>
        <w:rPr>
          <w:rFonts w:ascii="Times New Roman" w:eastAsia="Times New Roman" w:hAnsi="Times New Roman" w:cs="Times New Roman"/>
        </w:rPr>
        <w:t>MeDIP</w:t>
      </w:r>
      <w:proofErr w:type="spellEnd"/>
      <w:r>
        <w:rPr>
          <w:rFonts w:ascii="Times New Roman" w:eastAsia="Times New Roman" w:hAnsi="Times New Roman" w:cs="Times New Roman"/>
        </w:rPr>
        <w:t xml:space="preserve"> dataset (GSE281704) after over-expression of evolutionary forms of CGGBP1</w:t>
      </w:r>
    </w:p>
    <w:p w14:paraId="71C112AB" w14:textId="77777777" w:rsidR="00AA03F3" w:rsidRDefault="00AA03F3" w:rsidP="00AA03F3">
      <w:pPr>
        <w:pStyle w:val="LO-normal"/>
        <w:rPr>
          <w:rFonts w:ascii="Times New Roman" w:eastAsia="Times New Roman" w:hAnsi="Times New Roman" w:cs="Times New Roman"/>
        </w:rPr>
      </w:pPr>
    </w:p>
    <w:p w14:paraId="16F629BA"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S10. Summary of point mutation in pG4s of 1 kb </w:t>
      </w:r>
      <w:r>
        <w:rPr>
          <w:rFonts w:ascii="Times New Roman" w:eastAsia="Times New Roman" w:hAnsi="Times New Roman" w:cs="Times New Roman"/>
          <w:i/>
          <w:iCs/>
        </w:rPr>
        <w:t xml:space="preserve">cis </w:t>
      </w:r>
      <w:r>
        <w:rPr>
          <w:rFonts w:ascii="Times New Roman" w:eastAsia="Times New Roman" w:hAnsi="Times New Roman" w:cs="Times New Roman"/>
        </w:rPr>
        <w:t xml:space="preserve">promoters in publicly available </w:t>
      </w:r>
      <w:proofErr w:type="spellStart"/>
      <w:r>
        <w:rPr>
          <w:rFonts w:ascii="Times New Roman" w:eastAsia="Times New Roman" w:hAnsi="Times New Roman" w:cs="Times New Roman"/>
        </w:rPr>
        <w:t>MeDIP</w:t>
      </w:r>
      <w:proofErr w:type="spellEnd"/>
      <w:r>
        <w:rPr>
          <w:rFonts w:ascii="Times New Roman" w:eastAsia="Times New Roman" w:hAnsi="Times New Roman" w:cs="Times New Roman"/>
        </w:rPr>
        <w:t xml:space="preserve"> dataset (GSE281704) after over-expression of evolutionary forms of CGGBP1</w:t>
      </w:r>
    </w:p>
    <w:p w14:paraId="7CAB84EE" w14:textId="77777777" w:rsidR="00AA03F3" w:rsidRDefault="00AA03F3" w:rsidP="00AA03F3">
      <w:pPr>
        <w:pStyle w:val="LO-normal"/>
        <w:rPr>
          <w:rFonts w:ascii="Times New Roman" w:eastAsia="Times New Roman" w:hAnsi="Times New Roman" w:cs="Times New Roman"/>
        </w:rPr>
      </w:pPr>
    </w:p>
    <w:p w14:paraId="5B179FC9"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S11. Summary of point mutation in 1 kb </w:t>
      </w:r>
      <w:r>
        <w:rPr>
          <w:rFonts w:ascii="Times New Roman" w:eastAsia="Times New Roman" w:hAnsi="Times New Roman" w:cs="Times New Roman"/>
          <w:i/>
          <w:iCs/>
        </w:rPr>
        <w:t xml:space="preserve">cis </w:t>
      </w:r>
      <w:r>
        <w:rPr>
          <w:rFonts w:ascii="Times New Roman" w:eastAsia="Times New Roman" w:hAnsi="Times New Roman" w:cs="Times New Roman"/>
        </w:rPr>
        <w:t xml:space="preserve">promoters in publicly available </w:t>
      </w:r>
      <w:proofErr w:type="spellStart"/>
      <w:r>
        <w:rPr>
          <w:rFonts w:ascii="Times New Roman" w:eastAsia="Times New Roman" w:hAnsi="Times New Roman" w:cs="Times New Roman"/>
        </w:rPr>
        <w:t>MeDIP</w:t>
      </w:r>
      <w:proofErr w:type="spellEnd"/>
      <w:r>
        <w:rPr>
          <w:rFonts w:ascii="Times New Roman" w:eastAsia="Times New Roman" w:hAnsi="Times New Roman" w:cs="Times New Roman"/>
        </w:rPr>
        <w:t xml:space="preserve"> dataset (GSE281704) after over-expression of evolutionary forms of CGGBP1</w:t>
      </w:r>
    </w:p>
    <w:p w14:paraId="3459CFA4" w14:textId="77777777" w:rsidR="00AA03F3" w:rsidRDefault="00AA03F3" w:rsidP="00AA03F3">
      <w:pPr>
        <w:pStyle w:val="LO-normal"/>
        <w:rPr>
          <w:rFonts w:ascii="Times New Roman" w:eastAsia="Times New Roman" w:hAnsi="Times New Roman" w:cs="Times New Roman"/>
        </w:rPr>
      </w:pPr>
    </w:p>
    <w:p w14:paraId="747F9673"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S12. Summary and stats of C-to-T transition mutation in pG4s of 1kb promoters and entire promoters in publicly available </w:t>
      </w:r>
      <w:proofErr w:type="spellStart"/>
      <w:r>
        <w:rPr>
          <w:rFonts w:ascii="Times New Roman" w:eastAsia="Times New Roman" w:hAnsi="Times New Roman" w:cs="Times New Roman"/>
        </w:rPr>
        <w:t>MeDIP</w:t>
      </w:r>
      <w:proofErr w:type="spellEnd"/>
      <w:r>
        <w:rPr>
          <w:rFonts w:ascii="Times New Roman" w:eastAsia="Times New Roman" w:hAnsi="Times New Roman" w:cs="Times New Roman"/>
        </w:rPr>
        <w:t xml:space="preserve"> dataset (GSE281704) after over-expression of evolutionary forms of CGGBP1</w:t>
      </w:r>
    </w:p>
    <w:p w14:paraId="5DBBABBE" w14:textId="77777777" w:rsidR="00AA03F3" w:rsidRDefault="00AA03F3" w:rsidP="00AA03F3">
      <w:pPr>
        <w:pStyle w:val="LO-normal"/>
        <w:rPr>
          <w:rFonts w:ascii="Times New Roman" w:eastAsia="Times New Roman" w:hAnsi="Times New Roman" w:cs="Times New Roman"/>
        </w:rPr>
      </w:pPr>
    </w:p>
    <w:p w14:paraId="03B87C82"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S13. Statistical summary of C-to-T transition in publicly available </w:t>
      </w:r>
      <w:proofErr w:type="spellStart"/>
      <w:r>
        <w:rPr>
          <w:rFonts w:ascii="Times New Roman" w:eastAsia="Times New Roman" w:hAnsi="Times New Roman" w:cs="Times New Roman"/>
        </w:rPr>
        <w:t>MeDIP</w:t>
      </w:r>
      <w:proofErr w:type="spellEnd"/>
      <w:r>
        <w:rPr>
          <w:rFonts w:ascii="Times New Roman" w:eastAsia="Times New Roman" w:hAnsi="Times New Roman" w:cs="Times New Roman"/>
        </w:rPr>
        <w:t xml:space="preserve"> samples after over-expression of evolutionary forms of CGGBP1</w:t>
      </w:r>
    </w:p>
    <w:p w14:paraId="578D2A97" w14:textId="77777777" w:rsidR="00AA03F3" w:rsidRDefault="00AA03F3" w:rsidP="00AA03F3">
      <w:pPr>
        <w:pStyle w:val="LO-normal"/>
        <w:rPr>
          <w:rFonts w:ascii="Times New Roman" w:eastAsia="Times New Roman" w:hAnsi="Times New Roman" w:cs="Times New Roman"/>
        </w:rPr>
      </w:pPr>
    </w:p>
    <w:p w14:paraId="5DA7D8DE"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Table S14. Summary and stats of C-to-T transition in Differentially Captured Regions (DCRs) obtained from publicly available dataset (GSE202456)</w:t>
      </w:r>
    </w:p>
    <w:p w14:paraId="0B3799B7" w14:textId="77777777" w:rsidR="00AA03F3" w:rsidRDefault="00AA03F3" w:rsidP="00AA03F3">
      <w:pPr>
        <w:pStyle w:val="LO-normal"/>
        <w:rPr>
          <w:rFonts w:ascii="Times New Roman" w:eastAsia="Times New Roman" w:hAnsi="Times New Roman" w:cs="Times New Roman"/>
        </w:rPr>
      </w:pPr>
    </w:p>
    <w:p w14:paraId="6F10A585"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S15. </w:t>
      </w:r>
      <w:proofErr w:type="spellStart"/>
      <w:r>
        <w:rPr>
          <w:rFonts w:ascii="Times New Roman" w:eastAsia="Times New Roman" w:hAnsi="Times New Roman" w:cs="Times New Roman"/>
        </w:rPr>
        <w:t>Genomewide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normalised</w:t>
      </w:r>
      <w:proofErr w:type="spellEnd"/>
      <w:r>
        <w:rPr>
          <w:rFonts w:ascii="Times New Roman" w:eastAsia="Times New Roman" w:hAnsi="Times New Roman" w:cs="Times New Roman"/>
        </w:rPr>
        <w:t xml:space="preserve"> point mutation rates in GC-rich TFBS in publicly available </w:t>
      </w:r>
      <w:proofErr w:type="spellStart"/>
      <w:r>
        <w:rPr>
          <w:rFonts w:ascii="Times New Roman" w:eastAsia="Times New Roman" w:hAnsi="Times New Roman" w:cs="Times New Roman"/>
        </w:rPr>
        <w:t>MeDIP</w:t>
      </w:r>
      <w:proofErr w:type="spellEnd"/>
      <w:r>
        <w:rPr>
          <w:rFonts w:ascii="Times New Roman" w:eastAsia="Times New Roman" w:hAnsi="Times New Roman" w:cs="Times New Roman"/>
        </w:rPr>
        <w:t xml:space="preserve"> dataset (GSE281704) after over-expression of evolutionary forms of CGGBP1</w:t>
      </w:r>
    </w:p>
    <w:p w14:paraId="6CAAC751" w14:textId="77777777" w:rsidR="00AA03F3" w:rsidRDefault="00AA03F3" w:rsidP="00AA03F3">
      <w:pPr>
        <w:pStyle w:val="LO-normal"/>
        <w:rPr>
          <w:rFonts w:ascii="Times New Roman" w:eastAsia="Times New Roman" w:hAnsi="Times New Roman" w:cs="Times New Roman"/>
        </w:rPr>
      </w:pPr>
    </w:p>
    <w:p w14:paraId="6EAD4CC2"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Table S16. TFBS raw counts in pG4 of promoters and genomes along with their respective pG4 free background across 105 vertebrates and summary stats of promoter pG4 and free regions</w:t>
      </w:r>
    </w:p>
    <w:p w14:paraId="0966A2B2" w14:textId="77777777" w:rsidR="00AA03F3" w:rsidRDefault="00AA03F3" w:rsidP="00AA03F3">
      <w:pPr>
        <w:pStyle w:val="LO-normal"/>
        <w:rPr>
          <w:rFonts w:ascii="Times New Roman" w:eastAsia="Times New Roman" w:hAnsi="Times New Roman" w:cs="Times New Roman"/>
        </w:rPr>
      </w:pPr>
    </w:p>
    <w:p w14:paraId="417C2FA6"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Table S17. TFBS density in pG4s of promoters and genomes along with their respective pG4-free backgrounds</w:t>
      </w:r>
    </w:p>
    <w:p w14:paraId="543CDADB" w14:textId="77777777" w:rsidR="00AA03F3" w:rsidRDefault="00AA03F3" w:rsidP="00AA03F3">
      <w:pPr>
        <w:pStyle w:val="LO-normal"/>
        <w:rPr>
          <w:rFonts w:ascii="Times New Roman" w:eastAsia="Times New Roman" w:hAnsi="Times New Roman" w:cs="Times New Roman"/>
        </w:rPr>
      </w:pPr>
    </w:p>
    <w:p w14:paraId="3DA4DE72"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Table S18. TFBS density in pG4s of promoters and genome after subtraction of pG4-free background in homeothermic vs poikilothermic comparison</w:t>
      </w:r>
    </w:p>
    <w:p w14:paraId="78F6A1EA" w14:textId="77777777" w:rsidR="00AA03F3" w:rsidRDefault="00AA03F3" w:rsidP="00AA03F3">
      <w:pPr>
        <w:pStyle w:val="LO-normal"/>
        <w:rPr>
          <w:rFonts w:ascii="Times New Roman" w:eastAsia="Times New Roman" w:hAnsi="Times New Roman" w:cs="Times New Roman"/>
        </w:rPr>
      </w:pPr>
    </w:p>
    <w:p w14:paraId="28AE7A6E"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Table S19. Detailed summary of mean GC content of each TFBS, species-wise and thermal group wise in pG4s of promoters as well as genomes along with their respective background</w:t>
      </w:r>
    </w:p>
    <w:p w14:paraId="489BA181" w14:textId="77777777" w:rsidR="00AA03F3" w:rsidRDefault="00AA03F3" w:rsidP="00AA03F3">
      <w:pPr>
        <w:pStyle w:val="LO-normal"/>
        <w:rPr>
          <w:rFonts w:ascii="Times New Roman" w:eastAsia="Times New Roman" w:hAnsi="Times New Roman" w:cs="Times New Roman"/>
        </w:rPr>
      </w:pPr>
    </w:p>
    <w:p w14:paraId="158FC003"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S20. Statistical summary differentially enriched TFBS showing absolute and background </w:t>
      </w:r>
      <w:proofErr w:type="spellStart"/>
      <w:r>
        <w:rPr>
          <w:rFonts w:ascii="Times New Roman" w:eastAsia="Times New Roman" w:hAnsi="Times New Roman" w:cs="Times New Roman"/>
        </w:rPr>
        <w:t>normalised</w:t>
      </w:r>
      <w:proofErr w:type="spellEnd"/>
      <w:r>
        <w:rPr>
          <w:rFonts w:ascii="Times New Roman" w:eastAsia="Times New Roman" w:hAnsi="Times New Roman" w:cs="Times New Roman"/>
        </w:rPr>
        <w:t xml:space="preserve"> GC-retention in homeotherm vs. poikilotherm pG4s</w:t>
      </w:r>
    </w:p>
    <w:p w14:paraId="46C5E704" w14:textId="77777777" w:rsidR="00AA03F3" w:rsidRDefault="00AA03F3" w:rsidP="00AA03F3">
      <w:pPr>
        <w:pStyle w:val="LO-normal"/>
        <w:rPr>
          <w:rFonts w:ascii="Times New Roman" w:eastAsia="Times New Roman" w:hAnsi="Times New Roman" w:cs="Times New Roman"/>
        </w:rPr>
      </w:pPr>
    </w:p>
    <w:p w14:paraId="313C5993"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S21. Comprehensive detailed summary of differentially enriched TFBS GC-retention and overall top 50 GC-retentive motifs showing absolute and background </w:t>
      </w:r>
      <w:proofErr w:type="spellStart"/>
      <w:r>
        <w:rPr>
          <w:rFonts w:ascii="Times New Roman" w:eastAsia="Times New Roman" w:hAnsi="Times New Roman" w:cs="Times New Roman"/>
        </w:rPr>
        <w:t>normalised</w:t>
      </w:r>
      <w:proofErr w:type="spellEnd"/>
      <w:r>
        <w:rPr>
          <w:rFonts w:ascii="Times New Roman" w:eastAsia="Times New Roman" w:hAnsi="Times New Roman" w:cs="Times New Roman"/>
        </w:rPr>
        <w:t xml:space="preserve"> GC-retention in pG4s</w:t>
      </w:r>
    </w:p>
    <w:p w14:paraId="73451D10" w14:textId="77777777" w:rsidR="00AA03F3" w:rsidRDefault="00AA03F3" w:rsidP="00AA03F3">
      <w:pPr>
        <w:pStyle w:val="LO-normal"/>
        <w:rPr>
          <w:rFonts w:ascii="Times New Roman" w:eastAsia="Times New Roman" w:hAnsi="Times New Roman" w:cs="Times New Roman"/>
        </w:rPr>
      </w:pPr>
    </w:p>
    <w:p w14:paraId="3D78E5A6"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S22. Functional enrichment analysis summary of top 50 GC-retentive motifs in pG4s overall in absolute and background </w:t>
      </w:r>
      <w:proofErr w:type="spellStart"/>
      <w:r>
        <w:rPr>
          <w:rFonts w:ascii="Times New Roman" w:eastAsia="Times New Roman" w:hAnsi="Times New Roman" w:cs="Times New Roman"/>
        </w:rPr>
        <w:t>normalised</w:t>
      </w:r>
      <w:proofErr w:type="spellEnd"/>
      <w:r>
        <w:rPr>
          <w:rFonts w:ascii="Times New Roman" w:eastAsia="Times New Roman" w:hAnsi="Times New Roman" w:cs="Times New Roman"/>
        </w:rPr>
        <w:t xml:space="preserve"> category</w:t>
      </w:r>
    </w:p>
    <w:p w14:paraId="620EEE70" w14:textId="77777777" w:rsidR="00AA03F3" w:rsidRDefault="00AA03F3" w:rsidP="00AA03F3">
      <w:pPr>
        <w:pStyle w:val="LO-normal"/>
        <w:rPr>
          <w:rFonts w:ascii="Times New Roman" w:eastAsia="Times New Roman" w:hAnsi="Times New Roman" w:cs="Times New Roman"/>
        </w:rPr>
      </w:pPr>
    </w:p>
    <w:p w14:paraId="71DE366C" w14:textId="77777777" w:rsidR="00AA03F3" w:rsidRDefault="00AA03F3" w:rsidP="00AA03F3">
      <w:pPr>
        <w:pStyle w:val="LO-normal"/>
        <w:rPr>
          <w:rFonts w:ascii="Times New Roman" w:eastAsia="Times New Roman" w:hAnsi="Times New Roman" w:cs="Times New Roman"/>
        </w:rPr>
      </w:pPr>
      <w:r>
        <w:rPr>
          <w:rFonts w:ascii="Times New Roman" w:eastAsia="Times New Roman" w:hAnsi="Times New Roman" w:cs="Times New Roman"/>
        </w:rPr>
        <w:t xml:space="preserve">Table S23. Detailed summary of GC-retention in TFBS in and out of pG4s of promoters and genomes along with the enrichment status </w:t>
      </w:r>
    </w:p>
    <w:p w14:paraId="2E564F35"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rdo">
    <w:altName w:val="Cambria"/>
    <w:charset w:val="01"/>
    <w:family w:val="roman"/>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3F3"/>
    <w:rsid w:val="00020BF4"/>
    <w:rsid w:val="00066677"/>
    <w:rsid w:val="003A4E89"/>
    <w:rsid w:val="00556784"/>
    <w:rsid w:val="008B07A6"/>
    <w:rsid w:val="00987B63"/>
    <w:rsid w:val="00AA03F3"/>
    <w:rsid w:val="00D0760F"/>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140A5"/>
  <w15:chartTrackingRefBased/>
  <w15:docId w15:val="{39DC49E1-A54E-4526-82CA-A6EBF1C7D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03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03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03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03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03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03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03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03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03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03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03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03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03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03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03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03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03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03F3"/>
    <w:rPr>
      <w:rFonts w:eastAsiaTheme="majorEastAsia" w:cstheme="majorBidi"/>
      <w:color w:val="272727" w:themeColor="text1" w:themeTint="D8"/>
    </w:rPr>
  </w:style>
  <w:style w:type="paragraph" w:styleId="Title">
    <w:name w:val="Title"/>
    <w:basedOn w:val="Normal"/>
    <w:next w:val="Normal"/>
    <w:link w:val="TitleChar"/>
    <w:uiPriority w:val="10"/>
    <w:qFormat/>
    <w:rsid w:val="00AA03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03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03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03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03F3"/>
    <w:pPr>
      <w:spacing w:before="160"/>
      <w:jc w:val="center"/>
    </w:pPr>
    <w:rPr>
      <w:i/>
      <w:iCs/>
      <w:color w:val="404040" w:themeColor="text1" w:themeTint="BF"/>
    </w:rPr>
  </w:style>
  <w:style w:type="character" w:customStyle="1" w:styleId="QuoteChar">
    <w:name w:val="Quote Char"/>
    <w:basedOn w:val="DefaultParagraphFont"/>
    <w:link w:val="Quote"/>
    <w:uiPriority w:val="29"/>
    <w:rsid w:val="00AA03F3"/>
    <w:rPr>
      <w:i/>
      <w:iCs/>
      <w:color w:val="404040" w:themeColor="text1" w:themeTint="BF"/>
    </w:rPr>
  </w:style>
  <w:style w:type="paragraph" w:styleId="ListParagraph">
    <w:name w:val="List Paragraph"/>
    <w:basedOn w:val="Normal"/>
    <w:uiPriority w:val="34"/>
    <w:qFormat/>
    <w:rsid w:val="00AA03F3"/>
    <w:pPr>
      <w:ind w:left="720"/>
      <w:contextualSpacing/>
    </w:pPr>
  </w:style>
  <w:style w:type="character" w:styleId="IntenseEmphasis">
    <w:name w:val="Intense Emphasis"/>
    <w:basedOn w:val="DefaultParagraphFont"/>
    <w:uiPriority w:val="21"/>
    <w:qFormat/>
    <w:rsid w:val="00AA03F3"/>
    <w:rPr>
      <w:i/>
      <w:iCs/>
      <w:color w:val="0F4761" w:themeColor="accent1" w:themeShade="BF"/>
    </w:rPr>
  </w:style>
  <w:style w:type="paragraph" w:styleId="IntenseQuote">
    <w:name w:val="Intense Quote"/>
    <w:basedOn w:val="Normal"/>
    <w:next w:val="Normal"/>
    <w:link w:val="IntenseQuoteChar"/>
    <w:uiPriority w:val="30"/>
    <w:qFormat/>
    <w:rsid w:val="00AA03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03F3"/>
    <w:rPr>
      <w:i/>
      <w:iCs/>
      <w:color w:val="0F4761" w:themeColor="accent1" w:themeShade="BF"/>
    </w:rPr>
  </w:style>
  <w:style w:type="character" w:styleId="IntenseReference">
    <w:name w:val="Intense Reference"/>
    <w:basedOn w:val="DefaultParagraphFont"/>
    <w:uiPriority w:val="32"/>
    <w:qFormat/>
    <w:rsid w:val="00AA03F3"/>
    <w:rPr>
      <w:b/>
      <w:bCs/>
      <w:smallCaps/>
      <w:color w:val="0F4761" w:themeColor="accent1" w:themeShade="BF"/>
      <w:spacing w:val="5"/>
    </w:rPr>
  </w:style>
  <w:style w:type="paragraph" w:customStyle="1" w:styleId="LO-normal">
    <w:name w:val="LO-normal"/>
    <w:qFormat/>
    <w:rsid w:val="00AA03F3"/>
    <w:pPr>
      <w:suppressAutoHyphens/>
      <w:spacing w:after="0" w:line="276" w:lineRule="auto"/>
    </w:pPr>
    <w:rPr>
      <w:rFonts w:ascii="Arial" w:eastAsia="Arial" w:hAnsi="Arial" w:cs="Arial"/>
      <w:kern w:val="0"/>
      <w:sz w:val="22"/>
      <w:szCs w:val="22"/>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imetre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2525</Words>
  <Characters>15915</Characters>
  <Application>Microsoft Office Word</Application>
  <DocSecurity>0</DocSecurity>
  <Lines>251</Lines>
  <Paragraphs>47</Paragraphs>
  <ScaleCrop>false</ScaleCrop>
  <Company/>
  <LinksUpToDate>false</LinksUpToDate>
  <CharactersWithSpaces>18396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2026-03-26T09:09:00Z</dcterms:created>
  <dcterms:modified xsi:type="dcterms:W3CDTF">2026-03-26T09:12:00Z</dcterms:modified>
</cp:coreProperties>
</file>