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4F6EA" w14:textId="37F2B97E" w:rsidR="008D373D" w:rsidRPr="006437D0" w:rsidRDefault="008D373D" w:rsidP="008D373D">
      <w:pPr>
        <w:pStyle w:val="ac"/>
        <w:spacing w:line="480" w:lineRule="auto"/>
        <w:jc w:val="both"/>
        <w:rPr>
          <w:rFonts w:ascii="Times New Roman" w:eastAsia="HY신명조" w:hAnsi="Times New Roman" w:cs="Times New Roman"/>
        </w:rPr>
      </w:pPr>
    </w:p>
    <w:p w14:paraId="30913FA2" w14:textId="77777777" w:rsidR="008D373D" w:rsidRPr="006437D0" w:rsidRDefault="008D373D" w:rsidP="008D373D">
      <w:pPr>
        <w:pStyle w:val="ad"/>
        <w:spacing w:line="480" w:lineRule="auto"/>
        <w:jc w:val="both"/>
        <w:rPr>
          <w:rFonts w:ascii="Times New Roman" w:eastAsia="HY신명조" w:hAnsi="Times New Roman" w:cs="Times New Roman"/>
        </w:rPr>
      </w:pPr>
    </w:p>
    <w:p w14:paraId="4F42EE69" w14:textId="5111ED2F" w:rsidR="008D373D" w:rsidRPr="006437D0" w:rsidRDefault="008D373D" w:rsidP="008D373D">
      <w:pPr>
        <w:pStyle w:val="ac"/>
        <w:spacing w:line="480" w:lineRule="auto"/>
        <w:rPr>
          <w:rFonts w:ascii="Times New Roman" w:eastAsia="HY신명조" w:hAnsi="Times New Roman" w:cs="Times New Roman"/>
        </w:rPr>
      </w:pPr>
      <w:r w:rsidRPr="006437D0">
        <w:rPr>
          <w:rFonts w:ascii="Times New Roman" w:eastAsia="HY신명조" w:hAnsi="Times New Roman" w:cs="Times New Roman"/>
        </w:rPr>
        <w:t>Electrospun Fibers for Colorimetric Detection of Volatile Organic Compounds via Polyfluorene–Quinoxaline Copolymer Photoproperties</w:t>
      </w:r>
      <w:r w:rsidR="00864455">
        <w:rPr>
          <w:rFonts w:ascii="Times New Roman" w:eastAsia="HY신명조" w:hAnsi="Times New Roman" w:cs="Times New Roman"/>
        </w:rPr>
        <w:t xml:space="preserve"> Change</w:t>
      </w:r>
    </w:p>
    <w:p w14:paraId="55C113B3" w14:textId="77777777" w:rsidR="008D373D" w:rsidRPr="006437D0" w:rsidRDefault="008D373D" w:rsidP="008D373D">
      <w:pPr>
        <w:pStyle w:val="ac"/>
        <w:spacing w:line="480" w:lineRule="auto"/>
        <w:rPr>
          <w:rFonts w:ascii="Times New Roman" w:eastAsia="HY신명조" w:hAnsi="Times New Roman" w:cs="Times New Roman"/>
          <w:sz w:val="24"/>
          <w:szCs w:val="24"/>
        </w:rPr>
      </w:pPr>
    </w:p>
    <w:p w14:paraId="6B1DA6E5" w14:textId="77777777" w:rsidR="008D373D" w:rsidRPr="006437D0" w:rsidRDefault="008D373D" w:rsidP="008D373D">
      <w:pPr>
        <w:pStyle w:val="ad"/>
        <w:spacing w:line="480" w:lineRule="auto"/>
        <w:rPr>
          <w:rFonts w:ascii="Times New Roman" w:eastAsia="HY신명조" w:hAnsi="Times New Roman" w:cs="Times New Roman"/>
          <w:b/>
          <w:bCs/>
          <w:i w:val="0"/>
          <w:iCs w:val="0"/>
          <w:sz w:val="20"/>
          <w:szCs w:val="20"/>
          <w:vertAlign w:val="superscript"/>
        </w:rPr>
      </w:pPr>
      <w:bookmarkStart w:id="0" w:name="_Hlk223921604"/>
      <w:r w:rsidRPr="006437D0">
        <w:rPr>
          <w:rFonts w:ascii="Times New Roman" w:eastAsia="HY신명조" w:hAnsi="Times New Roman" w:cs="Times New Roman"/>
          <w:b/>
          <w:bCs/>
          <w:i w:val="0"/>
          <w:iCs w:val="0"/>
          <w:sz w:val="20"/>
          <w:szCs w:val="20"/>
        </w:rPr>
        <w:t>Jiyoung Boo</w:t>
      </w:r>
      <w:r w:rsidRPr="006437D0">
        <w:rPr>
          <w:rFonts w:ascii="Times New Roman" w:eastAsia="HY신명조" w:hAnsi="Times New Roman" w:cs="Times New Roman"/>
          <w:b/>
          <w:bCs/>
          <w:i w:val="0"/>
          <w:iCs w:val="0"/>
          <w:sz w:val="20"/>
          <w:szCs w:val="20"/>
          <w:vertAlign w:val="superscript"/>
        </w:rPr>
        <w:t>1,</w:t>
      </w:r>
      <w:r w:rsidRPr="006437D0">
        <w:rPr>
          <w:rFonts w:ascii="Times New Roman" w:eastAsia="HY신명조" w:hAnsi="Times New Roman" w:cs="Times New Roman"/>
          <w:i w:val="0"/>
          <w:iCs w:val="0"/>
          <w:color w:val="auto"/>
          <w:sz w:val="20"/>
          <w:szCs w:val="20"/>
          <w:vertAlign w:val="superscript"/>
        </w:rPr>
        <w:t>†</w:t>
      </w:r>
      <w:r>
        <w:rPr>
          <w:rFonts w:ascii="Times New Roman" w:eastAsia="HY신명조" w:hAnsi="Times New Roman" w:cs="Times New Roman" w:hint="eastAsia"/>
          <w:i w:val="0"/>
          <w:iCs w:val="0"/>
          <w:color w:val="auto"/>
          <w:sz w:val="20"/>
          <w:szCs w:val="20"/>
          <w:vertAlign w:val="superscript"/>
        </w:rPr>
        <w:t xml:space="preserve"> </w:t>
      </w:r>
      <w:r w:rsidRPr="006437D0">
        <w:rPr>
          <w:rFonts w:ascii="Times New Roman" w:eastAsia="HY신명조" w:hAnsi="Times New Roman" w:cs="Times New Roman"/>
          <w:b/>
          <w:bCs/>
          <w:i w:val="0"/>
          <w:iCs w:val="0"/>
          <w:sz w:val="20"/>
          <w:szCs w:val="20"/>
        </w:rPr>
        <w:t>·</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rPr>
        <w:t>Jae Doo Nam</w:t>
      </w:r>
      <w:r w:rsidRPr="006437D0">
        <w:rPr>
          <w:rFonts w:ascii="Times New Roman" w:eastAsia="HY신명조" w:hAnsi="Times New Roman" w:cs="Times New Roman"/>
          <w:b/>
          <w:bCs/>
          <w:i w:val="0"/>
          <w:iCs w:val="0"/>
          <w:sz w:val="20"/>
          <w:szCs w:val="20"/>
          <w:vertAlign w:val="superscript"/>
        </w:rPr>
        <w:t>2,</w:t>
      </w:r>
      <w:r w:rsidRPr="006437D0">
        <w:rPr>
          <w:rFonts w:ascii="Times New Roman" w:eastAsia="HY신명조" w:hAnsi="Times New Roman" w:cs="Times New Roman"/>
          <w:i w:val="0"/>
          <w:iCs w:val="0"/>
          <w:color w:val="auto"/>
          <w:sz w:val="20"/>
          <w:szCs w:val="20"/>
          <w:vertAlign w:val="superscript"/>
        </w:rPr>
        <w:t>†</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rPr>
        <w:t>·</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rPr>
        <w:t>Seongwan Bae</w:t>
      </w:r>
      <w:r w:rsidRPr="006437D0">
        <w:rPr>
          <w:rFonts w:ascii="Times New Roman" w:eastAsia="HY신명조" w:hAnsi="Times New Roman" w:cs="Times New Roman"/>
          <w:b/>
          <w:bCs/>
          <w:i w:val="0"/>
          <w:iCs w:val="0"/>
          <w:sz w:val="20"/>
          <w:szCs w:val="20"/>
          <w:vertAlign w:val="superscript"/>
        </w:rPr>
        <w:t>1,</w:t>
      </w:r>
      <w:r w:rsidRPr="006437D0">
        <w:rPr>
          <w:rFonts w:ascii="Times New Roman" w:eastAsia="HY신명조" w:hAnsi="Times New Roman" w:cs="Times New Roman"/>
          <w:i w:val="0"/>
          <w:iCs w:val="0"/>
          <w:color w:val="auto"/>
          <w:sz w:val="20"/>
          <w:szCs w:val="20"/>
          <w:vertAlign w:val="superscript"/>
        </w:rPr>
        <w:t>†</w:t>
      </w:r>
      <w:r>
        <w:rPr>
          <w:rFonts w:ascii="Times New Roman" w:eastAsia="HY신명조" w:hAnsi="Times New Roman" w:cs="Times New Roman" w:hint="eastAsia"/>
          <w:i w:val="0"/>
          <w:iCs w:val="0"/>
          <w:color w:val="auto"/>
          <w:sz w:val="20"/>
          <w:szCs w:val="20"/>
          <w:vertAlign w:val="superscript"/>
        </w:rPr>
        <w:t xml:space="preserve"> </w:t>
      </w:r>
      <w:r w:rsidRPr="006437D0">
        <w:rPr>
          <w:rFonts w:ascii="Times New Roman" w:eastAsia="HY신명조" w:hAnsi="Times New Roman" w:cs="Times New Roman"/>
          <w:b/>
          <w:bCs/>
          <w:i w:val="0"/>
          <w:iCs w:val="0"/>
          <w:sz w:val="20"/>
          <w:szCs w:val="20"/>
        </w:rPr>
        <w:t>·</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rPr>
        <w:t>Jae Yong Lee</w:t>
      </w:r>
      <w:r w:rsidRPr="006437D0">
        <w:rPr>
          <w:rFonts w:ascii="Times New Roman" w:eastAsia="HY신명조" w:hAnsi="Times New Roman" w:cs="Times New Roman"/>
          <w:b/>
          <w:bCs/>
          <w:i w:val="0"/>
          <w:iCs w:val="0"/>
          <w:sz w:val="20"/>
          <w:szCs w:val="20"/>
          <w:vertAlign w:val="superscript"/>
        </w:rPr>
        <w:t>2</w:t>
      </w:r>
      <w:r w:rsidRPr="006437D0">
        <w:rPr>
          <w:rFonts w:ascii="Times New Roman" w:eastAsia="HY신명조" w:hAnsi="Times New Roman" w:cs="Times New Roman"/>
          <w:b/>
          <w:bCs/>
          <w:i w:val="0"/>
          <w:iCs w:val="0"/>
          <w:sz w:val="20"/>
          <w:szCs w:val="20"/>
        </w:rPr>
        <w:t xml:space="preserve"> ·</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rPr>
        <w:t>Jinho Choi</w:t>
      </w:r>
      <w:r w:rsidRPr="006437D0">
        <w:rPr>
          <w:rFonts w:ascii="Times New Roman" w:eastAsia="HY신명조" w:hAnsi="Times New Roman" w:cs="Times New Roman"/>
          <w:b/>
          <w:bCs/>
          <w:i w:val="0"/>
          <w:iCs w:val="0"/>
          <w:sz w:val="20"/>
          <w:szCs w:val="20"/>
          <w:vertAlign w:val="superscript"/>
        </w:rPr>
        <w:t>3,*</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rPr>
        <w:t>·</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rPr>
        <w:t>Dong Hyuk Park</w:t>
      </w:r>
      <w:r w:rsidRPr="006437D0">
        <w:rPr>
          <w:rFonts w:ascii="Times New Roman" w:eastAsia="HY신명조" w:hAnsi="Times New Roman" w:cs="Times New Roman"/>
          <w:b/>
          <w:bCs/>
          <w:i w:val="0"/>
          <w:iCs w:val="0"/>
          <w:sz w:val="20"/>
          <w:szCs w:val="20"/>
          <w:vertAlign w:val="superscript"/>
        </w:rPr>
        <w:t>1,*</w:t>
      </w:r>
      <w:r>
        <w:rPr>
          <w:rFonts w:ascii="Times New Roman" w:eastAsia="HY신명조" w:hAnsi="Times New Roman" w:cs="Times New Roman" w:hint="eastAsia"/>
          <w:i w:val="0"/>
          <w:iCs w:val="0"/>
          <w:color w:val="auto"/>
          <w:sz w:val="20"/>
          <w:szCs w:val="20"/>
          <w:vertAlign w:val="superscript"/>
        </w:rPr>
        <w:t xml:space="preserve"> </w:t>
      </w:r>
      <w:r w:rsidRPr="006437D0">
        <w:rPr>
          <w:rFonts w:ascii="Times New Roman" w:eastAsia="HY신명조" w:hAnsi="Times New Roman" w:cs="Times New Roman"/>
          <w:b/>
          <w:bCs/>
          <w:i w:val="0"/>
          <w:iCs w:val="0"/>
          <w:sz w:val="20"/>
          <w:szCs w:val="20"/>
        </w:rPr>
        <w:t>·</w:t>
      </w:r>
      <w:r>
        <w:rPr>
          <w:rFonts w:ascii="Times New Roman" w:eastAsia="HY신명조" w:hAnsi="Times New Roman" w:cs="Times New Roman" w:hint="eastAsia"/>
          <w:b/>
          <w:bCs/>
          <w:i w:val="0"/>
          <w:iCs w:val="0"/>
          <w:sz w:val="20"/>
          <w:szCs w:val="20"/>
        </w:rPr>
        <w:t xml:space="preserve"> </w:t>
      </w:r>
      <w:r w:rsidRPr="006437D0">
        <w:rPr>
          <w:rFonts w:ascii="Times New Roman" w:eastAsia="HY신명조" w:hAnsi="Times New Roman" w:cs="Times New Roman"/>
          <w:b/>
          <w:bCs/>
          <w:i w:val="0"/>
          <w:iCs w:val="0"/>
          <w:sz w:val="20"/>
          <w:szCs w:val="20"/>
          <w:vertAlign w:val="superscript"/>
        </w:rPr>
        <w:t xml:space="preserve"> </w:t>
      </w:r>
      <w:r>
        <w:rPr>
          <w:rFonts w:ascii="Times New Roman" w:eastAsia="HY신명조" w:hAnsi="Times New Roman" w:cs="Times New Roman" w:hint="eastAsia"/>
          <w:i w:val="0"/>
          <w:iCs w:val="0"/>
          <w:color w:val="auto"/>
          <w:sz w:val="20"/>
          <w:szCs w:val="20"/>
          <w:vertAlign w:val="superscript"/>
        </w:rPr>
        <w:t xml:space="preserve"> </w:t>
      </w:r>
      <w:r w:rsidRPr="006437D0">
        <w:rPr>
          <w:rFonts w:ascii="Times New Roman" w:eastAsia="HY신명조" w:hAnsi="Times New Roman" w:cs="Times New Roman"/>
          <w:b/>
          <w:bCs/>
          <w:i w:val="0"/>
          <w:iCs w:val="0"/>
          <w:sz w:val="20"/>
          <w:szCs w:val="20"/>
        </w:rPr>
        <w:t>· Jongho Kim</w:t>
      </w:r>
      <w:r w:rsidRPr="006437D0">
        <w:rPr>
          <w:rFonts w:ascii="Times New Roman" w:eastAsia="HY신명조" w:hAnsi="Times New Roman" w:cs="Times New Roman"/>
          <w:b/>
          <w:bCs/>
          <w:i w:val="0"/>
          <w:iCs w:val="0"/>
          <w:sz w:val="20"/>
          <w:szCs w:val="20"/>
          <w:vertAlign w:val="superscript"/>
        </w:rPr>
        <w:t>2,*</w:t>
      </w:r>
    </w:p>
    <w:bookmarkEnd w:id="0"/>
    <w:p w14:paraId="6B989C78" w14:textId="77777777" w:rsidR="008D373D" w:rsidRPr="006437D0" w:rsidRDefault="008D373D" w:rsidP="008D373D">
      <w:pPr>
        <w:pStyle w:val="ad"/>
        <w:spacing w:line="480" w:lineRule="auto"/>
        <w:rPr>
          <w:rFonts w:ascii="Times New Roman" w:eastAsia="HY신명조" w:hAnsi="Times New Roman" w:cs="Times New Roman"/>
          <w:b/>
          <w:bCs/>
          <w:i w:val="0"/>
          <w:iCs w:val="0"/>
          <w:sz w:val="20"/>
          <w:szCs w:val="20"/>
        </w:rPr>
      </w:pPr>
    </w:p>
    <w:p w14:paraId="58B79C68" w14:textId="77777777" w:rsidR="008D373D" w:rsidRPr="006437D0" w:rsidRDefault="008D373D" w:rsidP="008D373D">
      <w:pPr>
        <w:pStyle w:val="ae"/>
        <w:spacing w:line="480" w:lineRule="auto"/>
        <w:rPr>
          <w:rFonts w:ascii="Times New Roman" w:eastAsia="HY신명조" w:hAnsi="Times New Roman" w:cs="Times New Roman"/>
          <w:sz w:val="18"/>
          <w:szCs w:val="18"/>
        </w:rPr>
      </w:pPr>
      <w:r w:rsidRPr="006437D0">
        <w:rPr>
          <w:rFonts w:ascii="Times New Roman" w:eastAsia="HY신명조" w:hAnsi="Times New Roman" w:cs="Times New Roman"/>
          <w:i w:val="0"/>
          <w:iCs w:val="0"/>
          <w:sz w:val="20"/>
          <w:szCs w:val="20"/>
          <w:vertAlign w:val="superscript"/>
        </w:rPr>
        <w:t>1</w:t>
      </w:r>
      <w:r w:rsidRPr="006437D0">
        <w:rPr>
          <w:rFonts w:ascii="Times New Roman" w:eastAsia="HY신명조" w:hAnsi="Times New Roman" w:cs="Times New Roman"/>
          <w:sz w:val="18"/>
          <w:szCs w:val="18"/>
        </w:rPr>
        <w:t>Department of Chemical Engineering, Inha University, Incheon 22212, Republic of Korea</w:t>
      </w:r>
    </w:p>
    <w:p w14:paraId="16F82284" w14:textId="77777777" w:rsidR="008D373D" w:rsidRPr="006437D0" w:rsidRDefault="008D373D" w:rsidP="008D373D">
      <w:pPr>
        <w:pStyle w:val="ae"/>
        <w:spacing w:line="480" w:lineRule="auto"/>
        <w:rPr>
          <w:rFonts w:ascii="Times New Roman" w:eastAsia="HY신명조" w:hAnsi="Times New Roman" w:cs="Times New Roman"/>
          <w:sz w:val="18"/>
          <w:szCs w:val="18"/>
        </w:rPr>
      </w:pPr>
      <w:r w:rsidRPr="006437D0">
        <w:rPr>
          <w:rFonts w:ascii="Times New Roman" w:eastAsia="HY신명조" w:hAnsi="Times New Roman" w:cs="Times New Roman"/>
          <w:i w:val="0"/>
          <w:iCs w:val="0"/>
          <w:vertAlign w:val="superscript"/>
        </w:rPr>
        <w:t>2</w:t>
      </w:r>
      <w:r w:rsidRPr="006437D0">
        <w:rPr>
          <w:rFonts w:ascii="Times New Roman" w:eastAsia="HY신명조" w:hAnsi="Times New Roman" w:cs="Times New Roman"/>
          <w:sz w:val="18"/>
          <w:szCs w:val="18"/>
        </w:rPr>
        <w:t>Department of Textile System Engineering, Kyungpook National University, Daegu 41566, Republic of Korea</w:t>
      </w:r>
    </w:p>
    <w:p w14:paraId="4850E889" w14:textId="77777777" w:rsidR="008D373D" w:rsidRPr="006437D0" w:rsidRDefault="008D373D" w:rsidP="008D373D">
      <w:pPr>
        <w:pStyle w:val="ae"/>
        <w:spacing w:line="480" w:lineRule="auto"/>
        <w:rPr>
          <w:rFonts w:ascii="Times New Roman" w:eastAsia="HY신명조" w:hAnsi="Times New Roman" w:cs="Times New Roman"/>
          <w:color w:val="auto"/>
          <w:sz w:val="18"/>
          <w:szCs w:val="18"/>
        </w:rPr>
      </w:pPr>
      <w:r w:rsidRPr="006437D0">
        <w:rPr>
          <w:rFonts w:ascii="Times New Roman" w:eastAsia="HY신명조" w:hAnsi="Times New Roman" w:cs="Times New Roman"/>
          <w:i w:val="0"/>
          <w:iCs w:val="0"/>
          <w:vertAlign w:val="superscript"/>
        </w:rPr>
        <w:t>3</w:t>
      </w:r>
      <w:r w:rsidRPr="006437D0">
        <w:rPr>
          <w:rFonts w:ascii="Times New Roman" w:eastAsia="HY신명조" w:hAnsi="Times New Roman" w:cs="Times New Roman"/>
          <w:color w:val="auto"/>
          <w:sz w:val="18"/>
          <w:szCs w:val="18"/>
        </w:rPr>
        <w:t>Department of Materials Science and Engineering, University of Michigan, Ann Arbor, Michigan 48109, USA</w:t>
      </w:r>
    </w:p>
    <w:p w14:paraId="62F5ADA7" w14:textId="77777777" w:rsidR="008D373D" w:rsidRPr="006437D0" w:rsidRDefault="008D373D" w:rsidP="008D373D">
      <w:pPr>
        <w:pStyle w:val="ae"/>
        <w:spacing w:line="480" w:lineRule="auto"/>
        <w:rPr>
          <w:rFonts w:ascii="Times New Roman" w:eastAsia="HY신명조" w:hAnsi="Times New Roman" w:cs="Times New Roman"/>
          <w:color w:val="auto"/>
          <w:sz w:val="18"/>
          <w:szCs w:val="18"/>
        </w:rPr>
      </w:pPr>
    </w:p>
    <w:p w14:paraId="0613D05D" w14:textId="77777777" w:rsidR="008D373D" w:rsidRPr="006437D0" w:rsidRDefault="008D373D" w:rsidP="008D373D">
      <w:pPr>
        <w:pStyle w:val="ae"/>
        <w:spacing w:line="480" w:lineRule="auto"/>
        <w:rPr>
          <w:rFonts w:ascii="Times New Roman" w:eastAsia="HY신명조" w:hAnsi="Times New Roman" w:cs="Times New Roman"/>
          <w:color w:val="auto"/>
          <w:sz w:val="18"/>
          <w:szCs w:val="18"/>
        </w:rPr>
        <w:sectPr w:rsidR="008D373D" w:rsidRPr="006437D0" w:rsidSect="008D373D">
          <w:pgSz w:w="11906" w:h="16838"/>
          <w:pgMar w:top="1701" w:right="1440" w:bottom="1440" w:left="1440" w:header="851" w:footer="992" w:gutter="0"/>
          <w:cols w:space="425"/>
          <w:docGrid w:linePitch="360"/>
        </w:sectPr>
      </w:pPr>
      <w:r w:rsidRPr="006437D0">
        <w:rPr>
          <w:rFonts w:ascii="Times New Roman" w:eastAsia="HY신명조" w:hAnsi="Times New Roman" w:cs="Times New Roman"/>
          <w:color w:val="auto"/>
          <w:sz w:val="18"/>
          <w:szCs w:val="18"/>
          <w:vertAlign w:val="superscript"/>
        </w:rPr>
        <w:t>†</w:t>
      </w:r>
      <w:r w:rsidRPr="006437D0">
        <w:rPr>
          <w:rFonts w:ascii="Times New Roman" w:eastAsia="HY신명조" w:hAnsi="Times New Roman" w:cs="Times New Roman"/>
          <w:color w:val="auto"/>
          <w:sz w:val="18"/>
          <w:szCs w:val="18"/>
        </w:rPr>
        <w:t>These authors contributed equally to this work.</w:t>
      </w:r>
    </w:p>
    <w:p w14:paraId="49D4232B" w14:textId="21E90582" w:rsidR="008D373D" w:rsidRPr="006437D0" w:rsidRDefault="008D373D" w:rsidP="008D373D">
      <w:pPr>
        <w:pStyle w:val="ab"/>
        <w:spacing w:before="0" w:beforeAutospacing="0" w:line="480" w:lineRule="auto"/>
        <w:rPr>
          <w:rFonts w:ascii="Times New Roman" w:eastAsia="HY신명조" w:hAnsi="Times New Roman" w:cs="Times New Roman"/>
          <w:b/>
          <w:sz w:val="22"/>
          <w:szCs w:val="22"/>
        </w:rPr>
      </w:pPr>
      <w:r w:rsidRPr="006437D0">
        <w:rPr>
          <w:rFonts w:ascii="Times New Roman" w:eastAsia="HY신명조" w:hAnsi="Times New Roman" w:cs="Times New Roman"/>
          <w:b/>
          <w:sz w:val="28"/>
          <w:szCs w:val="28"/>
        </w:rPr>
        <w:lastRenderedPageBreak/>
        <w:t>Supporting Information</w:t>
      </w:r>
    </w:p>
    <w:p w14:paraId="6A56090D" w14:textId="77777777" w:rsidR="008D373D" w:rsidRPr="004F0929" w:rsidRDefault="008D373D" w:rsidP="008D373D">
      <w:pPr>
        <w:pStyle w:val="aa"/>
        <w:spacing w:line="480" w:lineRule="auto"/>
        <w:rPr>
          <w:rFonts w:ascii="Times New Roman" w:eastAsia="HY신명조" w:hAnsi="Times New Roman" w:cs="Times New Roman"/>
          <w:b/>
          <w:bCs/>
          <w:sz w:val="24"/>
          <w:szCs w:val="24"/>
        </w:rPr>
      </w:pPr>
      <w:r w:rsidRPr="004F0929">
        <w:rPr>
          <w:rFonts w:ascii="Times New Roman" w:eastAsia="HY신명조" w:hAnsi="Times New Roman" w:cs="Times New Roman"/>
          <w:b/>
          <w:bCs/>
          <w:sz w:val="24"/>
          <w:szCs w:val="24"/>
        </w:rPr>
        <w:t>Synthesis of PFO@QX Copolymer</w:t>
      </w:r>
    </w:p>
    <w:p w14:paraId="01A62F2A" w14:textId="77777777" w:rsidR="008D373D" w:rsidRPr="006437D0" w:rsidRDefault="008D373D" w:rsidP="008D373D">
      <w:pPr>
        <w:pStyle w:val="aa"/>
        <w:spacing w:line="480" w:lineRule="auto"/>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 xml:space="preserve">1. Synthesis of PFO@QX 50:50 Copolymer </w:t>
      </w:r>
    </w:p>
    <w:p w14:paraId="5F6BFFE6" w14:textId="77777777" w:rsidR="008D373D" w:rsidRDefault="008D373D" w:rsidP="008D373D">
      <w:pPr>
        <w:pStyle w:val="aa"/>
        <w:spacing w:line="480" w:lineRule="auto"/>
        <w:ind w:firstLineChars="100" w:firstLine="220"/>
        <w:rPr>
          <w:rFonts w:ascii="Times New Roman" w:eastAsia="HY신명조" w:hAnsi="Times New Roman" w:cs="Times New Roman"/>
          <w:sz w:val="22"/>
          <w:szCs w:val="22"/>
        </w:rPr>
      </w:pPr>
      <w:r w:rsidRPr="006437D0">
        <w:rPr>
          <w:rFonts w:ascii="Times New Roman" w:eastAsia="HY신명조" w:hAnsi="Times New Roman" w:cs="Times New Roman"/>
          <w:sz w:val="22"/>
          <w:szCs w:val="22"/>
        </w:rPr>
        <w:t>A 3-neck round-bottom flask was charged with M1 (0.192 g, 0.350 mmol), M2 (0.450 g, 0.700 mmol), and M3 (0.101 g, 0.350 mmol) and purged with argon gas. After sufficient degassing, toluene (10.0 mL) and a 2M aqueous K</w:t>
      </w:r>
      <w:r w:rsidRPr="006437D0">
        <w:rPr>
          <w:rFonts w:ascii="Times New Roman" w:eastAsia="HY신명조" w:hAnsi="Times New Roman" w:cs="Times New Roman"/>
          <w:sz w:val="22"/>
          <w:szCs w:val="22"/>
          <w:vertAlign w:val="subscript"/>
        </w:rPr>
        <w:t>2</w:t>
      </w:r>
      <w:r w:rsidRPr="006437D0">
        <w:rPr>
          <w:rFonts w:ascii="Times New Roman" w:eastAsia="HY신명조" w:hAnsi="Times New Roman" w:cs="Times New Roman"/>
          <w:sz w:val="22"/>
          <w:szCs w:val="22"/>
        </w:rPr>
        <w:t>CO</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xml:space="preserve"> solution (8.0 mL) were added to the reaction mixture, followed by the addition of Pd(PPh</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w:t>
      </w:r>
      <w:r w:rsidRPr="006437D0">
        <w:rPr>
          <w:rFonts w:ascii="Times New Roman" w:eastAsia="HY신명조" w:hAnsi="Times New Roman" w:cs="Times New Roman"/>
          <w:sz w:val="22"/>
          <w:szCs w:val="22"/>
          <w:vertAlign w:val="subscript"/>
        </w:rPr>
        <w:t>4</w:t>
      </w:r>
      <w:r w:rsidRPr="006437D0">
        <w:rPr>
          <w:rFonts w:ascii="Times New Roman" w:eastAsia="HY신명조" w:hAnsi="Times New Roman" w:cs="Times New Roman"/>
          <w:sz w:val="22"/>
          <w:szCs w:val="22"/>
        </w:rPr>
        <w:t xml:space="preserve"> (0.040 g, 5.0 mol%) and Aliquat 336 as a phase-transfer catalyst. The reaction mixture was refluxed at 95°C under an argon atmosphere for 48 h. After completion of the polymerization, M4 (1.0 mL, 0.128 mmol) was added and the reaction mixture was further refluxed for 1.5 h. Subsequently, M5 (1.0 mL, 0.128 mmol) was added, and the reaction mixture was further refluxed for an additional 1.5 h. After cooling to room temperature, the reaction mixture was poured into methanol, and then the precipitated polymer was collected by filtration and washed with methanol, acetone, and distilled water. The crude polymer was purified by Soxhlet extraction with methanol and acetone, followed by collection using chloroform. After drying in a vacuum oven, the polymer was obtained (0.288 g, 47.11%). </w:t>
      </w:r>
      <w:r w:rsidRPr="006437D0">
        <w:rPr>
          <w:rFonts w:ascii="Times New Roman" w:eastAsia="HY신명조" w:hAnsi="Times New Roman" w:cs="Times New Roman"/>
          <w:sz w:val="22"/>
          <w:szCs w:val="22"/>
          <w:vertAlign w:val="superscript"/>
        </w:rPr>
        <w:t>1</w:t>
      </w:r>
      <w:r w:rsidRPr="006437D0">
        <w:rPr>
          <w:rFonts w:ascii="Times New Roman" w:eastAsia="HY신명조" w:hAnsi="Times New Roman" w:cs="Times New Roman"/>
          <w:sz w:val="22"/>
          <w:szCs w:val="22"/>
        </w:rPr>
        <w:t>H NMR (300 MHz, CDCl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δ 7.87–7.69 (m), 2.13 (s), 1.28–0.80 ppm (m). GPC (CHCl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polystyrene standards): M</w:t>
      </w:r>
      <w:r w:rsidRPr="006437D0">
        <w:rPr>
          <w:rFonts w:ascii="Times New Roman" w:eastAsia="HY신명조" w:hAnsi="Times New Roman" w:cs="Times New Roman"/>
          <w:sz w:val="22"/>
          <w:szCs w:val="22"/>
          <w:vertAlign w:val="subscript"/>
        </w:rPr>
        <w:t xml:space="preserve">n </w:t>
      </w:r>
      <w:r w:rsidRPr="006437D0">
        <w:rPr>
          <w:rFonts w:ascii="Times New Roman" w:eastAsia="HY신명조" w:hAnsi="Times New Roman" w:cs="Times New Roman"/>
          <w:sz w:val="22"/>
          <w:szCs w:val="22"/>
        </w:rPr>
        <w:t>= 6255, M</w:t>
      </w:r>
      <w:r w:rsidRPr="006437D0">
        <w:rPr>
          <w:rFonts w:ascii="Times New Roman" w:eastAsia="HY신명조" w:hAnsi="Times New Roman" w:cs="Times New Roman"/>
          <w:sz w:val="22"/>
          <w:szCs w:val="22"/>
          <w:vertAlign w:val="subscript"/>
        </w:rPr>
        <w:t>w</w:t>
      </w:r>
      <w:r w:rsidRPr="006437D0">
        <w:rPr>
          <w:rFonts w:ascii="Times New Roman" w:eastAsia="HY신명조" w:hAnsi="Times New Roman" w:cs="Times New Roman"/>
          <w:sz w:val="22"/>
          <w:szCs w:val="22"/>
        </w:rPr>
        <w:t xml:space="preserve"> = 12148, PDI = 1.94.</w:t>
      </w:r>
    </w:p>
    <w:p w14:paraId="4D4509C0" w14:textId="77777777" w:rsidR="008D373D" w:rsidRPr="006437D0" w:rsidRDefault="008D373D" w:rsidP="008D373D">
      <w:pPr>
        <w:pStyle w:val="aa"/>
        <w:spacing w:line="480" w:lineRule="auto"/>
        <w:ind w:firstLineChars="100" w:firstLine="220"/>
        <w:rPr>
          <w:rFonts w:ascii="Times New Roman" w:eastAsia="HY신명조" w:hAnsi="Times New Roman" w:cs="Times New Roman"/>
          <w:sz w:val="22"/>
          <w:szCs w:val="22"/>
        </w:rPr>
      </w:pPr>
    </w:p>
    <w:p w14:paraId="6C93DEF8" w14:textId="77777777" w:rsidR="008D373D" w:rsidRPr="006437D0" w:rsidRDefault="008D373D" w:rsidP="008D373D">
      <w:pPr>
        <w:pStyle w:val="aa"/>
        <w:spacing w:line="480" w:lineRule="auto"/>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2. Synthesis of PFO@QX 70:30 Copolymer</w:t>
      </w:r>
    </w:p>
    <w:p w14:paraId="7FDDB039" w14:textId="77777777" w:rsidR="008D373D" w:rsidRDefault="008D373D" w:rsidP="008D373D">
      <w:pPr>
        <w:pStyle w:val="aa"/>
        <w:spacing w:line="480" w:lineRule="auto"/>
        <w:ind w:firstLineChars="100" w:firstLine="220"/>
        <w:rPr>
          <w:rFonts w:ascii="Times New Roman" w:eastAsia="HY신명조" w:hAnsi="Times New Roman" w:cs="Times New Roman"/>
          <w:sz w:val="22"/>
          <w:szCs w:val="22"/>
        </w:rPr>
      </w:pPr>
      <w:r w:rsidRPr="006437D0">
        <w:rPr>
          <w:rFonts w:ascii="Times New Roman" w:eastAsia="HY신명조" w:hAnsi="Times New Roman" w:cs="Times New Roman"/>
          <w:sz w:val="22"/>
          <w:szCs w:val="22"/>
        </w:rPr>
        <w:t>A 3-neck round-bottom flask was charged with M1 (0.269 g, 0.490 mmol), M2 (0.450 g, 0.700 mmol), and M3 (0.060 g, 0.210 mmol) and purged with argon gas. After sufficient degassing, toluene (10.0 mL) and a 2M aqueous K</w:t>
      </w:r>
      <w:r w:rsidRPr="006437D0">
        <w:rPr>
          <w:rFonts w:ascii="Times New Roman" w:eastAsia="HY신명조" w:hAnsi="Times New Roman" w:cs="Times New Roman"/>
          <w:sz w:val="22"/>
          <w:szCs w:val="22"/>
          <w:vertAlign w:val="subscript"/>
        </w:rPr>
        <w:t>2</w:t>
      </w:r>
      <w:r w:rsidRPr="006437D0">
        <w:rPr>
          <w:rFonts w:ascii="Times New Roman" w:eastAsia="HY신명조" w:hAnsi="Times New Roman" w:cs="Times New Roman"/>
          <w:sz w:val="22"/>
          <w:szCs w:val="22"/>
        </w:rPr>
        <w:t>CO</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xml:space="preserve"> solution (8.0 mL) were added to the reaction mixture, followed by the addition of Pd(PPh</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w:t>
      </w:r>
      <w:r w:rsidRPr="006437D0">
        <w:rPr>
          <w:rFonts w:ascii="Times New Roman" w:eastAsia="HY신명조" w:hAnsi="Times New Roman" w:cs="Times New Roman"/>
          <w:sz w:val="22"/>
          <w:szCs w:val="22"/>
          <w:vertAlign w:val="subscript"/>
        </w:rPr>
        <w:t>4</w:t>
      </w:r>
      <w:r w:rsidRPr="006437D0">
        <w:rPr>
          <w:rFonts w:ascii="Times New Roman" w:eastAsia="HY신명조" w:hAnsi="Times New Roman" w:cs="Times New Roman"/>
          <w:sz w:val="22"/>
          <w:szCs w:val="22"/>
        </w:rPr>
        <w:t xml:space="preserve"> (0.040 g, 5.0 mol%) and Aliquat 336 as a phase-transfer catalyst. The reaction mixture was refluxed at 95°C under an argon atmosphere for 48 h. After completion of the polymerization, M4 (1.0 mL, 0.128 mmol) was added and the reaction mixture was further refluxed for 1.5 h. Subsequently, M5 (1.0 mL, 0.128 mmol) was added, and the reaction mixture was further refluxed for an additional 1.5 h. After cooling to room temperature, the reaction mixture was poured into methanol, and then the </w:t>
      </w:r>
      <w:r w:rsidRPr="006437D0">
        <w:rPr>
          <w:rFonts w:ascii="Times New Roman" w:eastAsia="HY신명조" w:hAnsi="Times New Roman" w:cs="Times New Roman"/>
          <w:sz w:val="22"/>
          <w:szCs w:val="22"/>
        </w:rPr>
        <w:lastRenderedPageBreak/>
        <w:t xml:space="preserve">precipitated polymer was collected by filtration and washed with methanol, acetone, and distilled water. The crude polymer was purified by Soxhlet extraction with methanol and acetone, followed by collection using chloroform. After drying in a vacuum oven, the polymer was obtained (0.2421 g, 44.80%). </w:t>
      </w:r>
      <w:r w:rsidRPr="006437D0">
        <w:rPr>
          <w:rFonts w:ascii="Times New Roman" w:eastAsia="HY신명조" w:hAnsi="Times New Roman" w:cs="Times New Roman"/>
          <w:sz w:val="22"/>
          <w:szCs w:val="22"/>
          <w:vertAlign w:val="superscript"/>
        </w:rPr>
        <w:t>1</w:t>
      </w:r>
      <w:r w:rsidRPr="006437D0">
        <w:rPr>
          <w:rFonts w:ascii="Times New Roman" w:eastAsia="HY신명조" w:hAnsi="Times New Roman" w:cs="Times New Roman"/>
          <w:sz w:val="22"/>
          <w:szCs w:val="22"/>
        </w:rPr>
        <w:t>H NMR (300 MHz, CDCl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δ 7.87–7.69 (m), 2.13 (s), 1.28–0.80 ppm (m). GPC (CHCl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polystyrene standards): M</w:t>
      </w:r>
      <w:r w:rsidRPr="006437D0">
        <w:rPr>
          <w:rFonts w:ascii="Times New Roman" w:eastAsia="HY신명조" w:hAnsi="Times New Roman" w:cs="Times New Roman"/>
          <w:sz w:val="22"/>
          <w:szCs w:val="22"/>
          <w:vertAlign w:val="subscript"/>
        </w:rPr>
        <w:t xml:space="preserve">n </w:t>
      </w:r>
      <w:r w:rsidRPr="006437D0">
        <w:rPr>
          <w:rFonts w:ascii="Times New Roman" w:eastAsia="HY신명조" w:hAnsi="Times New Roman" w:cs="Times New Roman"/>
          <w:sz w:val="22"/>
          <w:szCs w:val="22"/>
        </w:rPr>
        <w:t>= 19809, M</w:t>
      </w:r>
      <w:r w:rsidRPr="006437D0">
        <w:rPr>
          <w:rFonts w:ascii="Times New Roman" w:eastAsia="HY신명조" w:hAnsi="Times New Roman" w:cs="Times New Roman"/>
          <w:sz w:val="22"/>
          <w:szCs w:val="22"/>
          <w:vertAlign w:val="subscript"/>
        </w:rPr>
        <w:t>w</w:t>
      </w:r>
      <w:r w:rsidRPr="006437D0">
        <w:rPr>
          <w:rFonts w:ascii="Times New Roman" w:eastAsia="HY신명조" w:hAnsi="Times New Roman" w:cs="Times New Roman"/>
          <w:sz w:val="22"/>
          <w:szCs w:val="22"/>
        </w:rPr>
        <w:t xml:space="preserve"> = 53373, PDI = 2.69.</w:t>
      </w:r>
    </w:p>
    <w:p w14:paraId="76BE7CB4" w14:textId="77777777" w:rsidR="008D373D" w:rsidRPr="006437D0" w:rsidRDefault="008D373D" w:rsidP="008D373D">
      <w:pPr>
        <w:pStyle w:val="aa"/>
        <w:spacing w:line="480" w:lineRule="auto"/>
        <w:ind w:firstLineChars="100" w:firstLine="220"/>
        <w:rPr>
          <w:rFonts w:ascii="Times New Roman" w:eastAsia="HY신명조" w:hAnsi="Times New Roman" w:cs="Times New Roman"/>
          <w:sz w:val="22"/>
          <w:szCs w:val="22"/>
        </w:rPr>
      </w:pPr>
    </w:p>
    <w:p w14:paraId="04C30B4B" w14:textId="77777777" w:rsidR="008D373D" w:rsidRPr="006437D0" w:rsidRDefault="008D373D" w:rsidP="008D373D">
      <w:pPr>
        <w:pStyle w:val="aa"/>
        <w:spacing w:line="480" w:lineRule="auto"/>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3. Synthesis of PFO@QX 85:15 Copolymer</w:t>
      </w:r>
    </w:p>
    <w:p w14:paraId="4994E023" w14:textId="77777777" w:rsidR="008D373D" w:rsidRDefault="008D373D" w:rsidP="008D373D">
      <w:pPr>
        <w:pStyle w:val="aa"/>
        <w:spacing w:line="480" w:lineRule="auto"/>
        <w:ind w:firstLineChars="100" w:firstLine="220"/>
        <w:rPr>
          <w:rFonts w:ascii="Times New Roman" w:eastAsia="HY신명조" w:hAnsi="Times New Roman" w:cs="Times New Roman"/>
          <w:sz w:val="22"/>
          <w:szCs w:val="22"/>
        </w:rPr>
      </w:pPr>
      <w:r w:rsidRPr="006437D0">
        <w:rPr>
          <w:rFonts w:ascii="Times New Roman" w:eastAsia="HY신명조" w:hAnsi="Times New Roman" w:cs="Times New Roman"/>
          <w:sz w:val="22"/>
          <w:szCs w:val="22"/>
        </w:rPr>
        <w:t>A 3-neck round-bottom flask was charged with M1 (0.326 g, 0.595 mmol), M2 (0.450 g, 0.700 mmol), and M3 (0.030 g, 0.105 mmol) and purged with argon gas. After sufficient degassing, toluene (10.0 mL) and a 2M aqueous K</w:t>
      </w:r>
      <w:r w:rsidRPr="006437D0">
        <w:rPr>
          <w:rFonts w:ascii="Times New Roman" w:eastAsia="HY신명조" w:hAnsi="Times New Roman" w:cs="Times New Roman"/>
          <w:sz w:val="22"/>
          <w:szCs w:val="22"/>
          <w:vertAlign w:val="subscript"/>
        </w:rPr>
        <w:t>2</w:t>
      </w:r>
      <w:r w:rsidRPr="006437D0">
        <w:rPr>
          <w:rFonts w:ascii="Times New Roman" w:eastAsia="HY신명조" w:hAnsi="Times New Roman" w:cs="Times New Roman"/>
          <w:sz w:val="22"/>
          <w:szCs w:val="22"/>
        </w:rPr>
        <w:t>CO</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xml:space="preserve"> solution (8.0 mL) were added to the reaction mixture, followed by the addition of Pd(PPh</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w:t>
      </w:r>
      <w:r w:rsidRPr="006437D0">
        <w:rPr>
          <w:rFonts w:ascii="Times New Roman" w:eastAsia="HY신명조" w:hAnsi="Times New Roman" w:cs="Times New Roman"/>
          <w:sz w:val="22"/>
          <w:szCs w:val="22"/>
          <w:vertAlign w:val="subscript"/>
        </w:rPr>
        <w:t>4</w:t>
      </w:r>
      <w:r w:rsidRPr="006437D0">
        <w:rPr>
          <w:rFonts w:ascii="Times New Roman" w:eastAsia="HY신명조" w:hAnsi="Times New Roman" w:cs="Times New Roman"/>
          <w:sz w:val="22"/>
          <w:szCs w:val="22"/>
        </w:rPr>
        <w:t xml:space="preserve"> (0.040 g, 5.0 mol%) and Aliquat 336 as a phase-transfer catalyst. The reaction mixture was refluxed at 95°C under an argon atmosphere for 48 h. After completion of the polymerization, M4 (1.0 mL, 0.128 mmol) was added and the reaction mixture was further refluxed for 1.5 h. Subsequently, M5 (1.0 mL, 0.128 mmol) was added, and the reaction mixture was further refluxed for an additional 1.5 h. After cooling to room temperature, the reaction mixture was poured into methanol, and then the precipitated polymer was collected by filtration and washed with methanol, acetone, and distilled water. The crude polymer was purified by Soxhlet extraction with methanol and acetone, followed by collection using chloroform. After drying in a vacuum oven, the polymer was obtained (0.433 g, 80.10%). </w:t>
      </w:r>
      <w:r w:rsidRPr="006437D0">
        <w:rPr>
          <w:rFonts w:ascii="Times New Roman" w:eastAsia="HY신명조" w:hAnsi="Times New Roman" w:cs="Times New Roman"/>
          <w:sz w:val="22"/>
          <w:szCs w:val="22"/>
          <w:vertAlign w:val="superscript"/>
        </w:rPr>
        <w:t>1</w:t>
      </w:r>
      <w:r w:rsidRPr="006437D0">
        <w:rPr>
          <w:rFonts w:ascii="Times New Roman" w:eastAsia="HY신명조" w:hAnsi="Times New Roman" w:cs="Times New Roman"/>
          <w:sz w:val="22"/>
          <w:szCs w:val="22"/>
        </w:rPr>
        <w:t>H NMR (300 MHz, CDCl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δ 7.87–7.69 (m), 2.13 (s), 1.28–0.80 ppm (m). GPC (CHCl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polystyrene standards): M</w:t>
      </w:r>
      <w:r w:rsidRPr="006437D0">
        <w:rPr>
          <w:rFonts w:ascii="Times New Roman" w:eastAsia="HY신명조" w:hAnsi="Times New Roman" w:cs="Times New Roman"/>
          <w:sz w:val="22"/>
          <w:szCs w:val="22"/>
          <w:vertAlign w:val="subscript"/>
        </w:rPr>
        <w:t xml:space="preserve">n </w:t>
      </w:r>
      <w:r w:rsidRPr="006437D0">
        <w:rPr>
          <w:rFonts w:ascii="Times New Roman" w:eastAsia="HY신명조" w:hAnsi="Times New Roman" w:cs="Times New Roman"/>
          <w:sz w:val="22"/>
          <w:szCs w:val="22"/>
        </w:rPr>
        <w:t>= 31879, M</w:t>
      </w:r>
      <w:r w:rsidRPr="006437D0">
        <w:rPr>
          <w:rFonts w:ascii="Times New Roman" w:eastAsia="HY신명조" w:hAnsi="Times New Roman" w:cs="Times New Roman"/>
          <w:sz w:val="22"/>
          <w:szCs w:val="22"/>
          <w:vertAlign w:val="subscript"/>
        </w:rPr>
        <w:t>w</w:t>
      </w:r>
      <w:r w:rsidRPr="006437D0">
        <w:rPr>
          <w:rFonts w:ascii="Times New Roman" w:eastAsia="HY신명조" w:hAnsi="Times New Roman" w:cs="Times New Roman"/>
          <w:sz w:val="22"/>
          <w:szCs w:val="22"/>
        </w:rPr>
        <w:t xml:space="preserve"> = 74298, PDI = 2.33.</w:t>
      </w:r>
    </w:p>
    <w:p w14:paraId="6F6778C7" w14:textId="77777777" w:rsidR="008D373D" w:rsidRPr="006437D0" w:rsidRDefault="008D373D" w:rsidP="008D373D">
      <w:pPr>
        <w:pStyle w:val="aa"/>
        <w:spacing w:line="480" w:lineRule="auto"/>
        <w:ind w:firstLineChars="100" w:firstLine="220"/>
        <w:rPr>
          <w:rFonts w:ascii="Times New Roman" w:eastAsia="HY신명조" w:hAnsi="Times New Roman" w:cs="Times New Roman"/>
          <w:sz w:val="22"/>
          <w:szCs w:val="22"/>
        </w:rPr>
      </w:pPr>
    </w:p>
    <w:p w14:paraId="6F9150DE" w14:textId="77777777" w:rsidR="008D373D" w:rsidRPr="006437D0" w:rsidRDefault="008D373D" w:rsidP="008D373D">
      <w:pPr>
        <w:pStyle w:val="aa"/>
        <w:spacing w:line="480" w:lineRule="auto"/>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4. Synthesis of PFO@QX 90:10 Copolymer</w:t>
      </w:r>
    </w:p>
    <w:p w14:paraId="34D8481D" w14:textId="77777777" w:rsidR="008D373D" w:rsidRDefault="008D373D" w:rsidP="008D373D">
      <w:pPr>
        <w:pStyle w:val="aa"/>
        <w:spacing w:line="480" w:lineRule="auto"/>
        <w:ind w:firstLineChars="100" w:firstLine="220"/>
        <w:rPr>
          <w:rFonts w:ascii="Times New Roman" w:eastAsia="HY신명조" w:hAnsi="Times New Roman" w:cs="Times New Roman"/>
          <w:sz w:val="22"/>
          <w:szCs w:val="22"/>
        </w:rPr>
      </w:pPr>
      <w:r w:rsidRPr="006437D0">
        <w:rPr>
          <w:rFonts w:ascii="Times New Roman" w:eastAsia="HY신명조" w:hAnsi="Times New Roman" w:cs="Times New Roman"/>
          <w:sz w:val="22"/>
          <w:szCs w:val="22"/>
        </w:rPr>
        <w:t>A 3-neck round-bottom flask was charged with M1 (0.346 g, 0.630 mmol), M2 (0.450 g, 0.700 mmol), and M3 (0.020 g, 0.070 mmol) and purged with argon gas. After sufficient degassing, toluene (10.0 mL) and a 2M aqueous K</w:t>
      </w:r>
      <w:r w:rsidRPr="006437D0">
        <w:rPr>
          <w:rFonts w:ascii="Times New Roman" w:eastAsia="HY신명조" w:hAnsi="Times New Roman" w:cs="Times New Roman"/>
          <w:sz w:val="22"/>
          <w:szCs w:val="22"/>
          <w:vertAlign w:val="subscript"/>
        </w:rPr>
        <w:t>2</w:t>
      </w:r>
      <w:r w:rsidRPr="006437D0">
        <w:rPr>
          <w:rFonts w:ascii="Times New Roman" w:eastAsia="HY신명조" w:hAnsi="Times New Roman" w:cs="Times New Roman"/>
          <w:sz w:val="22"/>
          <w:szCs w:val="22"/>
        </w:rPr>
        <w:t>CO</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xml:space="preserve"> solution (8.0 mL) were added to the reaction mixture, followed by the addition of Pd(PPh</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w:t>
      </w:r>
      <w:r w:rsidRPr="006437D0">
        <w:rPr>
          <w:rFonts w:ascii="Times New Roman" w:eastAsia="HY신명조" w:hAnsi="Times New Roman" w:cs="Times New Roman"/>
          <w:sz w:val="22"/>
          <w:szCs w:val="22"/>
          <w:vertAlign w:val="subscript"/>
        </w:rPr>
        <w:t>4</w:t>
      </w:r>
      <w:r w:rsidRPr="006437D0">
        <w:rPr>
          <w:rFonts w:ascii="Times New Roman" w:eastAsia="HY신명조" w:hAnsi="Times New Roman" w:cs="Times New Roman"/>
          <w:sz w:val="22"/>
          <w:szCs w:val="22"/>
        </w:rPr>
        <w:t xml:space="preserve"> (0.040 g, 5.0 mol%) and Aliquat 336 as a phase-transfer catalyst. The reaction mixture was refluxed at 95°C under an argon atmosphere for 48 h. After completion of the polymerization, M4 </w:t>
      </w:r>
      <w:r w:rsidRPr="006437D0">
        <w:rPr>
          <w:rFonts w:ascii="Times New Roman" w:eastAsia="HY신명조" w:hAnsi="Times New Roman" w:cs="Times New Roman"/>
          <w:sz w:val="22"/>
          <w:szCs w:val="22"/>
        </w:rPr>
        <w:lastRenderedPageBreak/>
        <w:t xml:space="preserve">(1.0 mL, 0.128 mmol) was added and the reaction mixture was further refluxed for 1.5 h. Subsequently, M5 (1.0 mL, 0.128 mmol) was added, and the reaction mixture was further refluxed for an additional 1.5 h. After cooling to room temperature, the reaction mixture was poured into methanol, and then the precipitated polymer was collected by filtration and washed with methanol, acetone, and distilled water. The crude polymer was purified by Soxhlet extraction with methanol and acetone, followed by collection using chloroform. After drying in a vacuum oven, the polymer was obtained (0.310 g, 57.70%). </w:t>
      </w:r>
      <w:r w:rsidRPr="006437D0">
        <w:rPr>
          <w:rFonts w:ascii="Times New Roman" w:eastAsia="HY신명조" w:hAnsi="Times New Roman" w:cs="Times New Roman"/>
          <w:sz w:val="22"/>
          <w:szCs w:val="22"/>
          <w:vertAlign w:val="superscript"/>
        </w:rPr>
        <w:t>1</w:t>
      </w:r>
      <w:r w:rsidRPr="006437D0">
        <w:rPr>
          <w:rFonts w:ascii="Times New Roman" w:eastAsia="HY신명조" w:hAnsi="Times New Roman" w:cs="Times New Roman"/>
          <w:sz w:val="22"/>
          <w:szCs w:val="22"/>
        </w:rPr>
        <w:t>H NMR (300 MHz, CDCl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δ 7.87–7.69 (m), 2.13 (s), 1.28–0.80 ppm (m). GPC (CHCl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polystyrene standards): Mn = 11731, Mw = 20487, PDI = 1.74.</w:t>
      </w:r>
    </w:p>
    <w:p w14:paraId="685356ED" w14:textId="77777777" w:rsidR="008D373D" w:rsidRPr="006437D0" w:rsidRDefault="008D373D" w:rsidP="008D373D">
      <w:pPr>
        <w:pStyle w:val="aa"/>
        <w:spacing w:line="480" w:lineRule="auto"/>
        <w:ind w:firstLineChars="100" w:firstLine="220"/>
        <w:rPr>
          <w:rFonts w:ascii="Times New Roman" w:eastAsia="HY신명조" w:hAnsi="Times New Roman" w:cs="Times New Roman"/>
          <w:sz w:val="22"/>
          <w:szCs w:val="22"/>
        </w:rPr>
      </w:pPr>
    </w:p>
    <w:p w14:paraId="603AAC7F" w14:textId="77777777" w:rsidR="008D373D" w:rsidRPr="006437D0" w:rsidRDefault="008D373D" w:rsidP="008D373D">
      <w:pPr>
        <w:pStyle w:val="aa"/>
        <w:spacing w:line="480" w:lineRule="auto"/>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5. Synthesis of PFO@QX 95:5 Copolymer</w:t>
      </w:r>
    </w:p>
    <w:p w14:paraId="45F85B47" w14:textId="77777777" w:rsidR="008D373D" w:rsidRDefault="008D373D" w:rsidP="008D373D">
      <w:pPr>
        <w:pStyle w:val="aa"/>
        <w:spacing w:line="480" w:lineRule="auto"/>
        <w:ind w:firstLineChars="100" w:firstLine="220"/>
        <w:rPr>
          <w:rFonts w:ascii="Times New Roman" w:eastAsia="HY신명조" w:hAnsi="Times New Roman" w:cs="Times New Roman"/>
          <w:sz w:val="22"/>
          <w:szCs w:val="22"/>
        </w:rPr>
      </w:pPr>
      <w:r w:rsidRPr="006437D0">
        <w:rPr>
          <w:rFonts w:ascii="Times New Roman" w:eastAsia="HY신명조" w:hAnsi="Times New Roman" w:cs="Times New Roman"/>
          <w:sz w:val="22"/>
          <w:szCs w:val="22"/>
        </w:rPr>
        <w:t>A 3-neck round-bottom flask was charged with M1 (0.365 g, 0.665 mmol), M2 (0.450 g, 0.700 mmol), and M3 (0.010 g, 0.350 mmol) and purged with argon gas. After sufficient degassing, toluene (10.0 mL) and a 2M aqueous K</w:t>
      </w:r>
      <w:r w:rsidRPr="006437D0">
        <w:rPr>
          <w:rFonts w:ascii="Times New Roman" w:eastAsia="HY신명조" w:hAnsi="Times New Roman" w:cs="Times New Roman"/>
          <w:sz w:val="22"/>
          <w:szCs w:val="22"/>
          <w:vertAlign w:val="subscript"/>
        </w:rPr>
        <w:t>2</w:t>
      </w:r>
      <w:r w:rsidRPr="006437D0">
        <w:rPr>
          <w:rFonts w:ascii="Times New Roman" w:eastAsia="HY신명조" w:hAnsi="Times New Roman" w:cs="Times New Roman"/>
          <w:sz w:val="22"/>
          <w:szCs w:val="22"/>
        </w:rPr>
        <w:t>CO</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xml:space="preserve"> solution (8.0 mL) were added to the reaction mixture, followed by the addition of Pd(PPh</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w:t>
      </w:r>
      <w:r w:rsidRPr="006437D0">
        <w:rPr>
          <w:rFonts w:ascii="Times New Roman" w:eastAsia="HY신명조" w:hAnsi="Times New Roman" w:cs="Times New Roman"/>
          <w:sz w:val="22"/>
          <w:szCs w:val="22"/>
          <w:vertAlign w:val="subscript"/>
        </w:rPr>
        <w:t>4</w:t>
      </w:r>
      <w:r w:rsidRPr="006437D0">
        <w:rPr>
          <w:rFonts w:ascii="Times New Roman" w:eastAsia="HY신명조" w:hAnsi="Times New Roman" w:cs="Times New Roman"/>
          <w:sz w:val="22"/>
          <w:szCs w:val="22"/>
        </w:rPr>
        <w:t xml:space="preserve"> (0.040 g, 5.0 mol%) and Aliquat 336 as a phase-transfer catalyst. The reaction mixture was refluxed at 95°C under an argon atmosphere for 48 h. After completion of the polymerization, M4 (1.0 mL, 0.128 mmol) was added and the reaction mixture was further refluxed for 1.5 h. Subsequently, M5 (1.0 mL, 0.128 mmol) was added, and the reaction mixture was further refluxed for an additional 1.5 h. After cooling to room temperature, the reaction mixture was poured into methanol, and then the precipitated polymer was collected by filtration and washed with methanol, acetone, and distilled water. The crude polymer was purified by Soxhlet extraction with methanol and acetone, followed by collection using chloroform. After drying in a vacuum oven, the polymer was obtained (0.454 g, 84.0%). </w:t>
      </w:r>
      <w:r w:rsidRPr="006437D0">
        <w:rPr>
          <w:rFonts w:ascii="Times New Roman" w:eastAsia="HY신명조" w:hAnsi="Times New Roman" w:cs="Times New Roman"/>
          <w:sz w:val="22"/>
          <w:szCs w:val="22"/>
          <w:vertAlign w:val="superscript"/>
        </w:rPr>
        <w:t>1</w:t>
      </w:r>
      <w:r w:rsidRPr="006437D0">
        <w:rPr>
          <w:rFonts w:ascii="Times New Roman" w:eastAsia="HY신명조" w:hAnsi="Times New Roman" w:cs="Times New Roman"/>
          <w:sz w:val="22"/>
          <w:szCs w:val="22"/>
        </w:rPr>
        <w:t>H NMR (300 MHz, CDCl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δ 7.87–7.69 (m), 2.13 (s), 1.28–0.80 ppm (m). GPC (CHCl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polystyrene standards): M</w:t>
      </w:r>
      <w:r w:rsidRPr="006437D0">
        <w:rPr>
          <w:rFonts w:ascii="Times New Roman" w:eastAsia="HY신명조" w:hAnsi="Times New Roman" w:cs="Times New Roman"/>
          <w:sz w:val="22"/>
          <w:szCs w:val="22"/>
          <w:vertAlign w:val="subscript"/>
        </w:rPr>
        <w:t xml:space="preserve">n </w:t>
      </w:r>
      <w:r w:rsidRPr="006437D0">
        <w:rPr>
          <w:rFonts w:ascii="Times New Roman" w:eastAsia="HY신명조" w:hAnsi="Times New Roman" w:cs="Times New Roman"/>
          <w:sz w:val="22"/>
          <w:szCs w:val="22"/>
        </w:rPr>
        <w:t>= 17208, M</w:t>
      </w:r>
      <w:r w:rsidRPr="006437D0">
        <w:rPr>
          <w:rFonts w:ascii="Times New Roman" w:eastAsia="HY신명조" w:hAnsi="Times New Roman" w:cs="Times New Roman"/>
          <w:sz w:val="22"/>
          <w:szCs w:val="22"/>
          <w:vertAlign w:val="subscript"/>
        </w:rPr>
        <w:t>w</w:t>
      </w:r>
      <w:r w:rsidRPr="006437D0">
        <w:rPr>
          <w:rFonts w:ascii="Times New Roman" w:eastAsia="HY신명조" w:hAnsi="Times New Roman" w:cs="Times New Roman"/>
          <w:sz w:val="22"/>
          <w:szCs w:val="22"/>
        </w:rPr>
        <w:t xml:space="preserve"> = 33340, PDI = 1.94.</w:t>
      </w:r>
    </w:p>
    <w:p w14:paraId="63D29625" w14:textId="77777777" w:rsidR="008D373D" w:rsidRPr="006437D0" w:rsidRDefault="008D373D" w:rsidP="008D373D">
      <w:pPr>
        <w:pStyle w:val="aa"/>
        <w:spacing w:line="480" w:lineRule="auto"/>
        <w:ind w:firstLineChars="100" w:firstLine="220"/>
        <w:rPr>
          <w:rFonts w:ascii="Times New Roman" w:eastAsia="HY신명조" w:hAnsi="Times New Roman" w:cs="Times New Roman"/>
          <w:sz w:val="22"/>
          <w:szCs w:val="22"/>
        </w:rPr>
      </w:pPr>
    </w:p>
    <w:p w14:paraId="20D7041A" w14:textId="77777777" w:rsidR="008D373D" w:rsidRPr="006437D0" w:rsidRDefault="008D373D" w:rsidP="008D373D">
      <w:pPr>
        <w:pStyle w:val="aa"/>
        <w:spacing w:line="480" w:lineRule="auto"/>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6. Synthesis of PFO@QX 98:2 Copolymer</w:t>
      </w:r>
    </w:p>
    <w:p w14:paraId="73C51A2E" w14:textId="77777777" w:rsidR="008D373D" w:rsidRPr="006437D0" w:rsidRDefault="008D373D" w:rsidP="008D373D">
      <w:pPr>
        <w:pStyle w:val="aa"/>
        <w:spacing w:line="480" w:lineRule="auto"/>
        <w:ind w:firstLineChars="100" w:firstLine="220"/>
        <w:rPr>
          <w:rFonts w:ascii="Times New Roman" w:eastAsia="HY신명조" w:hAnsi="Times New Roman" w:cs="Times New Roman"/>
          <w:sz w:val="22"/>
          <w:szCs w:val="22"/>
        </w:rPr>
      </w:pPr>
      <w:r w:rsidRPr="006437D0">
        <w:rPr>
          <w:rFonts w:ascii="Times New Roman" w:eastAsia="HY신명조" w:hAnsi="Times New Roman" w:cs="Times New Roman"/>
          <w:sz w:val="22"/>
          <w:szCs w:val="22"/>
        </w:rPr>
        <w:t xml:space="preserve">A 3-neck round-bottom flask was charged with M1 (0.37 g, 0.686 mmol), M2 (0.450 g, 0.700 mmol), and M3 (0.004 g, 0.014 mmol) and purged with argon gas. After sufficient degassing, toluene (10.0 mL) </w:t>
      </w:r>
      <w:r w:rsidRPr="006437D0">
        <w:rPr>
          <w:rFonts w:ascii="Times New Roman" w:eastAsia="HY신명조" w:hAnsi="Times New Roman" w:cs="Times New Roman"/>
          <w:sz w:val="22"/>
          <w:szCs w:val="22"/>
        </w:rPr>
        <w:lastRenderedPageBreak/>
        <w:t>and a 2M aqueous K</w:t>
      </w:r>
      <w:r w:rsidRPr="006437D0">
        <w:rPr>
          <w:rFonts w:ascii="Times New Roman" w:eastAsia="HY신명조" w:hAnsi="Times New Roman" w:cs="Times New Roman"/>
          <w:sz w:val="22"/>
          <w:szCs w:val="22"/>
          <w:vertAlign w:val="subscript"/>
        </w:rPr>
        <w:t>2</w:t>
      </w:r>
      <w:r w:rsidRPr="006437D0">
        <w:rPr>
          <w:rFonts w:ascii="Times New Roman" w:eastAsia="HY신명조" w:hAnsi="Times New Roman" w:cs="Times New Roman"/>
          <w:sz w:val="22"/>
          <w:szCs w:val="22"/>
        </w:rPr>
        <w:t>CO</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xml:space="preserve"> solution (8.0 mL) were added to the reaction mixture, followed by the addition of Pd(PPh</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w:t>
      </w:r>
      <w:r w:rsidRPr="006437D0">
        <w:rPr>
          <w:rFonts w:ascii="Times New Roman" w:eastAsia="HY신명조" w:hAnsi="Times New Roman" w:cs="Times New Roman"/>
          <w:sz w:val="22"/>
          <w:szCs w:val="22"/>
          <w:vertAlign w:val="subscript"/>
        </w:rPr>
        <w:t>4</w:t>
      </w:r>
      <w:r w:rsidRPr="006437D0">
        <w:rPr>
          <w:rFonts w:ascii="Times New Roman" w:eastAsia="HY신명조" w:hAnsi="Times New Roman" w:cs="Times New Roman"/>
          <w:sz w:val="22"/>
          <w:szCs w:val="22"/>
        </w:rPr>
        <w:t xml:space="preserve"> (0.040 g, 5.0 mol%) and Aliquat 336 as a phase-transfer catalyst. The reaction mixture was refluxed at 95°C under an argon atmosphere for 48 h. After completion of the polymerization, M4 (1.0 mL, 0.128 mmol) was added and the reaction mixture was further refluxed for 1.5 h. Subsequently, M5 (1.0 mL, 0.128 mmol) was added, and the reaction mixture was further refluxed for an additional 1.5 h. After cooling to room temperature, the reaction mixture was poured into methanol, and then the precipitated polymer was collected by filtration and washed with methanol, acetone, and distilled water. The crude polymer was purified by Soxhlet extraction with methanol and acetone, followed by collection using chloroform. After drying in a vacuum oven, the polymer was obtained (0.2877 g, 53.3%). </w:t>
      </w:r>
      <w:r w:rsidRPr="006437D0">
        <w:rPr>
          <w:rFonts w:ascii="Times New Roman" w:eastAsia="HY신명조" w:hAnsi="Times New Roman" w:cs="Times New Roman"/>
          <w:sz w:val="22"/>
          <w:szCs w:val="22"/>
          <w:vertAlign w:val="superscript"/>
        </w:rPr>
        <w:t>1</w:t>
      </w:r>
      <w:r w:rsidRPr="006437D0">
        <w:rPr>
          <w:rFonts w:ascii="Times New Roman" w:eastAsia="HY신명조" w:hAnsi="Times New Roman" w:cs="Times New Roman"/>
          <w:sz w:val="22"/>
          <w:szCs w:val="22"/>
        </w:rPr>
        <w:t>H NMR (300 MHz, CDCl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δ 7.87–7.69 (m), 2.13 (s), 1.28–0.80 ppm (m). GPC (CHCl</w:t>
      </w:r>
      <w:r w:rsidRPr="006437D0">
        <w:rPr>
          <w:rFonts w:ascii="Times New Roman" w:eastAsia="HY신명조" w:hAnsi="Times New Roman" w:cs="Times New Roman"/>
          <w:sz w:val="22"/>
          <w:szCs w:val="22"/>
          <w:vertAlign w:val="subscript"/>
        </w:rPr>
        <w:t>3</w:t>
      </w:r>
      <w:r w:rsidRPr="006437D0">
        <w:rPr>
          <w:rFonts w:ascii="Times New Roman" w:eastAsia="HY신명조" w:hAnsi="Times New Roman" w:cs="Times New Roman"/>
          <w:sz w:val="22"/>
          <w:szCs w:val="22"/>
        </w:rPr>
        <w:t>, polystyrene standards): M</w:t>
      </w:r>
      <w:r w:rsidRPr="006437D0">
        <w:rPr>
          <w:rFonts w:ascii="Times New Roman" w:eastAsia="HY신명조" w:hAnsi="Times New Roman" w:cs="Times New Roman"/>
          <w:sz w:val="22"/>
          <w:szCs w:val="22"/>
          <w:vertAlign w:val="subscript"/>
        </w:rPr>
        <w:t xml:space="preserve">n </w:t>
      </w:r>
      <w:r w:rsidRPr="006437D0">
        <w:rPr>
          <w:rFonts w:ascii="Times New Roman" w:eastAsia="HY신명조" w:hAnsi="Times New Roman" w:cs="Times New Roman"/>
          <w:sz w:val="22"/>
          <w:szCs w:val="22"/>
        </w:rPr>
        <w:t>= 12488, M</w:t>
      </w:r>
      <w:r w:rsidRPr="006437D0">
        <w:rPr>
          <w:rFonts w:ascii="Times New Roman" w:eastAsia="HY신명조" w:hAnsi="Times New Roman" w:cs="Times New Roman"/>
          <w:sz w:val="22"/>
          <w:szCs w:val="22"/>
          <w:vertAlign w:val="subscript"/>
        </w:rPr>
        <w:t>w</w:t>
      </w:r>
      <w:r w:rsidRPr="006437D0">
        <w:rPr>
          <w:rFonts w:ascii="Times New Roman" w:eastAsia="HY신명조" w:hAnsi="Times New Roman" w:cs="Times New Roman"/>
          <w:sz w:val="22"/>
          <w:szCs w:val="22"/>
        </w:rPr>
        <w:t xml:space="preserve"> = 21097, PDI = 1.69.</w:t>
      </w:r>
    </w:p>
    <w:p w14:paraId="6B8A5483" w14:textId="77777777" w:rsidR="008D373D" w:rsidRPr="006437D0" w:rsidRDefault="008D373D" w:rsidP="008D373D">
      <w:pPr>
        <w:pStyle w:val="ab"/>
        <w:spacing w:before="0" w:beforeAutospacing="0" w:after="0" w:afterAutospacing="0" w:line="480" w:lineRule="auto"/>
        <w:jc w:val="both"/>
        <w:rPr>
          <w:rFonts w:ascii="Times New Roman" w:eastAsia="HY신명조" w:hAnsi="Times New Roman" w:cs="Times New Roman"/>
          <w:b/>
          <w:bCs/>
          <w:sz w:val="22"/>
          <w:szCs w:val="22"/>
        </w:rPr>
      </w:pPr>
    </w:p>
    <w:tbl>
      <w:tblPr>
        <w:tblpPr w:leftFromText="142" w:rightFromText="142" w:vertAnchor="text" w:horzAnchor="margin" w:tblpY="117"/>
        <w:tblW w:w="9301" w:type="dxa"/>
        <w:tblBorders>
          <w:top w:val="single" w:sz="4" w:space="0" w:color="auto"/>
          <w:bottom w:val="single" w:sz="4" w:space="0" w:color="auto"/>
        </w:tblBorders>
        <w:tblLook w:val="04A0" w:firstRow="1" w:lastRow="0" w:firstColumn="1" w:lastColumn="0" w:noHBand="0" w:noVBand="1"/>
      </w:tblPr>
      <w:tblGrid>
        <w:gridCol w:w="2125"/>
        <w:gridCol w:w="1196"/>
        <w:gridCol w:w="1196"/>
        <w:gridCol w:w="1196"/>
        <w:gridCol w:w="1196"/>
        <w:gridCol w:w="1196"/>
        <w:gridCol w:w="1196"/>
      </w:tblGrid>
      <w:tr w:rsidR="008D373D" w:rsidRPr="006437D0" w14:paraId="11457102" w14:textId="77777777" w:rsidTr="003F19F9">
        <w:trPr>
          <w:trHeight w:val="483"/>
        </w:trPr>
        <w:tc>
          <w:tcPr>
            <w:tcW w:w="2125" w:type="dxa"/>
            <w:tcBorders>
              <w:top w:val="single" w:sz="4" w:space="0" w:color="auto"/>
              <w:bottom w:val="single" w:sz="4" w:space="0" w:color="auto"/>
              <w:right w:val="single" w:sz="4" w:space="0" w:color="auto"/>
            </w:tcBorders>
            <w:vAlign w:val="center"/>
          </w:tcPr>
          <w:p w14:paraId="34D924E5" w14:textId="77777777" w:rsidR="008D373D" w:rsidRPr="004F0929" w:rsidRDefault="008D373D" w:rsidP="003F19F9">
            <w:pPr>
              <w:pStyle w:val="ab"/>
              <w:spacing w:before="0" w:beforeAutospacing="0" w:after="0" w:afterAutospacing="0"/>
              <w:rPr>
                <w:rFonts w:ascii="Times New Roman" w:eastAsia="HY신명조" w:hAnsi="Times New Roman" w:cs="Times New Roman"/>
                <w:sz w:val="22"/>
                <w:szCs w:val="22"/>
              </w:rPr>
            </w:pPr>
            <w:r w:rsidRPr="004F0929">
              <w:rPr>
                <w:rFonts w:ascii="Times New Roman" w:eastAsia="맑은 고딕" w:hAnsi="Times New Roman" w:cs="Times New Roman"/>
                <w:kern w:val="2"/>
                <w:sz w:val="22"/>
                <w:szCs w:val="22"/>
              </w:rPr>
              <w:br w:type="page"/>
            </w:r>
            <w:r w:rsidRPr="004F0929">
              <w:rPr>
                <w:rFonts w:ascii="Times New Roman" w:eastAsia="HY신명조" w:hAnsi="Times New Roman" w:cs="Times New Roman"/>
                <w:b/>
                <w:bCs/>
                <w:sz w:val="22"/>
                <w:szCs w:val="22"/>
              </w:rPr>
              <w:br w:type="page"/>
            </w:r>
          </w:p>
        </w:tc>
        <w:tc>
          <w:tcPr>
            <w:tcW w:w="1196" w:type="dxa"/>
            <w:tcBorders>
              <w:top w:val="single" w:sz="4" w:space="0" w:color="auto"/>
              <w:left w:val="single" w:sz="4" w:space="0" w:color="auto"/>
              <w:bottom w:val="single" w:sz="4" w:space="0" w:color="auto"/>
            </w:tcBorders>
            <w:vAlign w:val="center"/>
          </w:tcPr>
          <w:p w14:paraId="0969300C"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50:50</w:t>
            </w:r>
          </w:p>
        </w:tc>
        <w:tc>
          <w:tcPr>
            <w:tcW w:w="1196" w:type="dxa"/>
            <w:tcBorders>
              <w:top w:val="single" w:sz="4" w:space="0" w:color="auto"/>
              <w:bottom w:val="single" w:sz="4" w:space="0" w:color="auto"/>
            </w:tcBorders>
            <w:vAlign w:val="center"/>
          </w:tcPr>
          <w:p w14:paraId="23650172"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70:30</w:t>
            </w:r>
          </w:p>
        </w:tc>
        <w:tc>
          <w:tcPr>
            <w:tcW w:w="1196" w:type="dxa"/>
            <w:tcBorders>
              <w:top w:val="single" w:sz="4" w:space="0" w:color="auto"/>
              <w:bottom w:val="single" w:sz="4" w:space="0" w:color="auto"/>
            </w:tcBorders>
            <w:vAlign w:val="center"/>
          </w:tcPr>
          <w:p w14:paraId="74F53805"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85:15</w:t>
            </w:r>
          </w:p>
        </w:tc>
        <w:tc>
          <w:tcPr>
            <w:tcW w:w="1196" w:type="dxa"/>
            <w:tcBorders>
              <w:top w:val="single" w:sz="4" w:space="0" w:color="auto"/>
              <w:bottom w:val="single" w:sz="4" w:space="0" w:color="auto"/>
            </w:tcBorders>
            <w:vAlign w:val="center"/>
          </w:tcPr>
          <w:p w14:paraId="7E730E33"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90:10</w:t>
            </w:r>
          </w:p>
        </w:tc>
        <w:tc>
          <w:tcPr>
            <w:tcW w:w="1196" w:type="dxa"/>
            <w:tcBorders>
              <w:top w:val="single" w:sz="4" w:space="0" w:color="auto"/>
              <w:bottom w:val="single" w:sz="4" w:space="0" w:color="auto"/>
            </w:tcBorders>
            <w:vAlign w:val="center"/>
          </w:tcPr>
          <w:p w14:paraId="1EF4BA6F"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95:5</w:t>
            </w:r>
          </w:p>
        </w:tc>
        <w:tc>
          <w:tcPr>
            <w:tcW w:w="1196" w:type="dxa"/>
            <w:tcBorders>
              <w:top w:val="single" w:sz="4" w:space="0" w:color="auto"/>
              <w:bottom w:val="single" w:sz="4" w:space="0" w:color="auto"/>
            </w:tcBorders>
            <w:vAlign w:val="center"/>
          </w:tcPr>
          <w:p w14:paraId="2DA0EA33"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98:2</w:t>
            </w:r>
          </w:p>
        </w:tc>
      </w:tr>
      <w:tr w:rsidR="008D373D" w:rsidRPr="006437D0" w14:paraId="46A6DB48" w14:textId="77777777" w:rsidTr="003F19F9">
        <w:trPr>
          <w:trHeight w:val="483"/>
        </w:trPr>
        <w:tc>
          <w:tcPr>
            <w:tcW w:w="2125" w:type="dxa"/>
            <w:tcBorders>
              <w:top w:val="single" w:sz="4" w:space="0" w:color="auto"/>
              <w:bottom w:val="single" w:sz="4" w:space="0" w:color="auto"/>
              <w:right w:val="single" w:sz="4" w:space="0" w:color="auto"/>
            </w:tcBorders>
            <w:vAlign w:val="center"/>
          </w:tcPr>
          <w:p w14:paraId="300D2255"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Solution</w:t>
            </w:r>
          </w:p>
        </w:tc>
        <w:tc>
          <w:tcPr>
            <w:tcW w:w="1196" w:type="dxa"/>
            <w:tcBorders>
              <w:top w:val="single" w:sz="4" w:space="0" w:color="auto"/>
              <w:left w:val="single" w:sz="4" w:space="0" w:color="auto"/>
              <w:bottom w:val="single" w:sz="4" w:space="0" w:color="auto"/>
            </w:tcBorders>
            <w:vAlign w:val="center"/>
          </w:tcPr>
          <w:p w14:paraId="02EAF119"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0.14 ns</w:t>
            </w:r>
          </w:p>
        </w:tc>
        <w:tc>
          <w:tcPr>
            <w:tcW w:w="1196" w:type="dxa"/>
            <w:tcBorders>
              <w:top w:val="single" w:sz="4" w:space="0" w:color="auto"/>
              <w:bottom w:val="single" w:sz="4" w:space="0" w:color="auto"/>
            </w:tcBorders>
            <w:vAlign w:val="center"/>
          </w:tcPr>
          <w:p w14:paraId="0A2FF3DF"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0.15 ns</w:t>
            </w:r>
          </w:p>
        </w:tc>
        <w:tc>
          <w:tcPr>
            <w:tcW w:w="1196" w:type="dxa"/>
            <w:tcBorders>
              <w:top w:val="single" w:sz="4" w:space="0" w:color="auto"/>
              <w:bottom w:val="single" w:sz="4" w:space="0" w:color="auto"/>
            </w:tcBorders>
            <w:vAlign w:val="center"/>
          </w:tcPr>
          <w:p w14:paraId="6CAB76CC"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0.16 ns</w:t>
            </w:r>
          </w:p>
        </w:tc>
        <w:tc>
          <w:tcPr>
            <w:tcW w:w="1196" w:type="dxa"/>
            <w:tcBorders>
              <w:top w:val="single" w:sz="4" w:space="0" w:color="auto"/>
              <w:bottom w:val="single" w:sz="4" w:space="0" w:color="auto"/>
            </w:tcBorders>
            <w:vAlign w:val="center"/>
          </w:tcPr>
          <w:p w14:paraId="08F95734"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0.59 ns</w:t>
            </w:r>
          </w:p>
        </w:tc>
        <w:tc>
          <w:tcPr>
            <w:tcW w:w="1196" w:type="dxa"/>
            <w:tcBorders>
              <w:top w:val="single" w:sz="4" w:space="0" w:color="auto"/>
              <w:bottom w:val="single" w:sz="4" w:space="0" w:color="auto"/>
            </w:tcBorders>
            <w:vAlign w:val="center"/>
          </w:tcPr>
          <w:p w14:paraId="60932E32"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0.85 ns</w:t>
            </w:r>
          </w:p>
        </w:tc>
        <w:tc>
          <w:tcPr>
            <w:tcW w:w="1196" w:type="dxa"/>
            <w:tcBorders>
              <w:top w:val="single" w:sz="4" w:space="0" w:color="auto"/>
              <w:bottom w:val="single" w:sz="4" w:space="0" w:color="auto"/>
            </w:tcBorders>
            <w:vAlign w:val="center"/>
          </w:tcPr>
          <w:p w14:paraId="096018DF"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0.81 ns</w:t>
            </w:r>
          </w:p>
        </w:tc>
      </w:tr>
      <w:tr w:rsidR="008D373D" w:rsidRPr="006437D0" w14:paraId="6DA2740B" w14:textId="77777777" w:rsidTr="003F19F9">
        <w:trPr>
          <w:trHeight w:val="483"/>
        </w:trPr>
        <w:tc>
          <w:tcPr>
            <w:tcW w:w="2125" w:type="dxa"/>
            <w:tcBorders>
              <w:top w:val="single" w:sz="4" w:space="0" w:color="auto"/>
              <w:bottom w:val="single" w:sz="4" w:space="0" w:color="auto"/>
              <w:right w:val="single" w:sz="4" w:space="0" w:color="auto"/>
            </w:tcBorders>
            <w:vAlign w:val="center"/>
          </w:tcPr>
          <w:p w14:paraId="0A3742CF"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Spin-coated film</w:t>
            </w:r>
          </w:p>
        </w:tc>
        <w:tc>
          <w:tcPr>
            <w:tcW w:w="1196" w:type="dxa"/>
            <w:tcBorders>
              <w:top w:val="single" w:sz="4" w:space="0" w:color="auto"/>
              <w:left w:val="single" w:sz="4" w:space="0" w:color="auto"/>
            </w:tcBorders>
            <w:vAlign w:val="center"/>
          </w:tcPr>
          <w:p w14:paraId="050AB706"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0.40 ns</w:t>
            </w:r>
          </w:p>
        </w:tc>
        <w:tc>
          <w:tcPr>
            <w:tcW w:w="1196" w:type="dxa"/>
            <w:tcBorders>
              <w:top w:val="single" w:sz="4" w:space="0" w:color="auto"/>
            </w:tcBorders>
            <w:vAlign w:val="center"/>
          </w:tcPr>
          <w:p w14:paraId="071C2106"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0.40 ns</w:t>
            </w:r>
          </w:p>
        </w:tc>
        <w:tc>
          <w:tcPr>
            <w:tcW w:w="1196" w:type="dxa"/>
            <w:tcBorders>
              <w:top w:val="single" w:sz="4" w:space="0" w:color="auto"/>
            </w:tcBorders>
            <w:vAlign w:val="center"/>
          </w:tcPr>
          <w:p w14:paraId="5D2B8D5D"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0.30 ns</w:t>
            </w:r>
          </w:p>
        </w:tc>
        <w:tc>
          <w:tcPr>
            <w:tcW w:w="1196" w:type="dxa"/>
            <w:tcBorders>
              <w:top w:val="single" w:sz="4" w:space="0" w:color="auto"/>
            </w:tcBorders>
            <w:vAlign w:val="center"/>
          </w:tcPr>
          <w:p w14:paraId="6ADB0CBD"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0.22 ns</w:t>
            </w:r>
          </w:p>
        </w:tc>
        <w:tc>
          <w:tcPr>
            <w:tcW w:w="1196" w:type="dxa"/>
            <w:tcBorders>
              <w:top w:val="single" w:sz="4" w:space="0" w:color="auto"/>
            </w:tcBorders>
            <w:vAlign w:val="center"/>
          </w:tcPr>
          <w:p w14:paraId="70849456"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0.16 ns</w:t>
            </w:r>
          </w:p>
        </w:tc>
        <w:tc>
          <w:tcPr>
            <w:tcW w:w="1196" w:type="dxa"/>
            <w:tcBorders>
              <w:top w:val="single" w:sz="4" w:space="0" w:color="auto"/>
            </w:tcBorders>
            <w:vAlign w:val="center"/>
          </w:tcPr>
          <w:p w14:paraId="293B93D1"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0.15 ns</w:t>
            </w:r>
          </w:p>
        </w:tc>
      </w:tr>
    </w:tbl>
    <w:p w14:paraId="0C4AAFE7" w14:textId="77777777" w:rsidR="008D373D" w:rsidRPr="004F0929" w:rsidRDefault="008D373D" w:rsidP="008D373D">
      <w:pPr>
        <w:pStyle w:val="ab"/>
        <w:spacing w:before="0" w:beforeAutospacing="0" w:after="0" w:afterAutospacing="0" w:line="480" w:lineRule="auto"/>
        <w:jc w:val="both"/>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Table S1</w:t>
      </w:r>
      <w:r w:rsidRPr="006437D0">
        <w:rPr>
          <w:rFonts w:ascii="Times New Roman" w:eastAsia="HY신명조" w:hAnsi="Times New Roman" w:cs="Times New Roman"/>
          <w:sz w:val="22"/>
          <w:szCs w:val="22"/>
        </w:rPr>
        <w:t xml:space="preserve"> </w:t>
      </w:r>
      <w:r w:rsidRPr="004F0929">
        <w:rPr>
          <w:rFonts w:ascii="Times New Roman" w:eastAsia="HY신명조" w:hAnsi="Times New Roman" w:cs="Times New Roman"/>
          <w:sz w:val="22"/>
        </w:rPr>
        <w:t>PL Lifetimes of PFO@QX Polymers with Varying Component Ratios (</w:t>
      </w:r>
      <w:r w:rsidRPr="004F0929">
        <w:rPr>
          <w:rFonts w:ascii="Times New Roman" w:eastAsia="HY신명조" w:hAnsi="Times New Roman" w:cs="Times New Roman"/>
          <w:i/>
          <w:iCs/>
          <w:sz w:val="22"/>
        </w:rPr>
        <w:t>λ</w:t>
      </w:r>
      <w:r w:rsidRPr="004F0929">
        <w:rPr>
          <w:rFonts w:ascii="Times New Roman" w:eastAsia="HY신명조" w:hAnsi="Times New Roman" w:cs="Times New Roman"/>
          <w:sz w:val="22"/>
          <w:vertAlign w:val="subscript"/>
        </w:rPr>
        <w:t>ex</w:t>
      </w:r>
      <w:r w:rsidRPr="004F0929">
        <w:rPr>
          <w:rFonts w:ascii="Times New Roman" w:eastAsia="HY신명조" w:hAnsi="Times New Roman" w:cs="Times New Roman"/>
          <w:sz w:val="22"/>
        </w:rPr>
        <w:t>:370 nm, </w:t>
      </w:r>
      <w:r w:rsidRPr="004F0929">
        <w:rPr>
          <w:rFonts w:ascii="Times New Roman" w:eastAsia="HY신명조" w:hAnsi="Times New Roman" w:cs="Times New Roman"/>
          <w:i/>
          <w:iCs/>
          <w:sz w:val="22"/>
        </w:rPr>
        <w:t>λ</w:t>
      </w:r>
      <w:r w:rsidRPr="004F0929">
        <w:rPr>
          <w:rFonts w:ascii="Times New Roman" w:eastAsia="HY신명조" w:hAnsi="Times New Roman" w:cs="Times New Roman"/>
          <w:sz w:val="22"/>
          <w:vertAlign w:val="subscript"/>
        </w:rPr>
        <w:t>det</w:t>
      </w:r>
      <w:r w:rsidRPr="004F0929">
        <w:rPr>
          <w:rFonts w:ascii="Times New Roman" w:eastAsia="HY신명조" w:hAnsi="Times New Roman" w:cs="Times New Roman"/>
          <w:sz w:val="22"/>
        </w:rPr>
        <w:t>:405 nm)</w:t>
      </w:r>
    </w:p>
    <w:p w14:paraId="284AE598" w14:textId="77777777" w:rsidR="008D373D" w:rsidRPr="006437D0" w:rsidRDefault="008D373D" w:rsidP="008D373D">
      <w:pPr>
        <w:pStyle w:val="ab"/>
        <w:spacing w:before="0" w:beforeAutospacing="0" w:after="0" w:afterAutospacing="0" w:line="480" w:lineRule="auto"/>
        <w:jc w:val="both"/>
        <w:rPr>
          <w:rFonts w:ascii="Times New Roman" w:hAnsi="Times New Roman" w:cs="Times New Roman"/>
        </w:rPr>
      </w:pPr>
    </w:p>
    <w:tbl>
      <w:tblPr>
        <w:tblW w:w="9301" w:type="dxa"/>
        <w:tblBorders>
          <w:top w:val="single" w:sz="4" w:space="0" w:color="auto"/>
          <w:bottom w:val="single" w:sz="4" w:space="0" w:color="auto"/>
        </w:tblBorders>
        <w:tblLook w:val="04A0" w:firstRow="1" w:lastRow="0" w:firstColumn="1" w:lastColumn="0" w:noHBand="0" w:noVBand="1"/>
      </w:tblPr>
      <w:tblGrid>
        <w:gridCol w:w="2125"/>
        <w:gridCol w:w="1196"/>
        <w:gridCol w:w="1196"/>
        <w:gridCol w:w="1196"/>
        <w:gridCol w:w="1196"/>
        <w:gridCol w:w="1196"/>
        <w:gridCol w:w="1196"/>
      </w:tblGrid>
      <w:tr w:rsidR="008D373D" w:rsidRPr="006437D0" w14:paraId="1DC4FCB6" w14:textId="77777777" w:rsidTr="003F19F9">
        <w:trPr>
          <w:trHeight w:val="545"/>
        </w:trPr>
        <w:tc>
          <w:tcPr>
            <w:tcW w:w="2125" w:type="dxa"/>
            <w:tcBorders>
              <w:top w:val="single" w:sz="4" w:space="0" w:color="auto"/>
              <w:bottom w:val="single" w:sz="4" w:space="0" w:color="auto"/>
              <w:right w:val="single" w:sz="4" w:space="0" w:color="auto"/>
            </w:tcBorders>
            <w:vAlign w:val="center"/>
          </w:tcPr>
          <w:p w14:paraId="5C56C64B"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Component ratio (m:n)</w:t>
            </w:r>
          </w:p>
        </w:tc>
        <w:tc>
          <w:tcPr>
            <w:tcW w:w="1196" w:type="dxa"/>
            <w:tcBorders>
              <w:top w:val="single" w:sz="4" w:space="0" w:color="auto"/>
              <w:left w:val="single" w:sz="4" w:space="0" w:color="auto"/>
              <w:bottom w:val="single" w:sz="4" w:space="0" w:color="auto"/>
            </w:tcBorders>
            <w:vAlign w:val="center"/>
          </w:tcPr>
          <w:p w14:paraId="08020F6E"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50:50</w:t>
            </w:r>
          </w:p>
        </w:tc>
        <w:tc>
          <w:tcPr>
            <w:tcW w:w="1196" w:type="dxa"/>
            <w:tcBorders>
              <w:top w:val="single" w:sz="4" w:space="0" w:color="auto"/>
              <w:bottom w:val="single" w:sz="4" w:space="0" w:color="auto"/>
            </w:tcBorders>
            <w:vAlign w:val="center"/>
          </w:tcPr>
          <w:p w14:paraId="52169CD1"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70:30</w:t>
            </w:r>
          </w:p>
        </w:tc>
        <w:tc>
          <w:tcPr>
            <w:tcW w:w="1196" w:type="dxa"/>
            <w:tcBorders>
              <w:top w:val="single" w:sz="4" w:space="0" w:color="auto"/>
              <w:bottom w:val="single" w:sz="4" w:space="0" w:color="auto"/>
            </w:tcBorders>
            <w:vAlign w:val="center"/>
          </w:tcPr>
          <w:p w14:paraId="488ADE0F"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85:15</w:t>
            </w:r>
          </w:p>
        </w:tc>
        <w:tc>
          <w:tcPr>
            <w:tcW w:w="1196" w:type="dxa"/>
            <w:tcBorders>
              <w:top w:val="single" w:sz="4" w:space="0" w:color="auto"/>
              <w:bottom w:val="single" w:sz="4" w:space="0" w:color="auto"/>
            </w:tcBorders>
            <w:vAlign w:val="center"/>
          </w:tcPr>
          <w:p w14:paraId="1275C104"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90:10</w:t>
            </w:r>
          </w:p>
        </w:tc>
        <w:tc>
          <w:tcPr>
            <w:tcW w:w="1196" w:type="dxa"/>
            <w:tcBorders>
              <w:top w:val="single" w:sz="4" w:space="0" w:color="auto"/>
              <w:bottom w:val="single" w:sz="4" w:space="0" w:color="auto"/>
            </w:tcBorders>
            <w:vAlign w:val="center"/>
          </w:tcPr>
          <w:p w14:paraId="4A7A6894"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95:5</w:t>
            </w:r>
          </w:p>
        </w:tc>
        <w:tc>
          <w:tcPr>
            <w:tcW w:w="1196" w:type="dxa"/>
            <w:tcBorders>
              <w:top w:val="single" w:sz="4" w:space="0" w:color="auto"/>
              <w:bottom w:val="single" w:sz="4" w:space="0" w:color="auto"/>
            </w:tcBorders>
            <w:vAlign w:val="center"/>
          </w:tcPr>
          <w:p w14:paraId="550AE376"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98:2</w:t>
            </w:r>
          </w:p>
        </w:tc>
      </w:tr>
      <w:tr w:rsidR="008D373D" w:rsidRPr="006437D0" w14:paraId="3DA63946" w14:textId="77777777" w:rsidTr="003F19F9">
        <w:trPr>
          <w:trHeight w:val="545"/>
        </w:trPr>
        <w:tc>
          <w:tcPr>
            <w:tcW w:w="2125" w:type="dxa"/>
            <w:tcBorders>
              <w:top w:val="single" w:sz="4" w:space="0" w:color="auto"/>
              <w:bottom w:val="single" w:sz="4" w:space="0" w:color="auto"/>
              <w:right w:val="single" w:sz="4" w:space="0" w:color="auto"/>
            </w:tcBorders>
            <w:vAlign w:val="center"/>
          </w:tcPr>
          <w:p w14:paraId="291F999A"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Average Lifetime (ns)</w:t>
            </w:r>
          </w:p>
        </w:tc>
        <w:tc>
          <w:tcPr>
            <w:tcW w:w="1196" w:type="dxa"/>
            <w:tcBorders>
              <w:top w:val="single" w:sz="4" w:space="0" w:color="auto"/>
              <w:left w:val="single" w:sz="4" w:space="0" w:color="auto"/>
              <w:bottom w:val="single" w:sz="4" w:space="0" w:color="auto"/>
            </w:tcBorders>
            <w:vAlign w:val="center"/>
          </w:tcPr>
          <w:p w14:paraId="3C54675C"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0.34</w:t>
            </w:r>
          </w:p>
        </w:tc>
        <w:tc>
          <w:tcPr>
            <w:tcW w:w="1196" w:type="dxa"/>
            <w:tcBorders>
              <w:top w:val="single" w:sz="4" w:space="0" w:color="auto"/>
              <w:bottom w:val="single" w:sz="4" w:space="0" w:color="auto"/>
            </w:tcBorders>
            <w:vAlign w:val="center"/>
          </w:tcPr>
          <w:p w14:paraId="0D0E1A07"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0.35</w:t>
            </w:r>
          </w:p>
        </w:tc>
        <w:tc>
          <w:tcPr>
            <w:tcW w:w="1196" w:type="dxa"/>
            <w:tcBorders>
              <w:top w:val="single" w:sz="4" w:space="0" w:color="auto"/>
              <w:bottom w:val="single" w:sz="4" w:space="0" w:color="auto"/>
            </w:tcBorders>
            <w:vAlign w:val="center"/>
          </w:tcPr>
          <w:p w14:paraId="71093DB4"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0.26</w:t>
            </w:r>
          </w:p>
        </w:tc>
        <w:tc>
          <w:tcPr>
            <w:tcW w:w="1196" w:type="dxa"/>
            <w:tcBorders>
              <w:top w:val="single" w:sz="4" w:space="0" w:color="auto"/>
              <w:bottom w:val="single" w:sz="4" w:space="0" w:color="auto"/>
            </w:tcBorders>
            <w:vAlign w:val="center"/>
          </w:tcPr>
          <w:p w14:paraId="0A912751"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0.33</w:t>
            </w:r>
          </w:p>
        </w:tc>
        <w:tc>
          <w:tcPr>
            <w:tcW w:w="1196" w:type="dxa"/>
            <w:tcBorders>
              <w:top w:val="single" w:sz="4" w:space="0" w:color="auto"/>
              <w:bottom w:val="single" w:sz="4" w:space="0" w:color="auto"/>
            </w:tcBorders>
            <w:vAlign w:val="center"/>
          </w:tcPr>
          <w:p w14:paraId="7D9E0AE4"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0.32</w:t>
            </w:r>
          </w:p>
        </w:tc>
        <w:tc>
          <w:tcPr>
            <w:tcW w:w="1196" w:type="dxa"/>
            <w:tcBorders>
              <w:top w:val="single" w:sz="4" w:space="0" w:color="auto"/>
              <w:bottom w:val="single" w:sz="4" w:space="0" w:color="auto"/>
            </w:tcBorders>
            <w:vAlign w:val="center"/>
          </w:tcPr>
          <w:p w14:paraId="3314BD12"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0.32</w:t>
            </w:r>
          </w:p>
        </w:tc>
      </w:tr>
      <w:tr w:rsidR="008D373D" w:rsidRPr="006437D0" w14:paraId="2D8885C3" w14:textId="77777777" w:rsidTr="003F19F9">
        <w:trPr>
          <w:trHeight w:val="545"/>
        </w:trPr>
        <w:tc>
          <w:tcPr>
            <w:tcW w:w="2125" w:type="dxa"/>
            <w:tcBorders>
              <w:top w:val="single" w:sz="4" w:space="0" w:color="auto"/>
              <w:bottom w:val="single" w:sz="4" w:space="0" w:color="auto"/>
              <w:right w:val="single" w:sz="4" w:space="0" w:color="auto"/>
            </w:tcBorders>
            <w:vAlign w:val="center"/>
          </w:tcPr>
          <w:p w14:paraId="2CF01530"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Concentration</w:t>
            </w:r>
          </w:p>
          <w:p w14:paraId="1169955A"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(mg/mL)</w:t>
            </w:r>
          </w:p>
        </w:tc>
        <w:tc>
          <w:tcPr>
            <w:tcW w:w="1196" w:type="dxa"/>
            <w:tcBorders>
              <w:top w:val="single" w:sz="4" w:space="0" w:color="auto"/>
              <w:left w:val="single" w:sz="4" w:space="0" w:color="auto"/>
              <w:bottom w:val="single" w:sz="4" w:space="0" w:color="auto"/>
            </w:tcBorders>
            <w:vAlign w:val="center"/>
          </w:tcPr>
          <w:p w14:paraId="1A93590B"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1</w:t>
            </w:r>
          </w:p>
        </w:tc>
        <w:tc>
          <w:tcPr>
            <w:tcW w:w="1196" w:type="dxa"/>
            <w:tcBorders>
              <w:top w:val="single" w:sz="4" w:space="0" w:color="auto"/>
              <w:bottom w:val="single" w:sz="4" w:space="0" w:color="auto"/>
            </w:tcBorders>
            <w:vAlign w:val="center"/>
          </w:tcPr>
          <w:p w14:paraId="21CBA914"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2</w:t>
            </w:r>
          </w:p>
        </w:tc>
        <w:tc>
          <w:tcPr>
            <w:tcW w:w="1196" w:type="dxa"/>
            <w:tcBorders>
              <w:top w:val="single" w:sz="4" w:space="0" w:color="auto"/>
              <w:bottom w:val="single" w:sz="4" w:space="0" w:color="auto"/>
            </w:tcBorders>
            <w:vAlign w:val="center"/>
          </w:tcPr>
          <w:p w14:paraId="1D2232F1"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3</w:t>
            </w:r>
          </w:p>
        </w:tc>
        <w:tc>
          <w:tcPr>
            <w:tcW w:w="1196" w:type="dxa"/>
            <w:tcBorders>
              <w:top w:val="single" w:sz="4" w:space="0" w:color="auto"/>
              <w:bottom w:val="single" w:sz="4" w:space="0" w:color="auto"/>
            </w:tcBorders>
            <w:vAlign w:val="center"/>
          </w:tcPr>
          <w:p w14:paraId="440916C0"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4</w:t>
            </w:r>
          </w:p>
        </w:tc>
        <w:tc>
          <w:tcPr>
            <w:tcW w:w="1196" w:type="dxa"/>
            <w:tcBorders>
              <w:top w:val="single" w:sz="4" w:space="0" w:color="auto"/>
              <w:bottom w:val="single" w:sz="4" w:space="0" w:color="auto"/>
            </w:tcBorders>
            <w:vAlign w:val="center"/>
          </w:tcPr>
          <w:p w14:paraId="2BBA9D5E"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p>
        </w:tc>
        <w:tc>
          <w:tcPr>
            <w:tcW w:w="1196" w:type="dxa"/>
            <w:tcBorders>
              <w:top w:val="single" w:sz="4" w:space="0" w:color="auto"/>
              <w:bottom w:val="single" w:sz="4" w:space="0" w:color="auto"/>
            </w:tcBorders>
            <w:vAlign w:val="center"/>
          </w:tcPr>
          <w:p w14:paraId="3133DBEB"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p>
        </w:tc>
      </w:tr>
      <w:tr w:rsidR="008D373D" w:rsidRPr="006437D0" w14:paraId="06BF5F54" w14:textId="77777777" w:rsidTr="003F19F9">
        <w:trPr>
          <w:trHeight w:val="545"/>
        </w:trPr>
        <w:tc>
          <w:tcPr>
            <w:tcW w:w="2125" w:type="dxa"/>
            <w:tcBorders>
              <w:top w:val="single" w:sz="4" w:space="0" w:color="auto"/>
              <w:bottom w:val="single" w:sz="4" w:space="0" w:color="auto"/>
              <w:right w:val="single" w:sz="4" w:space="0" w:color="auto"/>
            </w:tcBorders>
            <w:vAlign w:val="center"/>
          </w:tcPr>
          <w:p w14:paraId="698056F0"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Average Lifetime (ns)</w:t>
            </w:r>
          </w:p>
        </w:tc>
        <w:tc>
          <w:tcPr>
            <w:tcW w:w="1196" w:type="dxa"/>
            <w:tcBorders>
              <w:top w:val="single" w:sz="4" w:space="0" w:color="auto"/>
              <w:left w:val="single" w:sz="4" w:space="0" w:color="auto"/>
            </w:tcBorders>
            <w:vAlign w:val="center"/>
          </w:tcPr>
          <w:p w14:paraId="7B9431DD"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0.31</w:t>
            </w:r>
          </w:p>
        </w:tc>
        <w:tc>
          <w:tcPr>
            <w:tcW w:w="1196" w:type="dxa"/>
            <w:tcBorders>
              <w:top w:val="single" w:sz="4" w:space="0" w:color="auto"/>
            </w:tcBorders>
            <w:vAlign w:val="center"/>
          </w:tcPr>
          <w:p w14:paraId="7F49F513"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0.35</w:t>
            </w:r>
          </w:p>
        </w:tc>
        <w:tc>
          <w:tcPr>
            <w:tcW w:w="1196" w:type="dxa"/>
            <w:tcBorders>
              <w:top w:val="single" w:sz="4" w:space="0" w:color="auto"/>
            </w:tcBorders>
            <w:vAlign w:val="center"/>
          </w:tcPr>
          <w:p w14:paraId="534BDB9A"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0.27</w:t>
            </w:r>
          </w:p>
        </w:tc>
        <w:tc>
          <w:tcPr>
            <w:tcW w:w="1196" w:type="dxa"/>
            <w:tcBorders>
              <w:top w:val="single" w:sz="4" w:space="0" w:color="auto"/>
            </w:tcBorders>
            <w:vAlign w:val="center"/>
          </w:tcPr>
          <w:p w14:paraId="20348CF9"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r w:rsidRPr="004F0929">
              <w:rPr>
                <w:rFonts w:ascii="Times New Roman" w:eastAsia="HY신명조" w:hAnsi="Times New Roman" w:cs="Times New Roman"/>
                <w:sz w:val="22"/>
                <w:szCs w:val="22"/>
              </w:rPr>
              <w:t>0.32</w:t>
            </w:r>
          </w:p>
        </w:tc>
        <w:tc>
          <w:tcPr>
            <w:tcW w:w="1196" w:type="dxa"/>
            <w:tcBorders>
              <w:top w:val="single" w:sz="4" w:space="0" w:color="auto"/>
            </w:tcBorders>
            <w:vAlign w:val="center"/>
          </w:tcPr>
          <w:p w14:paraId="1B10E0C2"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p>
        </w:tc>
        <w:tc>
          <w:tcPr>
            <w:tcW w:w="1196" w:type="dxa"/>
            <w:tcBorders>
              <w:top w:val="single" w:sz="4" w:space="0" w:color="auto"/>
            </w:tcBorders>
            <w:vAlign w:val="center"/>
          </w:tcPr>
          <w:p w14:paraId="718B4412" w14:textId="77777777" w:rsidR="008D373D" w:rsidRPr="004F0929" w:rsidRDefault="008D373D" w:rsidP="003F19F9">
            <w:pPr>
              <w:pStyle w:val="ab"/>
              <w:spacing w:before="0" w:beforeAutospacing="0" w:after="0" w:afterAutospacing="0"/>
              <w:jc w:val="center"/>
              <w:rPr>
                <w:rFonts w:ascii="Times New Roman" w:eastAsia="HY신명조" w:hAnsi="Times New Roman" w:cs="Times New Roman"/>
                <w:sz w:val="22"/>
                <w:szCs w:val="22"/>
              </w:rPr>
            </w:pPr>
          </w:p>
        </w:tc>
      </w:tr>
    </w:tbl>
    <w:p w14:paraId="76B8C57F" w14:textId="77777777" w:rsidR="008D373D" w:rsidRPr="006437D0" w:rsidRDefault="008D373D" w:rsidP="008D373D">
      <w:pPr>
        <w:pStyle w:val="ab"/>
        <w:spacing w:before="0" w:beforeAutospacing="0" w:after="0" w:afterAutospacing="0" w:line="480" w:lineRule="auto"/>
        <w:jc w:val="both"/>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Table S2</w:t>
      </w:r>
      <w:r w:rsidRPr="006437D0">
        <w:rPr>
          <w:rFonts w:ascii="Times New Roman" w:eastAsia="HY신명조" w:hAnsi="Times New Roman" w:cs="Times New Roman"/>
          <w:sz w:val="22"/>
          <w:szCs w:val="22"/>
        </w:rPr>
        <w:t xml:space="preserve"> </w:t>
      </w:r>
      <w:r w:rsidRPr="004F0929">
        <w:rPr>
          <w:rFonts w:ascii="Times New Roman" w:eastAsia="HY신명조" w:hAnsi="Times New Roman" w:cs="Times New Roman"/>
          <w:sz w:val="22"/>
        </w:rPr>
        <w:t>PL Lifetimes of PFO@QX Nanofibers with Varying Component Ratios and Concentrations (</w:t>
      </w:r>
      <w:r w:rsidRPr="004F0929">
        <w:rPr>
          <w:rFonts w:ascii="Times New Roman" w:eastAsia="HY신명조" w:hAnsi="Times New Roman" w:cs="Times New Roman"/>
          <w:i/>
          <w:iCs/>
          <w:sz w:val="22"/>
        </w:rPr>
        <w:t>λ</w:t>
      </w:r>
      <w:r w:rsidRPr="004F0929">
        <w:rPr>
          <w:rFonts w:ascii="Times New Roman" w:eastAsia="HY신명조" w:hAnsi="Times New Roman" w:cs="Times New Roman"/>
          <w:sz w:val="22"/>
          <w:vertAlign w:val="subscript"/>
        </w:rPr>
        <w:t>ex</w:t>
      </w:r>
      <w:r w:rsidRPr="004F0929">
        <w:rPr>
          <w:rFonts w:ascii="Times New Roman" w:eastAsia="HY신명조" w:hAnsi="Times New Roman" w:cs="Times New Roman"/>
          <w:sz w:val="22"/>
        </w:rPr>
        <w:t>:370 nm, </w:t>
      </w:r>
      <w:r w:rsidRPr="004F0929">
        <w:rPr>
          <w:rFonts w:ascii="Times New Roman" w:eastAsia="HY신명조" w:hAnsi="Times New Roman" w:cs="Times New Roman"/>
          <w:i/>
          <w:iCs/>
          <w:sz w:val="22"/>
        </w:rPr>
        <w:t>λ</w:t>
      </w:r>
      <w:r w:rsidRPr="004F0929">
        <w:rPr>
          <w:rFonts w:ascii="Times New Roman" w:eastAsia="HY신명조" w:hAnsi="Times New Roman" w:cs="Times New Roman"/>
          <w:sz w:val="22"/>
          <w:vertAlign w:val="subscript"/>
        </w:rPr>
        <w:t>det</w:t>
      </w:r>
      <w:r w:rsidRPr="004F0929">
        <w:rPr>
          <w:rFonts w:ascii="Times New Roman" w:eastAsia="HY신명조" w:hAnsi="Times New Roman" w:cs="Times New Roman"/>
          <w:sz w:val="22"/>
        </w:rPr>
        <w:t>:405 nm)</w:t>
      </w:r>
    </w:p>
    <w:p w14:paraId="297D8AE1" w14:textId="647D59A9" w:rsidR="008D373D" w:rsidRPr="006437D0" w:rsidRDefault="008D373D" w:rsidP="008D373D">
      <w:pPr>
        <w:pStyle w:val="ab"/>
        <w:spacing w:before="0" w:beforeAutospacing="0" w:after="0" w:afterAutospacing="0" w:line="480" w:lineRule="auto"/>
        <w:jc w:val="center"/>
        <w:rPr>
          <w:rFonts w:ascii="Times New Roman" w:eastAsia="HY신명조" w:hAnsi="Times New Roman" w:cs="Times New Roman"/>
          <w:noProof/>
          <w:sz w:val="22"/>
          <w:szCs w:val="22"/>
        </w:rPr>
      </w:pPr>
      <w:r w:rsidRPr="006437D0">
        <w:rPr>
          <w:rFonts w:ascii="Times New Roman" w:eastAsia="HY신명조" w:hAnsi="Times New Roman" w:cs="Times New Roman"/>
          <w:b/>
          <w:bCs/>
          <w:sz w:val="22"/>
        </w:rPr>
        <w:br w:type="page"/>
      </w:r>
      <w:r>
        <w:rPr>
          <w:rFonts w:ascii="Times New Roman" w:eastAsia="HY신명조" w:hAnsi="Times New Roman" w:cs="Times New Roman"/>
          <w:noProof/>
          <w:sz w:val="22"/>
          <w:szCs w:val="22"/>
        </w:rPr>
        <w:lastRenderedPageBreak/>
        <w:drawing>
          <wp:inline distT="0" distB="0" distL="0" distR="0" wp14:anchorId="0816935A" wp14:editId="27499F70">
            <wp:extent cx="2880995" cy="1492250"/>
            <wp:effectExtent l="0" t="0" r="0" b="0"/>
            <wp:docPr id="165541256"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80995" cy="1492250"/>
                    </a:xfrm>
                    <a:prstGeom prst="rect">
                      <a:avLst/>
                    </a:prstGeom>
                    <a:noFill/>
                    <a:ln>
                      <a:noFill/>
                    </a:ln>
                  </pic:spPr>
                </pic:pic>
              </a:graphicData>
            </a:graphic>
          </wp:inline>
        </w:drawing>
      </w:r>
    </w:p>
    <w:p w14:paraId="5045A963" w14:textId="77777777" w:rsidR="008D373D" w:rsidRDefault="008D373D" w:rsidP="008D373D">
      <w:pPr>
        <w:pStyle w:val="ab"/>
        <w:spacing w:before="0" w:beforeAutospacing="0" w:after="0" w:afterAutospacing="0" w:line="480" w:lineRule="auto"/>
        <w:jc w:val="both"/>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 xml:space="preserve">Fig. S1 </w:t>
      </w:r>
      <w:r w:rsidRPr="004F0929">
        <w:rPr>
          <w:rFonts w:ascii="Times New Roman" w:eastAsia="HY신명조" w:hAnsi="Times New Roman" w:cs="Times New Roman"/>
          <w:sz w:val="22"/>
          <w:szCs w:val="22"/>
        </w:rPr>
        <w:t>SEM images and morphological analysis of electrospun PFO@QX nanofibers. (a) SEM images of electrospun PFO@QX (95:5) nanofibers</w:t>
      </w:r>
      <w:r w:rsidRPr="006437D0">
        <w:rPr>
          <w:rFonts w:ascii="Times New Roman" w:eastAsia="HY신명조" w:hAnsi="Times New Roman" w:cs="Times New Roman"/>
          <w:sz w:val="22"/>
          <w:szCs w:val="22"/>
        </w:rPr>
        <w:t xml:space="preserve"> at different magnifications, and (b) histograms of fiber diameter and nanopore size distributions</w:t>
      </w:r>
    </w:p>
    <w:p w14:paraId="1B801807" w14:textId="77777777" w:rsidR="008D373D" w:rsidRDefault="008D373D" w:rsidP="008D373D">
      <w:pPr>
        <w:pStyle w:val="ab"/>
        <w:spacing w:before="0" w:beforeAutospacing="0" w:after="0" w:afterAutospacing="0" w:line="480" w:lineRule="auto"/>
        <w:rPr>
          <w:rFonts w:ascii="Times New Roman" w:eastAsia="HY신명조" w:hAnsi="Times New Roman" w:cs="Times New Roman"/>
          <w:noProof/>
          <w:sz w:val="22"/>
        </w:rPr>
      </w:pPr>
    </w:p>
    <w:p w14:paraId="1C268EF3" w14:textId="557AAD5C" w:rsidR="008D373D" w:rsidRPr="006437D0" w:rsidRDefault="008D373D" w:rsidP="008D373D">
      <w:pPr>
        <w:pStyle w:val="ab"/>
        <w:spacing w:before="0" w:beforeAutospacing="0" w:after="0" w:afterAutospacing="0" w:line="480" w:lineRule="auto"/>
        <w:jc w:val="center"/>
        <w:rPr>
          <w:rFonts w:ascii="Times New Roman" w:eastAsia="HY신명조" w:hAnsi="Times New Roman" w:cs="Times New Roman"/>
          <w:sz w:val="22"/>
        </w:rPr>
      </w:pPr>
      <w:r>
        <w:rPr>
          <w:rFonts w:ascii="Times New Roman" w:eastAsia="HY신명조" w:hAnsi="Times New Roman" w:cs="Times New Roman"/>
          <w:noProof/>
          <w:sz w:val="22"/>
          <w:szCs w:val="22"/>
        </w:rPr>
        <w:drawing>
          <wp:inline distT="0" distB="0" distL="0" distR="0" wp14:anchorId="651F9BAA" wp14:editId="203B8AD4">
            <wp:extent cx="2872740" cy="1207770"/>
            <wp:effectExtent l="0" t="0" r="0" b="0"/>
            <wp:docPr id="157189598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72740" cy="1207770"/>
                    </a:xfrm>
                    <a:prstGeom prst="rect">
                      <a:avLst/>
                    </a:prstGeom>
                    <a:noFill/>
                    <a:ln>
                      <a:noFill/>
                    </a:ln>
                  </pic:spPr>
                </pic:pic>
              </a:graphicData>
            </a:graphic>
          </wp:inline>
        </w:drawing>
      </w:r>
    </w:p>
    <w:p w14:paraId="0E46C1EB" w14:textId="77777777" w:rsidR="008D373D" w:rsidRDefault="008D373D" w:rsidP="008D373D">
      <w:pPr>
        <w:pStyle w:val="ab"/>
        <w:spacing w:before="0" w:beforeAutospacing="0" w:after="0" w:afterAutospacing="0" w:line="480" w:lineRule="auto"/>
        <w:jc w:val="both"/>
        <w:rPr>
          <w:rFonts w:ascii="Times New Roman" w:eastAsia="HY신명조" w:hAnsi="Times New Roman" w:cs="Times New Roman"/>
          <w:sz w:val="22"/>
        </w:rPr>
      </w:pPr>
      <w:r w:rsidRPr="006437D0">
        <w:rPr>
          <w:rFonts w:ascii="Times New Roman" w:eastAsia="HY신명조" w:hAnsi="Times New Roman" w:cs="Times New Roman"/>
          <w:b/>
          <w:bCs/>
          <w:sz w:val="22"/>
          <w:szCs w:val="22"/>
        </w:rPr>
        <w:t>Fig.</w:t>
      </w:r>
      <w:r w:rsidRPr="006437D0">
        <w:rPr>
          <w:rFonts w:ascii="Times New Roman" w:eastAsia="HY신명조" w:hAnsi="Times New Roman" w:cs="Times New Roman"/>
          <w:b/>
          <w:bCs/>
          <w:sz w:val="22"/>
        </w:rPr>
        <w:t xml:space="preserve"> S2</w:t>
      </w:r>
      <w:r w:rsidRPr="006437D0">
        <w:rPr>
          <w:rFonts w:ascii="Times New Roman" w:eastAsia="HY신명조" w:hAnsi="Times New Roman" w:cs="Times New Roman"/>
          <w:sz w:val="22"/>
        </w:rPr>
        <w:t xml:space="preserve"> </w:t>
      </w:r>
      <w:r w:rsidRPr="004F0929">
        <w:rPr>
          <w:rFonts w:ascii="Times New Roman" w:eastAsia="HY신명조" w:hAnsi="Times New Roman" w:cs="Times New Roman"/>
          <w:sz w:val="22"/>
        </w:rPr>
        <w:t>Time-resolved photoluminescence decay curves of PFO@QX nanofibers as a function of donor-acceptor composition ratio and concentration. (λ</w:t>
      </w:r>
      <w:r w:rsidRPr="004F0929">
        <w:rPr>
          <w:rFonts w:ascii="Times New Roman" w:eastAsia="HY신명조" w:hAnsi="Times New Roman" w:cs="Times New Roman"/>
          <w:sz w:val="22"/>
          <w:vertAlign w:val="subscript"/>
        </w:rPr>
        <w:t>ex</w:t>
      </w:r>
      <w:r w:rsidRPr="004F0929">
        <w:rPr>
          <w:rFonts w:ascii="Times New Roman" w:eastAsia="HY신명조" w:hAnsi="Times New Roman" w:cs="Times New Roman"/>
          <w:sz w:val="22"/>
        </w:rPr>
        <w:t>:370 nm, λ</w:t>
      </w:r>
      <w:r w:rsidRPr="004F0929">
        <w:rPr>
          <w:rFonts w:ascii="Times New Roman" w:eastAsia="HY신명조" w:hAnsi="Times New Roman" w:cs="Times New Roman"/>
          <w:sz w:val="22"/>
          <w:vertAlign w:val="subscript"/>
        </w:rPr>
        <w:t>det</w:t>
      </w:r>
      <w:r w:rsidRPr="004F0929">
        <w:rPr>
          <w:rFonts w:ascii="Times New Roman" w:eastAsia="HY신명조" w:hAnsi="Times New Roman" w:cs="Times New Roman"/>
          <w:sz w:val="22"/>
        </w:rPr>
        <w:t>:405 nm),</w:t>
      </w:r>
      <w:r w:rsidRPr="006437D0">
        <w:rPr>
          <w:rFonts w:ascii="Times New Roman" w:eastAsia="HY신명조" w:hAnsi="Times New Roman" w:cs="Times New Roman"/>
          <w:sz w:val="22"/>
        </w:rPr>
        <w:t xml:space="preserve"> (a) composition-dependent decay curves, and (b) concentration-dependent decay curves</w:t>
      </w:r>
    </w:p>
    <w:p w14:paraId="4B8A0C58" w14:textId="77777777" w:rsidR="008D373D" w:rsidRPr="00C52E63" w:rsidRDefault="008D373D" w:rsidP="008D373D">
      <w:pPr>
        <w:pStyle w:val="ab"/>
        <w:spacing w:before="0" w:beforeAutospacing="0" w:after="0" w:afterAutospacing="0" w:line="480" w:lineRule="auto"/>
        <w:jc w:val="both"/>
        <w:rPr>
          <w:rFonts w:ascii="Times New Roman" w:eastAsia="HY신명조" w:hAnsi="Times New Roman" w:cs="Times New Roman"/>
          <w:sz w:val="22"/>
        </w:rPr>
      </w:pPr>
      <w:r>
        <w:rPr>
          <w:rFonts w:ascii="Times New Roman" w:eastAsia="HY신명조" w:hAnsi="Times New Roman" w:cs="Times New Roman"/>
          <w:sz w:val="22"/>
        </w:rPr>
        <w:br w:type="page"/>
      </w:r>
    </w:p>
    <w:p w14:paraId="0A0859BF" w14:textId="6F249277" w:rsidR="008D373D" w:rsidRPr="006437D0" w:rsidRDefault="008D373D" w:rsidP="008D373D">
      <w:pPr>
        <w:pStyle w:val="ab"/>
        <w:spacing w:before="0" w:beforeAutospacing="0" w:after="0" w:afterAutospacing="0" w:line="480" w:lineRule="auto"/>
        <w:jc w:val="center"/>
        <w:rPr>
          <w:rFonts w:ascii="Times New Roman" w:eastAsia="HY신명조" w:hAnsi="Times New Roman" w:cs="Times New Roman"/>
          <w:sz w:val="22"/>
          <w:szCs w:val="22"/>
        </w:rPr>
      </w:pPr>
      <w:r>
        <w:rPr>
          <w:rFonts w:ascii="Times New Roman" w:eastAsia="HY신명조" w:hAnsi="Times New Roman" w:cs="Times New Roman"/>
          <w:noProof/>
          <w:sz w:val="22"/>
          <w:szCs w:val="22"/>
        </w:rPr>
        <w:lastRenderedPageBreak/>
        <w:drawing>
          <wp:inline distT="0" distB="0" distL="0" distR="0" wp14:anchorId="08A3BCE6" wp14:editId="0FA0A08A">
            <wp:extent cx="2880995" cy="4770120"/>
            <wp:effectExtent l="0" t="0" r="0" b="0"/>
            <wp:docPr id="669139978"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80995" cy="4770120"/>
                    </a:xfrm>
                    <a:prstGeom prst="rect">
                      <a:avLst/>
                    </a:prstGeom>
                    <a:noFill/>
                    <a:ln>
                      <a:noFill/>
                    </a:ln>
                  </pic:spPr>
                </pic:pic>
              </a:graphicData>
            </a:graphic>
          </wp:inline>
        </w:drawing>
      </w:r>
    </w:p>
    <w:p w14:paraId="7D67BCB0" w14:textId="77777777" w:rsidR="008D373D" w:rsidRDefault="008D373D" w:rsidP="008D373D">
      <w:pPr>
        <w:pStyle w:val="ab"/>
        <w:spacing w:before="0" w:beforeAutospacing="0" w:after="0" w:afterAutospacing="0" w:line="480" w:lineRule="auto"/>
        <w:jc w:val="both"/>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 xml:space="preserve">Fig. S3 </w:t>
      </w:r>
      <w:r w:rsidRPr="004F0929">
        <w:rPr>
          <w:rFonts w:ascii="Times New Roman" w:eastAsia="HY신명조" w:hAnsi="Times New Roman" w:cs="Times New Roman"/>
          <w:sz w:val="22"/>
          <w:szCs w:val="22"/>
        </w:rPr>
        <w:t>SEM images of electrospun PFO@QX nanofibers after (a) chloroform, (b) THF, (c) methanol, (d) IPA, (e) hexane vapor exposure</w:t>
      </w:r>
    </w:p>
    <w:p w14:paraId="0FBEB702" w14:textId="77777777" w:rsidR="008D373D" w:rsidRDefault="008D373D" w:rsidP="008D373D">
      <w:pPr>
        <w:pStyle w:val="ab"/>
        <w:spacing w:before="0" w:beforeAutospacing="0" w:after="0" w:afterAutospacing="0" w:line="480" w:lineRule="auto"/>
        <w:jc w:val="both"/>
        <w:rPr>
          <w:rFonts w:ascii="Times New Roman" w:eastAsia="HY신명조" w:hAnsi="Times New Roman" w:cs="Times New Roman"/>
          <w:sz w:val="22"/>
          <w:szCs w:val="22"/>
        </w:rPr>
      </w:pPr>
    </w:p>
    <w:p w14:paraId="227F8000" w14:textId="031A4D6C" w:rsidR="008D373D" w:rsidRPr="00C52E63" w:rsidRDefault="008D373D" w:rsidP="008D373D">
      <w:pPr>
        <w:pStyle w:val="ab"/>
        <w:spacing w:before="0" w:beforeAutospacing="0" w:after="0" w:afterAutospacing="0" w:line="480" w:lineRule="auto"/>
        <w:jc w:val="center"/>
        <w:rPr>
          <w:rFonts w:ascii="Times New Roman" w:eastAsia="HY신명조" w:hAnsi="Times New Roman" w:cs="Times New Roman"/>
          <w:sz w:val="22"/>
          <w:szCs w:val="22"/>
        </w:rPr>
      </w:pPr>
      <w:r>
        <w:rPr>
          <w:rFonts w:ascii="Times New Roman" w:eastAsia="HY신명조" w:hAnsi="Times New Roman" w:cs="Times New Roman"/>
          <w:noProof/>
          <w:sz w:val="22"/>
          <w:szCs w:val="22"/>
        </w:rPr>
        <w:drawing>
          <wp:inline distT="0" distB="0" distL="0" distR="0" wp14:anchorId="0C928BDD" wp14:editId="5A692AED">
            <wp:extent cx="2872740" cy="1138555"/>
            <wp:effectExtent l="0" t="0" r="0" b="4445"/>
            <wp:docPr id="1908283654"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72740" cy="1138555"/>
                    </a:xfrm>
                    <a:prstGeom prst="rect">
                      <a:avLst/>
                    </a:prstGeom>
                    <a:noFill/>
                    <a:ln>
                      <a:noFill/>
                    </a:ln>
                  </pic:spPr>
                </pic:pic>
              </a:graphicData>
            </a:graphic>
          </wp:inline>
        </w:drawing>
      </w:r>
    </w:p>
    <w:p w14:paraId="105E434A" w14:textId="77777777" w:rsidR="008D373D" w:rsidRPr="006437D0" w:rsidRDefault="008D373D" w:rsidP="008D373D">
      <w:pPr>
        <w:pStyle w:val="ab"/>
        <w:spacing w:before="0" w:beforeAutospacing="0" w:after="0" w:afterAutospacing="0" w:line="480" w:lineRule="auto"/>
        <w:jc w:val="both"/>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 xml:space="preserve">Fig. S4 </w:t>
      </w:r>
      <w:r w:rsidRPr="004F0929">
        <w:rPr>
          <w:rFonts w:ascii="Times New Roman" w:eastAsia="HY신명조" w:hAnsi="Times New Roman" w:cs="Times New Roman"/>
          <w:sz w:val="22"/>
          <w:szCs w:val="22"/>
        </w:rPr>
        <w:t>Comparison of PL responses between spin-coated films and electrospun nanofibers upon various vapor exposures. PL spectra of (a) spin-coated films, (b) electrospun PFO@QX nanofibers, upon exposure to chloroform and THF</w:t>
      </w:r>
    </w:p>
    <w:p w14:paraId="0B4825B5" w14:textId="77777777" w:rsidR="008D373D" w:rsidRDefault="008D373D" w:rsidP="008D373D">
      <w:pPr>
        <w:pStyle w:val="aa"/>
        <w:spacing w:line="480" w:lineRule="auto"/>
        <w:jc w:val="center"/>
        <w:rPr>
          <w:rFonts w:ascii="Times New Roman" w:eastAsia="HY신명조" w:hAnsi="Times New Roman" w:cs="Times New Roman"/>
          <w:noProof/>
          <w:sz w:val="22"/>
          <w:szCs w:val="22"/>
        </w:rPr>
      </w:pPr>
    </w:p>
    <w:p w14:paraId="69DB5097" w14:textId="77777777" w:rsidR="008D373D" w:rsidRDefault="008D373D" w:rsidP="008D373D">
      <w:pPr>
        <w:pStyle w:val="aa"/>
        <w:spacing w:line="480" w:lineRule="auto"/>
        <w:jc w:val="center"/>
        <w:rPr>
          <w:rFonts w:ascii="Times New Roman" w:eastAsia="HY신명조" w:hAnsi="Times New Roman" w:cs="Times New Roman"/>
          <w:noProof/>
          <w:sz w:val="22"/>
          <w:szCs w:val="22"/>
        </w:rPr>
      </w:pPr>
    </w:p>
    <w:p w14:paraId="1DAFA7C5" w14:textId="3B6D8622" w:rsidR="008D373D" w:rsidRPr="006437D0" w:rsidRDefault="008D373D" w:rsidP="008D373D">
      <w:pPr>
        <w:pStyle w:val="aa"/>
        <w:spacing w:line="480" w:lineRule="auto"/>
        <w:jc w:val="center"/>
        <w:rPr>
          <w:rFonts w:ascii="Times New Roman" w:eastAsia="HY신명조" w:hAnsi="Times New Roman" w:cs="Times New Roman"/>
          <w:sz w:val="22"/>
          <w:szCs w:val="22"/>
        </w:rPr>
      </w:pPr>
      <w:r w:rsidRPr="006437D0">
        <w:rPr>
          <w:rFonts w:ascii="Times New Roman" w:eastAsia="HY신명조" w:hAnsi="Times New Roman" w:cs="Times New Roman"/>
          <w:noProof/>
          <w:sz w:val="22"/>
          <w:szCs w:val="22"/>
        </w:rPr>
        <w:lastRenderedPageBreak/>
        <w:drawing>
          <wp:inline distT="0" distB="0" distL="0" distR="0" wp14:anchorId="6D0C5BA0" wp14:editId="4DDAB546">
            <wp:extent cx="2880995" cy="1992630"/>
            <wp:effectExtent l="0" t="0" r="0" b="7620"/>
            <wp:docPr id="19224589"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0995" cy="1992630"/>
                    </a:xfrm>
                    <a:prstGeom prst="rect">
                      <a:avLst/>
                    </a:prstGeom>
                    <a:noFill/>
                    <a:ln>
                      <a:noFill/>
                    </a:ln>
                  </pic:spPr>
                </pic:pic>
              </a:graphicData>
            </a:graphic>
          </wp:inline>
        </w:drawing>
      </w:r>
    </w:p>
    <w:p w14:paraId="76C3EE28" w14:textId="77777777" w:rsidR="008D373D" w:rsidRDefault="008D373D" w:rsidP="008D373D">
      <w:pPr>
        <w:pStyle w:val="ab"/>
        <w:spacing w:before="0" w:beforeAutospacing="0" w:after="0" w:afterAutospacing="0" w:line="480" w:lineRule="auto"/>
        <w:jc w:val="both"/>
        <w:rPr>
          <w:rFonts w:ascii="Times New Roman" w:eastAsia="HY신명조" w:hAnsi="Times New Roman" w:cs="Times New Roman"/>
          <w:sz w:val="22"/>
        </w:rPr>
      </w:pPr>
      <w:r w:rsidRPr="006437D0">
        <w:rPr>
          <w:rFonts w:ascii="Times New Roman" w:eastAsia="HY신명조" w:hAnsi="Times New Roman" w:cs="Times New Roman"/>
          <w:b/>
          <w:bCs/>
          <w:sz w:val="22"/>
          <w:szCs w:val="22"/>
        </w:rPr>
        <w:t>Fig.</w:t>
      </w:r>
      <w:r w:rsidRPr="006437D0">
        <w:rPr>
          <w:rFonts w:ascii="Times New Roman" w:eastAsia="HY신명조" w:hAnsi="Times New Roman" w:cs="Times New Roman"/>
          <w:b/>
          <w:bCs/>
          <w:sz w:val="22"/>
        </w:rPr>
        <w:t xml:space="preserve"> S5 </w:t>
      </w:r>
      <w:r w:rsidRPr="004F0929">
        <w:rPr>
          <w:rFonts w:ascii="Times New Roman" w:eastAsia="HY신명조" w:hAnsi="Times New Roman" w:cs="Times New Roman"/>
          <w:sz w:val="22"/>
          <w:vertAlign w:val="superscript"/>
        </w:rPr>
        <w:t>1</w:t>
      </w:r>
      <w:r w:rsidRPr="004F0929">
        <w:rPr>
          <w:rFonts w:ascii="Times New Roman" w:eastAsia="HY신명조" w:hAnsi="Times New Roman" w:cs="Times New Roman"/>
          <w:sz w:val="22"/>
        </w:rPr>
        <w:t>H NMR spectra of PFO@QX copolymers with varying donor–acceptor composition ratios (m:n)</w:t>
      </w:r>
    </w:p>
    <w:p w14:paraId="55945A35" w14:textId="77777777" w:rsidR="008D373D" w:rsidRPr="006437D0" w:rsidRDefault="008D373D" w:rsidP="008D373D">
      <w:pPr>
        <w:pStyle w:val="ab"/>
        <w:spacing w:before="0" w:beforeAutospacing="0" w:after="0" w:afterAutospacing="0" w:line="480" w:lineRule="auto"/>
        <w:jc w:val="both"/>
        <w:rPr>
          <w:rFonts w:ascii="Times New Roman" w:eastAsia="HY신명조" w:hAnsi="Times New Roman" w:cs="Times New Roman"/>
          <w:sz w:val="22"/>
        </w:rPr>
      </w:pPr>
    </w:p>
    <w:p w14:paraId="37558FD3" w14:textId="7A225777" w:rsidR="008D373D" w:rsidRPr="006437D0" w:rsidRDefault="008D373D" w:rsidP="008D373D">
      <w:pPr>
        <w:pStyle w:val="aa"/>
        <w:spacing w:line="480" w:lineRule="auto"/>
        <w:jc w:val="center"/>
        <w:rPr>
          <w:rFonts w:ascii="Times New Roman" w:eastAsia="HY신명조" w:hAnsi="Times New Roman" w:cs="Times New Roman"/>
          <w:sz w:val="22"/>
          <w:szCs w:val="22"/>
        </w:rPr>
      </w:pPr>
      <w:r w:rsidRPr="006437D0">
        <w:rPr>
          <w:rFonts w:ascii="Times New Roman" w:eastAsia="HY신명조" w:hAnsi="Times New Roman" w:cs="Times New Roman"/>
          <w:noProof/>
          <w:sz w:val="22"/>
          <w:szCs w:val="22"/>
        </w:rPr>
        <w:drawing>
          <wp:inline distT="0" distB="0" distL="0" distR="0" wp14:anchorId="0E23E7C3" wp14:editId="5BA7C26D">
            <wp:extent cx="3373120" cy="2880995"/>
            <wp:effectExtent l="0" t="0" r="0" b="0"/>
            <wp:docPr id="1933498830"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73120" cy="2880995"/>
                    </a:xfrm>
                    <a:prstGeom prst="rect">
                      <a:avLst/>
                    </a:prstGeom>
                    <a:noFill/>
                    <a:ln>
                      <a:noFill/>
                    </a:ln>
                  </pic:spPr>
                </pic:pic>
              </a:graphicData>
            </a:graphic>
          </wp:inline>
        </w:drawing>
      </w:r>
    </w:p>
    <w:p w14:paraId="687B730F" w14:textId="77777777" w:rsidR="008D373D" w:rsidRPr="006437D0" w:rsidRDefault="008D373D" w:rsidP="008D373D">
      <w:pPr>
        <w:pStyle w:val="ab"/>
        <w:spacing w:before="0" w:beforeAutospacing="0" w:after="0" w:afterAutospacing="0" w:line="480" w:lineRule="auto"/>
        <w:jc w:val="both"/>
        <w:rPr>
          <w:rFonts w:ascii="Times New Roman" w:eastAsia="HY신명조" w:hAnsi="Times New Roman" w:cs="Times New Roman"/>
          <w:b/>
          <w:bCs/>
          <w:sz w:val="22"/>
        </w:rPr>
      </w:pPr>
      <w:r w:rsidRPr="006437D0">
        <w:rPr>
          <w:rFonts w:ascii="Times New Roman" w:eastAsia="HY신명조" w:hAnsi="Times New Roman" w:cs="Times New Roman"/>
          <w:b/>
          <w:bCs/>
          <w:sz w:val="22"/>
          <w:szCs w:val="22"/>
        </w:rPr>
        <w:t>Fig.</w:t>
      </w:r>
      <w:r w:rsidRPr="006437D0">
        <w:rPr>
          <w:rFonts w:ascii="Times New Roman" w:eastAsia="HY신명조" w:hAnsi="Times New Roman" w:cs="Times New Roman"/>
          <w:b/>
          <w:bCs/>
          <w:sz w:val="22"/>
        </w:rPr>
        <w:t xml:space="preserve"> S6 </w:t>
      </w:r>
      <w:r w:rsidRPr="004F0929">
        <w:rPr>
          <w:rFonts w:ascii="Times New Roman" w:eastAsia="HY신명조" w:hAnsi="Times New Roman" w:cs="Times New Roman"/>
          <w:sz w:val="22"/>
          <w:szCs w:val="22"/>
        </w:rPr>
        <w:t xml:space="preserve">Gel permeation chromatography (GPC) of the </w:t>
      </w:r>
      <w:r w:rsidRPr="004F0929">
        <w:rPr>
          <w:rFonts w:ascii="Times New Roman" w:eastAsia="HY신명조" w:hAnsi="Times New Roman" w:cs="Times New Roman"/>
          <w:sz w:val="22"/>
        </w:rPr>
        <w:t>PFO@QX copolymers with varying donor–acceptor composition ratios (m:n)</w:t>
      </w:r>
    </w:p>
    <w:p w14:paraId="62F9E562" w14:textId="4F60A9C7" w:rsidR="008D373D" w:rsidRPr="006437D0" w:rsidRDefault="008D373D" w:rsidP="008D373D">
      <w:pPr>
        <w:pStyle w:val="ab"/>
        <w:spacing w:before="0" w:beforeAutospacing="0" w:after="0" w:afterAutospacing="0" w:line="480" w:lineRule="auto"/>
        <w:jc w:val="center"/>
        <w:rPr>
          <w:rFonts w:ascii="Times New Roman" w:eastAsia="HY신명조" w:hAnsi="Times New Roman" w:cs="Times New Roman"/>
          <w:sz w:val="22"/>
          <w:szCs w:val="22"/>
        </w:rPr>
      </w:pPr>
      <w:r w:rsidRPr="006437D0">
        <w:rPr>
          <w:rFonts w:ascii="Times New Roman" w:eastAsia="HY신명조" w:hAnsi="Times New Roman" w:cs="Times New Roman"/>
          <w:noProof/>
          <w:sz w:val="22"/>
          <w:szCs w:val="22"/>
        </w:rPr>
        <w:lastRenderedPageBreak/>
        <w:drawing>
          <wp:inline distT="0" distB="0" distL="0" distR="0" wp14:anchorId="127EE734" wp14:editId="499E5ECD">
            <wp:extent cx="2423795" cy="2880995"/>
            <wp:effectExtent l="0" t="0" r="0" b="0"/>
            <wp:docPr id="100774043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3795" cy="2880995"/>
                    </a:xfrm>
                    <a:prstGeom prst="rect">
                      <a:avLst/>
                    </a:prstGeom>
                    <a:noFill/>
                    <a:ln>
                      <a:noFill/>
                    </a:ln>
                  </pic:spPr>
                </pic:pic>
              </a:graphicData>
            </a:graphic>
          </wp:inline>
        </w:drawing>
      </w:r>
    </w:p>
    <w:p w14:paraId="27E1BFC3" w14:textId="77777777" w:rsidR="008D373D" w:rsidRDefault="008D373D" w:rsidP="008D373D">
      <w:pPr>
        <w:pStyle w:val="ab"/>
        <w:spacing w:line="480" w:lineRule="auto"/>
        <w:jc w:val="both"/>
        <w:rPr>
          <w:rFonts w:ascii="Times New Roman" w:eastAsia="HY신명조" w:hAnsi="Times New Roman" w:cs="Times New Roman"/>
          <w:sz w:val="22"/>
        </w:rPr>
      </w:pPr>
      <w:r w:rsidRPr="006437D0">
        <w:rPr>
          <w:rFonts w:ascii="Times New Roman" w:eastAsia="HY신명조" w:hAnsi="Times New Roman" w:cs="Times New Roman"/>
          <w:b/>
          <w:bCs/>
          <w:sz w:val="22"/>
          <w:szCs w:val="22"/>
        </w:rPr>
        <w:t>Fig.</w:t>
      </w:r>
      <w:r w:rsidRPr="006437D0">
        <w:rPr>
          <w:rFonts w:ascii="Times New Roman" w:eastAsia="HY신명조" w:hAnsi="Times New Roman" w:cs="Times New Roman"/>
          <w:b/>
          <w:bCs/>
          <w:sz w:val="22"/>
        </w:rPr>
        <w:t xml:space="preserve"> S7 </w:t>
      </w:r>
      <w:r w:rsidRPr="004F0929">
        <w:rPr>
          <w:rFonts w:ascii="Times New Roman" w:eastAsia="HY신명조" w:hAnsi="Times New Roman" w:cs="Times New Roman"/>
          <w:sz w:val="22"/>
        </w:rPr>
        <w:t>Time-resolved photoluminescence decay profiles of PFO@QX nanofibers with varying donor–acceptor composition ratios (m:n).</w:t>
      </w:r>
      <w:r w:rsidRPr="006437D0">
        <w:rPr>
          <w:rFonts w:ascii="Times New Roman" w:eastAsia="HY신명조" w:hAnsi="Times New Roman" w:cs="Times New Roman"/>
          <w:b/>
          <w:bCs/>
          <w:sz w:val="22"/>
        </w:rPr>
        <w:t xml:space="preserve"> </w:t>
      </w:r>
      <w:r w:rsidRPr="006437D0">
        <w:rPr>
          <w:rFonts w:ascii="Times New Roman" w:eastAsia="HY신명조" w:hAnsi="Times New Roman" w:cs="Times New Roman"/>
          <w:sz w:val="22"/>
        </w:rPr>
        <w:t>Representative decay curves (</w:t>
      </w:r>
      <w:r w:rsidRPr="006437D0">
        <w:rPr>
          <w:rFonts w:ascii="Times New Roman" w:eastAsia="HY신명조" w:hAnsi="Times New Roman" w:cs="Times New Roman"/>
          <w:i/>
          <w:iCs/>
          <w:sz w:val="22"/>
        </w:rPr>
        <w:t>λ</w:t>
      </w:r>
      <w:r w:rsidRPr="006437D0">
        <w:rPr>
          <w:rFonts w:ascii="Times New Roman" w:eastAsia="HY신명조" w:hAnsi="Times New Roman" w:cs="Times New Roman"/>
          <w:sz w:val="22"/>
          <w:vertAlign w:val="subscript"/>
        </w:rPr>
        <w:t>ex</w:t>
      </w:r>
      <w:r w:rsidRPr="006437D0">
        <w:rPr>
          <w:rFonts w:ascii="Times New Roman" w:eastAsia="HY신명조" w:hAnsi="Times New Roman" w:cs="Times New Roman"/>
          <w:sz w:val="22"/>
        </w:rPr>
        <w:t>:370 nm, </w:t>
      </w:r>
      <w:r w:rsidRPr="006437D0">
        <w:rPr>
          <w:rFonts w:ascii="Times New Roman" w:eastAsia="HY신명조" w:hAnsi="Times New Roman" w:cs="Times New Roman"/>
          <w:i/>
          <w:iCs/>
          <w:sz w:val="22"/>
        </w:rPr>
        <w:t>λ</w:t>
      </w:r>
      <w:r w:rsidRPr="006437D0">
        <w:rPr>
          <w:rFonts w:ascii="Times New Roman" w:eastAsia="HY신명조" w:hAnsi="Times New Roman" w:cs="Times New Roman"/>
          <w:sz w:val="22"/>
          <w:vertAlign w:val="subscript"/>
        </w:rPr>
        <w:t>det</w:t>
      </w:r>
      <w:r w:rsidRPr="006437D0">
        <w:rPr>
          <w:rFonts w:ascii="Times New Roman" w:eastAsia="HY신명조" w:hAnsi="Times New Roman" w:cs="Times New Roman"/>
          <w:sz w:val="22"/>
        </w:rPr>
        <w:t>:405 nm) for 50:50, 70:30, 85:15, 90:10, 95:5, and 98:2 samples are shown, including experimental data, fitted curves, and corresponding residual plots</w:t>
      </w:r>
    </w:p>
    <w:p w14:paraId="1A86698B" w14:textId="5070C69A" w:rsidR="008D373D" w:rsidRPr="006437D0" w:rsidRDefault="008D373D" w:rsidP="008D373D">
      <w:pPr>
        <w:pStyle w:val="ab"/>
        <w:spacing w:line="480" w:lineRule="auto"/>
        <w:jc w:val="center"/>
        <w:rPr>
          <w:rFonts w:ascii="Times New Roman" w:eastAsia="HY신명조" w:hAnsi="Times New Roman" w:cs="Times New Roman"/>
          <w:sz w:val="22"/>
          <w:szCs w:val="22"/>
        </w:rPr>
      </w:pPr>
      <w:r w:rsidRPr="006437D0">
        <w:rPr>
          <w:rFonts w:ascii="Times New Roman" w:eastAsia="HY신명조" w:hAnsi="Times New Roman" w:cs="Times New Roman"/>
          <w:noProof/>
          <w:sz w:val="22"/>
          <w:szCs w:val="22"/>
        </w:rPr>
        <w:drawing>
          <wp:inline distT="0" distB="0" distL="0" distR="0" wp14:anchorId="297874AF" wp14:editId="533C4135">
            <wp:extent cx="2880995" cy="2355215"/>
            <wp:effectExtent l="0" t="0" r="0" b="6985"/>
            <wp:docPr id="624004144"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0995" cy="2355215"/>
                    </a:xfrm>
                    <a:prstGeom prst="rect">
                      <a:avLst/>
                    </a:prstGeom>
                    <a:noFill/>
                    <a:ln>
                      <a:noFill/>
                    </a:ln>
                  </pic:spPr>
                </pic:pic>
              </a:graphicData>
            </a:graphic>
          </wp:inline>
        </w:drawing>
      </w:r>
    </w:p>
    <w:p w14:paraId="318BBAD6" w14:textId="77777777" w:rsidR="008D373D" w:rsidRDefault="008D373D" w:rsidP="008D373D">
      <w:pPr>
        <w:pStyle w:val="ab"/>
        <w:spacing w:before="0" w:beforeAutospacing="0" w:line="480" w:lineRule="auto"/>
        <w:jc w:val="both"/>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Fig.</w:t>
      </w:r>
      <w:r w:rsidRPr="006437D0">
        <w:rPr>
          <w:rFonts w:ascii="Times New Roman" w:eastAsia="HY신명조" w:hAnsi="Times New Roman" w:cs="Times New Roman"/>
          <w:b/>
          <w:bCs/>
          <w:sz w:val="22"/>
        </w:rPr>
        <w:t xml:space="preserve"> S8 </w:t>
      </w:r>
      <w:r w:rsidRPr="004F0929">
        <w:rPr>
          <w:rFonts w:ascii="Times New Roman" w:eastAsia="HY신명조" w:hAnsi="Times New Roman" w:cs="Times New Roman"/>
          <w:sz w:val="22"/>
        </w:rPr>
        <w:t xml:space="preserve">Time-resolved photoluminescence decay profiles of PFO@QX nanofibers </w:t>
      </w:r>
      <w:r w:rsidRPr="004F0929">
        <w:rPr>
          <w:rFonts w:ascii="Times New Roman" w:eastAsia="HY신명조" w:hAnsi="Times New Roman" w:cs="Times New Roman"/>
          <w:sz w:val="22"/>
          <w:szCs w:val="22"/>
        </w:rPr>
        <w:t xml:space="preserve">with varying polymer concentrations (1–4 mg/mL). Representative decay curves </w:t>
      </w:r>
      <w:r w:rsidRPr="004F0929">
        <w:rPr>
          <w:rFonts w:ascii="Times New Roman" w:eastAsia="HY신명조" w:hAnsi="Times New Roman" w:cs="Times New Roman"/>
          <w:sz w:val="22"/>
        </w:rPr>
        <w:t>(</w:t>
      </w:r>
      <w:r w:rsidRPr="004F0929">
        <w:rPr>
          <w:rFonts w:ascii="Times New Roman" w:eastAsia="HY신명조" w:hAnsi="Times New Roman" w:cs="Times New Roman"/>
          <w:i/>
          <w:iCs/>
          <w:sz w:val="22"/>
        </w:rPr>
        <w:t>λ</w:t>
      </w:r>
      <w:r w:rsidRPr="004F0929">
        <w:rPr>
          <w:rFonts w:ascii="Times New Roman" w:eastAsia="HY신명조" w:hAnsi="Times New Roman" w:cs="Times New Roman"/>
          <w:sz w:val="22"/>
          <w:vertAlign w:val="subscript"/>
        </w:rPr>
        <w:t>ex</w:t>
      </w:r>
      <w:r w:rsidRPr="004F0929">
        <w:rPr>
          <w:rFonts w:ascii="Times New Roman" w:eastAsia="HY신명조" w:hAnsi="Times New Roman" w:cs="Times New Roman"/>
          <w:sz w:val="22"/>
        </w:rPr>
        <w:t>:370 nm, </w:t>
      </w:r>
      <w:r w:rsidRPr="004F0929">
        <w:rPr>
          <w:rFonts w:ascii="Times New Roman" w:eastAsia="HY신명조" w:hAnsi="Times New Roman" w:cs="Times New Roman"/>
          <w:i/>
          <w:iCs/>
          <w:sz w:val="22"/>
        </w:rPr>
        <w:t>λ</w:t>
      </w:r>
      <w:r w:rsidRPr="004F0929">
        <w:rPr>
          <w:rFonts w:ascii="Times New Roman" w:eastAsia="HY신명조" w:hAnsi="Times New Roman" w:cs="Times New Roman"/>
          <w:sz w:val="22"/>
          <w:vertAlign w:val="subscript"/>
        </w:rPr>
        <w:t>det</w:t>
      </w:r>
      <w:r w:rsidRPr="004F0929">
        <w:rPr>
          <w:rFonts w:ascii="Times New Roman" w:eastAsia="HY신명조" w:hAnsi="Times New Roman" w:cs="Times New Roman"/>
          <w:sz w:val="22"/>
        </w:rPr>
        <w:t>:405 nm)</w:t>
      </w:r>
      <w:r w:rsidRPr="004F0929">
        <w:rPr>
          <w:rFonts w:ascii="Times New Roman" w:eastAsia="HY신명조" w:hAnsi="Times New Roman" w:cs="Times New Roman"/>
          <w:sz w:val="22"/>
          <w:szCs w:val="22"/>
        </w:rPr>
        <w:t xml:space="preserve"> for 1, 2, 3, and 4 mg/mL samples are shown, including experimental data, fitted curves, and residual plots</w:t>
      </w:r>
    </w:p>
    <w:p w14:paraId="588B6634" w14:textId="23E67BE3" w:rsidR="008D373D" w:rsidRPr="006437D0" w:rsidRDefault="008D373D" w:rsidP="008D373D">
      <w:pPr>
        <w:pStyle w:val="ab"/>
        <w:spacing w:before="0" w:beforeAutospacing="0" w:line="480" w:lineRule="auto"/>
        <w:jc w:val="center"/>
        <w:rPr>
          <w:rFonts w:ascii="Times New Roman" w:eastAsia="HY신명조" w:hAnsi="Times New Roman" w:cs="Times New Roman"/>
          <w:sz w:val="22"/>
          <w:szCs w:val="22"/>
        </w:rPr>
      </w:pPr>
      <w:r w:rsidRPr="006437D0">
        <w:rPr>
          <w:rFonts w:ascii="Times New Roman" w:eastAsia="HY신명조" w:hAnsi="Times New Roman" w:cs="Times New Roman"/>
          <w:noProof/>
          <w:sz w:val="22"/>
          <w:szCs w:val="22"/>
        </w:rPr>
        <w:lastRenderedPageBreak/>
        <w:drawing>
          <wp:inline distT="0" distB="0" distL="0" distR="0" wp14:anchorId="0D21194C" wp14:editId="75C2F4F5">
            <wp:extent cx="2432685" cy="2872740"/>
            <wp:effectExtent l="0" t="0" r="5715" b="3810"/>
            <wp:docPr id="196539754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32685" cy="2872740"/>
                    </a:xfrm>
                    <a:prstGeom prst="rect">
                      <a:avLst/>
                    </a:prstGeom>
                    <a:noFill/>
                    <a:ln>
                      <a:noFill/>
                    </a:ln>
                  </pic:spPr>
                </pic:pic>
              </a:graphicData>
            </a:graphic>
          </wp:inline>
        </w:drawing>
      </w:r>
    </w:p>
    <w:p w14:paraId="76DCB726" w14:textId="77777777" w:rsidR="008D373D" w:rsidRPr="006437D0" w:rsidRDefault="008D373D" w:rsidP="008D373D">
      <w:pPr>
        <w:pStyle w:val="ab"/>
        <w:spacing w:before="0" w:beforeAutospacing="0" w:line="480" w:lineRule="auto"/>
        <w:jc w:val="both"/>
        <w:rPr>
          <w:rFonts w:ascii="Times New Roman" w:eastAsia="HY신명조" w:hAnsi="Times New Roman" w:cs="Times New Roman"/>
          <w:sz w:val="22"/>
          <w:szCs w:val="22"/>
        </w:rPr>
      </w:pPr>
      <w:r w:rsidRPr="006437D0">
        <w:rPr>
          <w:rFonts w:ascii="Times New Roman" w:eastAsia="HY신명조" w:hAnsi="Times New Roman" w:cs="Times New Roman"/>
          <w:b/>
          <w:bCs/>
          <w:sz w:val="22"/>
          <w:szCs w:val="22"/>
        </w:rPr>
        <w:t xml:space="preserve">Fig. S9 </w:t>
      </w:r>
      <w:r w:rsidRPr="004F0929">
        <w:rPr>
          <w:rFonts w:ascii="Times New Roman" w:eastAsia="HY신명조" w:hAnsi="Times New Roman" w:cs="Times New Roman"/>
          <w:sz w:val="22"/>
        </w:rPr>
        <w:t>Time-resolved photoluminescence decay profiles of PFO@QX nanofibers</w:t>
      </w:r>
      <w:r w:rsidRPr="004F0929">
        <w:rPr>
          <w:rFonts w:ascii="Times New Roman" w:eastAsia="HY신명조" w:hAnsi="Times New Roman" w:cs="Times New Roman"/>
          <w:sz w:val="22"/>
          <w:szCs w:val="22"/>
        </w:rPr>
        <w:t xml:space="preserve"> before and after exposure to various VOC vapors. Decay</w:t>
      </w:r>
      <w:r w:rsidRPr="006437D0">
        <w:rPr>
          <w:rFonts w:ascii="Times New Roman" w:eastAsia="HY신명조" w:hAnsi="Times New Roman" w:cs="Times New Roman"/>
          <w:sz w:val="22"/>
          <w:szCs w:val="22"/>
        </w:rPr>
        <w:t xml:space="preserve"> curves </w:t>
      </w:r>
      <w:r w:rsidRPr="006437D0">
        <w:rPr>
          <w:rFonts w:ascii="Times New Roman" w:eastAsia="HY신명조" w:hAnsi="Times New Roman" w:cs="Times New Roman"/>
          <w:sz w:val="22"/>
        </w:rPr>
        <w:t>(</w:t>
      </w:r>
      <w:r w:rsidRPr="006437D0">
        <w:rPr>
          <w:rFonts w:ascii="Times New Roman" w:eastAsia="HY신명조" w:hAnsi="Times New Roman" w:cs="Times New Roman"/>
          <w:i/>
          <w:iCs/>
          <w:sz w:val="22"/>
        </w:rPr>
        <w:t>λ</w:t>
      </w:r>
      <w:r w:rsidRPr="006437D0">
        <w:rPr>
          <w:rFonts w:ascii="Times New Roman" w:eastAsia="HY신명조" w:hAnsi="Times New Roman" w:cs="Times New Roman"/>
          <w:sz w:val="22"/>
          <w:vertAlign w:val="subscript"/>
        </w:rPr>
        <w:t>ex</w:t>
      </w:r>
      <w:r w:rsidRPr="006437D0">
        <w:rPr>
          <w:rFonts w:ascii="Times New Roman" w:eastAsia="HY신명조" w:hAnsi="Times New Roman" w:cs="Times New Roman"/>
          <w:sz w:val="22"/>
        </w:rPr>
        <w:t>:370 nm, </w:t>
      </w:r>
      <w:r w:rsidRPr="006437D0">
        <w:rPr>
          <w:rFonts w:ascii="Times New Roman" w:eastAsia="HY신명조" w:hAnsi="Times New Roman" w:cs="Times New Roman"/>
          <w:i/>
          <w:iCs/>
          <w:sz w:val="22"/>
        </w:rPr>
        <w:t>λ</w:t>
      </w:r>
      <w:r w:rsidRPr="006437D0">
        <w:rPr>
          <w:rFonts w:ascii="Times New Roman" w:eastAsia="HY신명조" w:hAnsi="Times New Roman" w:cs="Times New Roman"/>
          <w:sz w:val="22"/>
          <w:vertAlign w:val="subscript"/>
        </w:rPr>
        <w:t>det</w:t>
      </w:r>
      <w:r w:rsidRPr="006437D0">
        <w:rPr>
          <w:rFonts w:ascii="Times New Roman" w:eastAsia="HY신명조" w:hAnsi="Times New Roman" w:cs="Times New Roman"/>
          <w:sz w:val="22"/>
        </w:rPr>
        <w:t>:405 nm)</w:t>
      </w:r>
      <w:r w:rsidRPr="006437D0">
        <w:rPr>
          <w:rFonts w:ascii="Times New Roman" w:eastAsia="HY신명조" w:hAnsi="Times New Roman" w:cs="Times New Roman"/>
          <w:sz w:val="22"/>
          <w:szCs w:val="22"/>
        </w:rPr>
        <w:t xml:space="preserve"> are shown for pristine, chloroform, THF, methanol, IPA, and hexane conditions, including experimental data, fitted curves, and residual plots</w:t>
      </w:r>
    </w:p>
    <w:p w14:paraId="635D1D29" w14:textId="77777777" w:rsidR="008D373D" w:rsidRDefault="008D373D"/>
    <w:sectPr w:rsidR="008D373D">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바탕"/>
    <w:panose1 w:val="020B0604020202020204"/>
    <w:charset w:val="81"/>
    <w:family w:val="roman"/>
    <w:notTrueType/>
    <w:pitch w:val="default"/>
    <w:sig w:usb0="00000001" w:usb1="09060000" w:usb2="00000010" w:usb3="00000000" w:csb0="00080000" w:csb1="00000000"/>
  </w:font>
  <w:font w:name="굴림">
    <w:altName w:val="Gulim"/>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HY신명조">
    <w:altName w:val="바탕"/>
    <w:panose1 w:val="020B0604020202020204"/>
    <w:charset w:val="81"/>
    <w:family w:val="roman"/>
    <w:pitch w:val="variable"/>
    <w:sig w:usb0="900002A7" w:usb1="29D77CF9"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3"/>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73D"/>
    <w:rsid w:val="004A2BFA"/>
    <w:rsid w:val="004D7E98"/>
    <w:rsid w:val="00803A40"/>
    <w:rsid w:val="00864455"/>
    <w:rsid w:val="008D373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F0E79"/>
  <w15:chartTrackingRefBased/>
  <w15:docId w15:val="{75242E25-F856-4D39-807E-3FCF8FBDD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373D"/>
    <w:pPr>
      <w:widowControl w:val="0"/>
      <w:wordWrap w:val="0"/>
      <w:autoSpaceDE w:val="0"/>
      <w:autoSpaceDN w:val="0"/>
      <w:spacing w:after="0"/>
      <w:jc w:val="both"/>
    </w:pPr>
    <w:rPr>
      <w:rFonts w:ascii="맑은 고딕" w:eastAsia="맑은 고딕" w:hAnsi="맑은 고딕" w:cs="Times New Roman"/>
      <w:sz w:val="20"/>
      <w:szCs w:val="22"/>
      <w14:ligatures w14:val="none"/>
    </w:rPr>
  </w:style>
  <w:style w:type="paragraph" w:styleId="1">
    <w:name w:val="heading 1"/>
    <w:basedOn w:val="a"/>
    <w:next w:val="a"/>
    <w:link w:val="1Char"/>
    <w:uiPriority w:val="9"/>
    <w:qFormat/>
    <w:rsid w:val="008D373D"/>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Char"/>
    <w:uiPriority w:val="9"/>
    <w:semiHidden/>
    <w:unhideWhenUsed/>
    <w:qFormat/>
    <w:rsid w:val="008D373D"/>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Char"/>
    <w:uiPriority w:val="9"/>
    <w:semiHidden/>
    <w:unhideWhenUsed/>
    <w:qFormat/>
    <w:rsid w:val="008D373D"/>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Char"/>
    <w:uiPriority w:val="9"/>
    <w:semiHidden/>
    <w:unhideWhenUsed/>
    <w:qFormat/>
    <w:rsid w:val="008D373D"/>
    <w:pPr>
      <w:keepNext/>
      <w:keepLines/>
      <w:spacing w:before="80" w:after="40"/>
      <w:jc w:val="left"/>
      <w:outlineLvl w:val="3"/>
    </w:pPr>
    <w:rPr>
      <w:rFonts w:asciiTheme="majorHAnsi" w:eastAsiaTheme="majorEastAsia" w:hAnsiTheme="majorHAnsi" w:cstheme="majorBidi"/>
      <w:color w:val="000000" w:themeColor="text1"/>
      <w:sz w:val="22"/>
      <w:szCs w:val="24"/>
      <w14:ligatures w14:val="standardContextual"/>
    </w:rPr>
  </w:style>
  <w:style w:type="paragraph" w:styleId="5">
    <w:name w:val="heading 5"/>
    <w:basedOn w:val="a"/>
    <w:next w:val="a"/>
    <w:link w:val="5Char"/>
    <w:uiPriority w:val="9"/>
    <w:semiHidden/>
    <w:unhideWhenUsed/>
    <w:qFormat/>
    <w:rsid w:val="008D373D"/>
    <w:pPr>
      <w:keepNext/>
      <w:keepLines/>
      <w:spacing w:before="80" w:after="40"/>
      <w:ind w:leftChars="100" w:left="100"/>
      <w:jc w:val="left"/>
      <w:outlineLvl w:val="4"/>
    </w:pPr>
    <w:rPr>
      <w:rFonts w:asciiTheme="majorHAnsi" w:eastAsiaTheme="majorEastAsia" w:hAnsiTheme="majorHAnsi" w:cstheme="majorBidi"/>
      <w:color w:val="000000" w:themeColor="text1"/>
      <w:sz w:val="22"/>
      <w:szCs w:val="24"/>
      <w14:ligatures w14:val="standardContextual"/>
    </w:rPr>
  </w:style>
  <w:style w:type="paragraph" w:styleId="6">
    <w:name w:val="heading 6"/>
    <w:basedOn w:val="a"/>
    <w:next w:val="a"/>
    <w:link w:val="6Char"/>
    <w:uiPriority w:val="9"/>
    <w:semiHidden/>
    <w:unhideWhenUsed/>
    <w:qFormat/>
    <w:rsid w:val="008D373D"/>
    <w:pPr>
      <w:keepNext/>
      <w:keepLines/>
      <w:spacing w:before="80" w:after="40"/>
      <w:ind w:leftChars="200" w:left="200"/>
      <w:jc w:val="left"/>
      <w:outlineLvl w:val="5"/>
    </w:pPr>
    <w:rPr>
      <w:rFonts w:asciiTheme="majorHAnsi" w:eastAsiaTheme="majorEastAsia" w:hAnsiTheme="majorHAnsi" w:cstheme="majorBidi"/>
      <w:color w:val="000000" w:themeColor="text1"/>
      <w:sz w:val="22"/>
      <w:szCs w:val="24"/>
      <w14:ligatures w14:val="standardContextual"/>
    </w:rPr>
  </w:style>
  <w:style w:type="paragraph" w:styleId="7">
    <w:name w:val="heading 7"/>
    <w:basedOn w:val="a"/>
    <w:next w:val="a"/>
    <w:link w:val="7Char"/>
    <w:uiPriority w:val="9"/>
    <w:semiHidden/>
    <w:unhideWhenUsed/>
    <w:qFormat/>
    <w:rsid w:val="008D373D"/>
    <w:pPr>
      <w:keepNext/>
      <w:keepLines/>
      <w:spacing w:before="80" w:after="40"/>
      <w:ind w:leftChars="300" w:left="300"/>
      <w:jc w:val="left"/>
      <w:outlineLvl w:val="6"/>
    </w:pPr>
    <w:rPr>
      <w:rFonts w:asciiTheme="majorHAnsi" w:eastAsiaTheme="majorEastAsia" w:hAnsiTheme="majorHAnsi" w:cstheme="majorBidi"/>
      <w:color w:val="000000" w:themeColor="text1"/>
      <w:sz w:val="22"/>
      <w:szCs w:val="24"/>
      <w14:ligatures w14:val="standardContextual"/>
    </w:rPr>
  </w:style>
  <w:style w:type="paragraph" w:styleId="8">
    <w:name w:val="heading 8"/>
    <w:basedOn w:val="a"/>
    <w:next w:val="a"/>
    <w:link w:val="8Char"/>
    <w:uiPriority w:val="9"/>
    <w:semiHidden/>
    <w:unhideWhenUsed/>
    <w:qFormat/>
    <w:rsid w:val="008D373D"/>
    <w:pPr>
      <w:keepNext/>
      <w:keepLines/>
      <w:spacing w:before="80" w:after="40"/>
      <w:ind w:leftChars="400" w:left="400"/>
      <w:jc w:val="left"/>
      <w:outlineLvl w:val="7"/>
    </w:pPr>
    <w:rPr>
      <w:rFonts w:asciiTheme="majorHAnsi" w:eastAsiaTheme="majorEastAsia" w:hAnsiTheme="majorHAnsi" w:cstheme="majorBidi"/>
      <w:color w:val="000000" w:themeColor="text1"/>
      <w:sz w:val="22"/>
      <w:szCs w:val="24"/>
      <w14:ligatures w14:val="standardContextual"/>
    </w:rPr>
  </w:style>
  <w:style w:type="paragraph" w:styleId="9">
    <w:name w:val="heading 9"/>
    <w:basedOn w:val="a"/>
    <w:next w:val="a"/>
    <w:link w:val="9Char"/>
    <w:uiPriority w:val="9"/>
    <w:semiHidden/>
    <w:unhideWhenUsed/>
    <w:qFormat/>
    <w:rsid w:val="008D373D"/>
    <w:pPr>
      <w:keepNext/>
      <w:keepLines/>
      <w:spacing w:before="80" w:after="40"/>
      <w:ind w:leftChars="500" w:left="500"/>
      <w:jc w:val="left"/>
      <w:outlineLvl w:val="8"/>
    </w:pPr>
    <w:rPr>
      <w:rFonts w:asciiTheme="majorHAnsi" w:eastAsiaTheme="majorEastAsia" w:hAnsiTheme="majorHAnsi" w:cstheme="majorBidi"/>
      <w:color w:val="000000" w:themeColor="text1"/>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D373D"/>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8D373D"/>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8D373D"/>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8D373D"/>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8D373D"/>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8D373D"/>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8D373D"/>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8D373D"/>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8D373D"/>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8D373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Char">
    <w:name w:val="제목 Char"/>
    <w:basedOn w:val="a0"/>
    <w:link w:val="a3"/>
    <w:uiPriority w:val="10"/>
    <w:rsid w:val="008D373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8D373D"/>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Char0">
    <w:name w:val="부제 Char"/>
    <w:basedOn w:val="a0"/>
    <w:link w:val="a4"/>
    <w:uiPriority w:val="11"/>
    <w:rsid w:val="008D373D"/>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8D373D"/>
    <w:pPr>
      <w:spacing w:before="160" w:after="160"/>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Char1">
    <w:name w:val="인용 Char"/>
    <w:basedOn w:val="a0"/>
    <w:link w:val="a5"/>
    <w:uiPriority w:val="29"/>
    <w:rsid w:val="008D373D"/>
    <w:rPr>
      <w:i/>
      <w:iCs/>
      <w:color w:val="404040" w:themeColor="text1" w:themeTint="BF"/>
    </w:rPr>
  </w:style>
  <w:style w:type="paragraph" w:styleId="a6">
    <w:name w:val="List Paragraph"/>
    <w:basedOn w:val="a"/>
    <w:uiPriority w:val="34"/>
    <w:qFormat/>
    <w:rsid w:val="008D373D"/>
    <w:pPr>
      <w:spacing w:after="160"/>
      <w:ind w:left="720"/>
      <w:contextualSpacing/>
      <w:jc w:val="left"/>
    </w:pPr>
    <w:rPr>
      <w:rFonts w:asciiTheme="minorHAnsi" w:eastAsiaTheme="minorEastAsia" w:hAnsiTheme="minorHAnsi" w:cstheme="minorBidi"/>
      <w:sz w:val="22"/>
      <w:szCs w:val="24"/>
      <w14:ligatures w14:val="standardContextual"/>
    </w:rPr>
  </w:style>
  <w:style w:type="character" w:styleId="a7">
    <w:name w:val="Intense Emphasis"/>
    <w:basedOn w:val="a0"/>
    <w:uiPriority w:val="21"/>
    <w:qFormat/>
    <w:rsid w:val="008D373D"/>
    <w:rPr>
      <w:i/>
      <w:iCs/>
      <w:color w:val="0F4761" w:themeColor="accent1" w:themeShade="BF"/>
    </w:rPr>
  </w:style>
  <w:style w:type="paragraph" w:styleId="a8">
    <w:name w:val="Intense Quote"/>
    <w:basedOn w:val="a"/>
    <w:next w:val="a"/>
    <w:link w:val="Char2"/>
    <w:uiPriority w:val="30"/>
    <w:qFormat/>
    <w:rsid w:val="008D373D"/>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Char2">
    <w:name w:val="강한 인용 Char"/>
    <w:basedOn w:val="a0"/>
    <w:link w:val="a8"/>
    <w:uiPriority w:val="30"/>
    <w:rsid w:val="008D373D"/>
    <w:rPr>
      <w:i/>
      <w:iCs/>
      <w:color w:val="0F4761" w:themeColor="accent1" w:themeShade="BF"/>
    </w:rPr>
  </w:style>
  <w:style w:type="character" w:styleId="a9">
    <w:name w:val="Intense Reference"/>
    <w:basedOn w:val="a0"/>
    <w:uiPriority w:val="32"/>
    <w:qFormat/>
    <w:rsid w:val="008D373D"/>
    <w:rPr>
      <w:b/>
      <w:bCs/>
      <w:smallCaps/>
      <w:color w:val="0F4761" w:themeColor="accent1" w:themeShade="BF"/>
      <w:spacing w:val="5"/>
    </w:rPr>
  </w:style>
  <w:style w:type="paragraph" w:customStyle="1" w:styleId="aa">
    <w:name w:val="내용"/>
    <w:basedOn w:val="a"/>
    <w:link w:val="Char3"/>
    <w:rsid w:val="008D373D"/>
    <w:pPr>
      <w:widowControl/>
      <w:wordWrap/>
      <w:autoSpaceDE/>
      <w:autoSpaceDN/>
      <w:snapToGrid w:val="0"/>
      <w:spacing w:line="312" w:lineRule="auto"/>
    </w:pPr>
    <w:rPr>
      <w:rFonts w:ascii="한양신명조" w:eastAsia="한양신명조" w:hAnsi="한양신명조" w:cs="굴림"/>
      <w:color w:val="000000"/>
      <w:kern w:val="0"/>
      <w:szCs w:val="20"/>
    </w:rPr>
  </w:style>
  <w:style w:type="paragraph" w:customStyle="1" w:styleId="ab">
    <w:name w:val="각"/>
    <w:basedOn w:val="a"/>
    <w:rsid w:val="008D373D"/>
    <w:pPr>
      <w:widowControl/>
      <w:wordWrap/>
      <w:autoSpaceDE/>
      <w:autoSpaceDN/>
      <w:spacing w:before="100" w:beforeAutospacing="1" w:after="100" w:afterAutospacing="1"/>
      <w:jc w:val="left"/>
    </w:pPr>
    <w:rPr>
      <w:rFonts w:ascii="굴림" w:eastAsia="굴림" w:hAnsi="굴림" w:cs="굴림"/>
      <w:kern w:val="0"/>
      <w:sz w:val="24"/>
      <w:szCs w:val="24"/>
    </w:rPr>
  </w:style>
  <w:style w:type="character" w:customStyle="1" w:styleId="Char3">
    <w:name w:val="내용 Char"/>
    <w:link w:val="aa"/>
    <w:rsid w:val="008D373D"/>
    <w:rPr>
      <w:rFonts w:ascii="한양신명조" w:eastAsia="한양신명조" w:hAnsi="한양신명조" w:cs="굴림"/>
      <w:color w:val="000000"/>
      <w:kern w:val="0"/>
      <w:sz w:val="20"/>
      <w:szCs w:val="20"/>
      <w14:ligatures w14:val="none"/>
    </w:rPr>
  </w:style>
  <w:style w:type="paragraph" w:customStyle="1" w:styleId="ac">
    <w:name w:val="한글논문제목"/>
    <w:basedOn w:val="a"/>
    <w:rsid w:val="008D373D"/>
    <w:pPr>
      <w:widowControl/>
      <w:wordWrap/>
      <w:autoSpaceDE/>
      <w:autoSpaceDN/>
      <w:snapToGrid w:val="0"/>
      <w:jc w:val="center"/>
    </w:pPr>
    <w:rPr>
      <w:rFonts w:ascii="한양신명조" w:eastAsia="한양신명조" w:hAnsi="한양신명조" w:cs="굴림"/>
      <w:b/>
      <w:bCs/>
      <w:color w:val="000000"/>
      <w:kern w:val="0"/>
      <w:sz w:val="28"/>
      <w:szCs w:val="28"/>
    </w:rPr>
  </w:style>
  <w:style w:type="paragraph" w:customStyle="1" w:styleId="ad">
    <w:name w:val="한글주소"/>
    <w:basedOn w:val="a"/>
    <w:rsid w:val="008D373D"/>
    <w:pPr>
      <w:widowControl/>
      <w:wordWrap/>
      <w:autoSpaceDE/>
      <w:autoSpaceDN/>
      <w:snapToGrid w:val="0"/>
      <w:spacing w:line="288" w:lineRule="auto"/>
      <w:jc w:val="center"/>
    </w:pPr>
    <w:rPr>
      <w:rFonts w:ascii="한양신명조" w:eastAsia="한양신명조" w:hAnsi="한양신명조" w:cs="굴림"/>
      <w:i/>
      <w:iCs/>
      <w:color w:val="000000"/>
      <w:kern w:val="0"/>
      <w:sz w:val="18"/>
      <w:szCs w:val="18"/>
    </w:rPr>
  </w:style>
  <w:style w:type="paragraph" w:customStyle="1" w:styleId="ae">
    <w:name w:val="영문주소"/>
    <w:basedOn w:val="a"/>
    <w:rsid w:val="008D373D"/>
    <w:pPr>
      <w:widowControl/>
      <w:wordWrap/>
      <w:autoSpaceDE/>
      <w:autoSpaceDN/>
      <w:snapToGrid w:val="0"/>
      <w:spacing w:line="384" w:lineRule="auto"/>
      <w:jc w:val="center"/>
    </w:pPr>
    <w:rPr>
      <w:rFonts w:ascii="한양신명조" w:eastAsia="한양신명조" w:hAnsi="한양신명조" w:cs="굴림"/>
      <w:i/>
      <w:iCs/>
      <w:color w:val="000000"/>
      <w:kern w:val="0"/>
      <w:sz w:val="22"/>
    </w:rPr>
  </w:style>
  <w:style w:type="character" w:styleId="af">
    <w:name w:val="annotation reference"/>
    <w:uiPriority w:val="99"/>
    <w:semiHidden/>
    <w:unhideWhenUsed/>
    <w:rsid w:val="008D373D"/>
    <w:rPr>
      <w:sz w:val="18"/>
      <w:szCs w:val="18"/>
    </w:rPr>
  </w:style>
  <w:style w:type="paragraph" w:styleId="af0">
    <w:name w:val="annotation text"/>
    <w:basedOn w:val="a"/>
    <w:link w:val="Char4"/>
    <w:uiPriority w:val="99"/>
    <w:unhideWhenUsed/>
    <w:rsid w:val="008D373D"/>
    <w:pPr>
      <w:wordWrap/>
      <w:autoSpaceDE/>
      <w:autoSpaceDN/>
      <w:jc w:val="left"/>
    </w:pPr>
    <w:rPr>
      <w:rFonts w:ascii="Times New Roman" w:eastAsia="SimSun" w:hAnsi="Times New Roman"/>
      <w:sz w:val="21"/>
      <w:lang w:eastAsia="zh-CN"/>
    </w:rPr>
  </w:style>
  <w:style w:type="character" w:customStyle="1" w:styleId="Char4">
    <w:name w:val="메모 텍스트 Char"/>
    <w:basedOn w:val="a0"/>
    <w:link w:val="af0"/>
    <w:uiPriority w:val="99"/>
    <w:rsid w:val="008D373D"/>
    <w:rPr>
      <w:rFonts w:ascii="Times New Roman" w:eastAsia="SimSun" w:hAnsi="Times New Roman" w:cs="Times New Roman"/>
      <w:sz w:val="21"/>
      <w:szCs w:val="22"/>
      <w:lang w:eastAsia="zh-CN"/>
      <w14:ligatures w14:val="none"/>
    </w:rPr>
  </w:style>
  <w:style w:type="character" w:styleId="af1">
    <w:name w:val="Hyperlink"/>
    <w:uiPriority w:val="99"/>
    <w:unhideWhenUsed/>
    <w:rsid w:val="008D373D"/>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1636</Words>
  <Characters>9330</Characters>
  <Application>Microsoft Office Word</Application>
  <DocSecurity>0</DocSecurity>
  <Lines>77</Lines>
  <Paragraphs>21</Paragraphs>
  <ScaleCrop>false</ScaleCrop>
  <Company/>
  <LinksUpToDate>false</LinksUpToDate>
  <CharactersWithSpaces>10945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부지영</dc:creator>
  <cp:keywords/>
  <dc:description/>
  <cp:lastModifiedBy>ChoiJinho</cp:lastModifiedBy>
  <cp:revision>3</cp:revision>
  <dcterms:created xsi:type="dcterms:W3CDTF">2026-03-18T01:47:00Z</dcterms:created>
  <dcterms:modified xsi:type="dcterms:W3CDTF">2026-03-18T10:15:00Z</dcterms:modified>
</cp:coreProperties>
</file>