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A141E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Additional file 1.</w:t>
      </w:r>
    </w:p>
    <w:p w14:paraId="365BA5F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Additional Methods and Tables</w:t>
      </w:r>
    </w:p>
    <w:p w14:paraId="3DAFD63C">
      <w:pPr>
        <w:pStyle w:val="3"/>
        <w:rPr>
          <w:rFonts w:hint="default" w:ascii="Times New Roman" w:hAnsi="Times New Roman" w:eastAsia="宋体" w:cstheme="minorBidi"/>
          <w:b w:val="0"/>
          <w:bCs w:val="0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 w:val="0"/>
          <w:bCs w:val="0"/>
          <w:color w:val="auto"/>
          <w:kern w:val="2"/>
          <w:sz w:val="21"/>
          <w:szCs w:val="22"/>
          <w:lang w:val="en-US" w:eastAsia="zh-CN" w:bidi="ar-SA"/>
        </w:rPr>
        <w:t>This additional file provides detailed MRI acquisition parameters and supplementary tables supporting the main manuscript.</w:t>
      </w:r>
    </w:p>
    <w:p w14:paraId="55124416">
      <w:pPr>
        <w:pStyle w:val="3"/>
        <w:rPr>
          <w:color w:val="auto"/>
        </w:rPr>
      </w:pPr>
      <w:r>
        <w:rPr>
          <w:rFonts w:hint="eastAsia"/>
          <w:color w:val="auto"/>
        </w:rPr>
        <w:t>Supplementary Methods S1. Phantom MRI acquisition</w:t>
      </w:r>
    </w:p>
    <w:p w14:paraId="563AD1CD">
      <w:pPr>
        <w:rPr>
          <w:color w:val="auto"/>
        </w:rPr>
      </w:pPr>
      <w:r>
        <w:rPr>
          <w:color w:val="auto"/>
        </w:rPr>
        <w:t>3D and 4D-MRI: The 4D-MRI for the phantom was simulated by acquiring five static 3D T2W-MRI volumes at predefined positions within one motion cycle. A reference 3D T2W FSE scan was performed (TR = 2100 ms, TE = 205.585 ms, slice thickness = 1.2 mm; total scan time = 3.3 minutes), and the five phase volumes (e.g., 0%, 25%, 50%, 75%, and 100%) were assembled as the simulated 4D-MRI dataset for contouring.</w:t>
      </w:r>
    </w:p>
    <w:p w14:paraId="1C6BFC52">
      <w:pPr>
        <w:rPr>
          <w:color w:val="auto"/>
        </w:rPr>
      </w:pPr>
      <w:r>
        <w:rPr>
          <w:color w:val="auto"/>
        </w:rPr>
        <w:t>Cine-MRI: Sagittal cine-MRI was acquired for the phantom using the default thorax protocol employing a T2 3D Tra sequence with the following parameters: TR = 2100 ms, TE = 206 ms, voxel dimensions = 2.0 x 2.0 x 2.4 mm, field-of-view = 320 x 448 x 300 mm, scan time = 200</w:t>
      </w:r>
      <w:r>
        <w:rPr>
          <w:rFonts w:hint="eastAsia"/>
          <w:color w:val="auto"/>
          <w:lang w:val="en-US" w:eastAsia="zh-CN"/>
        </w:rPr>
        <w:t>-</w:t>
      </w:r>
      <w:r>
        <w:rPr>
          <w:color w:val="auto"/>
        </w:rPr>
        <w:t>228 s, matrix size = 160 x 224 x 250 slices, slice thickness = 2.4 mm, and number of signal averages = 2.</w:t>
      </w:r>
    </w:p>
    <w:p w14:paraId="3600F865">
      <w:pPr>
        <w:pStyle w:val="3"/>
        <w:rPr>
          <w:color w:val="auto"/>
        </w:rPr>
      </w:pPr>
      <w:r>
        <w:rPr>
          <w:rFonts w:hint="eastAsia"/>
          <w:color w:val="auto"/>
        </w:rPr>
        <w:t>Supplementary Methods S2. Patient MRI acquisition</w:t>
      </w:r>
    </w:p>
    <w:p w14:paraId="352AA48B">
      <w:pPr>
        <w:rPr>
          <w:color w:val="auto"/>
        </w:rPr>
      </w:pPr>
      <w:r>
        <w:rPr>
          <w:color w:val="auto"/>
        </w:rPr>
        <w:t>Cine-MRI: During patient positioning, patients were instructed to position both arms above the head, consistent with the radiotherapy delivery position. Sagittal cine-MRI was acquired using the Unity MR-Linac system (Elekta AB, Stockholm, Sweden). All MRI scans were performed on the integrated 1.5T wide-bore MRI system using an 8-channel body array coil. Sequence parameters were as follows: repetition time = 3.6 ms, echo time = 1.5 ms, flip angle = 70 degrees, temporal resolution = 0.5 s per frame (2 images per second), matrix size = 224 x 256 (interpolated to 512 x 512), field-of-view = 40 x 40 cm, and bandwidth = 125 kHz.</w:t>
      </w:r>
    </w:p>
    <w:p w14:paraId="57E9807B"/>
    <w:p w14:paraId="1CACC5FF">
      <w:pPr>
        <w:pStyle w:val="2"/>
        <w:rPr>
          <w:rFonts w:asciiTheme="minorHAnsi" w:hAnsiTheme="minorHAnsi" w:eastAsiaTheme="minorEastAsia"/>
        </w:rPr>
      </w:pPr>
      <w:r>
        <w:rPr>
          <w:rFonts w:hint="eastAsia"/>
          <w:b/>
          <w:bCs/>
          <w:color w:val="auto"/>
          <w:lang w:val="en-US" w:eastAsia="zh-CN"/>
        </w:rPr>
        <w:t xml:space="preserve">Additional file 1: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LINK Excel.Sheet.12 "C:\\Users\\Administrator\\OneDrive\\科研相关\\51-小刘运动文章\\投稿文章\\Physics and Imaging in Radiation Oncology\\table1.xlsx" "Table 1!R8C3:R16C9" \a \f 4 \h</w:instrText>
      </w:r>
      <w:r>
        <w:instrText xml:space="preserve">  \* MERGEFORMAT </w:instrText>
      </w:r>
      <w:r>
        <w:fldChar w:fldCharType="separate"/>
      </w:r>
    </w:p>
    <w:tbl>
      <w:tblPr>
        <w:tblStyle w:val="6"/>
        <w:tblW w:w="89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350"/>
        <w:gridCol w:w="1204"/>
        <w:gridCol w:w="1080"/>
        <w:gridCol w:w="1080"/>
        <w:gridCol w:w="888"/>
        <w:gridCol w:w="1575"/>
      </w:tblGrid>
      <w:tr w14:paraId="19A2B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931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B348A1A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 xml:space="preserve">Table </w:t>
            </w:r>
            <w:r>
              <w:rPr>
                <w:rFonts w:hint="eastAsia" w:ascii="Garamond" w:hAnsi="Garamond" w:eastAsia="等线" w:cs="宋体"/>
                <w:color w:val="000000"/>
                <w:kern w:val="0"/>
                <w:szCs w:val="24"/>
                <w:lang w:val="en-US" w:eastAsia="zh-CN"/>
              </w:rPr>
              <w:t>S</w:t>
            </w: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1. Motion Pattern Parameters for the 4D Dynamic Thorax Phantom Study</w:t>
            </w:r>
          </w:p>
        </w:tc>
      </w:tr>
      <w:tr w14:paraId="6EFB5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811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39359C7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Motion pattern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6E7F3B9">
            <w:pPr>
              <w:widowControl/>
              <w:spacing w:line="240" w:lineRule="auto"/>
              <w:ind w:firstLine="420"/>
              <w:jc w:val="center"/>
              <w:rPr>
                <w:rFonts w:hint="eastAsia" w:ascii="Garamond" w:hAnsi="Garamond" w:eastAsia="等线" w:cs="宋体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Time</w:t>
            </w:r>
            <w:r>
              <w:rPr>
                <w:rFonts w:hint="eastAsia" w:ascii="楷体" w:hAnsi="楷体" w:eastAsia="等线" w:cs="宋体"/>
                <w:color w:val="000000"/>
                <w:kern w:val="0"/>
                <w:szCs w:val="24"/>
                <w:lang w:val="en-US" w:eastAsia="zh-CN"/>
              </w:rPr>
              <w:t>(</w:t>
            </w: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s</w:t>
            </w:r>
            <w:r>
              <w:rPr>
                <w:rFonts w:hint="eastAsia" w:ascii="楷体" w:hAnsi="楷体" w:eastAsia="等线" w:cs="宋体"/>
                <w:color w:val="000000"/>
                <w:kern w:val="0"/>
                <w:szCs w:val="24"/>
                <w:lang w:val="en-US" w:eastAsia="zh-CN"/>
              </w:rPr>
              <w:t>)</w:t>
            </w:r>
          </w:p>
        </w:tc>
        <w:tc>
          <w:tcPr>
            <w:tcW w:w="127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B7DBE2C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Max Speed (mm/s)</w:t>
            </w:r>
          </w:p>
        </w:tc>
        <w:tc>
          <w:tcPr>
            <w:tcW w:w="304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1F58025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Amplitude Direction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241BCF8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Direction</w:t>
            </w:r>
          </w:p>
        </w:tc>
      </w:tr>
      <w:tr w14:paraId="1E931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1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3A95483B">
            <w:pPr>
              <w:widowControl/>
              <w:spacing w:line="240" w:lineRule="auto"/>
              <w:ind w:firstLine="420"/>
              <w:jc w:val="left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</w:p>
        </w:tc>
        <w:tc>
          <w:tcPr>
            <w:tcW w:w="122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0C00E15E">
            <w:pPr>
              <w:widowControl/>
              <w:spacing w:line="240" w:lineRule="auto"/>
              <w:ind w:firstLine="420"/>
              <w:jc w:val="left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</w:p>
        </w:tc>
        <w:tc>
          <w:tcPr>
            <w:tcW w:w="127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18D29623">
            <w:pPr>
              <w:widowControl/>
              <w:spacing w:line="240" w:lineRule="auto"/>
              <w:ind w:firstLine="420"/>
              <w:jc w:val="left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67F06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FFDD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AP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BB6B2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LR</w:t>
            </w: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186CBCC8">
            <w:pPr>
              <w:widowControl/>
              <w:spacing w:line="240" w:lineRule="auto"/>
              <w:ind w:firstLine="420"/>
              <w:jc w:val="left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</w:p>
        </w:tc>
      </w:tr>
      <w:tr w14:paraId="1F3AC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4D79C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Sin-10A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025B4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366C6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A817C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65DCC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91661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C54B6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IS</w:t>
            </w:r>
          </w:p>
        </w:tc>
      </w:tr>
      <w:tr w14:paraId="7F1ED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2499E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Sin-25A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F0F89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3CC24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10.2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B64F4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CE9B7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EDBBC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0955C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IS</w:t>
            </w:r>
          </w:p>
        </w:tc>
      </w:tr>
      <w:tr w14:paraId="5F44A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4BA06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Cos4AP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16DE4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AB60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88321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B4934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41CEB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632B8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IS/AP/LR</w:t>
            </w:r>
          </w:p>
        </w:tc>
      </w:tr>
      <w:tr w14:paraId="3C314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39194">
            <w:pPr>
              <w:widowControl/>
              <w:spacing w:line="240" w:lineRule="auto"/>
              <w:ind w:firstLine="420"/>
              <w:jc w:val="center"/>
              <w:rPr>
                <w:rFonts w:hint="eastAsia" w:ascii="Garamond" w:hAnsi="Garamond" w:eastAsia="等线" w:cs="宋体"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Garamond" w:hAnsi="Garamond" w:eastAsia="等线" w:cs="宋体"/>
                <w:color w:val="000000"/>
                <w:kern w:val="0"/>
                <w:szCs w:val="24"/>
                <w:lang w:eastAsia="zh-CN"/>
              </w:rPr>
              <w:t>Heart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4C144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73A21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DB12B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2ACC5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AB57E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177E4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IS/AP/LR</w:t>
            </w:r>
          </w:p>
        </w:tc>
      </w:tr>
      <w:tr w14:paraId="4A99E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A5E3E08">
            <w:pPr>
              <w:widowControl/>
              <w:spacing w:line="240" w:lineRule="auto"/>
              <w:ind w:firstLine="420"/>
              <w:jc w:val="center"/>
              <w:rPr>
                <w:rFonts w:hint="eastAsia" w:ascii="Garamond" w:hAnsi="Garamond" w:eastAsia="等线" w:cs="宋体"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Garamond" w:hAnsi="Garamond" w:eastAsia="等线" w:cs="宋体"/>
                <w:color w:val="000000"/>
                <w:kern w:val="0"/>
                <w:szCs w:val="24"/>
                <w:lang w:eastAsia="zh-CN"/>
              </w:rPr>
              <w:t>Sawtooth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C7E95E5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F4935A1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69B273E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93D79D9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6784B48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FECCDA4">
            <w:pPr>
              <w:widowControl/>
              <w:spacing w:line="240" w:lineRule="auto"/>
              <w:ind w:firstLine="420"/>
              <w:jc w:val="center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>IS/AP/LR</w:t>
            </w:r>
          </w:p>
        </w:tc>
      </w:tr>
      <w:tr w14:paraId="575C9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931" w:type="dxa"/>
            <w:gridSpan w:val="7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2741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00000"/>
                <w:kern w:val="0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Cs w:val="24"/>
              </w:rPr>
              <w:t xml:space="preserve">Note: IS = Superior-Inferior, AP = Anterior-Posterior, LR = Left-Right. </w:t>
            </w:r>
          </w:p>
        </w:tc>
      </w:tr>
    </w:tbl>
    <w:p w14:paraId="407D0980">
      <w:pPr>
        <w:pStyle w:val="8"/>
        <w:ind w:firstLine="0" w:firstLineChars="0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851" w:footer="992" w:gutter="0"/>
          <w:lnNumType w:countBy="0" w:restart="continuous"/>
          <w:cols w:space="425" w:num="1"/>
          <w:docGrid w:type="lines" w:linePitch="312" w:charSpace="0"/>
        </w:sectPr>
      </w:pPr>
      <w:r>
        <w:fldChar w:fldCharType="end"/>
      </w:r>
      <w:bookmarkStart w:id="0" w:name="_GoBack"/>
      <w:bookmarkEnd w:id="0"/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3562"/>
        <w:gridCol w:w="3838"/>
        <w:gridCol w:w="1459"/>
        <w:gridCol w:w="1425"/>
        <w:gridCol w:w="1695"/>
      </w:tblGrid>
      <w:tr w14:paraId="6D271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3E50F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</w:pPr>
            <w:r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  <w:t xml:space="preserve">Table </w:t>
            </w:r>
            <w:r>
              <w:rPr>
                <w:rFonts w:hint="eastAsia" w:ascii="Garamond" w:hAnsi="Garamond" w:eastAsia="等线" w:cs="宋体"/>
                <w:color w:val="0F1115"/>
                <w:kern w:val="0"/>
                <w:sz w:val="24"/>
                <w:szCs w:val="24"/>
                <w:lang w:val="en-US" w:eastAsia="zh-CN"/>
              </w:rPr>
              <w:t>S2</w:t>
            </w:r>
            <w:r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  <w:t>. Summary of tumor motion amplitude measurements</w:t>
            </w:r>
          </w:p>
        </w:tc>
      </w:tr>
      <w:tr w14:paraId="48C7B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F37FC9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F1115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F1115"/>
                <w:kern w:val="0"/>
                <w:sz w:val="22"/>
              </w:rPr>
              <w:t>A. Patient study: Motion amplitudes measured by 4D-CT and cine-MRI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ED1B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F1115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9E94B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14:paraId="336B2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A4285F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Cohort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AD9B0F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Modality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223A0E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Geometric Center Amplitude (mm, SI direction)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1A205A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F171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403D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14:paraId="05B3B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5C67D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7E74">
            <w:pPr>
              <w:widowControl/>
              <w:spacing w:line="240" w:lineRule="auto"/>
              <w:ind w:firstLineChars="10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C0834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36120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1BEDF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5E54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14:paraId="707D9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2AF8E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Lung tumors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5C056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4D-CT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096B6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16.7 ± 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27413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5.5 – 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BB9F7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A3A5C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14:paraId="61CE4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E8F74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20420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cine-MRI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4EED4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16.1 ± 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B257E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6.7 – 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0A85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26F8D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14:paraId="66BCC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F3668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Liver tumors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71CFB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4D-CT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FA3ED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20.2 ± 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06D4C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7.8 – 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F147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DDD39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14:paraId="4596B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73D653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F225E3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cine-MRI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A4597F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24.2 ± 6.8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0A236B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8.2 – 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A840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C53C6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14:paraId="6328C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549D62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</w:pPr>
            <w:r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  <w:t>SI: Superior-Inferior; SD: Standard Deviation.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68C12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875B7">
            <w:pPr>
              <w:widowControl/>
              <w:spacing w:line="240" w:lineRule="auto"/>
              <w:ind w:firstLine="0" w:firstLineChars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14:paraId="62F5D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22BE93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</w:pPr>
            <w:r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  <w:t>B. Phantom study: Accuracy of motion amplitude capture across different patterns</w:t>
            </w:r>
          </w:p>
        </w:tc>
      </w:tr>
      <w:tr w14:paraId="3F870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764C93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Motion Pattern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645827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Programmed Amplitude (mm, Ground Truth)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96A537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Measured Amplitude (mm, Mean ± SD)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4CE8AD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Absolute Error (mm, Mean)</w:t>
            </w:r>
          </w:p>
        </w:tc>
      </w:tr>
      <w:tr w14:paraId="3F436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210AA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610B7">
            <w:pPr>
              <w:widowControl/>
              <w:spacing w:line="240" w:lineRule="auto"/>
              <w:ind w:firstLineChars="10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C16D9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4D-CT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5388F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cine-MRI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7827E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4D-CT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5EC9F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cine-MRI</w:t>
            </w:r>
          </w:p>
        </w:tc>
      </w:tr>
      <w:tr w14:paraId="4952B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8AB44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Sin-10A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F1755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F0A97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9.8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646A8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10.1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161FC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90146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0.1</w:t>
            </w:r>
          </w:p>
        </w:tc>
      </w:tr>
      <w:tr w14:paraId="5EB08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0C8DD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Sin-25A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670C5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10F09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24.5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A7B1A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25.2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15C15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6379F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0.2</w:t>
            </w:r>
          </w:p>
        </w:tc>
      </w:tr>
      <w:tr w14:paraId="5BDED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860C2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Cos4AP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4C0EE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10.0 (SI) / 2.5 (AP) / 1.0 (LR)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24C2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9.7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0E617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10.3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7E25C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3D3BE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0.3</w:t>
            </w:r>
          </w:p>
        </w:tc>
      </w:tr>
      <w:tr w14:paraId="543D9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FB4AE">
            <w:pPr>
              <w:widowControl/>
              <w:spacing w:line="240" w:lineRule="auto"/>
              <w:ind w:firstLine="220" w:firstLineChars="100"/>
              <w:jc w:val="left"/>
              <w:rPr>
                <w:rFonts w:hint="eastAsia" w:ascii="Garamond" w:hAnsi="Garamond" w:eastAsia="等线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Garamond" w:hAnsi="Garamond" w:eastAsia="等线" w:cs="宋体"/>
                <w:color w:val="000000"/>
                <w:kern w:val="0"/>
                <w:sz w:val="22"/>
                <w:lang w:eastAsia="zh-CN"/>
              </w:rPr>
              <w:t>Heart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342BD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5.0 (SI) / 8.0 (AP) / 6.0 (LR)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42A18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4.9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FC7F7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5.2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72220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505D5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0.2</w:t>
            </w:r>
          </w:p>
        </w:tc>
      </w:tr>
      <w:tr w14:paraId="5B732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62503">
            <w:pPr>
              <w:widowControl/>
              <w:spacing w:line="240" w:lineRule="auto"/>
              <w:ind w:firstLine="220" w:firstLineChars="100"/>
              <w:jc w:val="left"/>
              <w:rPr>
                <w:rFonts w:hint="eastAsia" w:ascii="Garamond" w:hAnsi="Garamond" w:eastAsia="等线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Garamond" w:hAnsi="Garamond" w:eastAsia="等线" w:cs="宋体"/>
                <w:color w:val="000000"/>
                <w:kern w:val="0"/>
                <w:sz w:val="22"/>
                <w:lang w:eastAsia="zh-CN"/>
              </w:rPr>
              <w:t>Sawtooth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6D22A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10.0 (SI) / 2.5 (AP) / 1.0 (LR)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94238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9.6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E1138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10.4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777FF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345A1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0.4</w:t>
            </w:r>
          </w:p>
        </w:tc>
      </w:tr>
      <w:tr w14:paraId="7889D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159E30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Overall Mean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62952B">
            <w:pPr>
              <w:widowControl/>
              <w:spacing w:line="240" w:lineRule="auto"/>
              <w:ind w:firstLine="220" w:firstLineChars="100"/>
              <w:jc w:val="left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0164AB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11.7 ± 6.2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7FC9FD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12.2 ± 6.4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74CEE6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31F4D1">
            <w:pPr>
              <w:widowControl/>
              <w:spacing w:line="240" w:lineRule="auto"/>
              <w:ind w:firstLine="0" w:firstLineChars="0"/>
              <w:jc w:val="center"/>
              <w:rPr>
                <w:rFonts w:ascii="Garamond" w:hAnsi="Garamond" w:eastAsia="等线" w:cs="宋体"/>
                <w:color w:val="000000"/>
                <w:kern w:val="0"/>
                <w:sz w:val="22"/>
              </w:rPr>
            </w:pPr>
            <w:r>
              <w:rPr>
                <w:rFonts w:ascii="Garamond" w:hAnsi="Garamond" w:eastAsia="等线" w:cs="宋体"/>
                <w:color w:val="000000"/>
                <w:kern w:val="0"/>
                <w:sz w:val="22"/>
              </w:rPr>
              <w:t>0.2</w:t>
            </w:r>
          </w:p>
        </w:tc>
      </w:tr>
      <w:tr w14:paraId="54E5E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2F677">
            <w:pPr>
              <w:widowControl/>
              <w:spacing w:line="240" w:lineRule="auto"/>
              <w:ind w:firstLine="0" w:firstLineChars="0"/>
              <w:jc w:val="left"/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</w:pPr>
            <w:r>
              <w:rPr>
                <w:rFonts w:ascii="Garamond" w:hAnsi="Garamond" w:eastAsia="等线" w:cs="宋体"/>
                <w:color w:val="0F1115"/>
                <w:kern w:val="0"/>
                <w:sz w:val="24"/>
                <w:szCs w:val="24"/>
              </w:rPr>
              <w:t>SI: Superior-Inferior; AP: Anterior-Posterior; LR: Left-Right. The overall mean amplitude is calculated across all patterns and directions. The absolute error is the mean of the absolute differences between the measured and programmed amplitudes for each pattern.</w:t>
            </w:r>
          </w:p>
        </w:tc>
      </w:tr>
    </w:tbl>
    <w:p w14:paraId="4DCE5C63">
      <w:pPr>
        <w:pStyle w:val="8"/>
        <w:ind w:firstLine="0" w:firstLineChars="0"/>
      </w:pPr>
    </w:p>
    <w:sectPr>
      <w:pgSz w:w="16838" w:h="11906" w:orient="landscape"/>
      <w:pgMar w:top="1797" w:right="1440" w:bottom="1797" w:left="1440" w:header="851" w:footer="992" w:gutter="0"/>
      <w:lnNumType w:countBy="0" w:restart="continuous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EE37E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478FA3">
                          <w:pPr>
                            <w:pStyle w:val="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478FA3">
                    <w:pPr>
                      <w:pStyle w:val="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4D47A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009BE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381352"/>
    </w:sdtPr>
    <w:sdtContent>
      <w:p w14:paraId="78A4D791">
        <w:pPr>
          <w:pStyle w:val="5"/>
          <w:ind w:firstLine="360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13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6EEDD5E"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FD082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02837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049B6"/>
    <w:rsid w:val="165E3157"/>
    <w:rsid w:val="18AA6EAD"/>
    <w:rsid w:val="18F46872"/>
    <w:rsid w:val="195769F7"/>
    <w:rsid w:val="27895ACF"/>
    <w:rsid w:val="27DC0DDA"/>
    <w:rsid w:val="3D491793"/>
    <w:rsid w:val="44AD6C59"/>
    <w:rsid w:val="48EC5C08"/>
    <w:rsid w:val="51464CF1"/>
    <w:rsid w:val="7F29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8">
    <w:name w:val="EndNote Bibliography"/>
    <w:basedOn w:val="1"/>
    <w:qFormat/>
    <w:uiPriority w:val="0"/>
    <w:pPr>
      <w:spacing w:line="240" w:lineRule="auto"/>
    </w:pPr>
    <w:rPr>
      <w:rFonts w:cs="Times New Roman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571</Words>
  <Characters>2680</Characters>
  <Lines>0</Lines>
  <Paragraphs>0</Paragraphs>
  <TotalTime>87</TotalTime>
  <ScaleCrop>false</ScaleCrop>
  <LinksUpToDate>false</LinksUpToDate>
  <CharactersWithSpaces>3133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2026-03-04T13:16:00Z</dcterms:created>
  <dc:creator>15835</dc:creator>
  <cp:lastModifiedBy>y,</cp:lastModifiedBy>
  <dcterms:modified xsi:type="dcterms:W3CDTF">2026-03-17T00:32:54Z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eyJoZGlkIjoiNThkM2RjNmJkMTQxOGY0ZTdiMjc3MDdmZGNhN2JmNWUiLCJ1c2VySWQiOiI1NzM1ODA1MDEifQ==</vt:lpwstr>
  </property>
  <property fmtid="{D5CDD505-2E9C-101B-9397-08002B2CF9AE}" pid="4" name="ICV">
    <vt:lpwstr>0B2B3B11A6B044F9A19C1B2A3489B42A_12</vt:lpwstr>
  </property>
</Properties>
</file>