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0BD6F" w14:textId="77777777" w:rsidR="00222266" w:rsidRDefault="00222266" w:rsidP="0022226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Additional file 1: Logistic regression model for clinical and laboratory variables related to the death of new-born piglets dying until day 5 of age. ref: reference category, OR: Odds Ratio Estimate, CI: confidence limits. p: level attained for Wald`s test</w:t>
      </w:r>
    </w:p>
    <w:p w14:paraId="799033EC" w14:textId="77777777" w:rsidR="00222266" w:rsidRDefault="00222266" w:rsidP="00222266">
      <w:pPr>
        <w:pStyle w:val="Listenabsatz"/>
        <w:spacing w:line="480" w:lineRule="auto"/>
        <w:ind w:left="0"/>
        <w:jc w:val="both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ellenraster"/>
        <w:tblW w:w="14498" w:type="dxa"/>
        <w:tblLayout w:type="fixed"/>
        <w:tblLook w:val="04A0" w:firstRow="1" w:lastRow="0" w:firstColumn="1" w:lastColumn="0" w:noHBand="0" w:noVBand="1"/>
      </w:tblPr>
      <w:tblGrid>
        <w:gridCol w:w="2782"/>
        <w:gridCol w:w="838"/>
        <w:gridCol w:w="837"/>
        <w:gridCol w:w="839"/>
        <w:gridCol w:w="927"/>
        <w:gridCol w:w="1035"/>
        <w:gridCol w:w="839"/>
        <w:gridCol w:w="1037"/>
        <w:gridCol w:w="842"/>
        <w:gridCol w:w="1149"/>
        <w:gridCol w:w="839"/>
        <w:gridCol w:w="839"/>
        <w:gridCol w:w="1459"/>
        <w:gridCol w:w="236"/>
      </w:tblGrid>
      <w:tr w:rsidR="00222266" w14:paraId="16F7EE81" w14:textId="77777777" w:rsidTr="0081166B">
        <w:tc>
          <w:tcPr>
            <w:tcW w:w="2831" w:type="dxa"/>
            <w:vMerge w:val="restart"/>
            <w:tcBorders>
              <w:left w:val="nil"/>
              <w:right w:val="nil"/>
            </w:tcBorders>
            <w:vAlign w:val="center"/>
          </w:tcPr>
          <w:p w14:paraId="2C24D47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Risk categories</w:t>
            </w:r>
          </w:p>
        </w:tc>
        <w:tc>
          <w:tcPr>
            <w:tcW w:w="1699" w:type="dxa"/>
            <w:gridSpan w:val="2"/>
            <w:tcBorders>
              <w:left w:val="nil"/>
              <w:right w:val="nil"/>
            </w:tcBorders>
            <w:vAlign w:val="center"/>
          </w:tcPr>
          <w:p w14:paraId="1BF7396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alive</w:t>
            </w:r>
          </w:p>
        </w:tc>
        <w:tc>
          <w:tcPr>
            <w:tcW w:w="1792" w:type="dxa"/>
            <w:gridSpan w:val="2"/>
            <w:tcBorders>
              <w:left w:val="nil"/>
              <w:right w:val="nil"/>
            </w:tcBorders>
            <w:vAlign w:val="center"/>
          </w:tcPr>
          <w:p w14:paraId="76615D3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dead</w:t>
            </w:r>
          </w:p>
        </w:tc>
        <w:tc>
          <w:tcPr>
            <w:tcW w:w="3809" w:type="dxa"/>
            <w:gridSpan w:val="4"/>
            <w:tcBorders>
              <w:left w:val="nil"/>
              <w:right w:val="nil"/>
            </w:tcBorders>
            <w:vAlign w:val="center"/>
          </w:tcPr>
          <w:p w14:paraId="1042B19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univariable model</w:t>
            </w:r>
          </w:p>
        </w:tc>
        <w:tc>
          <w:tcPr>
            <w:tcW w:w="4352" w:type="dxa"/>
            <w:gridSpan w:val="4"/>
            <w:tcBorders>
              <w:left w:val="nil"/>
              <w:right w:val="nil"/>
            </w:tcBorders>
            <w:vAlign w:val="center"/>
          </w:tcPr>
          <w:p w14:paraId="69A301B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multivariable model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2D865F04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52D1B74D" w14:textId="77777777" w:rsidTr="0081166B">
        <w:tc>
          <w:tcPr>
            <w:tcW w:w="2831" w:type="dxa"/>
            <w:vMerge/>
            <w:tcBorders>
              <w:left w:val="nil"/>
              <w:right w:val="nil"/>
            </w:tcBorders>
            <w:vAlign w:val="center"/>
          </w:tcPr>
          <w:p w14:paraId="40857A5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vAlign w:val="center"/>
          </w:tcPr>
          <w:p w14:paraId="5BB4482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49" w:type="dxa"/>
            <w:vMerge w:val="restart"/>
            <w:tcBorders>
              <w:left w:val="nil"/>
              <w:right w:val="nil"/>
            </w:tcBorders>
            <w:vAlign w:val="center"/>
          </w:tcPr>
          <w:p w14:paraId="2E400DF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vAlign w:val="center"/>
          </w:tcPr>
          <w:p w14:paraId="6A65108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941" w:type="dxa"/>
            <w:vMerge w:val="restart"/>
            <w:tcBorders>
              <w:left w:val="nil"/>
              <w:right w:val="nil"/>
            </w:tcBorders>
            <w:vAlign w:val="center"/>
          </w:tcPr>
          <w:p w14:paraId="4238DE2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1051" w:type="dxa"/>
            <w:vMerge w:val="restart"/>
            <w:tcBorders>
              <w:left w:val="nil"/>
              <w:right w:val="nil"/>
            </w:tcBorders>
            <w:vAlign w:val="center"/>
          </w:tcPr>
          <w:p w14:paraId="1AAFF58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OR</w:t>
            </w:r>
          </w:p>
        </w:tc>
        <w:tc>
          <w:tcPr>
            <w:tcW w:w="1904" w:type="dxa"/>
            <w:gridSpan w:val="2"/>
            <w:tcBorders>
              <w:left w:val="nil"/>
              <w:right w:val="nil"/>
            </w:tcBorders>
          </w:tcPr>
          <w:p w14:paraId="6B6A468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95%-CI</w:t>
            </w:r>
          </w:p>
        </w:tc>
        <w:tc>
          <w:tcPr>
            <w:tcW w:w="854" w:type="dxa"/>
            <w:vMerge w:val="restart"/>
            <w:tcBorders>
              <w:left w:val="nil"/>
              <w:right w:val="nil"/>
            </w:tcBorders>
            <w:vAlign w:val="center"/>
          </w:tcPr>
          <w:p w14:paraId="6721969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67" w:type="dxa"/>
            <w:vMerge w:val="restart"/>
            <w:tcBorders>
              <w:left w:val="nil"/>
              <w:right w:val="nil"/>
            </w:tcBorders>
            <w:vAlign w:val="center"/>
          </w:tcPr>
          <w:p w14:paraId="0E9C0DE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OR</w:t>
            </w:r>
          </w:p>
        </w:tc>
        <w:tc>
          <w:tcPr>
            <w:tcW w:w="1702" w:type="dxa"/>
            <w:gridSpan w:val="2"/>
            <w:tcBorders>
              <w:left w:val="nil"/>
              <w:right w:val="nil"/>
            </w:tcBorders>
          </w:tcPr>
          <w:p w14:paraId="13CF37D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95%-CI</w:t>
            </w:r>
          </w:p>
        </w:tc>
        <w:tc>
          <w:tcPr>
            <w:tcW w:w="1483" w:type="dxa"/>
            <w:vMerge w:val="restart"/>
            <w:tcBorders>
              <w:left w:val="nil"/>
              <w:right w:val="nil"/>
            </w:tcBorders>
            <w:vAlign w:val="center"/>
          </w:tcPr>
          <w:p w14:paraId="0F9DAE1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p</w:t>
            </w:r>
            <w:r>
              <w:rPr>
                <w:rFonts w:ascii="Arial" w:eastAsia="Calibri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2F2C5550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5DCF7734" w14:textId="77777777" w:rsidTr="0081166B">
        <w:tc>
          <w:tcPr>
            <w:tcW w:w="2831" w:type="dxa"/>
            <w:vMerge/>
            <w:tcBorders>
              <w:left w:val="nil"/>
              <w:right w:val="nil"/>
            </w:tcBorders>
            <w:vAlign w:val="center"/>
          </w:tcPr>
          <w:p w14:paraId="5271EBA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left w:val="nil"/>
              <w:right w:val="nil"/>
            </w:tcBorders>
            <w:vAlign w:val="center"/>
          </w:tcPr>
          <w:p w14:paraId="77692D1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9" w:type="dxa"/>
            <w:vMerge/>
            <w:tcBorders>
              <w:left w:val="nil"/>
              <w:right w:val="nil"/>
            </w:tcBorders>
            <w:vAlign w:val="center"/>
          </w:tcPr>
          <w:p w14:paraId="18F4C97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01E2A85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41" w:type="dxa"/>
            <w:vMerge/>
            <w:tcBorders>
              <w:left w:val="nil"/>
              <w:right w:val="nil"/>
            </w:tcBorders>
            <w:vAlign w:val="center"/>
          </w:tcPr>
          <w:p w14:paraId="6F60C29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  <w:vMerge/>
            <w:tcBorders>
              <w:left w:val="nil"/>
              <w:right w:val="nil"/>
            </w:tcBorders>
            <w:vAlign w:val="center"/>
          </w:tcPr>
          <w:p w14:paraId="6E16AC9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6E73BF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1053" w:type="dxa"/>
            <w:tcBorders>
              <w:left w:val="nil"/>
              <w:right w:val="nil"/>
            </w:tcBorders>
          </w:tcPr>
          <w:p w14:paraId="1FF49EB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up</w:t>
            </w:r>
          </w:p>
        </w:tc>
        <w:tc>
          <w:tcPr>
            <w:tcW w:w="854" w:type="dxa"/>
            <w:vMerge/>
            <w:tcBorders>
              <w:left w:val="nil"/>
              <w:right w:val="nil"/>
            </w:tcBorders>
            <w:vAlign w:val="center"/>
          </w:tcPr>
          <w:p w14:paraId="0678C10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67" w:type="dxa"/>
            <w:vMerge/>
            <w:tcBorders>
              <w:left w:val="nil"/>
              <w:right w:val="nil"/>
            </w:tcBorders>
            <w:vAlign w:val="center"/>
          </w:tcPr>
          <w:p w14:paraId="6192AD8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5318929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low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0BBEC8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up</w:t>
            </w:r>
          </w:p>
        </w:tc>
        <w:tc>
          <w:tcPr>
            <w:tcW w:w="1483" w:type="dxa"/>
            <w:vMerge/>
            <w:tcBorders>
              <w:left w:val="nil"/>
              <w:right w:val="nil"/>
            </w:tcBorders>
            <w:vAlign w:val="center"/>
          </w:tcPr>
          <w:p w14:paraId="746D58F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21FC0EC6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422572E8" w14:textId="77777777" w:rsidTr="0081166B">
        <w:tc>
          <w:tcPr>
            <w:tcW w:w="2831" w:type="dxa"/>
            <w:tcBorders>
              <w:left w:val="nil"/>
              <w:right w:val="nil"/>
            </w:tcBorders>
            <w:vAlign w:val="center"/>
          </w:tcPr>
          <w:p w14:paraId="7B1CE55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14:paraId="1E9770E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9" w:type="dxa"/>
            <w:tcBorders>
              <w:left w:val="nil"/>
              <w:right w:val="nil"/>
            </w:tcBorders>
            <w:vAlign w:val="center"/>
          </w:tcPr>
          <w:p w14:paraId="32D34B9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6F07115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41" w:type="dxa"/>
            <w:tcBorders>
              <w:left w:val="nil"/>
              <w:right w:val="nil"/>
            </w:tcBorders>
            <w:vAlign w:val="center"/>
          </w:tcPr>
          <w:p w14:paraId="7D30B5E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  <w:vAlign w:val="center"/>
          </w:tcPr>
          <w:p w14:paraId="50C0536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D4BD46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tcBorders>
              <w:left w:val="nil"/>
              <w:right w:val="nil"/>
            </w:tcBorders>
          </w:tcPr>
          <w:p w14:paraId="612072A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4" w:type="dxa"/>
            <w:tcBorders>
              <w:left w:val="nil"/>
              <w:right w:val="nil"/>
            </w:tcBorders>
            <w:vAlign w:val="center"/>
          </w:tcPr>
          <w:p w14:paraId="34DB0E4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67" w:type="dxa"/>
            <w:tcBorders>
              <w:left w:val="nil"/>
              <w:right w:val="nil"/>
            </w:tcBorders>
            <w:vAlign w:val="center"/>
          </w:tcPr>
          <w:p w14:paraId="52BF16E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7DD76D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56255D1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83" w:type="dxa"/>
            <w:tcBorders>
              <w:left w:val="nil"/>
              <w:right w:val="nil"/>
            </w:tcBorders>
            <w:vAlign w:val="center"/>
          </w:tcPr>
          <w:p w14:paraId="72720C2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1C494695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2F7FC15A" w14:textId="77777777" w:rsidTr="0081166B">
        <w:tc>
          <w:tcPr>
            <w:tcW w:w="2831" w:type="dxa"/>
            <w:tcBorders>
              <w:left w:val="nil"/>
              <w:right w:val="nil"/>
            </w:tcBorders>
          </w:tcPr>
          <w:p w14:paraId="31B611A3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0CF6E8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 xml:space="preserve"> 372</w:t>
            </w:r>
          </w:p>
        </w:tc>
        <w:tc>
          <w:tcPr>
            <w:tcW w:w="849" w:type="dxa"/>
            <w:tcBorders>
              <w:left w:val="nil"/>
              <w:right w:val="nil"/>
            </w:tcBorders>
          </w:tcPr>
          <w:p w14:paraId="20CF585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4D7C65F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86040D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147</w:t>
            </w:r>
          </w:p>
        </w:tc>
        <w:tc>
          <w:tcPr>
            <w:tcW w:w="941" w:type="dxa"/>
            <w:tcBorders>
              <w:left w:val="nil"/>
              <w:right w:val="nil"/>
            </w:tcBorders>
          </w:tcPr>
          <w:p w14:paraId="5FA56ED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</w:tcPr>
          <w:p w14:paraId="689956E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5DA7322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tcBorders>
              <w:left w:val="nil"/>
              <w:right w:val="nil"/>
            </w:tcBorders>
          </w:tcPr>
          <w:p w14:paraId="723D083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4" w:type="dxa"/>
            <w:tcBorders>
              <w:left w:val="nil"/>
              <w:right w:val="nil"/>
            </w:tcBorders>
          </w:tcPr>
          <w:p w14:paraId="2A72243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77E3346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625E53F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57C92BC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5BA1A92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63E3A6B8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77FD238B" w14:textId="77777777" w:rsidTr="0081166B">
        <w:tc>
          <w:tcPr>
            <w:tcW w:w="14497" w:type="dxa"/>
            <w:gridSpan w:val="14"/>
            <w:tcBorders>
              <w:left w:val="nil"/>
              <w:right w:val="nil"/>
            </w:tcBorders>
          </w:tcPr>
          <w:p w14:paraId="532971B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Body Weight</w:t>
            </w:r>
          </w:p>
        </w:tc>
      </w:tr>
      <w:tr w:rsidR="00222266" w14:paraId="754B7BD6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5497B10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&gt;1.39kg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F03007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127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1366F9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96.95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062AAF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445ED1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3.05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9A68FD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5E9BD5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311AB5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7E60DE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4FAF473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124B876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69681B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06FC0B2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0E448268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73AD8D63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BDAB973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&lt;0.82kg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109629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37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01837C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30.33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C2005C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85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38BCB7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69.67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50951F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72.937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19A8AB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25.080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0C8260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212.111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966F5E9" w14:textId="77777777" w:rsidR="00222266" w:rsidRPr="00811F59" w:rsidRDefault="00222266" w:rsidP="0081166B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7DF4EE0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7.056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385C11C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1.595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3F21EE2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31.209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13BA5498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0.0101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6E4BF972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7EB827FB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415FC49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0.82-0.95kg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A7C56F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89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F20D80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70.08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A0D963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38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6494D0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29.92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51C8EC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13.551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39D8F6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4.671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E94387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39.316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7470E56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0BFDE2A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3.921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5ED836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1.087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3D6D29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14.145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035AED31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0.0369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524A1298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122DE9A6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9E2D56C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0.96-1.39kg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E22793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119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B90D28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85.61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DE94A9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9DED8D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14.39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530CDF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5.336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C59BF1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1.772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A03B63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16.067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B71F095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0.0029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0D27827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2.731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3FC4A5EF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 xml:space="preserve"> 0.833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61E9D1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8.949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0F7D37F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0.0970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51D92359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0C7230D1" w14:textId="77777777" w:rsidTr="0081166B">
        <w:tc>
          <w:tcPr>
            <w:tcW w:w="14497" w:type="dxa"/>
            <w:gridSpan w:val="14"/>
            <w:tcBorders>
              <w:left w:val="nil"/>
              <w:right w:val="nil"/>
            </w:tcBorders>
          </w:tcPr>
          <w:p w14:paraId="0669306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Vitality score</w:t>
            </w:r>
          </w:p>
        </w:tc>
      </w:tr>
      <w:tr w:rsidR="00222266" w14:paraId="3D4446D3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3C77627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60C80C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296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8B5E8A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90.80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5AB20A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30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110027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9.20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E3BE66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B03B0D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7A4592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6FD5C0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20C1369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F59015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49584C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7713B12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497F8CAB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1423EA32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F5DEA29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0ED1B1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74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335D08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54.41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28D65D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62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589D08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45.59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311FE4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8.265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454897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4.989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A2B53E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13.694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B3DC5EA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1BDE806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2.471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41F15D9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1.192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63A13A95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5.120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3B514B35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0.0151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38BF0B5E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0FCD3A3B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0DC39DC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BA4818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109819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6.67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4BC5EA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28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987473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93.33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5C3E53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138.129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73D5FE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31.353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894CA2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608.539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F1B2A15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402A362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18.159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E6C5DC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3.240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E57169B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101.788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3E0AF454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0.0010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454C00F3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7E633FB9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F3F95A4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55C94D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-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BC7A56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521F07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27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2138D2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100.00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319FAC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&gt;999.99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6B6DC0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&lt;0.001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0236DF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&gt;999.99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A3EF89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0.9519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5CD2D05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&gt;999.999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1E8F17E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2940C1F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34A1E4F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0.9870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41DAB51F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061B01EA" w14:textId="77777777" w:rsidTr="0081166B">
        <w:tc>
          <w:tcPr>
            <w:tcW w:w="14497" w:type="dxa"/>
            <w:gridSpan w:val="14"/>
            <w:tcBorders>
              <w:left w:val="nil"/>
              <w:right w:val="nil"/>
            </w:tcBorders>
          </w:tcPr>
          <w:p w14:paraId="409097C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Intrauterine growth retardation score</w:t>
            </w:r>
          </w:p>
        </w:tc>
      </w:tr>
      <w:tr w:rsidR="00222266" w14:paraId="5C19C5FC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5251AF7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B884EF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274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74A66C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88.10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C54816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37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0F457D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11.90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8DA47F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906BFE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2FD6C4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F2F5B0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46C2D0D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3AD37B2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5E28BBA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5BB47EE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3675B126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1F038781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3CD43D0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4AF78A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86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AB45C5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63.24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447158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6119E0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36.76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CE959E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4.305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F2AAC1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2.640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318B89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7.022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66F12BD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0E2E9CE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1.124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D450A6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0.509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4CACE0C4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2.483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1F37A6C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0.7724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35051501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3E2869AD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57225EB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725A23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12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9CC8C1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16.67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726469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60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26EBD3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83.33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D5E915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37.027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FFAC20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18.231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1F3387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75.201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ACA6C4C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22A9807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1.934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5BB3364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0.598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536B0E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6.249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1E2CE5E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0.2699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3B7CCF45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56821EFB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F6AE2FF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2931F9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1308EB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EE0FE8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890F29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BB715C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9CBFA8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15677C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D3D5D9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263B427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4A71B15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6AC1AF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139415F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331C0F42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5B8FBBFE" w14:textId="77777777" w:rsidTr="0081166B">
        <w:tc>
          <w:tcPr>
            <w:tcW w:w="14497" w:type="dxa"/>
            <w:gridSpan w:val="14"/>
            <w:tcBorders>
              <w:left w:val="nil"/>
              <w:right w:val="nil"/>
            </w:tcBorders>
          </w:tcPr>
          <w:p w14:paraId="58EB726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Rectal temperature</w:t>
            </w:r>
          </w:p>
        </w:tc>
      </w:tr>
      <w:tr w:rsidR="00222266" w14:paraId="605DFF2C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42BE76D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&gt; 37.5 °C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35A068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324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FB86EC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87.57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17DF7E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46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89BE9E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12.43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06A0BD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F55937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107444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ED4126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58D3618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4052073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5EB63C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5260B0B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62688FB5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3F8066BA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11334D2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≤ 37.5 °C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8DE1D1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48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C0F4CD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32.21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204424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101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8706E9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67.79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C4FA94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14.818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71D6CB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9.336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EDFBE1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23.519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88C082B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6F22199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2.827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A3D542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1.458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6DD25E5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5.484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3A7936D2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0.0022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5738F79F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362D06AC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BF1D0DA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6E6088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1E1C18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CCAA23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4BD5AE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</w:tcPr>
          <w:p w14:paraId="3F55B26D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Immunocrit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5AADD4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6F708C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1E180E3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1BE6F52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656CAF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4AB4D5E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167F8C10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334AD5AE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865CB8C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&gt;0.1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43EBC9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293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5D6852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86.43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1BF63A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46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65F4E9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13.57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155FA6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A74003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F38D35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2105B2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18863AB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086695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6F854FE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68565A0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53C7CE86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203E6E77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8F4365F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lastRenderedPageBreak/>
              <w:t>≤0.1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BD6C34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79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690DB8A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43.89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E70E9C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120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CC569B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43.01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C752C9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8.143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63D06B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5.307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E3723C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12.494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4642A7D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&lt;.0001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31BEC2D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2.032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E46A71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1.112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7854BD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3.712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4FBC38C6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0.0212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02DAD588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47DEEFE5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6209D95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C4A1925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1B38D3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203E2D1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C555DB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1FA224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Glucose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402F3D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05128F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49E605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7AE3530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7DF4465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1F3C91D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71B3AB29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14BA3DBB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5A24245A" w14:textId="77777777" w:rsidTr="0081166B">
        <w:tc>
          <w:tcPr>
            <w:tcW w:w="283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EA6108A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&gt;70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3D54AA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213</w:t>
            </w:r>
          </w:p>
        </w:tc>
        <w:tc>
          <w:tcPr>
            <w:tcW w:w="849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389D142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88.75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7D1AD3D6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27</w:t>
            </w:r>
          </w:p>
        </w:tc>
        <w:tc>
          <w:tcPr>
            <w:tcW w:w="94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093DB76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11.25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FB0907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3A27CEB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053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1B9F27D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43C89FE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167" w:type="dxa"/>
            <w:tcBorders>
              <w:left w:val="nil"/>
              <w:right w:val="nil"/>
            </w:tcBorders>
          </w:tcPr>
          <w:p w14:paraId="02AC16C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1EF17A73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30F3582F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028ADBB8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241BD0C0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222266" w14:paraId="558A1FBF" w14:textId="77777777" w:rsidTr="0081166B">
        <w:tc>
          <w:tcPr>
            <w:tcW w:w="283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936FEE" w14:textId="77777777" w:rsidR="00222266" w:rsidRDefault="00222266" w:rsidP="0081166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≤70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39D222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159</w:t>
            </w:r>
          </w:p>
        </w:tc>
        <w:tc>
          <w:tcPr>
            <w:tcW w:w="849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3F1F91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56.99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AE6E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120</w:t>
            </w:r>
          </w:p>
        </w:tc>
        <w:tc>
          <w:tcPr>
            <w:tcW w:w="94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67FA1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43.01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F3031A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5.954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CACAC0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3.739</w:t>
            </w:r>
          </w:p>
        </w:tc>
        <w:tc>
          <w:tcPr>
            <w:tcW w:w="1053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D0D41C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9.481</w:t>
            </w:r>
          </w:p>
        </w:tc>
        <w:tc>
          <w:tcPr>
            <w:tcW w:w="854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65FE08" w14:textId="77777777" w:rsidR="00222266" w:rsidRPr="00811F59" w:rsidRDefault="00222266" w:rsidP="008116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11F5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&lt;.0001</w:t>
            </w:r>
          </w:p>
        </w:tc>
        <w:tc>
          <w:tcPr>
            <w:tcW w:w="1167" w:type="dxa"/>
            <w:tcBorders>
              <w:left w:val="nil"/>
              <w:bottom w:val="nil"/>
              <w:right w:val="nil"/>
            </w:tcBorders>
          </w:tcPr>
          <w:p w14:paraId="69CF4ACD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1.471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507588C4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0.754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480CAF6E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2.869</w:t>
            </w:r>
          </w:p>
        </w:tc>
        <w:tc>
          <w:tcPr>
            <w:tcW w:w="1483" w:type="dxa"/>
            <w:tcBorders>
              <w:left w:val="nil"/>
              <w:bottom w:val="nil"/>
              <w:right w:val="nil"/>
            </w:tcBorders>
          </w:tcPr>
          <w:p w14:paraId="29B2DBD7" w14:textId="77777777" w:rsidR="00222266" w:rsidRDefault="00222266" w:rsidP="008116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0.2569</w:t>
            </w: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</w:tcPr>
          <w:p w14:paraId="4DA88884" w14:textId="77777777" w:rsidR="00222266" w:rsidRDefault="00222266" w:rsidP="0081166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2EF0BC87" w14:textId="77777777" w:rsidR="00222266" w:rsidRDefault="00222266" w:rsidP="00222266">
      <w:pPr>
        <w:pStyle w:val="Listenabsatz"/>
        <w:spacing w:line="480" w:lineRule="auto"/>
        <w:ind w:left="0"/>
        <w:jc w:val="both"/>
        <w:rPr>
          <w:rFonts w:ascii="Arial" w:hAnsi="Arial" w:cs="Arial"/>
          <w:sz w:val="20"/>
          <w:szCs w:val="20"/>
          <w:vertAlign w:val="superscript"/>
          <w:lang w:val="en-GB"/>
        </w:rPr>
      </w:pPr>
      <w:r>
        <w:rPr>
          <w:rFonts w:ascii="Arial" w:hAnsi="Arial" w:cs="Arial"/>
          <w:sz w:val="20"/>
          <w:szCs w:val="20"/>
          <w:vertAlign w:val="superscript"/>
          <w:lang w:val="en-GB"/>
        </w:rPr>
        <w:t xml:space="preserve">a </w:t>
      </w:r>
      <w:r>
        <w:rPr>
          <w:rFonts w:ascii="Arial" w:hAnsi="Arial" w:cs="Arial"/>
          <w:sz w:val="20"/>
          <w:szCs w:val="20"/>
          <w:lang w:val="en-GB"/>
        </w:rPr>
        <w:t>p-value Wald’s Chi²-Test to the reference category</w:t>
      </w:r>
    </w:p>
    <w:p w14:paraId="42BD061F" w14:textId="77777777" w:rsidR="00222266" w:rsidRDefault="00222266"/>
    <w:sectPr w:rsidR="00222266" w:rsidSect="00222266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4E774" w14:textId="77777777" w:rsidR="00D03D36" w:rsidRDefault="00D03D36" w:rsidP="00222266">
      <w:pPr>
        <w:spacing w:after="0" w:line="240" w:lineRule="auto"/>
      </w:pPr>
      <w:r>
        <w:separator/>
      </w:r>
    </w:p>
  </w:endnote>
  <w:endnote w:type="continuationSeparator" w:id="0">
    <w:p w14:paraId="29A6F138" w14:textId="77777777" w:rsidR="00D03D36" w:rsidRDefault="00D03D36" w:rsidP="00222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0960E" w14:textId="77777777" w:rsidR="00D03D36" w:rsidRDefault="00D03D36" w:rsidP="00222266">
      <w:pPr>
        <w:spacing w:after="0" w:line="240" w:lineRule="auto"/>
      </w:pPr>
      <w:r>
        <w:separator/>
      </w:r>
    </w:p>
  </w:footnote>
  <w:footnote w:type="continuationSeparator" w:id="0">
    <w:p w14:paraId="44F9A21C" w14:textId="77777777" w:rsidR="00D03D36" w:rsidRDefault="00D03D36" w:rsidP="002222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266"/>
    <w:rsid w:val="000F07A6"/>
    <w:rsid w:val="00222266"/>
    <w:rsid w:val="00D0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F66D5"/>
  <w15:chartTrackingRefBased/>
  <w15:docId w15:val="{0A334B54-A370-447C-AFB3-0409F5BC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ListenabsatzZchn">
    <w:name w:val="Listenabsatz Zchn"/>
    <w:basedOn w:val="Absatz-Standardschriftart"/>
    <w:link w:val="Listenabsatz"/>
    <w:uiPriority w:val="34"/>
    <w:qFormat/>
    <w:rsid w:val="00222266"/>
  </w:style>
  <w:style w:type="paragraph" w:styleId="Listenabsatz">
    <w:name w:val="List Paragraph"/>
    <w:basedOn w:val="Standard"/>
    <w:link w:val="ListenabsatzZchn"/>
    <w:uiPriority w:val="34"/>
    <w:qFormat/>
    <w:rsid w:val="00222266"/>
    <w:pPr>
      <w:suppressAutoHyphens/>
      <w:ind w:left="720"/>
      <w:contextualSpacing/>
    </w:pPr>
  </w:style>
  <w:style w:type="table" w:styleId="Tabellenraster">
    <w:name w:val="Table Grid"/>
    <w:basedOn w:val="NormaleTabelle"/>
    <w:uiPriority w:val="39"/>
    <w:rsid w:val="00222266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2222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22266"/>
  </w:style>
  <w:style w:type="paragraph" w:styleId="Fuzeile">
    <w:name w:val="footer"/>
    <w:basedOn w:val="Standard"/>
    <w:link w:val="FuzeileZchn"/>
    <w:uiPriority w:val="99"/>
    <w:unhideWhenUsed/>
    <w:rsid w:val="002222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222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Geiping, Lukas Maximilian</dc:creator>
  <cp:keywords/>
  <dc:description/>
  <cp:lastModifiedBy>Geiping, Lukas Maximilian</cp:lastModifiedBy>
  <cp:revision>1</cp:revision>
  <dcterms:created xsi:type="dcterms:W3CDTF">2021-09-15T18:29:00Z</dcterms:created>
  <dcterms:modified xsi:type="dcterms:W3CDTF">2021-09-15T18:31:00Z</dcterms:modified>
</cp:coreProperties>
</file>