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9C9E5" w14:textId="77777777" w:rsidR="00CD3734" w:rsidRDefault="00CD3734" w:rsidP="00CD3734">
      <w:pPr>
        <w:pStyle w:val="BodyA"/>
        <w:spacing w:after="120" w:line="360" w:lineRule="auto"/>
      </w:pPr>
      <w:r>
        <w:rPr>
          <w:rFonts w:ascii="Arial" w:hAnsi="Arial"/>
        </w:rPr>
        <w:t>alphafold/MD_vs_AF2_raw_comparison.txt`.</w:t>
      </w:r>
    </w:p>
    <w:p w14:paraId="05930793" w14:textId="77777777" w:rsidR="00CD3734" w:rsidRDefault="00CD3734" w:rsidP="00CD3734">
      <w:pPr>
        <w:pStyle w:val="BodyA"/>
        <w:spacing w:after="120" w:line="360" w:lineRule="auto"/>
      </w:pPr>
      <w:r>
        <w:rPr>
          <w:rFonts w:ascii="Arial" w:hAnsi="Arial"/>
          <w:b/>
          <w:bCs/>
        </w:rPr>
        <w:t>Table S1.</w:t>
      </w:r>
      <w:r>
        <w:rPr>
          <w:rFonts w:ascii="Arial" w:hAnsi="Arial"/>
        </w:rPr>
        <w:t xml:space="preserve"> Residue number mapping: OpenMM-renumbered (5KIR_fixed.pdb) vs. canonical RCSB numbering (5KIR chain A).</w:t>
      </w:r>
    </w:p>
    <w:tbl>
      <w:tblPr>
        <w:tblW w:w="9072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CD3734" w14:paraId="2F8E51D8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963A69" w14:textId="77777777" w:rsidR="00CD3734" w:rsidRDefault="00CD3734" w:rsidP="00DA017A">
            <w:pPr>
              <w:pStyle w:val="BodyA"/>
            </w:pPr>
            <w:r>
              <w:rPr>
                <w:rFonts w:ascii="Arial" w:hAnsi="Arial"/>
                <w:sz w:val="18"/>
                <w:szCs w:val="18"/>
              </w:rPr>
              <w:t>This study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BCE32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Canonical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23E5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Role</w:t>
            </w:r>
          </w:p>
        </w:tc>
      </w:tr>
      <w:tr w:rsidR="00CD3734" w14:paraId="2F5C5888" w14:textId="77777777" w:rsidTr="00DA017A">
        <w:trPr>
          <w:trHeight w:val="4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694D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MET490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835D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MET522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5AAF5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Side-pocket; moderate contributor across test compounds</w:t>
            </w:r>
          </w:p>
        </w:tc>
      </w:tr>
      <w:tr w:rsidR="00CD3734" w14:paraId="1CB81017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D144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VAL491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09EF8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VAL523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F777F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Channel floor; universal anchor</w:t>
            </w:r>
          </w:p>
        </w:tc>
      </w:tr>
      <w:tr w:rsidR="00CD3734" w14:paraId="3E7BD955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E0AB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TYR353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EB9F8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TYR385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31399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Aromatic channel wall</w:t>
            </w:r>
          </w:p>
        </w:tc>
      </w:tr>
      <w:tr w:rsidR="00CD3734" w14:paraId="50C7886C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D6C8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SER498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9E218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SER530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3852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Polar contact; H-bond acceptor</w:t>
            </w:r>
          </w:p>
        </w:tc>
      </w:tr>
      <w:tr w:rsidR="00CD3734" w14:paraId="423439A7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988F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TRP355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8AE51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TRP387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644EEA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Aromatic channel wall</w:t>
            </w:r>
          </w:p>
        </w:tc>
      </w:tr>
      <w:tr w:rsidR="00CD3734" w14:paraId="1663CB70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4A2E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LEU320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AF6C0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LEU352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8F45F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Channel-entrance gatekeeper</w:t>
            </w:r>
          </w:p>
        </w:tc>
      </w:tr>
      <w:tr w:rsidR="00CD3734" w14:paraId="5739784E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8042E2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SER321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929E9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SER353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B9D9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Selectivity-pocket entrance</w:t>
            </w:r>
          </w:p>
        </w:tc>
      </w:tr>
      <w:tr w:rsidR="00CD3734" w14:paraId="0D51E123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92911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PHE486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395E20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PHE518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CA925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Selectivity-pocket</w:t>
            </w:r>
          </w:p>
        </w:tc>
      </w:tr>
      <w:tr w:rsidR="00CD3734" w14:paraId="7B1E0305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6B663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ALA495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FB00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ALA527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1FCD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Selectivity-pocket</w:t>
            </w:r>
          </w:p>
        </w:tc>
      </w:tr>
      <w:tr w:rsidR="00CD3734" w14:paraId="5123EDEF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6D020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VAL317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B387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VAL349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1E2B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Channel wall</w:t>
            </w:r>
          </w:p>
        </w:tc>
      </w:tr>
      <w:tr w:rsidR="00CD3734" w14:paraId="6CACF70B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BC708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TYR323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F7C9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TYR355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C4C6F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Channel periphery</w:t>
            </w:r>
          </w:p>
        </w:tc>
      </w:tr>
      <w:tr w:rsidR="00CD3734" w14:paraId="16EA15E5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E4E18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LEU352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56B42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LEU384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B0AC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Channel periphery</w:t>
            </w:r>
          </w:p>
        </w:tc>
      </w:tr>
      <w:tr w:rsidR="00CD3734" w14:paraId="3F7FA459" w14:textId="77777777" w:rsidTr="00DA017A">
        <w:trPr>
          <w:trHeight w:val="4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6A73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ARG481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AC013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ARG513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78ED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Near-anchor (Celecoxib/Ligstroside D2)</w:t>
            </w:r>
          </w:p>
        </w:tc>
      </w:tr>
      <w:tr w:rsidR="00CD3734" w14:paraId="3D36678F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0C6C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GLY494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673921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GLY526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07899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Active-site channel residue</w:t>
            </w:r>
          </w:p>
        </w:tc>
      </w:tr>
      <w:tr w:rsidR="00CD3734" w14:paraId="36108D45" w14:textId="77777777" w:rsidTr="00DA017A">
        <w:trPr>
          <w:trHeight w:val="214"/>
        </w:trPr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F9C9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GLN160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7E75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GLN192</w:t>
            </w:r>
          </w:p>
        </w:tc>
        <w:tc>
          <w:tcPr>
            <w:tcW w:w="3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29FF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Near-anchor (Celecoxib)</w:t>
            </w:r>
          </w:p>
        </w:tc>
      </w:tr>
    </w:tbl>
    <w:p w14:paraId="34085A2C" w14:textId="77777777" w:rsidR="00CD3734" w:rsidRDefault="00CD3734" w:rsidP="00CD3734">
      <w:pPr>
        <w:pStyle w:val="BodyA"/>
        <w:widowControl w:val="0"/>
        <w:spacing w:after="120" w:line="240" w:lineRule="auto"/>
        <w:ind w:left="108" w:hanging="108"/>
      </w:pPr>
    </w:p>
    <w:p w14:paraId="3F78161D" w14:textId="77777777" w:rsidR="00CD3734" w:rsidRDefault="00CD3734" w:rsidP="00CD3734">
      <w:pPr>
        <w:pStyle w:val="BodyA"/>
        <w:widowControl w:val="0"/>
        <w:spacing w:after="120" w:line="240" w:lineRule="auto"/>
      </w:pPr>
    </w:p>
    <w:p w14:paraId="09CCD3E0" w14:textId="7CF51EFD" w:rsidR="00CD3734" w:rsidRDefault="00CD3734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78" w:lineRule="auto"/>
      </w:pPr>
      <w:r>
        <w:br w:type="page"/>
      </w:r>
    </w:p>
    <w:p w14:paraId="4B429FC1" w14:textId="77777777" w:rsidR="00CD3734" w:rsidRDefault="00CD3734" w:rsidP="00CD3734">
      <w:pPr>
        <w:pStyle w:val="BodyA"/>
        <w:spacing w:after="120" w:line="360" w:lineRule="auto"/>
      </w:pPr>
      <w:r>
        <w:rPr>
          <w:rFonts w:ascii="Arial" w:hAnsi="Arial"/>
          <w:b/>
          <w:bCs/>
        </w:rPr>
        <w:lastRenderedPageBreak/>
        <w:t>Table S2. MM-GBSA frame sampling parameters per compound and replicate.</w:t>
      </w:r>
    </w:p>
    <w:tbl>
      <w:tblPr>
        <w:tblW w:w="9072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512"/>
        <w:gridCol w:w="1512"/>
        <w:gridCol w:w="1512"/>
        <w:gridCol w:w="1512"/>
        <w:gridCol w:w="1512"/>
        <w:gridCol w:w="1512"/>
      </w:tblGrid>
      <w:tr w:rsidR="00CD3734" w14:paraId="5A118F5C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77CF6" w14:textId="77777777" w:rsidR="00CD3734" w:rsidRDefault="00CD3734" w:rsidP="00DA017A">
            <w:pPr>
              <w:pStyle w:val="BodyA"/>
            </w:pPr>
            <w:r>
              <w:rPr>
                <w:rFonts w:ascii="Arial" w:hAnsi="Arial"/>
                <w:sz w:val="18"/>
                <w:szCs w:val="18"/>
              </w:rPr>
              <w:t>Compound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1DF02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Rep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509F3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startframe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6B67E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endframe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EAED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interval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71DD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N_frames</w:t>
            </w:r>
          </w:p>
        </w:tc>
      </w:tr>
      <w:tr w:rsidR="00CD3734" w14:paraId="107BD3CB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5A1B9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Bergapten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A2639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947D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551C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011BF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591E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  <w:tr w:rsidR="00CD3734" w14:paraId="1D0CD310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8CA0A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Psoralen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BE3C9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8E5D20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77CE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063F1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26F835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  <w:tr w:rsidR="00CD3734" w14:paraId="5AF8A8D4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09BD12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Luteolin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70E1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55FA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C4545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E3E43F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B81489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  <w:tr w:rsidR="00CD3734" w14:paraId="745F4319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71BDC9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Quercetin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A89A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FD05E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97400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63F34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78A50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  <w:tr w:rsidR="00CD3734" w14:paraId="627C9287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DFC3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Elenolic acid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16D4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9DF1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1165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36B1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01683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  <w:tr w:rsidR="00CD3734" w14:paraId="5C4BDEFA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E3775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Hydroxytyrosol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26B5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D5274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12887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C643D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E3D8B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  <w:tr w:rsidR="00CD3734" w14:paraId="2CDB479E" w14:textId="77777777" w:rsidTr="00DA017A">
        <w:trPr>
          <w:trHeight w:val="214"/>
        </w:trPr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602B9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Celecoxib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34E3F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all×4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2D94F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8858C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5000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82015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50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37F66" w14:textId="77777777" w:rsidR="00CD3734" w:rsidRDefault="00CD3734" w:rsidP="00DA017A">
            <w:pPr>
              <w:pStyle w:val="BodyA"/>
              <w:spacing w:after="0" w:line="240" w:lineRule="auto"/>
            </w:pPr>
            <w:r>
              <w:rPr>
                <w:rFonts w:ascii="Arial" w:hAnsi="Arial"/>
                <w:sz w:val="18"/>
                <w:szCs w:val="18"/>
              </w:rPr>
              <w:t>21</w:t>
            </w:r>
          </w:p>
        </w:tc>
      </w:tr>
    </w:tbl>
    <w:p w14:paraId="735750E3" w14:textId="77777777" w:rsidR="00CD3734" w:rsidRDefault="00CD3734" w:rsidP="00CD3734">
      <w:pPr>
        <w:pStyle w:val="BodyA"/>
        <w:widowControl w:val="0"/>
        <w:spacing w:after="120" w:line="240" w:lineRule="auto"/>
        <w:ind w:left="108" w:hanging="108"/>
      </w:pPr>
    </w:p>
    <w:p w14:paraId="77C70228" w14:textId="77777777" w:rsidR="00CD3734" w:rsidRDefault="00CD3734" w:rsidP="00CD3734">
      <w:pPr>
        <w:pStyle w:val="BodyA"/>
        <w:widowControl w:val="0"/>
        <w:spacing w:after="120" w:line="240" w:lineRule="auto"/>
      </w:pPr>
    </w:p>
    <w:p w14:paraId="28AAB5BD" w14:textId="77777777" w:rsidR="00CD3734" w:rsidRDefault="00CD3734" w:rsidP="00CD3734">
      <w:pPr>
        <w:pStyle w:val="BodyA"/>
        <w:spacing w:after="240"/>
      </w:pPr>
    </w:p>
    <w:p w14:paraId="380ADB38" w14:textId="77777777" w:rsidR="00CD3734" w:rsidRDefault="00CD3734" w:rsidP="00CD3734">
      <w:pPr>
        <w:pStyle w:val="BodyA"/>
        <w:spacing w:after="120" w:line="360" w:lineRule="auto"/>
      </w:pPr>
      <w:r>
        <w:rPr>
          <w:rFonts w:ascii="Arial" w:hAnsi="Arial"/>
          <w:lang w:val="es-ES_tradnl"/>
        </w:rPr>
        <w:t>"all</w:t>
      </w:r>
      <w:r>
        <w:rPr>
          <w:rFonts w:ascii="Arial" w:hAnsi="Arial"/>
        </w:rPr>
        <w:t>×4" = main + rep_s1234 + rep_s42 + rep_s9999. All trajectories: 5 ns production, 1,001 frames (dt = 1 fs, nstxout-compressed = 5000), PBC-corrected prior to MMPBSA extraction. Frame index = trajectory frame number; interval = 50 → 21 frames sampled from each replicate (frames 1, 51, 101, …, 1001).</w:t>
      </w:r>
    </w:p>
    <w:p w14:paraId="62B2C28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734"/>
    <w:rsid w:val="003C2EF4"/>
    <w:rsid w:val="00446799"/>
    <w:rsid w:val="006A7E07"/>
    <w:rsid w:val="00701021"/>
    <w:rsid w:val="00B74216"/>
    <w:rsid w:val="00BD5F4A"/>
    <w:rsid w:val="00CD3734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1CCFF"/>
  <w15:chartTrackingRefBased/>
  <w15:docId w15:val="{513E0D52-2042-453A-8D1F-0B6A79A24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73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73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7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7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7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7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7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7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7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7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7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7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37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734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37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7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37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7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37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734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7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734"/>
    <w:rPr>
      <w:b/>
      <w:bCs/>
      <w:smallCaps/>
      <w:color w:val="0F4761" w:themeColor="accent1" w:themeShade="BF"/>
      <w:spacing w:val="5"/>
    </w:rPr>
  </w:style>
  <w:style w:type="paragraph" w:customStyle="1" w:styleId="BodyA">
    <w:name w:val="Body A"/>
    <w:rsid w:val="00CD373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mbria" w:eastAsia="Arial Unicode MS" w:hAnsi="Cambria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1254</Characters>
  <Application>Microsoft Office Word</Application>
  <DocSecurity>0</DocSecurity>
  <Lines>39</Lines>
  <Paragraphs>22</Paragraphs>
  <ScaleCrop>false</ScaleCrop>
  <Company>Springer Nature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2026-04-13T18:30:00Z</dcterms:created>
  <dcterms:modified xsi:type="dcterms:W3CDTF">2026-04-13T18:30:00Z</dcterms:modified>
</cp:coreProperties>
</file>