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08FC3B">
      <w:pPr>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drawing>
          <wp:inline distT="0" distB="0" distL="114300" distR="114300">
            <wp:extent cx="5271135" cy="4086225"/>
            <wp:effectExtent l="0" t="0" r="12065" b="3175"/>
            <wp:docPr id="4" name="图片 4" descr="补充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补充图片1"/>
                    <pic:cNvPicPr>
                      <a:picLocks noChangeAspect="1"/>
                    </pic:cNvPicPr>
                  </pic:nvPicPr>
                  <pic:blipFill>
                    <a:blip r:embed="rId4"/>
                    <a:stretch>
                      <a:fillRect/>
                    </a:stretch>
                  </pic:blipFill>
                  <pic:spPr>
                    <a:xfrm>
                      <a:off x="0" y="0"/>
                      <a:ext cx="5271135" cy="4086225"/>
                    </a:xfrm>
                    <a:prstGeom prst="rect">
                      <a:avLst/>
                    </a:prstGeom>
                  </pic:spPr>
                </pic:pic>
              </a:graphicData>
            </a:graphic>
          </wp:inline>
        </w:drawing>
      </w:r>
    </w:p>
    <w:p w14:paraId="59688196">
      <w:pPr>
        <w:rPr>
          <w:rStyle w:val="6"/>
          <w:rFonts w:hint="default" w:ascii="Times New Roman" w:hAnsi="Times New Roman" w:eastAsia="宋体" w:cs="Times New Roman"/>
          <w:sz w:val="21"/>
          <w:szCs w:val="21"/>
        </w:rPr>
      </w:pPr>
      <w:r>
        <w:rPr>
          <w:rStyle w:val="6"/>
          <w:rFonts w:hint="default" w:ascii="Times New Roman" w:hAnsi="Times New Roman" w:eastAsia="宋体" w:cs="Times New Roman"/>
          <w:sz w:val="21"/>
          <w:szCs w:val="21"/>
        </w:rPr>
        <w:t>Figure S1. Analysis of the SPP1–CD44 signaling axis</w:t>
      </w:r>
    </w:p>
    <w:p w14:paraId="5C4EE878">
      <w:pPr>
        <w:rPr>
          <w:rStyle w:val="6"/>
          <w:rFonts w:hint="default" w:ascii="Times New Roman" w:hAnsi="Times New Roman" w:eastAsia="宋体" w:cs="Times New Roman"/>
          <w:b w:val="0"/>
          <w:bCs/>
          <w:sz w:val="21"/>
          <w:szCs w:val="21"/>
        </w:rPr>
      </w:pPr>
      <w:r>
        <w:rPr>
          <w:rStyle w:val="6"/>
          <w:rFonts w:hint="default" w:ascii="Times New Roman" w:hAnsi="Times New Roman" w:eastAsia="宋体" w:cs="Times New Roman"/>
          <w:b w:val="0"/>
          <w:bCs/>
          <w:sz w:val="21"/>
          <w:szCs w:val="21"/>
        </w:rPr>
        <w:t>(A) Analysis of ligand–receptor interaction strength between SPP1 and its receptors.</w:t>
      </w:r>
    </w:p>
    <w:p w14:paraId="026B2957">
      <w:pPr>
        <w:rPr>
          <w:rStyle w:val="6"/>
          <w:rFonts w:hint="default" w:ascii="Times New Roman" w:hAnsi="Times New Roman" w:eastAsia="宋体" w:cs="Times New Roman"/>
          <w:b w:val="0"/>
          <w:bCs/>
          <w:sz w:val="21"/>
          <w:szCs w:val="21"/>
        </w:rPr>
      </w:pPr>
      <w:r>
        <w:rPr>
          <w:rStyle w:val="6"/>
          <w:rFonts w:hint="default" w:ascii="Times New Roman" w:hAnsi="Times New Roman" w:eastAsia="宋体" w:cs="Times New Roman"/>
          <w:b w:val="0"/>
          <w:bCs/>
          <w:sz w:val="21"/>
          <w:szCs w:val="21"/>
        </w:rPr>
        <w:t>(B) Macrophage-mediated SPP1–CD44 cell communication network.</w:t>
      </w:r>
    </w:p>
    <w:p w14:paraId="2E622C63">
      <w:pPr>
        <w:rPr>
          <w:rStyle w:val="6"/>
          <w:rFonts w:hint="default" w:ascii="Times New Roman" w:hAnsi="Times New Roman" w:eastAsia="宋体" w:cs="Times New Roman"/>
          <w:b w:val="0"/>
          <w:bCs/>
          <w:sz w:val="21"/>
          <w:szCs w:val="21"/>
        </w:rPr>
      </w:pPr>
      <w:r>
        <w:rPr>
          <w:rStyle w:val="6"/>
          <w:rFonts w:hint="default" w:ascii="Times New Roman" w:hAnsi="Times New Roman" w:eastAsia="宋体" w:cs="Times New Roman"/>
          <w:b w:val="0"/>
          <w:bCs/>
          <w:sz w:val="21"/>
          <w:szCs w:val="21"/>
        </w:rPr>
        <w:t>(C) Bubble plot of SPP1 signaling pathway–related interactions.</w:t>
      </w:r>
    </w:p>
    <w:p w14:paraId="3E67B0BC">
      <w:pPr>
        <w:rPr>
          <w:rStyle w:val="6"/>
          <w:rFonts w:hint="default" w:ascii="Times New Roman" w:hAnsi="Times New Roman" w:eastAsia="宋体" w:cs="Times New Roman"/>
          <w:b w:val="0"/>
          <w:bCs/>
          <w:sz w:val="21"/>
          <w:szCs w:val="21"/>
        </w:rPr>
      </w:pPr>
      <w:r>
        <w:rPr>
          <w:rStyle w:val="6"/>
          <w:rFonts w:hint="default" w:ascii="Times New Roman" w:hAnsi="Times New Roman" w:eastAsia="宋体" w:cs="Times New Roman"/>
          <w:b w:val="0"/>
          <w:bCs/>
          <w:sz w:val="21"/>
          <w:szCs w:val="21"/>
        </w:rPr>
        <w:t>(D) Functional role analysis heatmap showing the contribution of different cell types within the SPP1 signaling pathway.</w:t>
      </w:r>
    </w:p>
    <w:p w14:paraId="188CBC7E">
      <w:pPr>
        <w:rPr>
          <w:rFonts w:hint="default" w:ascii="Times New Roman" w:hAnsi="Times New Roman" w:cs="Times New Roman"/>
          <w:b w:val="0"/>
          <w:bCs/>
          <w:sz w:val="21"/>
          <w:szCs w:val="21"/>
          <w:lang w:val="en-US" w:eastAsia="zh-CN"/>
        </w:rPr>
      </w:pPr>
      <w:r>
        <w:rPr>
          <w:rStyle w:val="6"/>
          <w:rFonts w:hint="default" w:ascii="Times New Roman" w:hAnsi="Times New Roman" w:eastAsia="宋体" w:cs="Times New Roman"/>
          <w:b w:val="0"/>
          <w:bCs/>
          <w:sz w:val="21"/>
          <w:szCs w:val="21"/>
        </w:rPr>
        <w:t>(E) Heatmap of major senders and receivers in the SPP1 signaling pathway.</w:t>
      </w:r>
    </w:p>
    <w:p w14:paraId="4EA02426">
      <w:pPr>
        <w:rPr>
          <w:rFonts w:hint="eastAsia" w:ascii="Times New Roman" w:hAnsi="Times New Roman" w:cs="Times New Roman"/>
          <w:b/>
          <w:bCs/>
          <w:sz w:val="18"/>
          <w:szCs w:val="18"/>
          <w:lang w:val="en-US" w:eastAsia="zh-CN"/>
        </w:rPr>
      </w:pPr>
    </w:p>
    <w:p w14:paraId="10F2E9AE">
      <w:pPr>
        <w:rPr>
          <w:rFonts w:hint="eastAsia" w:ascii="Times New Roman" w:hAnsi="Times New Roman" w:cs="Times New Roman"/>
          <w:b/>
          <w:bCs/>
          <w:sz w:val="18"/>
          <w:szCs w:val="18"/>
          <w:lang w:val="en-US" w:eastAsia="zh-CN"/>
        </w:rPr>
      </w:pPr>
    </w:p>
    <w:p w14:paraId="3C2E0FBC">
      <w:pPr>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br w:type="page"/>
      </w:r>
    </w:p>
    <w:p w14:paraId="6384D4FD">
      <w:pPr>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drawing>
          <wp:inline distT="0" distB="0" distL="114300" distR="114300">
            <wp:extent cx="5266055" cy="3672205"/>
            <wp:effectExtent l="0" t="0" r="4445" b="10795"/>
            <wp:docPr id="5" name="图片 5" descr="补充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补充图片2"/>
                    <pic:cNvPicPr>
                      <a:picLocks noChangeAspect="1"/>
                    </pic:cNvPicPr>
                  </pic:nvPicPr>
                  <pic:blipFill>
                    <a:blip r:embed="rId5"/>
                    <a:stretch>
                      <a:fillRect/>
                    </a:stretch>
                  </pic:blipFill>
                  <pic:spPr>
                    <a:xfrm>
                      <a:off x="0" y="0"/>
                      <a:ext cx="5266055" cy="3672205"/>
                    </a:xfrm>
                    <a:prstGeom prst="rect">
                      <a:avLst/>
                    </a:prstGeom>
                  </pic:spPr>
                </pic:pic>
              </a:graphicData>
            </a:graphic>
          </wp:inline>
        </w:drawing>
      </w:r>
    </w:p>
    <w:p w14:paraId="77E05DB3">
      <w:pP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Figure S2. Cell–cell communication analysis between the HCC core region and the para-carcinoma region</w:t>
      </w:r>
      <w:bookmarkStart w:id="0" w:name="_GoBack"/>
      <w:bookmarkEnd w:id="0"/>
    </w:p>
    <w:p w14:paraId="4698A531">
      <w:pP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(A–B) Comparison of the number and strength of cell–cell interactions. The left panel shows differences in the number of interactions between the core and border groups, and the right panel shows differences in interaction strength between the two groups.</w:t>
      </w:r>
    </w:p>
    <w:p w14:paraId="02CEC769">
      <w:pP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(C) Heatmap of differential cell–cell interactions. The left panel shows differences in the number of interactions, while the right panel shows differences in interaction strength between the core and border groups. The color intensity represents the degree of difference.</w:t>
      </w:r>
    </w:p>
    <w:p w14:paraId="466BDFCF">
      <w:pP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(D) Comparative analysis of conserved and specific signaling pathways. Stacked and non-stacked bar plots are used to show differences in conserved and specific signaling pathways within the cell–cell communication networks of the core and border regions.</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11E"/>
    <w:rsid w:val="00016C67"/>
    <w:rsid w:val="000A55BE"/>
    <w:rsid w:val="002B7096"/>
    <w:rsid w:val="003F5F4C"/>
    <w:rsid w:val="0046172A"/>
    <w:rsid w:val="00481B8D"/>
    <w:rsid w:val="00492C3F"/>
    <w:rsid w:val="004C2F57"/>
    <w:rsid w:val="0051056D"/>
    <w:rsid w:val="0056111E"/>
    <w:rsid w:val="006C3864"/>
    <w:rsid w:val="006D615A"/>
    <w:rsid w:val="007040E3"/>
    <w:rsid w:val="00846461"/>
    <w:rsid w:val="00877BE5"/>
    <w:rsid w:val="00881FA4"/>
    <w:rsid w:val="00A44126"/>
    <w:rsid w:val="00B15473"/>
    <w:rsid w:val="00B968E4"/>
    <w:rsid w:val="00BB2FA5"/>
    <w:rsid w:val="00BE6C50"/>
    <w:rsid w:val="00CA0DFA"/>
    <w:rsid w:val="00CE6065"/>
    <w:rsid w:val="00D01B29"/>
    <w:rsid w:val="00D37F75"/>
    <w:rsid w:val="00E61D31"/>
    <w:rsid w:val="00ED2254"/>
    <w:rsid w:val="13AB3069"/>
    <w:rsid w:val="35991055"/>
    <w:rsid w:val="430065B4"/>
    <w:rsid w:val="44D77311"/>
    <w:rsid w:val="4DB17E7C"/>
    <w:rsid w:val="5694006E"/>
    <w:rsid w:val="5794075A"/>
    <w:rsid w:val="6970099A"/>
    <w:rsid w:val="6A8F0F8C"/>
    <w:rsid w:val="716F16D1"/>
    <w:rsid w:val="77C529C7"/>
    <w:rsid w:val="7AC86E4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tabs>
        <w:tab w:val="center" w:pos="4153"/>
        <w:tab w:val="right" w:pos="8306"/>
      </w:tabs>
      <w:snapToGrid w:val="0"/>
      <w:jc w:val="center"/>
    </w:pPr>
    <w:rPr>
      <w:sz w:val="18"/>
      <w:szCs w:val="18"/>
    </w:rPr>
  </w:style>
  <w:style w:type="character" w:styleId="6">
    <w:name w:val="Strong"/>
    <w:basedOn w:val="5"/>
    <w:qFormat/>
    <w:uiPriority w:val="22"/>
    <w:rPr>
      <w:b/>
    </w:r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10</Words>
  <Characters>10</Characters>
  <Lines>21</Lines>
  <Paragraphs>7</Paragraphs>
  <TotalTime>584</TotalTime>
  <ScaleCrop>false</ScaleCrop>
  <LinksUpToDate>false</LinksUpToDate>
  <CharactersWithSpaces>10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2025-01-20T10:48:00Z</dcterms:created>
  <dc:creator>成挺 吴</dc:creator>
  <cp:lastModifiedBy>好葡萄</cp:lastModifiedBy>
  <cp:lastPrinted>2025-01-20T10:55:00Z</cp:lastPrinted>
  <dcterms:modified xsi:type="dcterms:W3CDTF">2025-10-01T07:24:01Z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dc1aa15620e067267880d354006ccdb99f21778b588566f419f49ea181ff0ca8</vt:lpwstr>
  </property>
  <property fmtid="{D5CDD505-2E9C-101B-9397-08002B2CF9AE}" pid="3" name="KSOTemplateDocerSaveRecord">
    <vt:lpwstr>eyJoZGlkIjoiNTJjOWYzOGI4MGFiMTBlZTg4MWJkZjdiZjg5MzRhZDMiLCJ1c2VySWQiOiI0NjU2MTYwNTIifQ==</vt:lpwstr>
  </property>
  <property fmtid="{D5CDD505-2E9C-101B-9397-08002B2CF9AE}" pid="4" name="KSOProductBuildVer">
    <vt:lpwstr>2052-12.1.0.22529</vt:lpwstr>
  </property>
  <property fmtid="{D5CDD505-2E9C-101B-9397-08002B2CF9AE}" pid="5" name="ICV">
    <vt:lpwstr>A7B5158262D14084ADEE8BDA4D040AF7_12</vt:lpwstr>
  </property>
</Properties>
</file>