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E2B55" w14:textId="048F0A5B" w:rsidR="00CF197C" w:rsidRDefault="00D209B5" w:rsidP="005136FB">
      <w:pPr>
        <w:rPr>
          <w:b/>
          <w:bCs/>
        </w:rPr>
      </w:pPr>
      <w:r>
        <w:rPr>
          <w:rFonts w:hint="eastAsia"/>
          <w:b/>
          <w:bCs/>
        </w:rPr>
        <w:t>Supplementary</w:t>
      </w:r>
      <w:r w:rsidR="005136FB">
        <w:rPr>
          <w:rFonts w:hint="eastAsia"/>
          <w:b/>
          <w:bCs/>
        </w:rPr>
        <w:t xml:space="preserve"> Information</w:t>
      </w:r>
      <w:bookmarkStart w:id="0" w:name="_Ref188535758"/>
    </w:p>
    <w:p w14:paraId="780B7735" w14:textId="77777777" w:rsidR="00CF197C" w:rsidRPr="00FC6918" w:rsidRDefault="00CF197C" w:rsidP="00CF197C">
      <w:pPr>
        <w:pStyle w:val="a5"/>
        <w:keepNext/>
        <w:rPr>
          <w:b w:val="0"/>
          <w:bCs w:val="0"/>
        </w:rPr>
      </w:pPr>
      <w:r>
        <w:t xml:space="preserve">Box </w:t>
      </w:r>
      <w:fldSimple w:instr=" SEQ Box \* ARABIC ">
        <w:r>
          <w:rPr>
            <w:noProof/>
          </w:rPr>
          <w:t>1</w:t>
        </w:r>
      </w:fldSimple>
      <w:r w:rsidRPr="00FC6918">
        <w:rPr>
          <w:rFonts w:hint="eastAsia"/>
          <w:b w:val="0"/>
          <w:bCs w:val="0"/>
        </w:rPr>
        <w:t xml:space="preserve"> </w:t>
      </w:r>
      <w:r w:rsidRPr="00FC6918">
        <w:rPr>
          <w:b w:val="0"/>
          <w:bCs w:val="0"/>
        </w:rPr>
        <w:t>Probabilistic Concepts &amp; Information-Theoretic Metrics in the Inquiry Cycle Model</w:t>
      </w:r>
    </w:p>
    <w:tbl>
      <w:tblPr>
        <w:tblStyle w:val="a4"/>
        <w:tblW w:w="0" w:type="auto"/>
        <w:tblLook w:val="04A0" w:firstRow="1" w:lastRow="0" w:firstColumn="1" w:lastColumn="0" w:noHBand="0" w:noVBand="1"/>
      </w:tblPr>
      <w:tblGrid>
        <w:gridCol w:w="2547"/>
        <w:gridCol w:w="3594"/>
        <w:gridCol w:w="3595"/>
      </w:tblGrid>
      <w:tr w:rsidR="00CF197C" w14:paraId="27960968" w14:textId="77777777" w:rsidTr="002E3617">
        <w:tc>
          <w:tcPr>
            <w:tcW w:w="2547" w:type="dxa"/>
            <w:shd w:val="clear" w:color="auto" w:fill="D9D9D9" w:themeFill="background1" w:themeFillShade="D9"/>
          </w:tcPr>
          <w:p w14:paraId="6AE91D8B" w14:textId="77777777" w:rsidR="00CF197C" w:rsidRDefault="00CF197C" w:rsidP="002E3617">
            <w:pPr>
              <w:jc w:val="center"/>
            </w:pPr>
            <w:r>
              <w:rPr>
                <w:rFonts w:hint="eastAsia"/>
              </w:rPr>
              <w:t>Concept / Metric</w:t>
            </w:r>
          </w:p>
        </w:tc>
        <w:tc>
          <w:tcPr>
            <w:tcW w:w="3594" w:type="dxa"/>
            <w:shd w:val="clear" w:color="auto" w:fill="D9D9D9" w:themeFill="background1" w:themeFillShade="D9"/>
          </w:tcPr>
          <w:p w14:paraId="0C1F4FEA" w14:textId="77777777" w:rsidR="00CF197C" w:rsidRDefault="00CF197C" w:rsidP="002E3617">
            <w:r>
              <w:t>Relation to Free-Energy Minimi</w:t>
            </w:r>
            <w:r>
              <w:rPr>
                <w:rFonts w:hint="eastAsia"/>
              </w:rPr>
              <w:t>s</w:t>
            </w:r>
            <w:r>
              <w:t>ation</w:t>
            </w:r>
          </w:p>
        </w:tc>
        <w:tc>
          <w:tcPr>
            <w:tcW w:w="3595" w:type="dxa"/>
            <w:shd w:val="clear" w:color="auto" w:fill="D9D9D9" w:themeFill="background1" w:themeFillShade="D9"/>
          </w:tcPr>
          <w:p w14:paraId="28498592" w14:textId="77777777" w:rsidR="00CF197C" w:rsidRDefault="00CF197C" w:rsidP="002E3617">
            <w:r>
              <w:t>Proposed Interpretation for Cognition &amp; Creativity</w:t>
            </w:r>
          </w:p>
        </w:tc>
      </w:tr>
      <w:tr w:rsidR="00CF197C" w14:paraId="12BD9065" w14:textId="77777777" w:rsidTr="002E3617">
        <w:tc>
          <w:tcPr>
            <w:tcW w:w="2547" w:type="dxa"/>
          </w:tcPr>
          <w:p w14:paraId="41F3ACAE" w14:textId="77777777" w:rsidR="00CF197C" w:rsidRDefault="00CF197C" w:rsidP="002E3617">
            <w:pPr>
              <w:jc w:val="center"/>
            </w:pPr>
            <w:r>
              <w:t>P</w:t>
            </w:r>
            <w:r>
              <w:rPr>
                <w:rFonts w:hint="eastAsia"/>
              </w:rPr>
              <w:t>rior distribution</w:t>
            </w:r>
          </w:p>
          <w:p w14:paraId="3C345725" w14:textId="77777777" w:rsidR="00CF197C" w:rsidRDefault="00CF197C" w:rsidP="002E3617">
            <w:pPr>
              <w:jc w:val="center"/>
            </w:pPr>
            <m:oMathPara>
              <m:oMath>
                <m:r>
                  <w:rPr>
                    <w:rFonts w:ascii="Cambria Math" w:hAnsi="Cambria Math"/>
                  </w:rPr>
                  <m:t>p(s)</m:t>
                </m:r>
              </m:oMath>
            </m:oMathPara>
          </w:p>
        </w:tc>
        <w:tc>
          <w:tcPr>
            <w:tcW w:w="3594" w:type="dxa"/>
          </w:tcPr>
          <w:p w14:paraId="3EFFE84E" w14:textId="77777777" w:rsidR="00CF197C" w:rsidRDefault="00CF197C" w:rsidP="002E3617">
            <w:r w:rsidRPr="000B70BA">
              <w:t>Represents the agent’s belief about hidden states</w:t>
            </w:r>
            <w:r>
              <w:rPr>
                <w:rFonts w:hint="eastAsia"/>
              </w:rPr>
              <w:t xml:space="preserve"> </w:t>
            </w:r>
            <m:oMath>
              <m:r>
                <w:rPr>
                  <w:rFonts w:ascii="Cambria Math" w:hAnsi="Cambria Math"/>
                </w:rPr>
                <m:t>s</m:t>
              </m:r>
            </m:oMath>
            <w:r w:rsidRPr="000B70BA">
              <w:t xml:space="preserve"> before observing </w:t>
            </w:r>
            <m:oMath>
              <m:r>
                <w:rPr>
                  <w:rFonts w:ascii="Cambria Math" w:hAnsi="Cambria Math"/>
                </w:rPr>
                <m:t>o</m:t>
              </m:r>
            </m:oMath>
            <w:r w:rsidRPr="000B70BA">
              <w:t xml:space="preserve">. In the free-energy framework, the difference between this distribution and the posterior (after observing </w:t>
            </w:r>
            <m:oMath>
              <m:r>
                <w:rPr>
                  <w:rFonts w:ascii="Cambria Math" w:hAnsi="Cambria Math"/>
                </w:rPr>
                <m:t>o</m:t>
              </m:r>
            </m:oMath>
            <w:r w:rsidRPr="000B70BA">
              <w:t>) underlies the Bayesian Surprise (</w:t>
            </w:r>
            <m:oMath>
              <m:r>
                <w:rPr>
                  <w:rFonts w:ascii="Cambria Math" w:hAnsi="Cambria Math"/>
                  <w:color w:val="000000" w:themeColor="text1"/>
                </w:rPr>
                <m:t>BS</m:t>
              </m:r>
            </m:oMath>
            <w:r w:rsidRPr="000B70BA">
              <w:t>).</w:t>
            </w:r>
          </w:p>
        </w:tc>
        <w:tc>
          <w:tcPr>
            <w:tcW w:w="3595" w:type="dxa"/>
          </w:tcPr>
          <w:p w14:paraId="7A7FC536" w14:textId="77777777" w:rsidR="00CF197C" w:rsidRDefault="00CF197C" w:rsidP="002E3617">
            <w:r w:rsidRPr="000B70BA">
              <w:t>Corresponds to biases or expectations held prior to observation. Lower prior precision (larger variance) implies a more “open-minded” stance, enhancing the potential for novelty-driven exploration (diversive curiosity) and uncertainty reduction</w:t>
            </w:r>
            <w:r>
              <w:rPr>
                <w:rFonts w:hint="eastAsia"/>
              </w:rPr>
              <w:t xml:space="preserve"> (specific curiosity)</w:t>
            </w:r>
            <w:r w:rsidRPr="000B70BA">
              <w:t>.</w:t>
            </w:r>
          </w:p>
        </w:tc>
      </w:tr>
      <w:tr w:rsidR="00CF197C" w14:paraId="640F1B49" w14:textId="77777777" w:rsidTr="002E3617">
        <w:tc>
          <w:tcPr>
            <w:tcW w:w="2547" w:type="dxa"/>
          </w:tcPr>
          <w:p w14:paraId="0D593C33" w14:textId="5050D437" w:rsidR="00CF197C" w:rsidRDefault="00CF197C" w:rsidP="002E3617">
            <w:pPr>
              <w:jc w:val="center"/>
              <w:rPr>
                <w:rFonts w:hint="eastAsia"/>
              </w:rPr>
            </w:pPr>
            <w:r w:rsidRPr="000B70BA">
              <w:t xml:space="preserve">Likelihood </w:t>
            </w:r>
            <w:r w:rsidR="008A3DE1">
              <w:br/>
            </w:r>
            <w:r w:rsidR="008A3DE1">
              <w:rPr>
                <w:rFonts w:hint="eastAsia"/>
              </w:rPr>
              <w:t>(observation model)</w:t>
            </w:r>
          </w:p>
          <w:p w14:paraId="33672B46" w14:textId="77777777" w:rsidR="00CF197C" w:rsidRDefault="00CF197C" w:rsidP="002E3617">
            <w:pPr>
              <w:jc w:val="center"/>
            </w:pPr>
            <m:oMathPara>
              <m:oMath>
                <m:r>
                  <w:rPr>
                    <w:rFonts w:ascii="Cambria Math" w:hAnsi="Cambria Math"/>
                  </w:rPr>
                  <m:t>p</m:t>
                </m:r>
                <m:d>
                  <m:dPr>
                    <m:ctrlPr>
                      <w:rPr>
                        <w:rFonts w:ascii="Cambria Math" w:hAnsi="Cambria Math"/>
                        <w:i/>
                      </w:rPr>
                    </m:ctrlPr>
                  </m:dPr>
                  <m:e>
                    <m:r>
                      <w:rPr>
                        <w:rFonts w:ascii="Cambria Math" w:hAnsi="Cambria Math"/>
                      </w:rPr>
                      <m:t>o</m:t>
                    </m:r>
                  </m:e>
                  <m:e>
                    <m:r>
                      <w:rPr>
                        <w:rFonts w:ascii="Cambria Math" w:hAnsi="Cambria Math"/>
                      </w:rPr>
                      <m:t>s</m:t>
                    </m:r>
                  </m:e>
                </m:d>
              </m:oMath>
            </m:oMathPara>
          </w:p>
        </w:tc>
        <w:tc>
          <w:tcPr>
            <w:tcW w:w="3594" w:type="dxa"/>
          </w:tcPr>
          <w:p w14:paraId="17F3DF7E" w14:textId="55875374" w:rsidR="00CF197C" w:rsidRDefault="00DA18F2" w:rsidP="002E3617">
            <w:r>
              <w:rPr>
                <w:rFonts w:hint="eastAsia"/>
              </w:rPr>
              <w:t>Specifie</w:t>
            </w:r>
            <w:r w:rsidR="00CF197C" w:rsidRPr="000B70BA">
              <w:t xml:space="preserve">s </w:t>
            </w:r>
            <w:r>
              <w:rPr>
                <w:rFonts w:hint="eastAsia"/>
              </w:rPr>
              <w:t xml:space="preserve">the probability of </w:t>
            </w:r>
            <w:r w:rsidR="008A3DE1">
              <w:rPr>
                <w:rFonts w:hint="eastAsia"/>
              </w:rPr>
              <w:t xml:space="preserve">an </w:t>
            </w:r>
            <w:r w:rsidR="00CF197C" w:rsidRPr="000B70BA">
              <w:t xml:space="preserve">observation </w:t>
            </w:r>
            <m:oMath>
              <m:r>
                <w:rPr>
                  <w:rFonts w:ascii="Cambria Math" w:hAnsi="Cambria Math"/>
                </w:rPr>
                <m:t>o</m:t>
              </m:r>
            </m:oMath>
            <w:r w:rsidR="00CF197C" w:rsidRPr="000B70BA">
              <w:t xml:space="preserve"> given a hidden state </w:t>
            </w:r>
            <m:oMath>
              <m:r>
                <w:rPr>
                  <w:rFonts w:ascii="Cambria Math" w:hAnsi="Cambria Math"/>
                </w:rPr>
                <m:t>s</m:t>
              </m:r>
            </m:oMath>
            <w:r w:rsidR="008A3DE1">
              <w:rPr>
                <w:rFonts w:hint="eastAsia"/>
              </w:rPr>
              <w:t xml:space="preserve"> (the observation model)</w:t>
            </w:r>
            <w:r w:rsidR="00CF197C" w:rsidRPr="000B70BA">
              <w:t>.</w:t>
            </w:r>
            <w:r w:rsidR="00CF197C">
              <w:rPr>
                <w:rFonts w:hint="eastAsia"/>
              </w:rPr>
              <w:t xml:space="preserve"> </w:t>
            </w:r>
            <w:r w:rsidR="008A3DE1" w:rsidRPr="008A3DE1">
              <w:t xml:space="preserve">When viewed as a function of s for a </w:t>
            </w:r>
            <w:r w:rsidR="008A3DE1">
              <w:rPr>
                <w:rFonts w:hint="eastAsia"/>
              </w:rPr>
              <w:t>fixed</w:t>
            </w:r>
            <w:r w:rsidR="008A3DE1" w:rsidRPr="008A3DE1">
              <w:t xml:space="preserve"> observation, it corresponds to the likelihood of the hidden state.</w:t>
            </w:r>
            <w:r w:rsidR="008A3DE1">
              <w:rPr>
                <w:rFonts w:hint="eastAsia"/>
              </w:rPr>
              <w:t xml:space="preserve"> It s</w:t>
            </w:r>
            <w:r w:rsidR="00CF197C" w:rsidRPr="000B70BA">
              <w:t xml:space="preserve">erves as a </w:t>
            </w:r>
            <w:r w:rsidR="008A3DE1">
              <w:rPr>
                <w:rFonts w:hint="eastAsia"/>
              </w:rPr>
              <w:t>fundamental</w:t>
            </w:r>
            <w:r w:rsidR="00CF197C" w:rsidRPr="000B70BA">
              <w:t xml:space="preserve"> component of the generative model</w:t>
            </w:r>
            <w:r w:rsidR="008A3DE1">
              <w:rPr>
                <w:rFonts w:hint="eastAsia"/>
              </w:rPr>
              <w:t>,</w:t>
            </w:r>
            <w:r w:rsidR="00CF197C" w:rsidRPr="000B70BA">
              <w:t xml:space="preserve"> </w:t>
            </w:r>
            <w:r w:rsidR="008A3DE1">
              <w:rPr>
                <w:rFonts w:hint="eastAsia"/>
              </w:rPr>
              <w:t xml:space="preserve">directly </w:t>
            </w:r>
            <w:r w:rsidR="00CF197C" w:rsidRPr="000B70BA">
              <w:t>influenc</w:t>
            </w:r>
            <w:r w:rsidR="008A3DE1">
              <w:rPr>
                <w:rFonts w:hint="eastAsia"/>
              </w:rPr>
              <w:t>ing the</w:t>
            </w:r>
            <w:r w:rsidR="00CF197C" w:rsidRPr="000B70BA">
              <w:t xml:space="preserve"> prediction error and </w:t>
            </w:r>
            <w:r w:rsidR="008A3DE1" w:rsidRPr="008A3DE1">
              <w:t>the resulting variational free energy</w:t>
            </w:r>
            <w:r w:rsidR="00CF197C" w:rsidRPr="000B70BA">
              <w:t>.</w:t>
            </w:r>
          </w:p>
        </w:tc>
        <w:tc>
          <w:tcPr>
            <w:tcW w:w="3595" w:type="dxa"/>
          </w:tcPr>
          <w:p w14:paraId="01D1AE0F" w14:textId="6A064797" w:rsidR="00CF197C" w:rsidRDefault="00CF197C" w:rsidP="002E3617">
            <w:r w:rsidRPr="000B70BA">
              <w:t>Governs how strongly the agent trusts incoming sensory information. Higher likelihood precision means the agent is more sensitive to prediction errors</w:t>
            </w:r>
            <w:r>
              <w:rPr>
                <w:rFonts w:hint="eastAsia"/>
              </w:rPr>
              <w:t xml:space="preserve">, enhancing both </w:t>
            </w:r>
            <w:r w:rsidRPr="00543A53">
              <w:rPr>
                <w:rFonts w:hint="eastAsia"/>
              </w:rPr>
              <w:t>epistemic</w:t>
            </w:r>
            <w:r>
              <w:rPr>
                <w:rFonts w:hint="eastAsia"/>
              </w:rPr>
              <w:t xml:space="preserve"> curiosities,</w:t>
            </w:r>
            <w:r>
              <w:rPr>
                <w:color w:val="000000" w:themeColor="text1"/>
                <w:szCs w:val="21"/>
              </w:rPr>
              <w:fldChar w:fldCharType="begin"/>
            </w:r>
            <w:r w:rsidR="003D6A2E">
              <w:rPr>
                <w:color w:val="000000" w:themeColor="text1"/>
                <w:szCs w:val="21"/>
              </w:rPr>
              <w:instrText xml:space="preserve"> ADDIN ZOTERO_ITEM CSL_CITATION {"citationID":"ybnxg5QG","properties":{"formattedCitation":"\\super 1\\nosupersub{}","plainCitation":"1","noteIndex":0},"citationItems":[{"id":3699,"uris":["http://zotero.org/users/11642813/items/JCSMLJRY"],"itemData":{"id":3699,"type":"article-journal","abstract":"Epistemic emotions, such as curiosity and interest, drive the inquiry process. This study proposes a novel formulation of these emotions using two types of information gain derived from the principle of free energy minimization: Kullback–Leibler divergence (KLD), representing free energy reduction through recognition, and Bayesian surprise (BS), representing free energy reduction via Bayesian updating. Conventional Gaussian models predict an infinite divergence in information gain (KLD and BS) as prediction error increases, which contradicts the known limits of human cognitive resources. The key novelty of this study lies in a simple yet impactful modification: incorporating a uniform distribution into the Gaussian likelihood function to model neural activity under conditions of large prediction error. This modification yields an inverted U-shaped relationship between prediction error and both KLD and BS, producing a finite peak in information gain that better reflects cognitive realism. Based on this convexity, we propose that alternating the maximization of BS and KLD generates an ideal inquiry cycle that fluctuates around an optimal arousal level, with curiosity and interest driving this process. We further analyze how prediction uncertainty (prior variance) and observation uncertainty (likelihood variance) affect the peak of information gain. The results suggest that greater prediction uncertainty (reflecting open-mindedness) and lower observation uncertainty (indicating focused observation) promote higher information gains through broader exploration. This mathematical framework integrates the brain's free energy principle with arousal potential theory, providing a unified explanation of the Wundt curve as an information gain function and proposing an ideal inquiry process driven by epistemic emotions.","container-title":"Frontiers in Psychology","DOI":"10.3389/fpsyg.2025.1438080","ISSN":"1664-1078","journalAbbreviation":"Front. Psychol.","language":"English","publisher":"Frontiers","source":"Frontiers","title":"Modeling the arousal potential of epistemic emotions using Bayesian information gain: a framework for inquiry cycles driven by free energy fluctuations","title-short":"Modeling the arousal potential of epistemic emotions using Bayesian information gain","URL":"https://www.frontiersin.org/journals/psychology/articles/10.3389/fpsyg.2025.1438080/full","volume":"16","author":[{"family":"Yanagisawa","given":"Hideyoshi"},{"family":"Honda","given":"Shimon"}],"accessed":{"date-parts":[["2025",5,21]]},"issued":{"date-parts":[["2025",5,13]]}}}],"schema":"https://github.com/citation-style-language/schema/raw/master/csl-citation.json"} </w:instrText>
            </w:r>
            <w:r>
              <w:rPr>
                <w:color w:val="000000" w:themeColor="text1"/>
                <w:szCs w:val="21"/>
              </w:rPr>
              <w:fldChar w:fldCharType="separate"/>
            </w:r>
            <w:r w:rsidRPr="00717C77">
              <w:rPr>
                <w:rFonts w:cs="Times New Roman"/>
                <w:kern w:val="0"/>
                <w:vertAlign w:val="superscript"/>
              </w:rPr>
              <w:t>1</w:t>
            </w:r>
            <w:r>
              <w:rPr>
                <w:color w:val="000000" w:themeColor="text1"/>
                <w:szCs w:val="21"/>
              </w:rPr>
              <w:fldChar w:fldCharType="end"/>
            </w:r>
            <w:r>
              <w:rPr>
                <w:rFonts w:hint="eastAsia"/>
              </w:rPr>
              <w:t xml:space="preserve"> </w:t>
            </w:r>
            <w:r w:rsidRPr="000B70BA">
              <w:t xml:space="preserve">but </w:t>
            </w:r>
            <w:r>
              <w:rPr>
                <w:rFonts w:hint="eastAsia"/>
              </w:rPr>
              <w:t>i</w:t>
            </w:r>
            <w:r w:rsidRPr="006E59DD">
              <w:t>t can also lead to a lower tolerance for ambiguity</w:t>
            </w:r>
            <w:r>
              <w:rPr>
                <w:rFonts w:hint="eastAsia"/>
              </w:rPr>
              <w:t xml:space="preserve"> and may cause</w:t>
            </w:r>
            <w:r w:rsidRPr="006E59DD">
              <w:t xml:space="preserve"> confusion</w:t>
            </w:r>
            <w:r>
              <w:rPr>
                <w:rFonts w:hint="eastAsia"/>
              </w:rPr>
              <w:t xml:space="preserve">, </w:t>
            </w:r>
            <w:r w:rsidRPr="006E59DD">
              <w:t>when faced with a large prediction error.</w:t>
            </w:r>
          </w:p>
        </w:tc>
      </w:tr>
      <w:tr w:rsidR="00CF197C" w14:paraId="1B5981B2" w14:textId="77777777" w:rsidTr="002E3617">
        <w:tc>
          <w:tcPr>
            <w:tcW w:w="2547" w:type="dxa"/>
          </w:tcPr>
          <w:p w14:paraId="3296B54F" w14:textId="77777777" w:rsidR="00CF197C" w:rsidRDefault="00CF197C" w:rsidP="002E3617">
            <w:pPr>
              <w:jc w:val="center"/>
            </w:pPr>
            <w:r w:rsidRPr="000B70BA">
              <w:t xml:space="preserve">Posterior </w:t>
            </w:r>
            <w:r>
              <w:rPr>
                <w:rFonts w:hint="eastAsia"/>
              </w:rPr>
              <w:t>d</w:t>
            </w:r>
            <w:r w:rsidRPr="000B70BA">
              <w:t>istribution</w:t>
            </w:r>
          </w:p>
          <w:p w14:paraId="5AB676DB" w14:textId="77777777" w:rsidR="00CF197C" w:rsidRDefault="00CF197C" w:rsidP="002E3617">
            <w:pPr>
              <w:jc w:val="center"/>
            </w:pPr>
            <m:oMathPara>
              <m:oMath>
                <m:r>
                  <w:rPr>
                    <w:rStyle w:val="ac"/>
                    <w:rFonts w:ascii="Cambria Math" w:hAnsi="Cambria Math"/>
                    <w:color w:val="000000" w:themeColor="text1"/>
                  </w:rPr>
                  <m:t>q</m:t>
                </m:r>
                <m:d>
                  <m:dPr>
                    <m:ctrlPr>
                      <w:rPr>
                        <w:rStyle w:val="ac"/>
                        <w:rFonts w:ascii="Cambria Math" w:hAnsi="Cambria Math"/>
                        <w:i/>
                        <w:color w:val="000000" w:themeColor="text1"/>
                      </w:rPr>
                    </m:ctrlPr>
                  </m:dPr>
                  <m:e>
                    <m:r>
                      <w:rPr>
                        <w:rStyle w:val="ac"/>
                        <w:rFonts w:ascii="Cambria Math" w:hAnsi="Cambria Math"/>
                        <w:color w:val="000000" w:themeColor="text1"/>
                      </w:rPr>
                      <m:t>s</m:t>
                    </m:r>
                  </m:e>
                </m:d>
                <m:r>
                  <m:rPr>
                    <m:sty m:val="p"/>
                  </m:rPr>
                  <w:rPr>
                    <w:rFonts w:ascii="Cambria Math" w:hAnsi="Cambria Math"/>
                  </w:rPr>
                  <m:t>≈</m:t>
                </m:r>
                <m:r>
                  <w:rPr>
                    <w:rFonts w:ascii="Cambria Math" w:hAnsi="Cambria Math"/>
                  </w:rPr>
                  <m:t>p</m:t>
                </m:r>
                <m:d>
                  <m:dPr>
                    <m:ctrlPr>
                      <w:rPr>
                        <w:rFonts w:ascii="Cambria Math" w:hAnsi="Cambria Math"/>
                        <w:i/>
                      </w:rPr>
                    </m:ctrlPr>
                  </m:dPr>
                  <m:e>
                    <m:r>
                      <w:rPr>
                        <w:rFonts w:ascii="Cambria Math" w:hAnsi="Cambria Math"/>
                      </w:rPr>
                      <m:t>s</m:t>
                    </m:r>
                  </m:e>
                  <m:e>
                    <m:r>
                      <w:rPr>
                        <w:rFonts w:ascii="Cambria Math" w:hAnsi="Cambria Math"/>
                      </w:rPr>
                      <m:t>o</m:t>
                    </m:r>
                  </m:e>
                </m:d>
              </m:oMath>
            </m:oMathPara>
          </w:p>
        </w:tc>
        <w:tc>
          <w:tcPr>
            <w:tcW w:w="3594" w:type="dxa"/>
          </w:tcPr>
          <w:p w14:paraId="24FAA3A0" w14:textId="77777777" w:rsidR="00CF197C" w:rsidRDefault="00CF197C" w:rsidP="002E3617">
            <w:r w:rsidRPr="000B70BA">
              <w:t xml:space="preserve">The belief about hidden states </w:t>
            </w:r>
            <m:oMath>
              <m:r>
                <w:rPr>
                  <w:rFonts w:ascii="Cambria Math" w:hAnsi="Cambria Math"/>
                </w:rPr>
                <m:t>s</m:t>
              </m:r>
            </m:oMath>
            <w:r w:rsidRPr="000B70BA">
              <w:t xml:space="preserve"> after observing </w:t>
            </w:r>
            <m:oMath>
              <m:r>
                <w:rPr>
                  <w:rFonts w:ascii="Cambria Math" w:hAnsi="Cambria Math"/>
                </w:rPr>
                <m:t>o</m:t>
              </m:r>
            </m:oMath>
            <w:r w:rsidRPr="000B70BA">
              <w:t xml:space="preserve">. Derived via Bayes’ rule: </w:t>
            </w:r>
            <m:oMath>
              <m:r>
                <w:rPr>
                  <w:rFonts w:ascii="Cambria Math" w:hAnsi="Cambria Math"/>
                </w:rPr>
                <m:t>p</m:t>
              </m:r>
              <m:d>
                <m:dPr>
                  <m:ctrlPr>
                    <w:rPr>
                      <w:rFonts w:ascii="Cambria Math" w:hAnsi="Cambria Math"/>
                      <w:i/>
                    </w:rPr>
                  </m:ctrlPr>
                </m:dPr>
                <m:e>
                  <m:r>
                    <w:rPr>
                      <w:rFonts w:ascii="Cambria Math" w:hAnsi="Cambria Math"/>
                    </w:rPr>
                    <m:t>s</m:t>
                  </m:r>
                </m:e>
                <m:e>
                  <m:r>
                    <w:rPr>
                      <w:rFonts w:ascii="Cambria Math" w:hAnsi="Cambria Math"/>
                    </w:rPr>
                    <m:t>o</m:t>
                  </m:r>
                </m:e>
              </m:d>
              <m:r>
                <w:rPr>
                  <w:rFonts w:ascii="Cambria Math" w:hAnsi="Cambria Math"/>
                </w:rPr>
                <m:t>∝p</m:t>
              </m:r>
              <m:d>
                <m:dPr>
                  <m:ctrlPr>
                    <w:rPr>
                      <w:rFonts w:ascii="Cambria Math" w:hAnsi="Cambria Math"/>
                      <w:i/>
                    </w:rPr>
                  </m:ctrlPr>
                </m:dPr>
                <m:e>
                  <m:r>
                    <w:rPr>
                      <w:rFonts w:ascii="Cambria Math" w:hAnsi="Cambria Math"/>
                    </w:rPr>
                    <m:t>o</m:t>
                  </m:r>
                </m:e>
                <m:e>
                  <m:r>
                    <w:rPr>
                      <w:rFonts w:ascii="Cambria Math" w:hAnsi="Cambria Math"/>
                    </w:rPr>
                    <m:t>s</m:t>
                  </m:r>
                </m:e>
              </m:d>
              <m:r>
                <w:rPr>
                  <w:rFonts w:ascii="Cambria Math" w:hAnsi="Cambria Math"/>
                </w:rPr>
                <m:t>p(s)</m:t>
              </m:r>
            </m:oMath>
            <w:r>
              <w:rPr>
                <w:rFonts w:hint="eastAsia"/>
              </w:rPr>
              <w:t>. T</w:t>
            </w:r>
            <w:r w:rsidRPr="000B70BA">
              <w:t>he recognition</w:t>
            </w:r>
            <w:r>
              <w:rPr>
                <w:rFonts w:hint="eastAsia"/>
              </w:rPr>
              <w:t xml:space="preserve"> </w:t>
            </w:r>
            <w:r w:rsidRPr="000B70BA">
              <w:t xml:space="preserve">distribution </w:t>
            </w:r>
            <m:oMath>
              <m:r>
                <w:rPr>
                  <w:rStyle w:val="ac"/>
                  <w:rFonts w:ascii="Cambria Math" w:hAnsi="Cambria Math"/>
                  <w:color w:val="000000" w:themeColor="text1"/>
                </w:rPr>
                <m:t>q</m:t>
              </m:r>
              <m:d>
                <m:dPr>
                  <m:ctrlPr>
                    <w:rPr>
                      <w:rStyle w:val="ac"/>
                      <w:rFonts w:ascii="Cambria Math" w:hAnsi="Cambria Math"/>
                      <w:i/>
                      <w:color w:val="000000" w:themeColor="text1"/>
                    </w:rPr>
                  </m:ctrlPr>
                </m:dPr>
                <m:e>
                  <m:r>
                    <w:rPr>
                      <w:rStyle w:val="ac"/>
                      <w:rFonts w:ascii="Cambria Math" w:hAnsi="Cambria Math"/>
                      <w:color w:val="000000" w:themeColor="text1"/>
                    </w:rPr>
                    <m:t>s</m:t>
                  </m:r>
                </m:e>
              </m:d>
            </m:oMath>
            <w:r w:rsidRPr="000B70BA">
              <w:t>approximates this posterior to minimi</w:t>
            </w:r>
            <w:r>
              <w:rPr>
                <w:rFonts w:hint="eastAsia"/>
              </w:rPr>
              <w:t>s</w:t>
            </w:r>
            <w:r w:rsidRPr="000B70BA">
              <w:t>e free energy.</w:t>
            </w:r>
          </w:p>
        </w:tc>
        <w:tc>
          <w:tcPr>
            <w:tcW w:w="3595" w:type="dxa"/>
          </w:tcPr>
          <w:p w14:paraId="3E63F277" w14:textId="59EA2719" w:rsidR="00CF197C" w:rsidRDefault="00CF197C" w:rsidP="002E3617">
            <w:r w:rsidRPr="000B70BA">
              <w:t>Reflects the updated belief after incorporating new information.</w:t>
            </w:r>
            <w:r>
              <w:rPr>
                <w:rFonts w:hint="eastAsia"/>
              </w:rPr>
              <w:t xml:space="preserve"> </w:t>
            </w:r>
            <w:r w:rsidRPr="000B70BA">
              <w:t>The difference between</w:t>
            </w:r>
            <w:r>
              <w:rPr>
                <w:rFonts w:hint="eastAsia"/>
              </w:rPr>
              <w:t xml:space="preserve"> </w:t>
            </w:r>
            <m:oMath>
              <m:r>
                <w:rPr>
                  <w:rStyle w:val="ac"/>
                  <w:rFonts w:ascii="Cambria Math" w:hAnsi="Cambria Math"/>
                  <w:color w:val="000000" w:themeColor="text1"/>
                </w:rPr>
                <m:t>q</m:t>
              </m:r>
              <m:d>
                <m:dPr>
                  <m:ctrlPr>
                    <w:rPr>
                      <w:rStyle w:val="ac"/>
                      <w:rFonts w:ascii="Cambria Math" w:hAnsi="Cambria Math"/>
                      <w:i/>
                      <w:color w:val="000000" w:themeColor="text1"/>
                    </w:rPr>
                  </m:ctrlPr>
                </m:dPr>
                <m:e>
                  <m:r>
                    <w:rPr>
                      <w:rStyle w:val="ac"/>
                      <w:rFonts w:ascii="Cambria Math" w:hAnsi="Cambria Math"/>
                      <w:color w:val="000000" w:themeColor="text1"/>
                    </w:rPr>
                    <m:t>s</m:t>
                  </m:r>
                </m:e>
              </m:d>
            </m:oMath>
            <w:r w:rsidRPr="000B70BA">
              <w:t xml:space="preserve"> and</w:t>
            </w:r>
            <w:r>
              <w:rPr>
                <w:rFonts w:ascii="Cambria Math" w:hAnsi="Cambria Math"/>
                <w:i/>
              </w:rPr>
              <w:t xml:space="preserve"> </w:t>
            </w:r>
            <m:oMath>
              <m:r>
                <w:rPr>
                  <w:rFonts w:ascii="Cambria Math" w:hAnsi="Cambria Math"/>
                </w:rPr>
                <m:t>p</m:t>
              </m:r>
              <m:d>
                <m:dPr>
                  <m:ctrlPr>
                    <w:rPr>
                      <w:rFonts w:ascii="Cambria Math" w:hAnsi="Cambria Math"/>
                      <w:i/>
                    </w:rPr>
                  </m:ctrlPr>
                </m:dPr>
                <m:e>
                  <m:r>
                    <w:rPr>
                      <w:rFonts w:ascii="Cambria Math" w:hAnsi="Cambria Math"/>
                    </w:rPr>
                    <m:t>s</m:t>
                  </m:r>
                </m:e>
                <m:e>
                  <m:r>
                    <w:rPr>
                      <w:rFonts w:ascii="Cambria Math" w:hAnsi="Cambria Math"/>
                    </w:rPr>
                    <m:t>o</m:t>
                  </m:r>
                </m:e>
              </m:d>
            </m:oMath>
            <w:r w:rsidRPr="000B70BA">
              <w:t xml:space="preserve"> measures how well the agent</w:t>
            </w:r>
            <w:r w:rsidRPr="000B70BA">
              <w:rPr>
                <w:rFonts w:cs="Times New Roman"/>
              </w:rPr>
              <w:t>’</w:t>
            </w:r>
            <w:r w:rsidRPr="000B70BA">
              <w:t>s recognition has converged.</w:t>
            </w:r>
            <w:r>
              <w:rPr>
                <w:rFonts w:hint="eastAsia"/>
              </w:rPr>
              <w:t xml:space="preserve"> </w:t>
            </w:r>
            <w:r w:rsidRPr="000B70BA">
              <w:t xml:space="preserve">Comparing the posterior to the prior indicates how much learning or belief updating </w:t>
            </w:r>
            <w:r w:rsidR="00945E85">
              <w:rPr>
                <w:rFonts w:hint="eastAsia"/>
              </w:rPr>
              <w:t xml:space="preserve">will </w:t>
            </w:r>
            <w:r w:rsidRPr="000B70BA">
              <w:t xml:space="preserve">occur (Bayesian Surprise, </w:t>
            </w:r>
            <m:oMath>
              <m:r>
                <w:rPr>
                  <w:rFonts w:ascii="Cambria Math" w:hAnsi="Cambria Math"/>
                  <w:color w:val="000000" w:themeColor="text1"/>
                </w:rPr>
                <m:t>BS</m:t>
              </m:r>
            </m:oMath>
            <w:r w:rsidRPr="000B70BA">
              <w:t xml:space="preserve">). </w:t>
            </w:r>
          </w:p>
        </w:tc>
      </w:tr>
      <w:tr w:rsidR="00CF197C" w14:paraId="5B5257DC" w14:textId="77777777" w:rsidTr="002E3617">
        <w:tc>
          <w:tcPr>
            <w:tcW w:w="2547" w:type="dxa"/>
          </w:tcPr>
          <w:p w14:paraId="53D1418F" w14:textId="77777777" w:rsidR="00CF197C" w:rsidRDefault="00CF197C" w:rsidP="002E3617">
            <w:pPr>
              <w:jc w:val="center"/>
            </w:pPr>
            <w:r>
              <w:t xml:space="preserve">Precision of the </w:t>
            </w:r>
            <w:r>
              <w:rPr>
                <w:rFonts w:hint="eastAsia"/>
              </w:rPr>
              <w:t>p</w:t>
            </w:r>
            <w:r>
              <w:t>rior</w:t>
            </w:r>
          </w:p>
          <w:p w14:paraId="1DCCF81F" w14:textId="77777777" w:rsidR="00CF197C" w:rsidRDefault="00000000" w:rsidP="002E3617">
            <w:pPr>
              <w:jc w:val="center"/>
            </w:pPr>
            <m:oMathPara>
              <m:oMath>
                <m:sSub>
                  <m:sSubPr>
                    <m:ctrlPr>
                      <w:rPr>
                        <w:rFonts w:ascii="Cambria Math" w:hAnsi="Cambria Math"/>
                        <w:i/>
                      </w:rPr>
                    </m:ctrlPr>
                  </m:sSubPr>
                  <m:e>
                    <m:r>
                      <w:rPr>
                        <w:rFonts w:ascii="Cambria Math" w:hAnsi="Cambria Math"/>
                      </w:rPr>
                      <m:t>1/s</m:t>
                    </m:r>
                  </m:e>
                  <m:sub>
                    <m:r>
                      <w:rPr>
                        <w:rFonts w:ascii="Cambria Math" w:hAnsi="Cambria Math"/>
                      </w:rPr>
                      <m:t>p</m:t>
                    </m:r>
                  </m:sub>
                </m:sSub>
              </m:oMath>
            </m:oMathPara>
          </w:p>
        </w:tc>
        <w:tc>
          <w:tcPr>
            <w:tcW w:w="3594" w:type="dxa"/>
          </w:tcPr>
          <w:p w14:paraId="5B5789B0" w14:textId="77777777" w:rsidR="00CF197C" w:rsidRDefault="00CF197C" w:rsidP="002E3617">
            <w:r w:rsidRPr="000B70BA">
              <w:t>Indicates how “sharp” or “narrow” the prior distributio</w:t>
            </w:r>
            <w:r>
              <w:rPr>
                <w:rFonts w:hint="eastAsia"/>
              </w:rPr>
              <w:t xml:space="preserve">n </w:t>
            </w:r>
            <m:oMath>
              <m:r>
                <w:rPr>
                  <w:rFonts w:ascii="Cambria Math" w:hAnsi="Cambria Math"/>
                </w:rPr>
                <m:t>p(s)</m:t>
              </m:r>
            </m:oMath>
            <w:r w:rsidRPr="000B70BA">
              <w:t xml:space="preserve"> is. Lower precision (larger variance) means higher prior uncertainty; </w:t>
            </w:r>
            <w:r>
              <w:rPr>
                <w:rFonts w:hint="eastAsia"/>
              </w:rPr>
              <w:t xml:space="preserve">observations </w:t>
            </w:r>
            <w:r w:rsidRPr="000B70BA">
              <w:t>can induce large belief updates</w:t>
            </w:r>
            <w:r>
              <w:rPr>
                <w:rFonts w:hint="eastAsia"/>
              </w:rPr>
              <w:t xml:space="preserve"> or </w:t>
            </w:r>
            <w:r w:rsidRPr="000B70BA">
              <w:t>Bayesian Surprise (</w:t>
            </w:r>
            <m:oMath>
              <m:r>
                <w:rPr>
                  <w:rFonts w:ascii="Cambria Math" w:hAnsi="Cambria Math"/>
                  <w:color w:val="000000" w:themeColor="text1"/>
                </w:rPr>
                <m:t>BS</m:t>
              </m:r>
            </m:oMath>
            <w:r w:rsidRPr="000B70BA">
              <w:t>).</w:t>
            </w:r>
          </w:p>
        </w:tc>
        <w:tc>
          <w:tcPr>
            <w:tcW w:w="3595" w:type="dxa"/>
          </w:tcPr>
          <w:p w14:paraId="484A0944" w14:textId="77777777" w:rsidR="00CF197C" w:rsidRDefault="00CF197C" w:rsidP="002E3617">
            <w:r w:rsidRPr="00172210">
              <w:t>Govern the strength of prior beliefs</w:t>
            </w:r>
            <w:r>
              <w:rPr>
                <w:rFonts w:hint="eastAsia"/>
              </w:rPr>
              <w:t xml:space="preserve">. </w:t>
            </w:r>
            <w:r w:rsidRPr="000B70BA">
              <w:t>Low prior precision (“broad prior”) corresponds to being more receptive to novel evidence (open-minded).</w:t>
            </w:r>
            <w:r>
              <w:rPr>
                <w:rFonts w:hint="eastAsia"/>
              </w:rPr>
              <w:t xml:space="preserve"> </w:t>
            </w:r>
            <w:r w:rsidRPr="000B70BA">
              <w:t>High prior precision (“narrow prior”) implies strong initial beliefs, which reduces flexibility</w:t>
            </w:r>
            <w:r>
              <w:rPr>
                <w:rFonts w:hint="eastAsia"/>
              </w:rPr>
              <w:t>.</w:t>
            </w:r>
          </w:p>
        </w:tc>
      </w:tr>
      <w:tr w:rsidR="00CF197C" w14:paraId="1C83EB7E" w14:textId="77777777" w:rsidTr="002E3617">
        <w:tc>
          <w:tcPr>
            <w:tcW w:w="2547" w:type="dxa"/>
          </w:tcPr>
          <w:p w14:paraId="01016AD1" w14:textId="77777777" w:rsidR="00CF197C" w:rsidRDefault="00CF197C" w:rsidP="002E3617">
            <w:pPr>
              <w:jc w:val="center"/>
            </w:pPr>
            <w:r>
              <w:t xml:space="preserve">Precision of the </w:t>
            </w:r>
            <w:r>
              <w:rPr>
                <w:rFonts w:hint="eastAsia"/>
              </w:rPr>
              <w:t>l</w:t>
            </w:r>
            <w:r>
              <w:t>ikelihood</w:t>
            </w:r>
          </w:p>
          <w:p w14:paraId="2E6B89E0" w14:textId="77777777" w:rsidR="00CF197C" w:rsidRDefault="00000000" w:rsidP="002E3617">
            <w:pPr>
              <w:jc w:val="center"/>
            </w:pPr>
            <m:oMathPara>
              <m:oMath>
                <m:sSub>
                  <m:sSubPr>
                    <m:ctrlPr>
                      <w:rPr>
                        <w:rFonts w:ascii="Cambria Math" w:hAnsi="Cambria Math"/>
                        <w:i/>
                      </w:rPr>
                    </m:ctrlPr>
                  </m:sSubPr>
                  <m:e>
                    <m:r>
                      <w:rPr>
                        <w:rFonts w:ascii="Cambria Math" w:hAnsi="Cambria Math"/>
                      </w:rPr>
                      <m:t>1/s</m:t>
                    </m:r>
                  </m:e>
                  <m:sub>
                    <m:r>
                      <w:rPr>
                        <w:rFonts w:ascii="Cambria Math" w:hAnsi="Cambria Math"/>
                      </w:rPr>
                      <m:t>l</m:t>
                    </m:r>
                  </m:sub>
                </m:sSub>
              </m:oMath>
            </m:oMathPara>
          </w:p>
        </w:tc>
        <w:tc>
          <w:tcPr>
            <w:tcW w:w="3594" w:type="dxa"/>
          </w:tcPr>
          <w:p w14:paraId="6E9527D2" w14:textId="77777777" w:rsidR="00CF197C" w:rsidRDefault="00CF197C" w:rsidP="002E3617">
            <w:r w:rsidRPr="000B70BA">
              <w:t xml:space="preserve">Indicates how reliable the observation </w:t>
            </w:r>
            <m:oMath>
              <m:r>
                <w:rPr>
                  <w:rFonts w:ascii="Cambria Math" w:hAnsi="Cambria Math"/>
                </w:rPr>
                <m:t>o</m:t>
              </m:r>
            </m:oMath>
            <w:r w:rsidRPr="000B70BA">
              <w:t xml:space="preserve"> is assumed to be, given </w:t>
            </w:r>
            <m:oMath>
              <m:r>
                <w:rPr>
                  <w:rFonts w:ascii="Cambria Math" w:hAnsi="Cambria Math"/>
                </w:rPr>
                <m:t>s</m:t>
              </m:r>
            </m:oMath>
            <w:r>
              <w:rPr>
                <w:rFonts w:hint="eastAsia"/>
              </w:rPr>
              <w:t>.</w:t>
            </w:r>
            <w:r w:rsidRPr="000B70BA">
              <w:t xml:space="preserve"> High </w:t>
            </w:r>
            <w:r w:rsidRPr="000B70BA">
              <w:lastRenderedPageBreak/>
              <w:t>likelihood precision makes prediction error more pronounced and can result in larger free</w:t>
            </w:r>
            <w:r>
              <w:rPr>
                <w:rFonts w:hint="eastAsia"/>
              </w:rPr>
              <w:t xml:space="preserve"> </w:t>
            </w:r>
            <w:r w:rsidRPr="000B70BA">
              <w:t>energy fluctuations.</w:t>
            </w:r>
          </w:p>
        </w:tc>
        <w:tc>
          <w:tcPr>
            <w:tcW w:w="3595" w:type="dxa"/>
          </w:tcPr>
          <w:p w14:paraId="6B2599A3" w14:textId="77777777" w:rsidR="00CF197C" w:rsidRDefault="00CF197C" w:rsidP="002E3617">
            <w:r w:rsidRPr="000B70BA">
              <w:lastRenderedPageBreak/>
              <w:t xml:space="preserve">Governs how sensitively the agent responds to discrepancies between </w:t>
            </w:r>
            <w:r w:rsidRPr="000B70BA">
              <w:lastRenderedPageBreak/>
              <w:t>predictions and observations.</w:t>
            </w:r>
            <w:r>
              <w:rPr>
                <w:rFonts w:hint="eastAsia"/>
              </w:rPr>
              <w:t xml:space="preserve"> </w:t>
            </w:r>
            <w:r w:rsidRPr="000B70BA">
              <w:t xml:space="preserve">Low </w:t>
            </w:r>
            <w:r>
              <w:rPr>
                <w:rFonts w:hint="eastAsia"/>
              </w:rPr>
              <w:t xml:space="preserve">likelihood </w:t>
            </w:r>
            <w:r w:rsidRPr="000B70BA">
              <w:t>precision makes the agent more tolerant of noise, reducing the impact of any single observation.</w:t>
            </w:r>
            <w:r>
              <w:rPr>
                <w:rFonts w:hint="eastAsia"/>
              </w:rPr>
              <w:t xml:space="preserve"> </w:t>
            </w:r>
            <w:r w:rsidRPr="000B70BA">
              <w:t xml:space="preserve">High </w:t>
            </w:r>
            <w:r>
              <w:rPr>
                <w:rFonts w:hint="eastAsia"/>
              </w:rPr>
              <w:t xml:space="preserve">likelihood </w:t>
            </w:r>
            <w:r w:rsidRPr="000B70BA">
              <w:t>precision can lead to greater learning from small errors, but also greater potential for confusion when the unexpected occurs.</w:t>
            </w:r>
            <w:r>
              <w:rPr>
                <w:rFonts w:hint="eastAsia"/>
              </w:rPr>
              <w:t xml:space="preserve"> </w:t>
            </w:r>
          </w:p>
        </w:tc>
      </w:tr>
      <w:tr w:rsidR="00CF197C" w14:paraId="0177A411" w14:textId="77777777" w:rsidTr="002E3617">
        <w:tc>
          <w:tcPr>
            <w:tcW w:w="2547" w:type="dxa"/>
          </w:tcPr>
          <w:p w14:paraId="0BEDFC32" w14:textId="77777777" w:rsidR="00CF197C" w:rsidRDefault="00CF197C" w:rsidP="002E3617">
            <w:pPr>
              <w:jc w:val="center"/>
            </w:pPr>
            <w:r>
              <w:lastRenderedPageBreak/>
              <w:t xml:space="preserve">Free </w:t>
            </w:r>
            <w:r>
              <w:rPr>
                <w:rFonts w:hint="eastAsia"/>
              </w:rPr>
              <w:t>e</w:t>
            </w:r>
            <w:r>
              <w:t>nergy</w:t>
            </w:r>
            <w:r>
              <w:rPr>
                <w:rFonts w:hint="eastAsia"/>
              </w:rPr>
              <w:t>,</w:t>
            </w:r>
            <w:r>
              <w:t xml:space="preserve"> </w:t>
            </w:r>
            <m:oMath>
              <m:r>
                <w:rPr>
                  <w:rFonts w:ascii="Cambria Math" w:hAnsi="Cambria Math"/>
                </w:rPr>
                <m:t>F</m:t>
              </m:r>
            </m:oMath>
            <w:r>
              <w:rPr>
                <w:rFonts w:hint="eastAsia"/>
              </w:rPr>
              <w:t xml:space="preserve"> </w:t>
            </w:r>
          </w:p>
          <w:p w14:paraId="43F0BF37" w14:textId="77777777" w:rsidR="00CF197C" w:rsidRPr="00103B0A" w:rsidRDefault="00000000" w:rsidP="002E3617">
            <w:pPr>
              <w:jc w:val="center"/>
            </w:pPr>
            <m:oMathPara>
              <m:oMath>
                <m:sSub>
                  <m:sSubPr>
                    <m:ctrlPr>
                      <w:rPr>
                        <w:rStyle w:val="ac"/>
                        <w:rFonts w:ascii="Cambria Math" w:hAnsi="Cambria Math"/>
                        <w:i/>
                        <w:color w:val="000000" w:themeColor="text1"/>
                      </w:rPr>
                    </m:ctrlPr>
                  </m:sSubPr>
                  <m:e>
                    <m:d>
                      <m:dPr>
                        <m:begChr m:val="〈"/>
                        <m:endChr m:val="〉"/>
                        <m:ctrlPr>
                          <w:rPr>
                            <w:rStyle w:val="ac"/>
                            <w:rFonts w:ascii="Cambria Math" w:hAnsi="Cambria Math"/>
                            <w:i/>
                            <w:color w:val="000000" w:themeColor="text1"/>
                          </w:rPr>
                        </m:ctrlPr>
                      </m:dPr>
                      <m:e>
                        <m:func>
                          <m:funcPr>
                            <m:ctrlPr>
                              <w:rPr>
                                <w:rStyle w:val="ac"/>
                                <w:rFonts w:ascii="Cambria Math" w:hAnsi="Cambria Math"/>
                                <w:i/>
                                <w:color w:val="000000" w:themeColor="text1"/>
                              </w:rPr>
                            </m:ctrlPr>
                          </m:funcPr>
                          <m:fName>
                            <m:r>
                              <m:rPr>
                                <m:sty m:val="p"/>
                              </m:rPr>
                              <w:rPr>
                                <w:rStyle w:val="ac"/>
                                <w:rFonts w:ascii="Cambria Math" w:hAnsi="Cambria Math"/>
                                <w:color w:val="000000" w:themeColor="text1"/>
                              </w:rPr>
                              <m:t>ln</m:t>
                            </m:r>
                          </m:fName>
                          <m:e>
                            <m:r>
                              <w:rPr>
                                <w:rStyle w:val="ac"/>
                                <w:rFonts w:ascii="Cambria Math" w:hAnsi="Cambria Math"/>
                                <w:color w:val="000000" w:themeColor="text1"/>
                              </w:rPr>
                              <m:t>q</m:t>
                            </m:r>
                            <m:d>
                              <m:dPr>
                                <m:ctrlPr>
                                  <w:rPr>
                                    <w:rStyle w:val="ac"/>
                                    <w:rFonts w:ascii="Cambria Math" w:hAnsi="Cambria Math"/>
                                    <w:i/>
                                    <w:color w:val="000000" w:themeColor="text1"/>
                                  </w:rPr>
                                </m:ctrlPr>
                              </m:dPr>
                              <m:e>
                                <m:r>
                                  <w:rPr>
                                    <w:rStyle w:val="ac"/>
                                    <w:rFonts w:ascii="Cambria Math" w:hAnsi="Cambria Math"/>
                                    <w:color w:val="000000" w:themeColor="text1"/>
                                  </w:rPr>
                                  <m:t>s</m:t>
                                </m:r>
                              </m:e>
                            </m:d>
                          </m:e>
                        </m:func>
                        <m:r>
                          <w:rPr>
                            <w:rStyle w:val="ac"/>
                            <w:rFonts w:ascii="Cambria Math" w:hAnsi="Cambria Math"/>
                            <w:color w:val="000000" w:themeColor="text1"/>
                          </w:rPr>
                          <m:t>-</m:t>
                        </m:r>
                        <m:func>
                          <m:funcPr>
                            <m:ctrlPr>
                              <w:rPr>
                                <w:rStyle w:val="ac"/>
                                <w:rFonts w:ascii="Cambria Math" w:hAnsi="Cambria Math"/>
                                <w:i/>
                                <w:color w:val="000000" w:themeColor="text1"/>
                              </w:rPr>
                            </m:ctrlPr>
                          </m:funcPr>
                          <m:fName>
                            <m:r>
                              <m:rPr>
                                <m:sty m:val="p"/>
                              </m:rPr>
                              <w:rPr>
                                <w:rStyle w:val="ac"/>
                                <w:rFonts w:ascii="Cambria Math" w:hAnsi="Cambria Math"/>
                                <w:color w:val="000000" w:themeColor="text1"/>
                              </w:rPr>
                              <m:t>ln</m:t>
                            </m:r>
                          </m:fName>
                          <m:e>
                            <m:r>
                              <w:rPr>
                                <w:rStyle w:val="ac"/>
                                <w:rFonts w:ascii="Cambria Math" w:hAnsi="Cambria Math"/>
                                <w:color w:val="000000" w:themeColor="text1"/>
                              </w:rPr>
                              <m:t>p</m:t>
                            </m:r>
                            <m:d>
                              <m:dPr>
                                <m:ctrlPr>
                                  <w:rPr>
                                    <w:rStyle w:val="ac"/>
                                    <w:rFonts w:ascii="Cambria Math" w:hAnsi="Cambria Math"/>
                                    <w:i/>
                                    <w:color w:val="000000" w:themeColor="text1"/>
                                  </w:rPr>
                                </m:ctrlPr>
                              </m:dPr>
                              <m:e>
                                <m:r>
                                  <w:rPr>
                                    <w:rStyle w:val="ac"/>
                                    <w:rFonts w:ascii="Cambria Math" w:hAnsi="Cambria Math"/>
                                    <w:color w:val="000000" w:themeColor="text1"/>
                                  </w:rPr>
                                  <m:t>s,o</m:t>
                                </m:r>
                              </m:e>
                            </m:d>
                          </m:e>
                        </m:func>
                      </m:e>
                    </m:d>
                  </m:e>
                  <m:sub>
                    <m:r>
                      <w:rPr>
                        <w:rStyle w:val="ac"/>
                        <w:rFonts w:ascii="Cambria Math" w:hAnsi="Cambria Math"/>
                        <w:color w:val="000000" w:themeColor="text1"/>
                      </w:rPr>
                      <m:t>q</m:t>
                    </m:r>
                    <m:d>
                      <m:dPr>
                        <m:ctrlPr>
                          <w:rPr>
                            <w:rStyle w:val="ac"/>
                            <w:rFonts w:ascii="Cambria Math" w:hAnsi="Cambria Math"/>
                            <w:i/>
                            <w:color w:val="000000" w:themeColor="text1"/>
                          </w:rPr>
                        </m:ctrlPr>
                      </m:dPr>
                      <m:e>
                        <m:r>
                          <w:rPr>
                            <w:rStyle w:val="ac"/>
                            <w:rFonts w:ascii="Cambria Math" w:hAnsi="Cambria Math"/>
                            <w:color w:val="000000" w:themeColor="text1"/>
                          </w:rPr>
                          <m:t>s</m:t>
                        </m:r>
                      </m:e>
                    </m:d>
                  </m:sub>
                </m:sSub>
              </m:oMath>
            </m:oMathPara>
          </w:p>
        </w:tc>
        <w:tc>
          <w:tcPr>
            <w:tcW w:w="3594" w:type="dxa"/>
          </w:tcPr>
          <w:p w14:paraId="05E46B8A" w14:textId="77777777" w:rsidR="00CF197C" w:rsidRPr="000B70BA" w:rsidRDefault="00CF197C" w:rsidP="002E3617">
            <w:r w:rsidRPr="000B70BA">
              <w:t xml:space="preserve">An information-theoretic cost measuring the discrepancy between the generative model </w:t>
            </w:r>
            <m:oMath>
              <m:r>
                <w:rPr>
                  <w:rStyle w:val="ac"/>
                  <w:rFonts w:ascii="Cambria Math" w:hAnsi="Cambria Math"/>
                  <w:color w:val="000000" w:themeColor="text1"/>
                </w:rPr>
                <m:t>p</m:t>
              </m:r>
              <m:d>
                <m:dPr>
                  <m:ctrlPr>
                    <w:rPr>
                      <w:rStyle w:val="ac"/>
                      <w:rFonts w:ascii="Cambria Math" w:hAnsi="Cambria Math"/>
                      <w:i/>
                      <w:color w:val="000000" w:themeColor="text1"/>
                    </w:rPr>
                  </m:ctrlPr>
                </m:dPr>
                <m:e>
                  <m:r>
                    <w:rPr>
                      <w:rStyle w:val="ac"/>
                      <w:rFonts w:ascii="Cambria Math" w:hAnsi="Cambria Math"/>
                      <w:color w:val="000000" w:themeColor="text1"/>
                    </w:rPr>
                    <m:t>s,o</m:t>
                  </m:r>
                </m:e>
              </m:d>
            </m:oMath>
            <w:r w:rsidRPr="000B70BA">
              <w:t xml:space="preserve"> and the recognition distribution</w:t>
            </w:r>
            <w:r>
              <w:rPr>
                <w:rFonts w:ascii="Cambria Math" w:hAnsi="Cambria Math"/>
                <w:i/>
                <w:color w:val="000000" w:themeColor="text1"/>
              </w:rPr>
              <w:t xml:space="preserve"> </w:t>
            </w:r>
            <m:oMath>
              <m:r>
                <w:rPr>
                  <w:rStyle w:val="ac"/>
                  <w:rFonts w:ascii="Cambria Math" w:hAnsi="Cambria Math"/>
                  <w:color w:val="000000" w:themeColor="text1"/>
                </w:rPr>
                <m:t>q</m:t>
              </m:r>
              <m:d>
                <m:dPr>
                  <m:ctrlPr>
                    <w:rPr>
                      <w:rStyle w:val="ac"/>
                      <w:rFonts w:ascii="Cambria Math" w:hAnsi="Cambria Math"/>
                      <w:i/>
                      <w:color w:val="000000" w:themeColor="text1"/>
                    </w:rPr>
                  </m:ctrlPr>
                </m:dPr>
                <m:e>
                  <m:r>
                    <w:rPr>
                      <w:rStyle w:val="ac"/>
                      <w:rFonts w:ascii="Cambria Math" w:hAnsi="Cambria Math"/>
                      <w:color w:val="000000" w:themeColor="text1"/>
                    </w:rPr>
                    <m:t>s</m:t>
                  </m:r>
                </m:e>
              </m:d>
            </m:oMath>
            <w:r>
              <w:rPr>
                <w:rFonts w:hint="eastAsia"/>
              </w:rPr>
              <w:t>.</w:t>
            </w:r>
            <w:r w:rsidRPr="000B70BA">
              <w:t xml:space="preserve"> The Free Energy Principle states that the brain (or any self-organi</w:t>
            </w:r>
            <w:r>
              <w:rPr>
                <w:rFonts w:hint="eastAsia"/>
              </w:rPr>
              <w:t>s</w:t>
            </w:r>
            <w:r w:rsidRPr="000B70BA">
              <w:t xml:space="preserve">ing system) </w:t>
            </w:r>
            <w:r>
              <w:t>attempts</w:t>
            </w:r>
            <w:r w:rsidRPr="000B70BA">
              <w:t xml:space="preserve"> to minimi</w:t>
            </w:r>
            <w:r>
              <w:rPr>
                <w:rFonts w:hint="eastAsia"/>
              </w:rPr>
              <w:t>s</w:t>
            </w:r>
            <w:r w:rsidRPr="000B70BA">
              <w:t xml:space="preserve">e </w:t>
            </w:r>
            <m:oMath>
              <m:r>
                <w:rPr>
                  <w:rFonts w:ascii="Cambria Math" w:hAnsi="Cambria Math"/>
                </w:rPr>
                <m:t>F</m:t>
              </m:r>
            </m:oMath>
            <w:r w:rsidRPr="000B70BA">
              <w:t>.</w:t>
            </w:r>
          </w:p>
        </w:tc>
        <w:tc>
          <w:tcPr>
            <w:tcW w:w="3595" w:type="dxa"/>
          </w:tcPr>
          <w:p w14:paraId="26FE3658" w14:textId="77777777" w:rsidR="00CF197C" w:rsidRPr="000B70BA" w:rsidRDefault="00CF197C" w:rsidP="002E3617">
            <w:r w:rsidRPr="000B70BA">
              <w:t>Serves as a unifying objective function that the agent seeks to minimi</w:t>
            </w:r>
            <w:r>
              <w:rPr>
                <w:rFonts w:hint="eastAsia"/>
              </w:rPr>
              <w:t>s</w:t>
            </w:r>
            <w:r w:rsidRPr="000B70BA">
              <w:t>e.</w:t>
            </w:r>
            <w:r>
              <w:rPr>
                <w:rFonts w:hint="eastAsia"/>
              </w:rPr>
              <w:t xml:space="preserve"> This free energy minimisation </w:t>
            </w:r>
            <w:r w:rsidRPr="00874117">
              <w:t>underlies learning, inference, decision-making, and curiosity, providing a unifying framework for these cognitive functions.</w:t>
            </w:r>
          </w:p>
        </w:tc>
      </w:tr>
      <w:tr w:rsidR="00CF197C" w14:paraId="7A2C8B96" w14:textId="77777777" w:rsidTr="002E3617">
        <w:tc>
          <w:tcPr>
            <w:tcW w:w="2547" w:type="dxa"/>
          </w:tcPr>
          <w:p w14:paraId="65DDC856" w14:textId="77777777" w:rsidR="00CF197C" w:rsidRPr="00A4400F" w:rsidRDefault="00CF197C" w:rsidP="002E3617">
            <w:pPr>
              <w:jc w:val="center"/>
              <w:rPr>
                <w:color w:val="000000" w:themeColor="text1"/>
                <w:szCs w:val="21"/>
              </w:rPr>
            </w:pPr>
            <w:r w:rsidRPr="000B70BA">
              <w:t xml:space="preserve">Shannon </w:t>
            </w:r>
            <w:r>
              <w:rPr>
                <w:rFonts w:hint="eastAsia"/>
              </w:rPr>
              <w:t>s</w:t>
            </w:r>
            <w:r w:rsidRPr="000B70BA">
              <w:t>urprise</w:t>
            </w:r>
            <w:r>
              <w:rPr>
                <w:rFonts w:hint="eastAsia"/>
              </w:rPr>
              <w:t xml:space="preserve">, </w:t>
            </w:r>
            <m:oMath>
              <m:r>
                <w:rPr>
                  <w:rFonts w:ascii="Cambria Math" w:hAnsi="Cambria Math"/>
                  <w:color w:val="000000" w:themeColor="text1"/>
                  <w:szCs w:val="21"/>
                </w:rPr>
                <m:t>S</m:t>
              </m:r>
            </m:oMath>
          </w:p>
          <w:p w14:paraId="085B72DF" w14:textId="77777777" w:rsidR="00CF197C" w:rsidRPr="00103B0A" w:rsidRDefault="00000000" w:rsidP="002E3617">
            <w:pPr>
              <w:jc w:val="center"/>
            </w:pPr>
            <m:oMathPara>
              <m:oMath>
                <m:sSub>
                  <m:sSubPr>
                    <m:ctrlPr>
                      <w:rPr>
                        <w:rFonts w:ascii="Cambria Math" w:hAnsi="Cambria Math"/>
                        <w:i/>
                        <w:color w:val="000000" w:themeColor="text1"/>
                      </w:rPr>
                    </m:ctrlPr>
                  </m:sSubPr>
                  <m:e>
                    <m:d>
                      <m:dPr>
                        <m:begChr m:val="〈"/>
                        <m:endChr m:val="〉"/>
                        <m:ctrlPr>
                          <w:rPr>
                            <w:rFonts w:ascii="Cambria Math" w:hAnsi="Cambria Math"/>
                            <w:i/>
                            <w:color w:val="000000" w:themeColor="text1"/>
                          </w:rPr>
                        </m:ctrlPr>
                      </m:dPr>
                      <m:e>
                        <m:r>
                          <w:rPr>
                            <w:rStyle w:val="ac"/>
                            <w:rFonts w:ascii="Cambria Math" w:hAnsi="Cambria Math"/>
                            <w:color w:val="000000" w:themeColor="text1"/>
                          </w:rPr>
                          <m:t>-</m:t>
                        </m:r>
                        <m:func>
                          <m:funcPr>
                            <m:ctrlPr>
                              <w:rPr>
                                <w:rStyle w:val="ac"/>
                                <w:rFonts w:ascii="Cambria Math" w:hAnsi="Cambria Math"/>
                                <w:i/>
                                <w:color w:val="000000" w:themeColor="text1"/>
                              </w:rPr>
                            </m:ctrlPr>
                          </m:funcPr>
                          <m:fName>
                            <m:r>
                              <m:rPr>
                                <m:sty m:val="p"/>
                              </m:rPr>
                              <w:rPr>
                                <w:rStyle w:val="ac"/>
                                <w:rFonts w:ascii="Cambria Math" w:hAnsi="Cambria Math"/>
                                <w:color w:val="000000" w:themeColor="text1"/>
                              </w:rPr>
                              <m:t>ln</m:t>
                            </m:r>
                          </m:fName>
                          <m:e>
                            <m:r>
                              <w:rPr>
                                <w:rFonts w:ascii="Cambria Math" w:hAnsi="Cambria Math"/>
                              </w:rPr>
                              <m:t>p</m:t>
                            </m:r>
                            <m:d>
                              <m:dPr>
                                <m:ctrlPr>
                                  <w:rPr>
                                    <w:rFonts w:ascii="Cambria Math" w:hAnsi="Cambria Math"/>
                                    <w:i/>
                                  </w:rPr>
                                </m:ctrlPr>
                              </m:dPr>
                              <m:e>
                                <m:r>
                                  <w:rPr>
                                    <w:rFonts w:ascii="Cambria Math" w:hAnsi="Cambria Math"/>
                                  </w:rPr>
                                  <m:t>o</m:t>
                                </m:r>
                              </m:e>
                            </m:d>
                          </m:e>
                        </m:func>
                      </m:e>
                    </m:d>
                  </m:e>
                  <m:sub>
                    <m:r>
                      <w:rPr>
                        <w:rStyle w:val="ac"/>
                        <w:rFonts w:ascii="Cambria Math" w:hAnsi="Cambria Math"/>
                        <w:color w:val="000000" w:themeColor="text1"/>
                      </w:rPr>
                      <m:t>q</m:t>
                    </m:r>
                    <m:d>
                      <m:dPr>
                        <m:ctrlPr>
                          <w:rPr>
                            <w:rStyle w:val="ac"/>
                            <w:rFonts w:ascii="Cambria Math" w:hAnsi="Cambria Math"/>
                            <w:i/>
                            <w:color w:val="000000" w:themeColor="text1"/>
                          </w:rPr>
                        </m:ctrlPr>
                      </m:dPr>
                      <m:e>
                        <m:r>
                          <w:rPr>
                            <w:rStyle w:val="ac"/>
                            <w:rFonts w:ascii="Cambria Math" w:hAnsi="Cambria Math"/>
                            <w:color w:val="000000" w:themeColor="text1"/>
                          </w:rPr>
                          <m:t>s</m:t>
                        </m:r>
                      </m:e>
                    </m:d>
                  </m:sub>
                </m:sSub>
              </m:oMath>
            </m:oMathPara>
          </w:p>
        </w:tc>
        <w:tc>
          <w:tcPr>
            <w:tcW w:w="3594" w:type="dxa"/>
          </w:tcPr>
          <w:p w14:paraId="37529BF8" w14:textId="77777777" w:rsidR="00CF197C" w:rsidRPr="000B70BA" w:rsidRDefault="00CF197C" w:rsidP="002E3617">
            <w:r w:rsidRPr="000B70BA">
              <w:t>A fundamental measure of the improbability (rarity) of an observation</w:t>
            </w:r>
            <w:r>
              <w:rPr>
                <w:rFonts w:ascii="Cambria Math" w:hAnsi="Cambria Math"/>
                <w:i/>
              </w:rPr>
              <w:t xml:space="preserve"> </w:t>
            </w:r>
            <m:oMath>
              <m:r>
                <w:rPr>
                  <w:rFonts w:ascii="Cambria Math" w:hAnsi="Cambria Math"/>
                </w:rPr>
                <m:t>o</m:t>
              </m:r>
            </m:oMath>
            <w:r>
              <w:rPr>
                <w:rFonts w:ascii="Cambria Math" w:hAnsi="Cambria Math" w:hint="eastAsia"/>
                <w:i/>
              </w:rPr>
              <w:t>.</w:t>
            </w:r>
            <w:r w:rsidRPr="000B70BA">
              <w:t xml:space="preserve"> In the generative model context, represents the “unexpectedness” of observing</w:t>
            </w:r>
            <w:r>
              <w:rPr>
                <w:rFonts w:ascii="Cambria Math" w:hAnsi="Cambria Math"/>
                <w:i/>
              </w:rPr>
              <w:t xml:space="preserve"> </w:t>
            </w:r>
            <m:oMath>
              <m:r>
                <w:rPr>
                  <w:rFonts w:ascii="Cambria Math" w:hAnsi="Cambria Math"/>
                </w:rPr>
                <m:t>o</m:t>
              </m:r>
            </m:oMath>
            <w:r>
              <w:rPr>
                <w:rFonts w:ascii="Cambria Math" w:hAnsi="Cambria Math" w:hint="eastAsia"/>
                <w:i/>
              </w:rPr>
              <w:t>.</w:t>
            </w:r>
            <w:r>
              <w:t xml:space="preserve"> </w:t>
            </w:r>
            <w:r w:rsidRPr="00B90E3D">
              <w:rPr>
                <w:rFonts w:cs="Times New Roman"/>
                <w:iCs/>
              </w:rPr>
              <w:t>Equal to the lower bound of the free energy minimised through recognition.</w:t>
            </w:r>
          </w:p>
        </w:tc>
        <w:tc>
          <w:tcPr>
            <w:tcW w:w="3595" w:type="dxa"/>
          </w:tcPr>
          <w:p w14:paraId="77365374" w14:textId="4B68E7DD" w:rsidR="00CF197C" w:rsidRPr="000B70BA" w:rsidRDefault="00CF197C" w:rsidP="002E3617">
            <w:r>
              <w:rPr>
                <w:rFonts w:hint="eastAsia"/>
              </w:rPr>
              <w:t xml:space="preserve">Corresponds to arousal potential. </w:t>
            </w:r>
            <w:r w:rsidRPr="000B70BA">
              <w:t xml:space="preserve">Extremely large </w:t>
            </w:r>
            <m:oMath>
              <m:r>
                <w:rPr>
                  <w:rFonts w:ascii="Cambria Math" w:hAnsi="Cambria Math"/>
                  <w:color w:val="000000" w:themeColor="text1"/>
                  <w:szCs w:val="21"/>
                </w:rPr>
                <m:t>S</m:t>
              </m:r>
            </m:oMath>
            <w:r w:rsidRPr="000B70BA">
              <w:t xml:space="preserve"> leads to confusion; very small</w:t>
            </w:r>
            <w:r>
              <w:rPr>
                <w:rFonts w:hint="eastAsia"/>
              </w:rPr>
              <w:t xml:space="preserve"> </w:t>
            </w:r>
            <m:oMath>
              <m:r>
                <w:rPr>
                  <w:rFonts w:ascii="Cambria Math" w:hAnsi="Cambria Math"/>
                  <w:color w:val="000000" w:themeColor="text1"/>
                  <w:szCs w:val="21"/>
                </w:rPr>
                <m:t>S</m:t>
              </m:r>
            </m:oMath>
            <w:r w:rsidRPr="000B70BA">
              <w:t xml:space="preserve"> leads to boredom (Wundt curve). Moderate surprise tends to maximi</w:t>
            </w:r>
            <w:r>
              <w:rPr>
                <w:rFonts w:hint="eastAsia"/>
              </w:rPr>
              <w:t>s</w:t>
            </w:r>
            <w:r w:rsidRPr="000B70BA">
              <w:t xml:space="preserve">e information gain, providing a theoretical basis for the </w:t>
            </w:r>
            <w:r>
              <w:rPr>
                <w:rFonts w:hint="eastAsia"/>
                <w:color w:val="000000" w:themeColor="text1"/>
              </w:rPr>
              <w:t>arousal potential theory by Berlyne.</w:t>
            </w:r>
            <w:r>
              <w:rPr>
                <w:color w:val="000000" w:themeColor="text1"/>
              </w:rPr>
              <w:fldChar w:fldCharType="begin"/>
            </w:r>
            <w:r w:rsidR="003D6A2E">
              <w:rPr>
                <w:color w:val="000000" w:themeColor="text1"/>
              </w:rPr>
              <w:instrText xml:space="preserve"> ADDIN ZOTERO_ITEM CSL_CITATION {"citationID":"V15PtxCB","properties":{"formattedCitation":"\\super 2\\nosupersub{}","plainCitation":"2","noteIndex":0},"citationItems":[{"id":3447,"uris":["http://zotero.org/users/11642813/items/4PY7QA4Y"],"itemData":{"id":3447,"type":"book","abstract":"The topics that are to be treated in this book were unduly neglected by psychology for many years but are now beginning to come to the fore. My own researches into attention and exploratory behavior began in 1947, and at about the same time several other psychologists became independently impressed with the importance of these matters and started to study them experimentally. It is interesting that those were also the years when information theory was making its appearance and when the reticular formation of the brain stem was first attracting the notice of neurophysiologists. During the last ten years, the tempo of research into exploratory behavior and related phenomena has been steadily quickening. The book is prompted by the feeling that it is now time to pause and take stock: to review relevant data contributed by several different specialties, to consider what conclusions, whether firm or tentative, are justified at the present juncture, and to clarify what remains to be done. The primary aim of the book is, in fact, to raise problems. The book is intended as a contribution to behavior theory, i.e., to psychology conceived as a branch of science with the circumscribed objective of explaining and predicting behavior. But interest in attention and exploratory behavior and in other topics indissociably bound up with them, such as art, humor and thinking, has by no means been confined to professional psychologists. The book has two features that would have surprised me when I first set out to plan it. One is that it ends up sketching a highly modified form of drive-reduction theory. Drive-reduction theory has appeared more and more to be full of shortcomings, even for the phenomena that it was originally designed to handle. The second surprising feature is the prominence of neurophysiology. (PsycINFO Database Record (c) 2016 APA, all rights reserved)","collection-title":"Conflict, arousal, and curiosity","DOI":"10.1037/11164-000","note":"page: xii, 350","number-of-pages":"xii, 350","publisher":"McGraw-Hill Book Company","publisher-place":"New York, NY, US","source":"APA PsycNet","title":"Conflict, arousal, and curiosity","author":[{"family":"Berlyne","given":"D. E."}],"issued":{"date-parts":[["1960"]]}}}],"schema":"https://github.com/citation-style-language/schema/raw/master/csl-citation.json"} </w:instrText>
            </w:r>
            <w:r>
              <w:rPr>
                <w:color w:val="000000" w:themeColor="text1"/>
              </w:rPr>
              <w:fldChar w:fldCharType="separate"/>
            </w:r>
            <w:r w:rsidRPr="00717C77">
              <w:rPr>
                <w:rFonts w:cs="Times New Roman"/>
                <w:kern w:val="0"/>
                <w:vertAlign w:val="superscript"/>
              </w:rPr>
              <w:t>2</w:t>
            </w:r>
            <w:r>
              <w:rPr>
                <w:color w:val="000000" w:themeColor="text1"/>
              </w:rPr>
              <w:fldChar w:fldCharType="end"/>
            </w:r>
          </w:p>
        </w:tc>
      </w:tr>
      <w:tr w:rsidR="00CF197C" w14:paraId="652CBA3D" w14:textId="77777777" w:rsidTr="002E3617">
        <w:tc>
          <w:tcPr>
            <w:tcW w:w="2547" w:type="dxa"/>
          </w:tcPr>
          <w:p w14:paraId="19F402D7" w14:textId="77777777" w:rsidR="00CF197C" w:rsidRPr="00A4400F" w:rsidRDefault="00CF197C" w:rsidP="002E3617">
            <w:pPr>
              <w:jc w:val="center"/>
              <w:rPr>
                <w:color w:val="000000" w:themeColor="text1"/>
                <w:szCs w:val="21"/>
              </w:rPr>
            </w:pPr>
            <w:r w:rsidRPr="000B70BA">
              <w:t xml:space="preserve">Kullback-Leibler </w:t>
            </w:r>
            <w:r>
              <w:rPr>
                <w:rFonts w:hint="eastAsia"/>
              </w:rPr>
              <w:t>d</w:t>
            </w:r>
            <w:r w:rsidRPr="000B70BA">
              <w:t>ivergence</w:t>
            </w:r>
            <w:r>
              <w:rPr>
                <w:rFonts w:hint="eastAsia"/>
              </w:rPr>
              <w:t xml:space="preserve">, </w:t>
            </w:r>
            <m:oMath>
              <m:r>
                <w:rPr>
                  <w:rFonts w:ascii="Cambria Math" w:hAnsi="Cambria Math"/>
                  <w:color w:val="000000" w:themeColor="text1"/>
                  <w:szCs w:val="21"/>
                </w:rPr>
                <m:t>KLD</m:t>
              </m:r>
            </m:oMath>
          </w:p>
          <w:p w14:paraId="411DA3A2" w14:textId="77777777" w:rsidR="00CF197C" w:rsidRPr="00103B0A" w:rsidRDefault="00000000" w:rsidP="002E3617">
            <w:pPr>
              <w:jc w:val="center"/>
            </w:pPr>
            <m:oMathPara>
              <m:oMath>
                <m:sSub>
                  <m:sSubPr>
                    <m:ctrlPr>
                      <w:rPr>
                        <w:rFonts w:ascii="Cambria Math" w:hAnsi="Cambria Math"/>
                        <w:i/>
                        <w:color w:val="000000" w:themeColor="text1"/>
                      </w:rPr>
                    </m:ctrlPr>
                  </m:sSubPr>
                  <m:e>
                    <m:r>
                      <w:rPr>
                        <w:rFonts w:ascii="Cambria Math" w:hAnsi="Cambria Math"/>
                        <w:color w:val="000000" w:themeColor="text1"/>
                      </w:rPr>
                      <m:t>D</m:t>
                    </m:r>
                    <m:ctrlPr>
                      <w:rPr>
                        <w:rFonts w:ascii="Cambria Math" w:hAnsi="Cambria Math"/>
                        <w:color w:val="000000" w:themeColor="text1"/>
                      </w:rPr>
                    </m:ctrlPr>
                  </m:e>
                  <m:sub>
                    <m:r>
                      <w:rPr>
                        <w:rFonts w:ascii="Cambria Math" w:hAnsi="Cambria Math"/>
                        <w:color w:val="000000" w:themeColor="text1"/>
                      </w:rPr>
                      <m:t>KL</m:t>
                    </m:r>
                  </m:sub>
                </m:sSub>
                <m:d>
                  <m:dPr>
                    <m:ctrlPr>
                      <w:rPr>
                        <w:rFonts w:ascii="Cambria Math" w:hAnsi="Cambria Math"/>
                        <w:color w:val="000000" w:themeColor="text1"/>
                      </w:rPr>
                    </m:ctrlPr>
                  </m:dPr>
                  <m:e>
                    <m:r>
                      <w:rPr>
                        <w:rStyle w:val="ac"/>
                        <w:rFonts w:ascii="Cambria Math" w:hAnsi="Cambria Math"/>
                        <w:color w:val="000000" w:themeColor="text1"/>
                      </w:rPr>
                      <m:t>p</m:t>
                    </m:r>
                    <m:d>
                      <m:dPr>
                        <m:ctrlPr>
                          <w:rPr>
                            <w:rStyle w:val="ac"/>
                            <w:rFonts w:ascii="Cambria Math" w:hAnsi="Cambria Math"/>
                            <w:color w:val="000000" w:themeColor="text1"/>
                          </w:rPr>
                        </m:ctrlPr>
                      </m:dPr>
                      <m:e>
                        <m:r>
                          <w:rPr>
                            <w:rStyle w:val="ac"/>
                            <w:rFonts w:ascii="Cambria Math" w:hAnsi="Cambria Math"/>
                            <w:color w:val="000000" w:themeColor="text1"/>
                          </w:rPr>
                          <m:t>s</m:t>
                        </m:r>
                        <m:ctrlPr>
                          <w:rPr>
                            <w:rStyle w:val="ac"/>
                            <w:rFonts w:ascii="Cambria Math" w:hAnsi="Cambria Math"/>
                            <w:i/>
                            <w:color w:val="000000" w:themeColor="text1"/>
                          </w:rPr>
                        </m:ctrlPr>
                      </m:e>
                    </m:d>
                    <m:ctrlPr>
                      <w:rPr>
                        <w:rStyle w:val="ac"/>
                        <w:rFonts w:ascii="Cambria Math" w:hAnsi="Cambria Math"/>
                        <w:color w:val="000000" w:themeColor="text1"/>
                      </w:rPr>
                    </m:ctrlPr>
                  </m:e>
                  <m:e>
                    <m:r>
                      <w:rPr>
                        <w:rFonts w:ascii="Cambria Math" w:hAnsi="Cambria Math"/>
                      </w:rPr>
                      <m:t>p</m:t>
                    </m:r>
                    <m:d>
                      <m:dPr>
                        <m:ctrlPr>
                          <w:rPr>
                            <w:rFonts w:ascii="Cambria Math" w:hAnsi="Cambria Math"/>
                          </w:rPr>
                        </m:ctrlPr>
                      </m:dPr>
                      <m:e>
                        <m:r>
                          <w:rPr>
                            <w:rFonts w:ascii="Cambria Math" w:hAnsi="Cambria Math"/>
                          </w:rPr>
                          <m:t>s</m:t>
                        </m:r>
                      </m:e>
                      <m:e>
                        <m:r>
                          <w:rPr>
                            <w:rFonts w:ascii="Cambria Math" w:hAnsi="Cambria Math"/>
                          </w:rPr>
                          <m:t>o</m:t>
                        </m:r>
                        <m:ctrlPr>
                          <w:rPr>
                            <w:rFonts w:ascii="Cambria Math" w:hAnsi="Cambria Math"/>
                            <w:i/>
                          </w:rPr>
                        </m:ctrlPr>
                      </m:e>
                    </m:d>
                    <m:ctrlPr>
                      <w:rPr>
                        <w:rFonts w:ascii="Cambria Math" w:hAnsi="Cambria Math"/>
                        <w:i/>
                        <w:color w:val="000000" w:themeColor="text1"/>
                      </w:rPr>
                    </m:ctrlPr>
                  </m:e>
                </m:d>
              </m:oMath>
            </m:oMathPara>
          </w:p>
        </w:tc>
        <w:tc>
          <w:tcPr>
            <w:tcW w:w="3594" w:type="dxa"/>
          </w:tcPr>
          <w:p w14:paraId="291B5A2A" w14:textId="77777777" w:rsidR="00CF197C" w:rsidRPr="000B70BA" w:rsidRDefault="00CF197C" w:rsidP="002E3617">
            <w:r>
              <w:rPr>
                <w:rFonts w:hint="eastAsia"/>
              </w:rPr>
              <w:t>The</w:t>
            </w:r>
            <w:r w:rsidRPr="0068564B">
              <w:t xml:space="preserve"> </w:t>
            </w:r>
            <w:r>
              <w:t>pseudo-distance</w:t>
            </w:r>
            <w:r w:rsidRPr="0068564B">
              <w:t xml:space="preserve"> between</w:t>
            </w:r>
            <w:r>
              <w:rPr>
                <w:rFonts w:hint="eastAsia"/>
              </w:rPr>
              <w:t xml:space="preserve"> </w:t>
            </w:r>
            <w:r w:rsidRPr="0068564B">
              <w:t xml:space="preserve">the recognition distribution </w:t>
            </w:r>
            <m:oMath>
              <m:r>
                <w:rPr>
                  <w:rStyle w:val="ac"/>
                  <w:rFonts w:ascii="Cambria Math" w:hAnsi="Cambria Math"/>
                  <w:color w:val="000000" w:themeColor="text1"/>
                </w:rPr>
                <m:t>q</m:t>
              </m:r>
              <m:d>
                <m:dPr>
                  <m:ctrlPr>
                    <w:rPr>
                      <w:rStyle w:val="ac"/>
                      <w:rFonts w:ascii="Cambria Math" w:hAnsi="Cambria Math"/>
                      <w:color w:val="000000" w:themeColor="text1"/>
                    </w:rPr>
                  </m:ctrlPr>
                </m:dPr>
                <m:e>
                  <m:r>
                    <w:rPr>
                      <w:rStyle w:val="ac"/>
                      <w:rFonts w:ascii="Cambria Math" w:hAnsi="Cambria Math"/>
                      <w:color w:val="000000" w:themeColor="text1"/>
                    </w:rPr>
                    <m:t>s</m:t>
                  </m:r>
                  <m:ctrlPr>
                    <w:rPr>
                      <w:rStyle w:val="ac"/>
                      <w:rFonts w:ascii="Cambria Math" w:hAnsi="Cambria Math"/>
                      <w:i/>
                      <w:color w:val="000000" w:themeColor="text1"/>
                    </w:rPr>
                  </m:ctrlPr>
                </m:e>
              </m:d>
              <m:r>
                <m:rPr>
                  <m:sty m:val="p"/>
                </m:rPr>
                <w:rPr>
                  <w:rFonts w:ascii="Cambria Math" w:hAnsi="Cambria Math"/>
                </w:rPr>
                <m:t>≈</m:t>
              </m:r>
              <m:r>
                <w:rPr>
                  <w:rFonts w:ascii="Cambria Math" w:hAnsi="Cambria Math"/>
                </w:rPr>
                <m:t>p(s)</m:t>
              </m:r>
            </m:oMath>
            <w:r w:rsidRPr="0068564B">
              <w:t xml:space="preserve"> </w:t>
            </w:r>
            <w:r>
              <w:rPr>
                <w:rFonts w:hint="eastAsia"/>
              </w:rPr>
              <w:t>and</w:t>
            </w:r>
            <w:r w:rsidRPr="0068564B">
              <w:t xml:space="preserve"> the true posterior </w:t>
            </w:r>
            <m:oMath>
              <m:r>
                <w:rPr>
                  <w:rFonts w:ascii="Cambria Math" w:hAnsi="Cambria Math"/>
                </w:rPr>
                <m:t>p</m:t>
              </m:r>
              <m:d>
                <m:dPr>
                  <m:ctrlPr>
                    <w:rPr>
                      <w:rFonts w:ascii="Cambria Math" w:hAnsi="Cambria Math"/>
                    </w:rPr>
                  </m:ctrlPr>
                </m:dPr>
                <m:e>
                  <m:r>
                    <w:rPr>
                      <w:rFonts w:ascii="Cambria Math" w:hAnsi="Cambria Math"/>
                    </w:rPr>
                    <m:t>s</m:t>
                  </m:r>
                </m:e>
                <m:e>
                  <m:r>
                    <w:rPr>
                      <w:rFonts w:ascii="Cambria Math" w:hAnsi="Cambria Math"/>
                    </w:rPr>
                    <m:t>o</m:t>
                  </m:r>
                  <m:ctrlPr>
                    <w:rPr>
                      <w:rFonts w:ascii="Cambria Math" w:hAnsi="Cambria Math"/>
                      <w:i/>
                    </w:rPr>
                  </m:ctrlPr>
                </m:e>
              </m:d>
            </m:oMath>
            <w:r w:rsidRPr="0068564B">
              <w:t>. Quantifies the reduction in</w:t>
            </w:r>
            <w:r>
              <w:rPr>
                <w:rFonts w:hint="eastAsia"/>
              </w:rPr>
              <w:t xml:space="preserve"> free </w:t>
            </w:r>
            <w:r>
              <w:t>energy</w:t>
            </w:r>
            <w:r>
              <w:rPr>
                <w:rFonts w:hint="eastAsia"/>
              </w:rPr>
              <w:t xml:space="preserve"> </w:t>
            </w:r>
            <w:r w:rsidRPr="0068564B">
              <w:t>due to recognition.</w:t>
            </w:r>
          </w:p>
        </w:tc>
        <w:tc>
          <w:tcPr>
            <w:tcW w:w="3595" w:type="dxa"/>
          </w:tcPr>
          <w:p w14:paraId="195ECEB5" w14:textId="77777777" w:rsidR="00CF197C" w:rsidRPr="000B70BA" w:rsidRDefault="00CF197C" w:rsidP="002E3617">
            <w:r>
              <w:rPr>
                <w:rFonts w:hint="eastAsia"/>
              </w:rPr>
              <w:t>Signifies information gain</w:t>
            </w:r>
            <w:r>
              <w:t xml:space="preserve"> </w:t>
            </w:r>
            <w:r w:rsidRPr="00F716B6">
              <w:t>(reduction of uncertainty)</w:t>
            </w:r>
            <w:r>
              <w:rPr>
                <w:rFonts w:hint="eastAsia"/>
              </w:rPr>
              <w:t xml:space="preserve"> through recognition. </w:t>
            </w:r>
            <w:r w:rsidRPr="00FB3B6E">
              <w:t>Specific curiosity, which decreases</w:t>
            </w:r>
            <w:r>
              <w:rPr>
                <w:rFonts w:hint="eastAsia"/>
              </w:rPr>
              <w:t xml:space="preserve"> </w:t>
            </w:r>
            <w:r w:rsidRPr="00FB3B6E">
              <w:t>surprise</w:t>
            </w:r>
            <w:r>
              <w:rPr>
                <w:rFonts w:hint="eastAsia"/>
              </w:rPr>
              <w:t xml:space="preserve"> (</w:t>
            </w:r>
            <m:oMath>
              <m:r>
                <w:rPr>
                  <w:rFonts w:ascii="Cambria Math" w:hAnsi="Cambria Math"/>
                  <w:color w:val="000000" w:themeColor="text1"/>
                  <w:szCs w:val="21"/>
                </w:rPr>
                <m:t>S</m:t>
              </m:r>
            </m:oMath>
            <w:r w:rsidRPr="00FB3B6E">
              <w:t>) by ascending the right side of the inverted U-curve from a high</w:t>
            </w:r>
            <w:r>
              <w:rPr>
                <w:rFonts w:hint="eastAsia"/>
              </w:rPr>
              <w:t>ly</w:t>
            </w:r>
            <w:r w:rsidRPr="00FB3B6E">
              <w:t xml:space="preserve"> arous</w:t>
            </w:r>
            <w:r>
              <w:rPr>
                <w:rFonts w:hint="eastAsia"/>
              </w:rPr>
              <w:t>ed</w:t>
            </w:r>
            <w:r w:rsidRPr="00FB3B6E">
              <w:t xml:space="preserve"> and confus</w:t>
            </w:r>
            <w:r>
              <w:rPr>
                <w:rFonts w:hint="eastAsia"/>
              </w:rPr>
              <w:t>ed state</w:t>
            </w:r>
            <w:r>
              <w:t xml:space="preserve"> to a less confused and more knowledgeable state</w:t>
            </w:r>
            <w:r w:rsidRPr="00FB3B6E">
              <w:t>, facilitates the maximi</w:t>
            </w:r>
            <w:r>
              <w:rPr>
                <w:rFonts w:hint="eastAsia"/>
              </w:rPr>
              <w:t>s</w:t>
            </w:r>
            <w:r w:rsidRPr="00FB3B6E">
              <w:t xml:space="preserve">ation of </w:t>
            </w:r>
            <m:oMath>
              <m:r>
                <w:rPr>
                  <w:rFonts w:ascii="Cambria Math" w:hAnsi="Cambria Math"/>
                  <w:color w:val="000000" w:themeColor="text1"/>
                  <w:szCs w:val="21"/>
                </w:rPr>
                <m:t>KLD</m:t>
              </m:r>
            </m:oMath>
            <w:r w:rsidRPr="00FB3B6E">
              <w:t>.</w:t>
            </w:r>
          </w:p>
        </w:tc>
      </w:tr>
      <w:tr w:rsidR="00CF197C" w14:paraId="07C62843" w14:textId="77777777" w:rsidTr="002E3617">
        <w:tc>
          <w:tcPr>
            <w:tcW w:w="2547" w:type="dxa"/>
          </w:tcPr>
          <w:p w14:paraId="7FF190BF" w14:textId="77777777" w:rsidR="00CF197C" w:rsidRDefault="00CF197C" w:rsidP="002E3617">
            <w:pPr>
              <w:jc w:val="center"/>
              <w:rPr>
                <w:color w:val="000000" w:themeColor="text1"/>
              </w:rPr>
            </w:pPr>
            <w:r w:rsidRPr="0068564B">
              <w:t xml:space="preserve">Bayesian </w:t>
            </w:r>
            <w:r>
              <w:rPr>
                <w:rFonts w:hint="eastAsia"/>
              </w:rPr>
              <w:t>s</w:t>
            </w:r>
            <w:r w:rsidRPr="0068564B">
              <w:t>urprise</w:t>
            </w:r>
            <w:r>
              <w:rPr>
                <w:rFonts w:hint="eastAsia"/>
              </w:rPr>
              <w:t xml:space="preserve">, </w:t>
            </w:r>
            <m:oMath>
              <m:r>
                <w:rPr>
                  <w:rFonts w:ascii="Cambria Math" w:hAnsi="Cambria Math"/>
                  <w:color w:val="000000" w:themeColor="text1"/>
                </w:rPr>
                <m:t>BS</m:t>
              </m:r>
            </m:oMath>
          </w:p>
          <w:p w14:paraId="714AE060" w14:textId="77777777" w:rsidR="00CF197C" w:rsidRPr="00103B0A" w:rsidRDefault="00000000" w:rsidP="002E3617">
            <w:pPr>
              <w:jc w:val="center"/>
            </w:pPr>
            <m:oMathPara>
              <m:oMath>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KL</m:t>
                    </m:r>
                  </m:sub>
                </m:sSub>
                <m:d>
                  <m:dPr>
                    <m:ctrlPr>
                      <w:rPr>
                        <w:rFonts w:ascii="Cambria Math" w:hAnsi="Cambria Math"/>
                        <w:i/>
                        <w:color w:val="000000" w:themeColor="text1"/>
                      </w:rPr>
                    </m:ctrlPr>
                  </m:dPr>
                  <m:e>
                    <m:r>
                      <w:rPr>
                        <w:rFonts w:ascii="Cambria Math" w:hAnsi="Cambria Math"/>
                      </w:rPr>
                      <m:t>p</m:t>
                    </m:r>
                    <m:d>
                      <m:dPr>
                        <m:ctrlPr>
                          <w:rPr>
                            <w:rFonts w:ascii="Cambria Math" w:hAnsi="Cambria Math"/>
                          </w:rPr>
                        </m:ctrlPr>
                      </m:dPr>
                      <m:e>
                        <m:r>
                          <w:rPr>
                            <w:rFonts w:ascii="Cambria Math" w:hAnsi="Cambria Math"/>
                          </w:rPr>
                          <m:t>s</m:t>
                        </m:r>
                      </m:e>
                      <m:e>
                        <m:r>
                          <w:rPr>
                            <w:rFonts w:ascii="Cambria Math" w:hAnsi="Cambria Math"/>
                          </w:rPr>
                          <m:t>o</m:t>
                        </m:r>
                        <m:ctrlPr>
                          <w:rPr>
                            <w:rFonts w:ascii="Cambria Math" w:hAnsi="Cambria Math"/>
                            <w:i/>
                          </w:rPr>
                        </m:ctrlPr>
                      </m:e>
                    </m:d>
                    <m:r>
                      <w:rPr>
                        <w:rStyle w:val="ac"/>
                        <w:rFonts w:ascii="Cambria Math" w:hAnsi="Cambria Math"/>
                        <w:color w:val="000000" w:themeColor="text1"/>
                      </w:rPr>
                      <m:t>|</m:t>
                    </m:r>
                    <m:r>
                      <w:rPr>
                        <w:rFonts w:ascii="Cambria Math" w:hAnsi="Cambria Math"/>
                      </w:rPr>
                      <m:t>p</m:t>
                    </m:r>
                    <m:d>
                      <m:dPr>
                        <m:ctrlPr>
                          <w:rPr>
                            <w:rFonts w:ascii="Cambria Math" w:hAnsi="Cambria Math"/>
                            <w:i/>
                          </w:rPr>
                        </m:ctrlPr>
                      </m:dPr>
                      <m:e>
                        <m:r>
                          <w:rPr>
                            <w:rFonts w:ascii="Cambria Math" w:hAnsi="Cambria Math"/>
                          </w:rPr>
                          <m:t>s</m:t>
                        </m:r>
                      </m:e>
                    </m:d>
                  </m:e>
                </m:d>
              </m:oMath>
            </m:oMathPara>
          </w:p>
        </w:tc>
        <w:tc>
          <w:tcPr>
            <w:tcW w:w="3594" w:type="dxa"/>
          </w:tcPr>
          <w:p w14:paraId="608EBFC7" w14:textId="77777777" w:rsidR="00CF197C" w:rsidRPr="000B70BA" w:rsidRDefault="00CF197C" w:rsidP="002E3617">
            <w:r w:rsidRPr="0068564B">
              <w:t xml:space="preserve">The </w:t>
            </w:r>
            <w:r>
              <w:t>pseudo-distance</w:t>
            </w:r>
            <w:r w:rsidRPr="0068564B">
              <w:t xml:space="preserve"> between the prior</w:t>
            </w:r>
            <w:r>
              <w:rPr>
                <w:rFonts w:hint="eastAsia"/>
              </w:rPr>
              <w:t xml:space="preserve"> distribution</w:t>
            </w:r>
            <w:r w:rsidRPr="00103B0A">
              <w:rPr>
                <w:rFonts w:ascii="Cambria Math" w:hAnsi="Cambria Math"/>
                <w:i/>
              </w:rPr>
              <w:t xml:space="preserve"> </w:t>
            </w:r>
            <m:oMath>
              <m:r>
                <w:rPr>
                  <w:rFonts w:ascii="Cambria Math" w:hAnsi="Cambria Math"/>
                </w:rPr>
                <m:t>p</m:t>
              </m:r>
              <m:d>
                <m:dPr>
                  <m:ctrlPr>
                    <w:rPr>
                      <w:rFonts w:ascii="Cambria Math" w:hAnsi="Cambria Math"/>
                      <w:i/>
                    </w:rPr>
                  </m:ctrlPr>
                </m:dPr>
                <m:e>
                  <m:r>
                    <w:rPr>
                      <w:rFonts w:ascii="Cambria Math" w:hAnsi="Cambria Math"/>
                    </w:rPr>
                    <m:t>s</m:t>
                  </m:r>
                </m:e>
              </m:d>
            </m:oMath>
            <w:r>
              <w:rPr>
                <w:rFonts w:ascii="Cambria Math" w:hAnsi="Cambria Math" w:hint="eastAsia"/>
                <w:i/>
              </w:rPr>
              <w:t xml:space="preserve"> </w:t>
            </w:r>
            <w:r w:rsidRPr="0068564B">
              <w:t>and the posterior</w:t>
            </w:r>
            <w:r>
              <w:rPr>
                <w:rFonts w:ascii="Cambria Math" w:hAnsi="Cambria Math"/>
                <w:i/>
                <w:color w:val="000000" w:themeColor="text1"/>
              </w:rPr>
              <w:t xml:space="preserve"> </w:t>
            </w:r>
            <m:oMath>
              <m:r>
                <w:rPr>
                  <w:rStyle w:val="ac"/>
                  <w:rFonts w:ascii="Cambria Math" w:hAnsi="Cambria Math"/>
                  <w:color w:val="000000" w:themeColor="text1"/>
                </w:rPr>
                <m:t>q</m:t>
              </m:r>
              <m:d>
                <m:dPr>
                  <m:ctrlPr>
                    <w:rPr>
                      <w:rStyle w:val="ac"/>
                      <w:rFonts w:ascii="Cambria Math" w:hAnsi="Cambria Math"/>
                      <w:i/>
                      <w:color w:val="000000" w:themeColor="text1"/>
                    </w:rPr>
                  </m:ctrlPr>
                </m:dPr>
                <m:e>
                  <m:r>
                    <w:rPr>
                      <w:rStyle w:val="ac"/>
                      <w:rFonts w:ascii="Cambria Math" w:hAnsi="Cambria Math"/>
                      <w:color w:val="000000" w:themeColor="text1"/>
                    </w:rPr>
                    <m:t>s</m:t>
                  </m:r>
                </m:e>
              </m:d>
              <m:r>
                <m:rPr>
                  <m:sty m:val="p"/>
                </m:rPr>
                <w:rPr>
                  <w:rFonts w:ascii="Cambria Math" w:hAnsi="Cambria Math"/>
                </w:rPr>
                <m:t>≈</m:t>
              </m:r>
              <m:r>
                <w:rPr>
                  <w:rFonts w:ascii="Cambria Math" w:hAnsi="Cambria Math"/>
                </w:rPr>
                <m:t>p</m:t>
              </m:r>
              <m:d>
                <m:dPr>
                  <m:ctrlPr>
                    <w:rPr>
                      <w:rFonts w:ascii="Cambria Math" w:hAnsi="Cambria Math"/>
                      <w:i/>
                    </w:rPr>
                  </m:ctrlPr>
                </m:dPr>
                <m:e>
                  <m:r>
                    <w:rPr>
                      <w:rFonts w:ascii="Cambria Math" w:hAnsi="Cambria Math"/>
                    </w:rPr>
                    <m:t>s</m:t>
                  </m:r>
                </m:e>
                <m:e>
                  <m:r>
                    <w:rPr>
                      <w:rFonts w:ascii="Cambria Math" w:hAnsi="Cambria Math"/>
                    </w:rPr>
                    <m:t>o</m:t>
                  </m:r>
                </m:e>
              </m:d>
            </m:oMath>
            <w:r>
              <w:rPr>
                <w:rFonts w:hint="eastAsia"/>
              </w:rPr>
              <w:t xml:space="preserve">. Quantifies the degree to which an </w:t>
            </w:r>
            <w:r w:rsidRPr="0068564B">
              <w:t xml:space="preserve">agent’s beliefs </w:t>
            </w:r>
            <w:r>
              <w:rPr>
                <w:rFonts w:hint="eastAsia"/>
              </w:rPr>
              <w:t>are updated as a result of acting and acquiring new observations.</w:t>
            </w:r>
          </w:p>
        </w:tc>
        <w:tc>
          <w:tcPr>
            <w:tcW w:w="3595" w:type="dxa"/>
          </w:tcPr>
          <w:p w14:paraId="5F602DB3" w14:textId="77777777" w:rsidR="00CF197C" w:rsidRPr="000B70BA" w:rsidRDefault="00CF197C" w:rsidP="002E3617">
            <w:r>
              <w:rPr>
                <w:rFonts w:hint="eastAsia"/>
              </w:rPr>
              <w:t>Signifies information gain through belief updating. Interpreted as</w:t>
            </w:r>
            <w:r>
              <w:rPr>
                <w:rFonts w:hint="eastAsia"/>
                <w:color w:val="000000" w:themeColor="text1"/>
              </w:rPr>
              <w:t xml:space="preserve"> surprise in response to novelty.</w:t>
            </w:r>
            <w:r>
              <w:rPr>
                <w:rFonts w:hint="eastAsia"/>
              </w:rPr>
              <w:t xml:space="preserve"> D</w:t>
            </w:r>
            <w:r w:rsidRPr="0068564B">
              <w:t>iversive curiosity</w:t>
            </w:r>
            <w:r>
              <w:rPr>
                <w:rFonts w:hint="eastAsia"/>
              </w:rPr>
              <w:t>, which</w:t>
            </w:r>
            <w:r w:rsidRPr="0068564B">
              <w:t xml:space="preserve"> </w:t>
            </w:r>
            <w:r>
              <w:rPr>
                <w:rFonts w:hint="eastAsia"/>
              </w:rPr>
              <w:t>incre</w:t>
            </w:r>
            <w:r w:rsidRPr="00FB3B6E">
              <w:t xml:space="preserve">ases surprise </w:t>
            </w:r>
            <w:r>
              <w:rPr>
                <w:rFonts w:hint="eastAsia"/>
              </w:rPr>
              <w:t>(</w:t>
            </w:r>
            <m:oMath>
              <m:r>
                <w:rPr>
                  <w:rFonts w:ascii="Cambria Math" w:hAnsi="Cambria Math"/>
                  <w:color w:val="000000" w:themeColor="text1"/>
                  <w:szCs w:val="21"/>
                </w:rPr>
                <m:t>S</m:t>
              </m:r>
            </m:oMath>
            <w:r w:rsidRPr="00FB3B6E">
              <w:t xml:space="preserve">) by ascending the </w:t>
            </w:r>
            <w:r>
              <w:rPr>
                <w:rFonts w:hint="eastAsia"/>
              </w:rPr>
              <w:t>left</w:t>
            </w:r>
            <w:r w:rsidRPr="00FB3B6E">
              <w:t xml:space="preserve"> side of the inverted U-curve from a </w:t>
            </w:r>
            <w:r>
              <w:rPr>
                <w:rFonts w:hint="eastAsia"/>
              </w:rPr>
              <w:t>lowly</w:t>
            </w:r>
            <w:r w:rsidRPr="00FB3B6E">
              <w:t xml:space="preserve"> arous</w:t>
            </w:r>
            <w:r>
              <w:rPr>
                <w:rFonts w:hint="eastAsia"/>
              </w:rPr>
              <w:t>ed</w:t>
            </w:r>
            <w:r w:rsidRPr="00FB3B6E">
              <w:t xml:space="preserve"> and </w:t>
            </w:r>
            <w:r>
              <w:rPr>
                <w:rFonts w:hint="eastAsia"/>
              </w:rPr>
              <w:t>boredom state</w:t>
            </w:r>
            <w:r w:rsidRPr="00FB3B6E">
              <w:t>, facilitates the maximi</w:t>
            </w:r>
            <w:r>
              <w:rPr>
                <w:rFonts w:hint="eastAsia"/>
              </w:rPr>
              <w:t>s</w:t>
            </w:r>
            <w:r w:rsidRPr="00FB3B6E">
              <w:t>ation of</w:t>
            </w:r>
            <w:r>
              <w:rPr>
                <w:rFonts w:hint="eastAsia"/>
              </w:rPr>
              <w:t xml:space="preserve"> </w:t>
            </w:r>
            <m:oMath>
              <m:r>
                <w:rPr>
                  <w:rFonts w:ascii="Cambria Math" w:hAnsi="Cambria Math"/>
                  <w:color w:val="000000" w:themeColor="text1"/>
                </w:rPr>
                <m:t>BS</m:t>
              </m:r>
            </m:oMath>
            <w:r w:rsidRPr="00FB3B6E">
              <w:t>.</w:t>
            </w:r>
          </w:p>
        </w:tc>
      </w:tr>
      <w:tr w:rsidR="00CF197C" w:rsidRPr="00D61F5E" w14:paraId="263C6196" w14:textId="77777777" w:rsidTr="002E3617">
        <w:tc>
          <w:tcPr>
            <w:tcW w:w="2547" w:type="dxa"/>
          </w:tcPr>
          <w:p w14:paraId="58034BF5" w14:textId="77777777" w:rsidR="00CF197C" w:rsidRPr="00A4400F" w:rsidRDefault="00CF197C" w:rsidP="002E3617">
            <w:pPr>
              <w:jc w:val="center"/>
              <w:rPr>
                <w:color w:val="000000" w:themeColor="text1"/>
              </w:rPr>
            </w:pPr>
            <w:r w:rsidRPr="00103B0A">
              <w:lastRenderedPageBreak/>
              <w:t>Uncertainty</w:t>
            </w:r>
            <w:r>
              <w:rPr>
                <w:rFonts w:hint="eastAsia"/>
              </w:rPr>
              <w:t xml:space="preserve">, </w:t>
            </w:r>
            <m:oMath>
              <m:r>
                <w:rPr>
                  <w:rFonts w:ascii="Cambria Math" w:hAnsi="Cambria Math"/>
                  <w:color w:val="000000" w:themeColor="text1"/>
                </w:rPr>
                <m:t>U</m:t>
              </m:r>
            </m:oMath>
          </w:p>
          <w:p w14:paraId="1185E9FF" w14:textId="77777777" w:rsidR="00CF197C" w:rsidRPr="00103B0A" w:rsidRDefault="00000000" w:rsidP="002E3617">
            <w:pPr>
              <w:jc w:val="center"/>
            </w:pPr>
            <m:oMathPara>
              <m:oMath>
                <m:sSub>
                  <m:sSubPr>
                    <m:ctrlPr>
                      <w:rPr>
                        <w:rFonts w:ascii="Cambria Math" w:hAnsi="Cambria Math"/>
                        <w:i/>
                        <w:color w:val="000000" w:themeColor="text1"/>
                      </w:rPr>
                    </m:ctrlPr>
                  </m:sSubPr>
                  <m:e>
                    <m:d>
                      <m:dPr>
                        <m:begChr m:val="〈"/>
                        <m:endChr m:val="〉"/>
                        <m:ctrlPr>
                          <w:rPr>
                            <w:rFonts w:ascii="Cambria Math" w:hAnsi="Cambria Math"/>
                            <w:i/>
                            <w:color w:val="000000" w:themeColor="text1"/>
                          </w:rPr>
                        </m:ctrlPr>
                      </m:dPr>
                      <m:e>
                        <m:r>
                          <w:rPr>
                            <w:rStyle w:val="ac"/>
                            <w:rFonts w:ascii="Cambria Math" w:hAnsi="Cambria Math"/>
                            <w:color w:val="000000" w:themeColor="text1"/>
                          </w:rPr>
                          <m:t>-</m:t>
                        </m:r>
                        <m:func>
                          <m:funcPr>
                            <m:ctrlPr>
                              <w:rPr>
                                <w:rStyle w:val="ac"/>
                                <w:rFonts w:ascii="Cambria Math" w:hAnsi="Cambria Math"/>
                                <w:i/>
                                <w:color w:val="000000" w:themeColor="text1"/>
                              </w:rPr>
                            </m:ctrlPr>
                          </m:funcPr>
                          <m:fName>
                            <m:r>
                              <m:rPr>
                                <m:sty m:val="p"/>
                              </m:rPr>
                              <w:rPr>
                                <w:rStyle w:val="ac"/>
                                <w:rFonts w:ascii="Cambria Math" w:hAnsi="Cambria Math"/>
                                <w:color w:val="000000" w:themeColor="text1"/>
                              </w:rPr>
                              <m:t>ln</m:t>
                            </m:r>
                          </m:fName>
                          <m:e>
                            <m:r>
                              <w:rPr>
                                <w:rFonts w:ascii="Cambria Math" w:hAnsi="Cambria Math"/>
                              </w:rPr>
                              <m:t>p</m:t>
                            </m:r>
                            <m:d>
                              <m:dPr>
                                <m:ctrlPr>
                                  <w:rPr>
                                    <w:rFonts w:ascii="Cambria Math" w:hAnsi="Cambria Math"/>
                                    <w:i/>
                                  </w:rPr>
                                </m:ctrlPr>
                              </m:dPr>
                              <m:e>
                                <m:r>
                                  <w:rPr>
                                    <w:rFonts w:ascii="Cambria Math" w:hAnsi="Cambria Math"/>
                                  </w:rPr>
                                  <m:t>o|s</m:t>
                                </m:r>
                              </m:e>
                            </m:d>
                          </m:e>
                        </m:func>
                      </m:e>
                    </m:d>
                  </m:e>
                  <m:sub>
                    <m:r>
                      <w:rPr>
                        <w:rStyle w:val="ac"/>
                        <w:rFonts w:ascii="Cambria Math" w:hAnsi="Cambria Math"/>
                        <w:color w:val="000000" w:themeColor="text1"/>
                      </w:rPr>
                      <m:t>q</m:t>
                    </m:r>
                    <m:d>
                      <m:dPr>
                        <m:ctrlPr>
                          <w:rPr>
                            <w:rStyle w:val="ac"/>
                            <w:rFonts w:ascii="Cambria Math" w:hAnsi="Cambria Math"/>
                            <w:i/>
                            <w:color w:val="000000" w:themeColor="text1"/>
                          </w:rPr>
                        </m:ctrlPr>
                      </m:dPr>
                      <m:e>
                        <m:r>
                          <w:rPr>
                            <w:rStyle w:val="ac"/>
                            <w:rFonts w:ascii="Cambria Math" w:hAnsi="Cambria Math"/>
                            <w:color w:val="000000" w:themeColor="text1"/>
                          </w:rPr>
                          <m:t>s</m:t>
                        </m:r>
                      </m:e>
                    </m:d>
                  </m:sub>
                </m:sSub>
              </m:oMath>
            </m:oMathPara>
          </w:p>
        </w:tc>
        <w:tc>
          <w:tcPr>
            <w:tcW w:w="3594" w:type="dxa"/>
          </w:tcPr>
          <w:p w14:paraId="596E9601" w14:textId="77777777" w:rsidR="00CF197C" w:rsidRPr="000B70BA" w:rsidRDefault="00CF197C" w:rsidP="002E3617">
            <w:r w:rsidRPr="0068564B">
              <w:t>Represents the agent’s residual uncertainty about observations.</w:t>
            </w:r>
            <w:r>
              <w:rPr>
                <w:rFonts w:hint="eastAsia"/>
              </w:rPr>
              <w:t xml:space="preserve"> </w:t>
            </w:r>
            <w:r w:rsidRPr="00B90E3D">
              <w:rPr>
                <w:rFonts w:cs="Times New Roman"/>
                <w:iCs/>
              </w:rPr>
              <w:t>Equal to the lowe</w:t>
            </w:r>
            <w:r>
              <w:rPr>
                <w:rFonts w:cs="Times New Roman" w:hint="eastAsia"/>
                <w:iCs/>
              </w:rPr>
              <w:t>st</w:t>
            </w:r>
            <w:r w:rsidRPr="00B90E3D">
              <w:rPr>
                <w:rFonts w:cs="Times New Roman"/>
                <w:iCs/>
              </w:rPr>
              <w:t xml:space="preserve"> bound of the free energy minimised through recognition</w:t>
            </w:r>
            <w:r>
              <w:rPr>
                <w:rFonts w:cs="Times New Roman" w:hint="eastAsia"/>
                <w:iCs/>
              </w:rPr>
              <w:t xml:space="preserve"> and belief updating</w:t>
            </w:r>
            <w:r w:rsidRPr="00B90E3D">
              <w:rPr>
                <w:rFonts w:cs="Times New Roman"/>
                <w:iCs/>
              </w:rPr>
              <w:t>.</w:t>
            </w:r>
          </w:p>
        </w:tc>
        <w:tc>
          <w:tcPr>
            <w:tcW w:w="3595" w:type="dxa"/>
          </w:tcPr>
          <w:p w14:paraId="027D9150" w14:textId="77777777" w:rsidR="00CF197C" w:rsidRPr="000B70BA" w:rsidRDefault="00CF197C" w:rsidP="002E3617">
            <w:r>
              <w:rPr>
                <w:rFonts w:hint="eastAsia"/>
              </w:rPr>
              <w:t>Signifies the perceived uncertainty</w:t>
            </w:r>
            <w:r>
              <w:t xml:space="preserve"> </w:t>
            </w:r>
            <w:r>
              <w:rPr>
                <w:rFonts w:hint="eastAsia"/>
              </w:rPr>
              <w:t>f</w:t>
            </w:r>
            <w:r w:rsidRPr="00D61F5E">
              <w:t xml:space="preserve">rom the subjective standpoint of an agent who uses a generative model to </w:t>
            </w:r>
            <w:r>
              <w:rPr>
                <w:rFonts w:hint="eastAsia"/>
              </w:rPr>
              <w:t>perceive</w:t>
            </w:r>
            <w:r w:rsidRPr="00D61F5E">
              <w:t xml:space="preserve"> the external world</w:t>
            </w:r>
            <w:r>
              <w:rPr>
                <w:rFonts w:hint="eastAsia"/>
              </w:rPr>
              <w:t>.</w:t>
            </w:r>
          </w:p>
        </w:tc>
      </w:tr>
      <w:tr w:rsidR="00CF197C" w14:paraId="4C5F04BE" w14:textId="77777777" w:rsidTr="002E3617">
        <w:tc>
          <w:tcPr>
            <w:tcW w:w="2547" w:type="dxa"/>
          </w:tcPr>
          <w:p w14:paraId="757881D2" w14:textId="77777777" w:rsidR="00CF197C" w:rsidRDefault="00CF197C" w:rsidP="002E3617">
            <w:pPr>
              <w:jc w:val="center"/>
              <w:rPr>
                <w:color w:val="000000" w:themeColor="text1"/>
              </w:rPr>
            </w:pPr>
            <w:r>
              <w:rPr>
                <w:rFonts w:hint="eastAsia"/>
              </w:rPr>
              <w:t>Total i</w:t>
            </w:r>
            <w:r w:rsidRPr="0068564B">
              <w:t xml:space="preserve">nformation </w:t>
            </w:r>
            <w:r>
              <w:rPr>
                <w:rFonts w:hint="eastAsia"/>
              </w:rPr>
              <w:t>g</w:t>
            </w:r>
            <w:r w:rsidRPr="0068564B">
              <w:t>ain</w:t>
            </w:r>
            <w:r>
              <w:rPr>
                <w:rFonts w:hint="eastAsia"/>
              </w:rPr>
              <w:t xml:space="preserve">, </w:t>
            </w:r>
            <m:oMath>
              <m:r>
                <w:rPr>
                  <w:rFonts w:ascii="Cambria Math" w:hAnsi="Cambria Math"/>
                  <w:color w:val="000000" w:themeColor="text1"/>
                </w:rPr>
                <m:t>IG</m:t>
              </m:r>
            </m:oMath>
          </w:p>
          <w:p w14:paraId="2B194D53" w14:textId="77777777" w:rsidR="00CF197C" w:rsidRPr="00A4400F" w:rsidRDefault="00000000" w:rsidP="002E3617">
            <w:pPr>
              <w:jc w:val="center"/>
            </w:pPr>
            <m:oMathPara>
              <m:oMath>
                <m:limLow>
                  <m:limLowPr>
                    <m:ctrlPr>
                      <w:rPr>
                        <w:rFonts w:ascii="Cambria Math" w:hAnsi="Cambria Math"/>
                        <w:color w:val="000000" w:themeColor="text1"/>
                      </w:rPr>
                    </m:ctrlPr>
                  </m:limLowPr>
                  <m:e>
                    <m:groupChr>
                      <m:groupChrPr>
                        <m:ctrlPr>
                          <w:rPr>
                            <w:rFonts w:ascii="Cambria Math" w:hAnsi="Cambria Math"/>
                            <w:color w:val="000000" w:themeColor="text1"/>
                          </w:rPr>
                        </m:ctrlPr>
                      </m:groupChrPr>
                      <m:e>
                        <m:sSub>
                          <m:sSubPr>
                            <m:ctrlPr>
                              <w:rPr>
                                <w:rFonts w:ascii="Cambria Math" w:hAnsi="Cambria Math"/>
                                <w:i/>
                                <w:color w:val="000000" w:themeColor="text1"/>
                              </w:rPr>
                            </m:ctrlPr>
                          </m:sSubPr>
                          <m:e>
                            <m:r>
                              <w:rPr>
                                <w:rFonts w:ascii="Cambria Math" w:hAnsi="Cambria Math"/>
                                <w:color w:val="000000" w:themeColor="text1"/>
                              </w:rPr>
                              <m:t>D</m:t>
                            </m:r>
                            <m:ctrlPr>
                              <w:rPr>
                                <w:rFonts w:ascii="Cambria Math" w:hAnsi="Cambria Math"/>
                                <w:color w:val="000000" w:themeColor="text1"/>
                              </w:rPr>
                            </m:ctrlPr>
                          </m:e>
                          <m:sub>
                            <m:r>
                              <w:rPr>
                                <w:rFonts w:ascii="Cambria Math" w:hAnsi="Cambria Math"/>
                                <w:color w:val="000000" w:themeColor="text1"/>
                              </w:rPr>
                              <m:t>KL</m:t>
                            </m:r>
                          </m:sub>
                        </m:sSub>
                        <m:d>
                          <m:dPr>
                            <m:ctrlPr>
                              <w:rPr>
                                <w:rFonts w:ascii="Cambria Math" w:hAnsi="Cambria Math"/>
                                <w:color w:val="000000" w:themeColor="text1"/>
                              </w:rPr>
                            </m:ctrlPr>
                          </m:dPr>
                          <m:e>
                            <m:r>
                              <w:rPr>
                                <w:rStyle w:val="ac"/>
                                <w:rFonts w:ascii="Cambria Math" w:hAnsi="Cambria Math"/>
                                <w:color w:val="000000" w:themeColor="text1"/>
                              </w:rPr>
                              <m:t>p</m:t>
                            </m:r>
                            <m:d>
                              <m:dPr>
                                <m:ctrlPr>
                                  <w:rPr>
                                    <w:rStyle w:val="ac"/>
                                    <w:rFonts w:ascii="Cambria Math" w:hAnsi="Cambria Math"/>
                                    <w:color w:val="000000" w:themeColor="text1"/>
                                  </w:rPr>
                                </m:ctrlPr>
                              </m:dPr>
                              <m:e>
                                <m:r>
                                  <w:rPr>
                                    <w:rStyle w:val="ac"/>
                                    <w:rFonts w:ascii="Cambria Math" w:hAnsi="Cambria Math"/>
                                    <w:color w:val="000000" w:themeColor="text1"/>
                                  </w:rPr>
                                  <m:t>s</m:t>
                                </m:r>
                                <m:ctrlPr>
                                  <w:rPr>
                                    <w:rStyle w:val="ac"/>
                                    <w:rFonts w:ascii="Cambria Math" w:hAnsi="Cambria Math"/>
                                    <w:i/>
                                    <w:color w:val="000000" w:themeColor="text1"/>
                                  </w:rPr>
                                </m:ctrlPr>
                              </m:e>
                            </m:d>
                            <m:ctrlPr>
                              <w:rPr>
                                <w:rStyle w:val="ac"/>
                                <w:rFonts w:ascii="Cambria Math" w:hAnsi="Cambria Math"/>
                                <w:color w:val="000000" w:themeColor="text1"/>
                              </w:rPr>
                            </m:ctrlPr>
                          </m:e>
                          <m:e>
                            <m:r>
                              <w:rPr>
                                <w:rFonts w:ascii="Cambria Math" w:hAnsi="Cambria Math"/>
                              </w:rPr>
                              <m:t>p</m:t>
                            </m:r>
                            <m:d>
                              <m:dPr>
                                <m:ctrlPr>
                                  <w:rPr>
                                    <w:rFonts w:ascii="Cambria Math" w:hAnsi="Cambria Math"/>
                                  </w:rPr>
                                </m:ctrlPr>
                              </m:dPr>
                              <m:e>
                                <m:r>
                                  <w:rPr>
                                    <w:rFonts w:ascii="Cambria Math" w:hAnsi="Cambria Math"/>
                                  </w:rPr>
                                  <m:t>s</m:t>
                                </m:r>
                              </m:e>
                              <m:e>
                                <m:r>
                                  <w:rPr>
                                    <w:rFonts w:ascii="Cambria Math" w:hAnsi="Cambria Math"/>
                                  </w:rPr>
                                  <m:t>o</m:t>
                                </m:r>
                                <m:ctrlPr>
                                  <w:rPr>
                                    <w:rFonts w:ascii="Cambria Math" w:hAnsi="Cambria Math"/>
                                    <w:i/>
                                  </w:rPr>
                                </m:ctrlPr>
                              </m:e>
                            </m:d>
                            <m:ctrlPr>
                              <w:rPr>
                                <w:rFonts w:ascii="Cambria Math" w:hAnsi="Cambria Math"/>
                                <w:i/>
                                <w:color w:val="000000" w:themeColor="text1"/>
                              </w:rPr>
                            </m:ctrlPr>
                          </m:e>
                        </m:d>
                      </m:e>
                    </m:groupChr>
                    <m:ctrlPr>
                      <w:rPr>
                        <w:rFonts w:ascii="Cambria Math" w:hAnsi="Cambria Math"/>
                        <w:i/>
                        <w:color w:val="000000" w:themeColor="text1"/>
                      </w:rPr>
                    </m:ctrlPr>
                  </m:e>
                  <m:lim>
                    <m:argPr>
                      <m:argSz m:val="1"/>
                    </m:argPr>
                    <m:r>
                      <w:rPr>
                        <w:rFonts w:ascii="Cambria Math" w:hAnsi="Cambria Math"/>
                        <w:color w:val="000000" w:themeColor="text1"/>
                      </w:rPr>
                      <m:t>KLD</m:t>
                    </m:r>
                  </m:lim>
                </m:limLow>
                <m:r>
                  <w:rPr>
                    <w:rFonts w:ascii="Cambria Math" w:hAnsi="Cambria Math"/>
                    <w:color w:val="000000" w:themeColor="text1"/>
                  </w:rPr>
                  <m:t>+</m:t>
                </m:r>
                <m:limLow>
                  <m:limLowPr>
                    <m:ctrlPr>
                      <w:rPr>
                        <w:rFonts w:ascii="Cambria Math" w:hAnsi="Cambria Math"/>
                        <w:i/>
                        <w:color w:val="000000" w:themeColor="text1"/>
                      </w:rPr>
                    </m:ctrlPr>
                  </m:limLowPr>
                  <m:e>
                    <m:groupChr>
                      <m:groupChrPr>
                        <m:ctrlPr>
                          <w:rPr>
                            <w:rFonts w:ascii="Cambria Math" w:hAnsi="Cambria Math"/>
                            <w:i/>
                            <w:color w:val="000000" w:themeColor="text1"/>
                          </w:rPr>
                        </m:ctrlPr>
                      </m:groupChrPr>
                      <m:e>
                        <m:sSub>
                          <m:sSubPr>
                            <m:ctrlPr>
                              <w:rPr>
                                <w:rFonts w:ascii="Cambria Math" w:hAnsi="Cambria Math"/>
                                <w:i/>
                                <w:color w:val="000000" w:themeColor="text1"/>
                              </w:rPr>
                            </m:ctrlPr>
                          </m:sSubPr>
                          <m:e>
                            <m:r>
                              <w:rPr>
                                <w:rFonts w:ascii="Cambria Math" w:hAnsi="Cambria Math"/>
                                <w:color w:val="000000" w:themeColor="text1"/>
                              </w:rPr>
                              <m:t>D</m:t>
                            </m:r>
                          </m:e>
                          <m:sub>
                            <m:r>
                              <w:rPr>
                                <w:rFonts w:ascii="Cambria Math" w:hAnsi="Cambria Math"/>
                                <w:color w:val="000000" w:themeColor="text1"/>
                              </w:rPr>
                              <m:t>KL</m:t>
                            </m:r>
                          </m:sub>
                        </m:sSub>
                        <m:d>
                          <m:dPr>
                            <m:ctrlPr>
                              <w:rPr>
                                <w:rFonts w:ascii="Cambria Math" w:hAnsi="Cambria Math"/>
                                <w:i/>
                                <w:color w:val="000000" w:themeColor="text1"/>
                              </w:rPr>
                            </m:ctrlPr>
                          </m:dPr>
                          <m:e>
                            <m:r>
                              <w:rPr>
                                <w:rFonts w:ascii="Cambria Math" w:hAnsi="Cambria Math"/>
                              </w:rPr>
                              <m:t>p</m:t>
                            </m:r>
                            <m:d>
                              <m:dPr>
                                <m:ctrlPr>
                                  <w:rPr>
                                    <w:rFonts w:ascii="Cambria Math" w:hAnsi="Cambria Math"/>
                                  </w:rPr>
                                </m:ctrlPr>
                              </m:dPr>
                              <m:e>
                                <m:r>
                                  <w:rPr>
                                    <w:rFonts w:ascii="Cambria Math" w:hAnsi="Cambria Math"/>
                                  </w:rPr>
                                  <m:t>s</m:t>
                                </m:r>
                              </m:e>
                              <m:e>
                                <m:r>
                                  <w:rPr>
                                    <w:rFonts w:ascii="Cambria Math" w:hAnsi="Cambria Math"/>
                                  </w:rPr>
                                  <m:t>o</m:t>
                                </m:r>
                                <m:ctrlPr>
                                  <w:rPr>
                                    <w:rFonts w:ascii="Cambria Math" w:hAnsi="Cambria Math"/>
                                    <w:i/>
                                  </w:rPr>
                                </m:ctrlPr>
                              </m:e>
                            </m:d>
                            <m:r>
                              <w:rPr>
                                <w:rStyle w:val="ac"/>
                                <w:rFonts w:ascii="Cambria Math" w:hAnsi="Cambria Math"/>
                                <w:color w:val="000000" w:themeColor="text1"/>
                              </w:rPr>
                              <m:t>|</m:t>
                            </m:r>
                            <m:r>
                              <w:rPr>
                                <w:rFonts w:ascii="Cambria Math" w:hAnsi="Cambria Math"/>
                              </w:rPr>
                              <m:t>p</m:t>
                            </m:r>
                            <m:d>
                              <m:dPr>
                                <m:ctrlPr>
                                  <w:rPr>
                                    <w:rFonts w:ascii="Cambria Math" w:hAnsi="Cambria Math"/>
                                    <w:i/>
                                  </w:rPr>
                                </m:ctrlPr>
                              </m:dPr>
                              <m:e>
                                <m:r>
                                  <w:rPr>
                                    <w:rFonts w:ascii="Cambria Math" w:hAnsi="Cambria Math"/>
                                  </w:rPr>
                                  <m:t>s</m:t>
                                </m:r>
                              </m:e>
                            </m:d>
                          </m:e>
                        </m:d>
                      </m:e>
                    </m:groupChr>
                  </m:e>
                  <m:lim>
                    <m:argPr>
                      <m:argSz m:val="1"/>
                    </m:argPr>
                    <m:r>
                      <w:rPr>
                        <w:rFonts w:ascii="Cambria Math" w:hAnsi="Cambria Math"/>
                        <w:color w:val="000000" w:themeColor="text1"/>
                      </w:rPr>
                      <m:t>BS</m:t>
                    </m:r>
                  </m:lim>
                </m:limLow>
              </m:oMath>
            </m:oMathPara>
          </w:p>
        </w:tc>
        <w:tc>
          <w:tcPr>
            <w:tcW w:w="3594" w:type="dxa"/>
          </w:tcPr>
          <w:p w14:paraId="04B842B2" w14:textId="77777777" w:rsidR="00CF197C" w:rsidRPr="000B70BA" w:rsidRDefault="00CF197C" w:rsidP="002E3617">
            <w:r w:rsidRPr="0068564B">
              <w:t>The total information gained: the sum of the reduction in uncertainty (</w:t>
            </w:r>
            <m:oMath>
              <m:r>
                <w:rPr>
                  <w:rFonts w:ascii="Cambria Math" w:hAnsi="Cambria Math"/>
                  <w:color w:val="000000" w:themeColor="text1"/>
                  <w:szCs w:val="21"/>
                </w:rPr>
                <m:t>KLD</m:t>
              </m:r>
            </m:oMath>
            <w:r w:rsidRPr="0068564B">
              <w:t>) plus the surprise from changing prior beliefs (</w:t>
            </w:r>
            <m:oMath>
              <m:r>
                <w:rPr>
                  <w:rFonts w:ascii="Cambria Math" w:hAnsi="Cambria Math"/>
                  <w:color w:val="000000" w:themeColor="text1"/>
                </w:rPr>
                <m:t>BS</m:t>
              </m:r>
            </m:oMath>
            <w:r w:rsidRPr="0068564B">
              <w:t xml:space="preserve">). </w:t>
            </w:r>
            <w:r>
              <w:rPr>
                <w:rFonts w:hint="eastAsia"/>
              </w:rPr>
              <w:t>It</w:t>
            </w:r>
            <w:r w:rsidRPr="0068564B">
              <w:t xml:space="preserve"> exhibits an inverted-U relationship with Shannon surprise </w:t>
            </w:r>
            <m:oMath>
              <m:r>
                <w:rPr>
                  <w:rFonts w:ascii="Cambria Math" w:hAnsi="Cambria Math"/>
                  <w:color w:val="000000" w:themeColor="text1"/>
                  <w:szCs w:val="21"/>
                </w:rPr>
                <m:t>S</m:t>
              </m:r>
            </m:oMath>
            <w:r w:rsidRPr="0068564B">
              <w:t>.</w:t>
            </w:r>
          </w:p>
        </w:tc>
        <w:tc>
          <w:tcPr>
            <w:tcW w:w="3595" w:type="dxa"/>
          </w:tcPr>
          <w:p w14:paraId="2BE35C77" w14:textId="6FDE01A1" w:rsidR="00CF197C" w:rsidRPr="009B4EF3" w:rsidRDefault="00CF197C" w:rsidP="002E3617">
            <w:r w:rsidRPr="009B4EF3">
              <w:t xml:space="preserve">The </w:t>
            </w:r>
            <w:r>
              <w:t>surprise</w:t>
            </w:r>
            <w:r w:rsidRPr="009B4EF3">
              <w:t xml:space="preserve"> level at</w:t>
            </w:r>
            <w:r>
              <w:rPr>
                <w:rFonts w:hint="eastAsia"/>
              </w:rPr>
              <w:t xml:space="preserve"> which</w:t>
            </w:r>
            <w:r w:rsidRPr="009B4EF3">
              <w:t xml:space="preserve"> </w:t>
            </w:r>
            <m:oMath>
              <m:r>
                <w:rPr>
                  <w:rFonts w:ascii="Cambria Math" w:hAnsi="Cambria Math"/>
                  <w:color w:val="000000" w:themeColor="text1"/>
                </w:rPr>
                <m:t>IG</m:t>
              </m:r>
            </m:oMath>
            <w:r>
              <w:rPr>
                <w:rFonts w:hint="eastAsia"/>
                <w:color w:val="000000" w:themeColor="text1"/>
              </w:rPr>
              <w:t xml:space="preserve"> </w:t>
            </w:r>
            <w:r>
              <w:t>peaks</w:t>
            </w:r>
            <w:r>
              <w:rPr>
                <w:rFonts w:hint="eastAsia"/>
              </w:rPr>
              <w:t xml:space="preserve"> is referre</w:t>
            </w:r>
            <w:r w:rsidRPr="009B4EF3">
              <w:t xml:space="preserve">d </w:t>
            </w:r>
            <w:r>
              <w:rPr>
                <w:rFonts w:hint="eastAsia"/>
              </w:rPr>
              <w:t xml:space="preserve">to as </w:t>
            </w:r>
            <w:r w:rsidRPr="009B4EF3">
              <w:t>optimal</w:t>
            </w:r>
            <w:r>
              <w:t xml:space="preserve">. </w:t>
            </w:r>
            <w:r w:rsidRPr="00007948">
              <w:t>Sustained creative inquiry is made possible by fluctuations in uncertainty around this optimal surprise,</w:t>
            </w:r>
            <w:r>
              <w:rPr>
                <w:rFonts w:hint="eastAsia"/>
              </w:rPr>
              <w:t xml:space="preserve"> driven by</w:t>
            </w:r>
            <w:r w:rsidRPr="00007948">
              <w:t xml:space="preserve"> the inter</w:t>
            </w:r>
            <w:r>
              <w:rPr>
                <w:rFonts w:hint="eastAsia"/>
              </w:rPr>
              <w:t>play</w:t>
            </w:r>
            <w:r w:rsidRPr="00007948">
              <w:t xml:space="preserve"> </w:t>
            </w:r>
            <w:r>
              <w:rPr>
                <w:rFonts w:hint="eastAsia"/>
              </w:rPr>
              <w:t xml:space="preserve">of </w:t>
            </w:r>
            <w:r w:rsidRPr="00007948">
              <w:t>diversive and specific curiosity</w:t>
            </w:r>
            <w:r>
              <w:rPr>
                <w:rFonts w:hint="eastAsia"/>
              </w:rPr>
              <w:t>.</w:t>
            </w:r>
            <w:r>
              <w:fldChar w:fldCharType="begin"/>
            </w:r>
            <w:r w:rsidR="003D6A2E">
              <w:instrText xml:space="preserve"> ADDIN ZOTERO_ITEM CSL_CITATION {"citationID":"D8RkiEmZ","properties":{"formattedCitation":"\\super 1\\nosupersub{}","plainCitation":"1","noteIndex":0},"citationItems":[{"id":3699,"uris":["http://zotero.org/users/11642813/items/JCSMLJRY"],"itemData":{"id":3699,"type":"article-journal","abstract":"Epistemic emotions, such as curiosity and interest, drive the inquiry process. This study proposes a novel formulation of these emotions using two types of information gain derived from the principle of free energy minimization: Kullback–Leibler divergence (KLD), representing free energy reduction through recognition, and Bayesian surprise (BS), representing free energy reduction via Bayesian updating. Conventional Gaussian models predict an infinite divergence in information gain (KLD and BS) as prediction error increases, which contradicts the known limits of human cognitive resources. The key novelty of this study lies in a simple yet impactful modification: incorporating a uniform distribution into the Gaussian likelihood function to model neural activity under conditions of large prediction error. This modification yields an inverted U-shaped relationship between prediction error and both KLD and BS, producing a finite peak in information gain that better reflects cognitive realism. Based on this convexity, we propose that alternating the maximization of BS and KLD generates an ideal inquiry cycle that fluctuates around an optimal arousal level, with curiosity and interest driving this process. We further analyze how prediction uncertainty (prior variance) and observation uncertainty (likelihood variance) affect the peak of information gain. The results suggest that greater prediction uncertainty (reflecting open-mindedness) and lower observation uncertainty (indicating focused observation) promote higher information gains through broader exploration. This mathematical framework integrates the brain's free energy principle with arousal potential theory, providing a unified explanation of the Wundt curve as an information gain function and proposing an ideal inquiry process driven by epistemic emotions.","container-title":"Frontiers in Psychology","DOI":"10.3389/fpsyg.2025.1438080","ISSN":"1664-1078","journalAbbreviation":"Front. Psychol.","language":"English","publisher":"Frontiers","source":"Frontiers","title":"Modeling the arousal potential of epistemic emotions using Bayesian information gain: a framework for inquiry cycles driven by free energy fluctuations","title-short":"Modeling the arousal potential of epistemic emotions using Bayesian information gain","URL":"https://www.frontiersin.org/journals/psychology/articles/10.3389/fpsyg.2025.1438080/full","volume":"16","author":[{"family":"Yanagisawa","given":"Hideyoshi"},{"family":"Honda","given":"Shimon"}],"accessed":{"date-parts":[["2025",5,21]]},"issued":{"date-parts":[["2025",5,13]]}}}],"schema":"https://github.com/citation-style-language/schema/raw/master/csl-citation.json"} </w:instrText>
            </w:r>
            <w:r>
              <w:fldChar w:fldCharType="separate"/>
            </w:r>
            <w:r w:rsidRPr="00717C77">
              <w:rPr>
                <w:rFonts w:cs="Times New Roman"/>
                <w:kern w:val="0"/>
                <w:vertAlign w:val="superscript"/>
              </w:rPr>
              <w:t>1</w:t>
            </w:r>
            <w:r>
              <w:fldChar w:fldCharType="end"/>
            </w:r>
          </w:p>
        </w:tc>
      </w:tr>
    </w:tbl>
    <w:p w14:paraId="12256178" w14:textId="04F7871B" w:rsidR="008E3FC8" w:rsidRDefault="008E3FC8" w:rsidP="008E3FC8">
      <w:pPr>
        <w:rPr>
          <w:b/>
          <w:bCs/>
        </w:rPr>
      </w:pPr>
      <w:r>
        <w:rPr>
          <w:b/>
          <w:bCs/>
        </w:rPr>
        <w:br w:type="page"/>
      </w:r>
    </w:p>
    <w:p w14:paraId="23C3E771" w14:textId="1EE3544A" w:rsidR="005136FB" w:rsidRPr="008E3FC8" w:rsidRDefault="00BF0274" w:rsidP="008E3FC8">
      <w:pPr>
        <w:pStyle w:val="a3"/>
        <w:numPr>
          <w:ilvl w:val="0"/>
          <w:numId w:val="17"/>
        </w:numPr>
        <w:ind w:leftChars="0"/>
        <w:rPr>
          <w:b/>
          <w:bCs/>
        </w:rPr>
      </w:pPr>
      <w:r w:rsidRPr="008E3FC8">
        <w:rPr>
          <w:rFonts w:hint="eastAsia"/>
          <w:b/>
          <w:bCs/>
        </w:rPr>
        <w:lastRenderedPageBreak/>
        <w:t>EEG data analysis</w:t>
      </w:r>
      <w:bookmarkEnd w:id="0"/>
    </w:p>
    <w:p w14:paraId="04E2E440" w14:textId="77777777" w:rsidR="005136FB" w:rsidRDefault="001F5ECC" w:rsidP="005136FB">
      <w:pPr>
        <w:pStyle w:val="a3"/>
        <w:numPr>
          <w:ilvl w:val="1"/>
          <w:numId w:val="14"/>
        </w:numPr>
        <w:ind w:leftChars="0" w:left="426" w:hanging="425"/>
        <w:rPr>
          <w:b/>
          <w:bCs/>
        </w:rPr>
      </w:pPr>
      <w:r w:rsidRPr="005136FB">
        <w:rPr>
          <w:rFonts w:hint="eastAsia"/>
          <w:b/>
          <w:bCs/>
        </w:rPr>
        <w:t>Preprocessing</w:t>
      </w:r>
    </w:p>
    <w:p w14:paraId="1F7C6562" w14:textId="03294C19" w:rsidR="001F5ECC" w:rsidRPr="005136FB" w:rsidRDefault="00BF0274" w:rsidP="005136FB">
      <w:pPr>
        <w:pStyle w:val="a3"/>
        <w:ind w:leftChars="0" w:left="426"/>
        <w:rPr>
          <w:b/>
          <w:bCs/>
        </w:rPr>
      </w:pPr>
      <w:r w:rsidRPr="005136FB">
        <w:rPr>
          <w:rFonts w:cs="Times New Roman"/>
        </w:rPr>
        <w:t xml:space="preserve">The </w:t>
      </w:r>
      <w:r w:rsidRPr="005136FB">
        <w:rPr>
          <w:rFonts w:cs="Times New Roman" w:hint="eastAsia"/>
        </w:rPr>
        <w:t xml:space="preserve">EEG </w:t>
      </w:r>
      <w:r w:rsidRPr="005136FB">
        <w:rPr>
          <w:rFonts w:cs="Times New Roman"/>
        </w:rPr>
        <w:t xml:space="preserve">data </w:t>
      </w:r>
      <w:r w:rsidR="00931B30" w:rsidRPr="005136FB">
        <w:rPr>
          <w:rFonts w:cs="Times New Roman"/>
        </w:rPr>
        <w:t>acquired</w:t>
      </w:r>
      <w:r w:rsidR="00931B30" w:rsidRPr="005136FB">
        <w:rPr>
          <w:rFonts w:cs="Times New Roman" w:hint="eastAsia"/>
        </w:rPr>
        <w:t xml:space="preserve"> from the Pre and Post phases </w:t>
      </w:r>
      <w:r w:rsidRPr="005136FB">
        <w:rPr>
          <w:rFonts w:cs="Times New Roman"/>
        </w:rPr>
        <w:t>were analy</w:t>
      </w:r>
      <w:r w:rsidR="00373C76">
        <w:rPr>
          <w:rFonts w:cs="Times New Roman" w:hint="eastAsia"/>
        </w:rPr>
        <w:t>z</w:t>
      </w:r>
      <w:r w:rsidRPr="005136FB">
        <w:rPr>
          <w:rFonts w:cs="Times New Roman"/>
        </w:rPr>
        <w:t>ed offline using MATLAB 2021b and EEGLAB</w:t>
      </w:r>
      <w:r w:rsidR="004A4E91" w:rsidRPr="005136FB">
        <w:rPr>
          <w:rFonts w:eastAsia="Times New Roman" w:cs="Times New Roman"/>
        </w:rPr>
        <w:fldChar w:fldCharType="begin"/>
      </w:r>
      <w:r w:rsidR="003D6A2E">
        <w:rPr>
          <w:rFonts w:eastAsia="Times New Roman" w:cs="Times New Roman"/>
        </w:rPr>
        <w:instrText xml:space="preserve"> ADDIN ZOTERO_ITEM CSL_CITATION {"citationID":"RQUrmgOV","properties":{"formattedCitation":"\\super 3\\nosupersub{}","plainCitation":"3","noteIndex":0},"citationItems":[{"id":769,"uris":["http://zotero.org/users/11642813/items/GZ7RVBG7"],"itemData":{"id":769,"type":"article-journal","abstract":"We have developed a toolbox and graphic user interface, EEGLAB, running under the crossplatform MATLAB environment (The Math-works, Inc.) for processing collections of single-trial and/or averaged EEG data of any number of channels. Available functions include EEG data, channel and event information importing, data visualization (scrolling, scalp map and dipole model plotting, plus multi-trial ERP-image plots), preprocessing (including artifact rejection, filtering, epoch selection, and averaging), independent component analysis (ICA) and time/frequency decompositions including channel and component cross-coherence supported by bootstrap statistical methods based on data resampling. EEGLAB functions are organized into three layers. Top-layer functions allow users to interact with the data through the graphic in-terface without needing to use MATLAB syntax. Menu options allow users to tune the behavior of EEGLAB to available memory. Middle-layer functions allow users to customize data processing using command history and interactive 'pop' functions. Experienced MATLAB users can use EEGLAB data structures and stand-alone signal processing functions to write custom and/or batch analysis scripts. Extensive function help and tutorial information are included. A 'plug-in' facility allows easy incorporation of new EEG modules into the main menu. EEGLAB is freely available (http://www.sccn.ucsd.edu/eeglab/) under the GNU public license for noncommercial use and open source development, together with sample data, user tutorial and extensive documentation.","container-title":"Journal of Neuroscience Methods","DOI":"10.1016/j.jneumeth.2003.10.009","page":"9-21","title":"EEGLAB: an open source toolbox for analysis of single-trial EEG dynamics including independent component analysis","volume":"134","author":[{"family":"Delorme","given":"Arnaud"},{"family":"Makeig","given":"Scott"}],"issued":{"date-parts":[["2004"]]}}}],"schema":"https://github.com/citation-style-language/schema/raw/master/csl-citation.json"} </w:instrText>
      </w:r>
      <w:r w:rsidR="004A4E91" w:rsidRPr="005136FB">
        <w:rPr>
          <w:rFonts w:eastAsia="Times New Roman" w:cs="Times New Roman"/>
        </w:rPr>
        <w:fldChar w:fldCharType="separate"/>
      </w:r>
      <w:r w:rsidR="003D6A2E" w:rsidRPr="003D6A2E">
        <w:rPr>
          <w:rFonts w:cs="Times New Roman"/>
          <w:kern w:val="0"/>
          <w:vertAlign w:val="superscript"/>
        </w:rPr>
        <w:t>3</w:t>
      </w:r>
      <w:r w:rsidR="004A4E91" w:rsidRPr="005136FB">
        <w:rPr>
          <w:rFonts w:eastAsia="Times New Roman" w:cs="Times New Roman"/>
        </w:rPr>
        <w:fldChar w:fldCharType="end"/>
      </w:r>
      <w:r w:rsidRPr="005136FB">
        <w:rPr>
          <w:rFonts w:cs="Times New Roman"/>
        </w:rPr>
        <w:t xml:space="preserve"> version 202</w:t>
      </w:r>
      <w:r w:rsidRPr="005136FB">
        <w:rPr>
          <w:rFonts w:eastAsia="游明朝" w:cs="Times New Roman"/>
        </w:rPr>
        <w:t>3</w:t>
      </w:r>
      <w:r w:rsidRPr="005136FB">
        <w:rPr>
          <w:rFonts w:cs="Times New Roman"/>
        </w:rPr>
        <w:t xml:space="preserve">.1. Recorded EEG signals were </w:t>
      </w:r>
      <w:r w:rsidRPr="005136FB">
        <w:rPr>
          <w:rFonts w:eastAsia="游明朝" w:cs="Times New Roman"/>
        </w:rPr>
        <w:t>high</w:t>
      </w:r>
      <w:r w:rsidRPr="005136FB">
        <w:rPr>
          <w:rFonts w:cs="Times New Roman"/>
        </w:rPr>
        <w:t xml:space="preserve">-pass filtered </w:t>
      </w:r>
      <w:r w:rsidRPr="005136FB">
        <w:rPr>
          <w:rFonts w:eastAsia="游明朝" w:cs="Times New Roman"/>
        </w:rPr>
        <w:t>at</w:t>
      </w:r>
      <w:r w:rsidRPr="005136FB">
        <w:rPr>
          <w:rFonts w:cs="Times New Roman"/>
        </w:rPr>
        <w:t xml:space="preserve"> </w:t>
      </w:r>
      <w:r w:rsidRPr="005136FB">
        <w:rPr>
          <w:rFonts w:eastAsia="游明朝" w:cs="Times New Roman"/>
        </w:rPr>
        <w:t>1</w:t>
      </w:r>
      <w:r w:rsidRPr="005136FB">
        <w:rPr>
          <w:rFonts w:cs="Times New Roman"/>
        </w:rPr>
        <w:t xml:space="preserve"> Hz using the FIR filter (EEGLAB function “pop</w:t>
      </w:r>
      <w:r w:rsidRPr="005136FB">
        <w:rPr>
          <w:rFonts w:cs="Times New Roman"/>
          <w:color w:val="222222"/>
          <w:u w:val="single"/>
          <w:shd w:val="clear" w:color="auto" w:fill="FFFFFF"/>
        </w:rPr>
        <w:t>_</w:t>
      </w:r>
      <w:r w:rsidRPr="005136FB">
        <w:rPr>
          <w:rFonts w:cs="Times New Roman"/>
        </w:rPr>
        <w:t>eegfiltnew.m”)</w:t>
      </w:r>
      <w:r w:rsidRPr="005136FB">
        <w:rPr>
          <w:rFonts w:eastAsia="游明朝" w:cs="Times New Roman"/>
        </w:rPr>
        <w:t>,</w:t>
      </w:r>
      <w:r w:rsidRPr="005136FB">
        <w:rPr>
          <w:rFonts w:eastAsia="游明朝" w:cs="Times New Roman" w:hint="eastAsia"/>
        </w:rPr>
        <w:t xml:space="preserve"> </w:t>
      </w:r>
      <w:r w:rsidRPr="005136FB">
        <w:rPr>
          <w:rFonts w:eastAsia="游明朝" w:cs="Times New Roman"/>
        </w:rPr>
        <w:t>and</w:t>
      </w:r>
      <w:r w:rsidRPr="005136FB">
        <w:rPr>
          <w:rFonts w:cs="Times New Roman"/>
        </w:rPr>
        <w:t xml:space="preserve"> powerline fluctuations at 50 Hz were removed (EEGLAB function “</w:t>
      </w:r>
      <w:r w:rsidRPr="005136FB">
        <w:rPr>
          <w:rFonts w:eastAsia="游明朝" w:cs="Times New Roman"/>
        </w:rPr>
        <w:t>CleanLineNoise</w:t>
      </w:r>
      <w:r w:rsidRPr="005136FB">
        <w:rPr>
          <w:rFonts w:cs="Times New Roman"/>
        </w:rPr>
        <w:t>.m”).</w:t>
      </w:r>
      <w:r w:rsidRPr="005136FB">
        <w:rPr>
          <w:rFonts w:cs="Times New Roman" w:hint="eastAsia"/>
        </w:rPr>
        <w:t xml:space="preserve"> </w:t>
      </w:r>
      <w:r w:rsidR="002A2136" w:rsidRPr="005136FB">
        <w:rPr>
          <w:rFonts w:cs="Times New Roman"/>
        </w:rPr>
        <w:t>If the signals of channels remained flat for longer than 5 seconds or if a channel's correlation with surrounding channels was less than 0.85, the channel was rejected (EEGLAB function “clean_rawdata.m”</w:t>
      </w:r>
      <w:r w:rsidR="002A2136" w:rsidRPr="005136FB">
        <w:rPr>
          <w:rFonts w:cs="Times New Roman" w:hint="eastAsia"/>
        </w:rPr>
        <w:t>,</w:t>
      </w:r>
      <w:r w:rsidR="004A4E91" w:rsidRPr="005136FB">
        <w:rPr>
          <w:rFonts w:cs="Times New Roman"/>
          <w:color w:val="000000"/>
        </w:rPr>
        <w:fldChar w:fldCharType="begin"/>
      </w:r>
      <w:r w:rsidR="003D6A2E">
        <w:rPr>
          <w:rFonts w:cs="Times New Roman"/>
          <w:color w:val="000000"/>
        </w:rPr>
        <w:instrText xml:space="preserve"> ADDIN ZOTERO_ITEM CSL_CITATION {"citationID":"4kClPn7K","properties":{"formattedCitation":"\\super 4\\nosupersub{}","plainCitation":"4","noteIndex":0},"citationItems":[{"id":445,"uris":["http://zotero.org/users/11642813/items/QPGQX35J"],"itemData":{"id":445,"type":"article-journal","abstract":"Goal: We present and evaluate a wearable high-density dry-electrode EEG system and an open-source software framework for online neuroimaging and state classification. Methods: The system integrates a 64-channel dry EEG form factor with wireless data streaming for online analysis. A real-time software framework is applied, including adaptive artifact rejection, cortical source localization, multivariate effective connectivity inference, data visualization, and cognitive state classification from connectivity features using a constrained logistic regression approach (ProxConn). We evaluate the system identification methods on simulated 64-channel EEG data. Then, we evaluate system performance, using ProxConn and a benchmark ERP method, in classifying response errors in nine subjects using the dry EEG system. Results: Simulations yielded high accuracy (AUC = 0.97 ± 0.021) for real-time cortical connectivity estimation. Response error classification using cortical effective connectivity [short-time direct-directed transfer function (sdDTF)] was significantly above chance with similar performance (AUC) for cLORETA (0.74 ± 0.09) and LCMV (0.72 ± 0.08) source localization. Cortical ERP-based classification was equivalent to ProxConn for cLORETA (0.74 ± 0.16) but significantly better for LCMV (0.82 ± 0.12). Conclusion: We demonstrated the feasibility for real-time cortical connectivity analysis and cognitive state classification from high-density wearable dry EEG. Significance: This paper is the first validated application of these methods to 64-channel dry EEG. This study addresses a need for robust real-time measurement and interpretation of complex brain activity in the dynamic environment of the wearable setting. Such advances can have broad impact in research, medicine, and brain-computer interfaces. The pipelines are made freely available in the open-source SIFT and BCILAB toolboxes.","container-title":"IEEE Transactions on Biomedical Engineering","DOI":"10.1109/TBME.2015.2481482","issue":"11","page":"2553-2567","publisher":"IEEE Computer Society","title":"Real-time neuroimaging and cognitive monitoring using wearable dry EEG","volume":"62","author":[{"family":"Mullen","given":"Tim R."},{"family":"Kothe","given":"Christian A.E."},{"family":"Chi","given":"Yu Mike"},{"family":"Ojeda","given":"Alejandro"},{"family":"Kerth","given":"Trevor"},{"family":"Makeig","given":"Scott"},{"family":"Jung","given":"Tzyy Ping"},{"family":"Cauwenberghs","given":"Gert"}],"issued":{"date-parts":[["2015",11]]}}}],"schema":"https://github.com/citation-style-language/schema/raw/master/csl-citation.json"} </w:instrText>
      </w:r>
      <w:r w:rsidR="004A4E91" w:rsidRPr="005136FB">
        <w:rPr>
          <w:rFonts w:cs="Times New Roman"/>
          <w:color w:val="000000"/>
        </w:rPr>
        <w:fldChar w:fldCharType="separate"/>
      </w:r>
      <w:r w:rsidR="003D6A2E" w:rsidRPr="003D6A2E">
        <w:rPr>
          <w:rFonts w:cs="Times New Roman"/>
          <w:kern w:val="0"/>
          <w:vertAlign w:val="superscript"/>
        </w:rPr>
        <w:t>4</w:t>
      </w:r>
      <w:r w:rsidR="004A4E91" w:rsidRPr="005136FB">
        <w:rPr>
          <w:rFonts w:cs="Times New Roman"/>
          <w:color w:val="000000"/>
        </w:rPr>
        <w:fldChar w:fldCharType="end"/>
      </w:r>
      <w:r w:rsidR="002A2136" w:rsidRPr="005136FB">
        <w:rPr>
          <w:rFonts w:cs="Times New Roman"/>
        </w:rPr>
        <w:t>). Additionally, channels where the EEG amplitude exceeded the threshold of 70 µV for more than 50% of the recording time were also removed as bad electrodes. Subsequently, for the remaining electrodes, the continuous data were corrected using the Automatic Subspace Reconstruction (ASR) method (EEGLAB function “clean_rawdata.m”</w:t>
      </w:r>
      <w:r w:rsidR="002A2136" w:rsidRPr="005136FB">
        <w:rPr>
          <w:rFonts w:cs="Times New Roman" w:hint="eastAsia"/>
        </w:rPr>
        <w:t>,</w:t>
      </w:r>
      <w:r w:rsidR="004A4E91" w:rsidRPr="005136FB">
        <w:rPr>
          <w:rFonts w:cs="Times New Roman"/>
          <w:color w:val="000000"/>
        </w:rPr>
        <w:fldChar w:fldCharType="begin"/>
      </w:r>
      <w:r w:rsidR="003D6A2E">
        <w:rPr>
          <w:rFonts w:cs="Times New Roman"/>
          <w:color w:val="000000"/>
        </w:rPr>
        <w:instrText xml:space="preserve"> ADDIN ZOTERO_ITEM CSL_CITATION {"citationID":"g4umI9ja","properties":{"formattedCitation":"\\super 4\\nosupersub{}","plainCitation":"4","noteIndex":0},"citationItems":[{"id":445,"uris":["http://zotero.org/users/11642813/items/QPGQX35J"],"itemData":{"id":445,"type":"article-journal","abstract":"Goal: We present and evaluate a wearable high-density dry-electrode EEG system and an open-source software framework for online neuroimaging and state classification. Methods: The system integrates a 64-channel dry EEG form factor with wireless data streaming for online analysis. A real-time software framework is applied, including adaptive artifact rejection, cortical source localization, multivariate effective connectivity inference, data visualization, and cognitive state classification from connectivity features using a constrained logistic regression approach (ProxConn). We evaluate the system identification methods on simulated 64-channel EEG data. Then, we evaluate system performance, using ProxConn and a benchmark ERP method, in classifying response errors in nine subjects using the dry EEG system. Results: Simulations yielded high accuracy (AUC = 0.97 ± 0.021) for real-time cortical connectivity estimation. Response error classification using cortical effective connectivity [short-time direct-directed transfer function (sdDTF)] was significantly above chance with similar performance (AUC) for cLORETA (0.74 ± 0.09) and LCMV (0.72 ± 0.08) source localization. Cortical ERP-based classification was equivalent to ProxConn for cLORETA (0.74 ± 0.16) but significantly better for LCMV (0.82 ± 0.12). Conclusion: We demonstrated the feasibility for real-time cortical connectivity analysis and cognitive state classification from high-density wearable dry EEG. Significance: This paper is the first validated application of these methods to 64-channel dry EEG. This study addresses a need for robust real-time measurement and interpretation of complex brain activity in the dynamic environment of the wearable setting. Such advances can have broad impact in research, medicine, and brain-computer interfaces. The pipelines are made freely available in the open-source SIFT and BCILAB toolboxes.","container-title":"IEEE Transactions on Biomedical Engineering","DOI":"10.1109/TBME.2015.2481482","issue":"11","page":"2553-2567","publisher":"IEEE Computer Society","title":"Real-time neuroimaging and cognitive monitoring using wearable dry EEG","volume":"62","author":[{"family":"Mullen","given":"Tim R."},{"family":"Kothe","given":"Christian A.E."},{"family":"Chi","given":"Yu Mike"},{"family":"Ojeda","given":"Alejandro"},{"family":"Kerth","given":"Trevor"},{"family":"Makeig","given":"Scott"},{"family":"Jung","given":"Tzyy Ping"},{"family":"Cauwenberghs","given":"Gert"}],"issued":{"date-parts":[["2015",11]]}}}],"schema":"https://github.com/citation-style-language/schema/raw/master/csl-citation.json"} </w:instrText>
      </w:r>
      <w:r w:rsidR="004A4E91" w:rsidRPr="005136FB">
        <w:rPr>
          <w:rFonts w:cs="Times New Roman"/>
          <w:color w:val="000000"/>
        </w:rPr>
        <w:fldChar w:fldCharType="separate"/>
      </w:r>
      <w:r w:rsidR="003D6A2E" w:rsidRPr="003D6A2E">
        <w:rPr>
          <w:rFonts w:cs="Times New Roman"/>
          <w:kern w:val="0"/>
          <w:vertAlign w:val="superscript"/>
        </w:rPr>
        <w:t>4</w:t>
      </w:r>
      <w:r w:rsidR="004A4E91" w:rsidRPr="005136FB">
        <w:rPr>
          <w:rFonts w:cs="Times New Roman"/>
          <w:color w:val="000000"/>
        </w:rPr>
        <w:fldChar w:fldCharType="end"/>
      </w:r>
      <w:r w:rsidR="002A2136" w:rsidRPr="005136FB">
        <w:rPr>
          <w:rFonts w:cs="Times New Roman"/>
        </w:rPr>
        <w:t>). The ASR threshold was set to 20 standard deviations, based on the recommended value range from the EEGLAB website</w:t>
      </w:r>
      <w:r w:rsidR="004A4E91" w:rsidRPr="005136FB">
        <w:rPr>
          <w:rFonts w:cs="Times New Roman" w:hint="eastAsia"/>
        </w:rPr>
        <w:t>.</w:t>
      </w:r>
      <w:r w:rsidR="002A2136" w:rsidRPr="005136FB">
        <w:rPr>
          <w:rFonts w:cs="Times New Roman"/>
        </w:rPr>
        <w:fldChar w:fldCharType="begin"/>
      </w:r>
      <w:r w:rsidR="003D6A2E">
        <w:rPr>
          <w:rFonts w:cs="Times New Roman"/>
        </w:rPr>
        <w:instrText xml:space="preserve"> ADDIN ZOTERO_ITEM CSL_CITATION {"citationID":"jL0KL5gw","properties":{"formattedCitation":"\\super 5\\nosupersub{}","plainCitation":"5","noteIndex":0},"citationItems":[{"id":462,"uris":["http://zotero.org/users/11642813/items/6MITP3YG"],"itemData":{"id":462,"type":"personal_communication","note":"container-title: Center of the Institute for Neural Computation the University of California San Diego","title":"Makoto's preprocessing pipeline","URL":"https://sccn.ucsd.edu/wiki/Makoto's_preprocessing_pipeline"}}],"schema":"https://github.com/citation-style-language/schema/raw/master/csl-citation.json"} </w:instrText>
      </w:r>
      <w:r w:rsidR="002A2136" w:rsidRPr="005136FB">
        <w:rPr>
          <w:rFonts w:cs="Times New Roman"/>
        </w:rPr>
        <w:fldChar w:fldCharType="separate"/>
      </w:r>
      <w:r w:rsidR="003D6A2E" w:rsidRPr="003D6A2E">
        <w:rPr>
          <w:rFonts w:cs="Times New Roman"/>
          <w:kern w:val="0"/>
          <w:vertAlign w:val="superscript"/>
        </w:rPr>
        <w:t>5</w:t>
      </w:r>
      <w:r w:rsidR="002A2136" w:rsidRPr="005136FB">
        <w:rPr>
          <w:rFonts w:cs="Times New Roman"/>
        </w:rPr>
        <w:fldChar w:fldCharType="end"/>
      </w:r>
      <w:r w:rsidR="002A2136" w:rsidRPr="005136FB">
        <w:rPr>
          <w:rFonts w:cs="Times New Roman" w:hint="eastAsia"/>
        </w:rPr>
        <w:t xml:space="preserve"> </w:t>
      </w:r>
      <w:r w:rsidRPr="005136FB">
        <w:rPr>
          <w:rFonts w:cs="Times New Roman"/>
        </w:rPr>
        <w:t>The removed channels were interpolated using the spherical spline interpolation algorithm (EEGLAB function “pop</w:t>
      </w:r>
      <w:r w:rsidRPr="005136FB">
        <w:rPr>
          <w:rFonts w:cs="Times New Roman"/>
          <w:color w:val="222222"/>
          <w:u w:val="single"/>
          <w:shd w:val="clear" w:color="auto" w:fill="FFFFFF"/>
        </w:rPr>
        <w:t>_</w:t>
      </w:r>
      <w:r w:rsidRPr="005136FB">
        <w:rPr>
          <w:rFonts w:cs="Times New Roman"/>
          <w:color w:val="222222"/>
          <w:shd w:val="clear" w:color="auto" w:fill="FFFFFF"/>
        </w:rPr>
        <w:t>interp</w:t>
      </w:r>
      <w:r w:rsidRPr="005136FB">
        <w:rPr>
          <w:rFonts w:cs="Times New Roman"/>
        </w:rPr>
        <w:t>.m”). EEG data were then re-referenced to common average reference</w:t>
      </w:r>
      <w:r w:rsidR="00495B48" w:rsidRPr="005136FB">
        <w:rPr>
          <w:rFonts w:cs="Times New Roman"/>
        </w:rPr>
        <w:t xml:space="preserve"> </w:t>
      </w:r>
      <w:r w:rsidRPr="005136FB">
        <w:rPr>
          <w:rFonts w:cs="Times New Roman"/>
        </w:rPr>
        <w:t>(EEGLAB function “</w:t>
      </w:r>
      <w:r w:rsidRPr="005136FB">
        <w:rPr>
          <w:rFonts w:eastAsia="游明朝" w:cs="Times New Roman"/>
        </w:rPr>
        <w:t>fullRankAveRef</w:t>
      </w:r>
      <w:r w:rsidRPr="005136FB">
        <w:rPr>
          <w:rFonts w:cs="Times New Roman"/>
        </w:rPr>
        <w:t>.m”). After that, adaptive mixture ICA (AMICA</w:t>
      </w:r>
      <w:r w:rsidR="002A2136" w:rsidRPr="005136FB">
        <w:rPr>
          <w:rFonts w:cs="Times New Roman" w:hint="eastAsia"/>
        </w:rPr>
        <w:t>,</w:t>
      </w:r>
      <w:r w:rsidR="004A4E91" w:rsidRPr="005136FB">
        <w:rPr>
          <w:rFonts w:cs="Times New Roman"/>
        </w:rPr>
        <w:fldChar w:fldCharType="begin"/>
      </w:r>
      <w:r w:rsidR="003D6A2E">
        <w:rPr>
          <w:rFonts w:cs="Times New Roman"/>
        </w:rPr>
        <w:instrText xml:space="preserve"> ADDIN ZOTERO_ITEM CSL_CITATION {"citationID":"hMf5JufX","properties":{"formattedCitation":"\\super 6\\nosupersub{}","plainCitation":"6","noteIndex":0},"citationItems":[{"id":262,"uris":["http://zotero.org/users/11642813/items/56SCES2N"],"itemData":{"id":262,"type":"article-journal","abstract":"Reshet ov LA St at ist ical and Informat ion T heoret ic Approaches t o Model Select ion and Averaging Леонид Решетов Local influence and leverage in ellipt ical nonlinear regression models Francisco Cysneiros Download a PDF Pack of t he best relat ed papers </w:instrText>
      </w:r>
      <w:r w:rsidR="003D6A2E">
        <w:rPr>
          <w:rFonts w:cs="Times New Roman"/>
        </w:rPr>
        <w:instrText xml:space="preserve"> Abstract We derive an asymptotic Newton algorithm for Quasi Maximum Likelihood estimation of the ICA mixture model, using the ordinary gradient and Hessian. The probabilistic mixture framework can accommodate non-stationary environments and arbitrary source densities. We prove asymptotic stability when the source models match the true sources. An application to EEG segmentation is given.","container-title":"Swartz Center for Computational Neuroscience, University of California San Diego, Tech. Rep","title":"AMICA: An Adaptive Mixture of Independent Component Analyzers with Shared Components","author":[{"family":"Palmer","given":"Jason A"},{"family":"Kreut Z-Delgado","given":"Ken"},{"family":"Makeig","given":"Scott"}],"issued":{"date-parts":[["2012"]]}}}],"schema":"https://github.com/citation-style-language/schema/raw/master/csl-citation.json"} </w:instrText>
      </w:r>
      <w:r w:rsidR="004A4E91" w:rsidRPr="005136FB">
        <w:rPr>
          <w:rFonts w:cs="Times New Roman"/>
        </w:rPr>
        <w:fldChar w:fldCharType="separate"/>
      </w:r>
      <w:r w:rsidR="003D6A2E" w:rsidRPr="003D6A2E">
        <w:rPr>
          <w:rFonts w:cs="Times New Roman"/>
          <w:kern w:val="0"/>
          <w:vertAlign w:val="superscript"/>
        </w:rPr>
        <w:t>6</w:t>
      </w:r>
      <w:r w:rsidR="004A4E91" w:rsidRPr="005136FB">
        <w:rPr>
          <w:rFonts w:cs="Times New Roman"/>
        </w:rPr>
        <w:fldChar w:fldCharType="end"/>
      </w:r>
      <w:r w:rsidR="004A4E91" w:rsidRPr="005136FB">
        <w:rPr>
          <w:rFonts w:hint="eastAsia"/>
          <w:color w:val="000000"/>
        </w:rPr>
        <w:t xml:space="preserve">) </w:t>
      </w:r>
      <w:r w:rsidRPr="005136FB">
        <w:rPr>
          <w:rFonts w:cs="Times New Roman"/>
        </w:rPr>
        <w:t>was applied to EEG data and ICLabel</w:t>
      </w:r>
      <w:r w:rsidRPr="005136FB">
        <w:rPr>
          <w:rFonts w:eastAsia="游明朝" w:cs="Times New Roman"/>
        </w:rPr>
        <w:t xml:space="preserve"> </w:t>
      </w:r>
      <w:r w:rsidRPr="005136FB">
        <w:rPr>
          <w:rFonts w:eastAsia="游明朝" w:cs="Times New Roman" w:hint="eastAsia"/>
        </w:rPr>
        <w:t xml:space="preserve">version 1.4 </w:t>
      </w:r>
      <w:r w:rsidRPr="005136FB">
        <w:rPr>
          <w:rFonts w:cs="Times New Roman"/>
        </w:rPr>
        <w:t>(EEGLAB function “iclabel.m”</w:t>
      </w:r>
      <w:r w:rsidR="00DC4457" w:rsidRPr="005136FB">
        <w:rPr>
          <w:rFonts w:cs="Times New Roman" w:hint="eastAsia"/>
        </w:rPr>
        <w:t>,</w:t>
      </w:r>
      <w:r w:rsidR="004A4E91" w:rsidRPr="005136FB">
        <w:rPr>
          <w:rFonts w:cs="Times New Roman"/>
        </w:rPr>
        <w:fldChar w:fldCharType="begin"/>
      </w:r>
      <w:r w:rsidR="003D6A2E">
        <w:rPr>
          <w:rFonts w:cs="Times New Roman"/>
        </w:rPr>
        <w:instrText xml:space="preserve"> ADDIN ZOTERO_ITEM CSL_CITATION {"citationID":"fJ04QRNS","properties":{"formattedCitation":"\\super 7\\nosupersub{}","plainCitation":"7","noteIndex":0},"citationItems":[{"id":261,"uris":["http://zotero.org/users/11642813/items/6HVA8SCW"],"itemData":{"id":261,"type":"article-journal","abstract":"The electroencephalogram (EEG) provides a non-invasive, minimally restrictive, and relatively low-cost measure of mesoscale brain dynamics with high temporal resolution. Although signals recorded in parallel by multiple, near-adjacent EEG scalp electrode channels are highly-correlated and combine signals from many different sources, biological and non-biological, independent component analysis (ICA) has been shown to isolate the various source generator processes underlying those recordings. Independent components (IC) found by ICA decomposition can be manually inspected, selected, and interpreted, but doing so requires both time and practice as ICs have no order or intrinsic interpretations and therefore require further study of their properties. Alternatively, sufficiently-accurate automated IC classifiers can be used to classify ICs into broad source categories, speeding the analysis of EEG studies with many subjects and enabling the use of ICA decomposition in near-real-time applications. While many such classifiers have been proposed recently, this work presents the ICLabel project comprised of (1) the ICLabel dataset containing spatiotemporal measures for over 200,000 ICs from more than 6000 EEG recordings and matching component labels for over 6000 of those ICs, all using common average reference, (2) the ICLabel website for collecting crowdsourced IC labels and educating EEG researchers and practitioners about IC interpretation, and (3) the automated ICLabel classifier, freely available for MATLAB. The ICLabel classifier improves upon existing methods in two ways: by improving the accuracy of the computed label estimates and by enhancing its computational efficiency. The classifier outperforms or performs comparably to the previous best publicly available automated IC component classification method for all measured IC categories while computing those labels ten times faster than that classifier as shown by a systematic comparison against other publicly available EEG IC classifiers.","container-title":"NeuroImage","DOI":"10.1016/J.NEUROIMAGE.2019.05.026","page":"181-197","publisher":"Academic Press","title":"ICLabel: An automated electroencephalographic independent component classifier, dataset, and website","volume":"198","author":[{"family":"Pion-Tonachini","given":"Luca"},{"family":"Kreutz-Delgado","given":"Ken"},{"family":"Makeig","given":"Scott"}],"issued":{"date-parts":[["2019",9]]}}}],"schema":"https://github.com/citation-style-language/schema/raw/master/csl-citation.json"} </w:instrText>
      </w:r>
      <w:r w:rsidR="004A4E91" w:rsidRPr="005136FB">
        <w:rPr>
          <w:rFonts w:cs="Times New Roman"/>
        </w:rPr>
        <w:fldChar w:fldCharType="separate"/>
      </w:r>
      <w:r w:rsidR="003D6A2E" w:rsidRPr="003D6A2E">
        <w:rPr>
          <w:rFonts w:cs="Times New Roman"/>
          <w:kern w:val="0"/>
          <w:vertAlign w:val="superscript"/>
        </w:rPr>
        <w:t>7</w:t>
      </w:r>
      <w:r w:rsidR="004A4E91" w:rsidRPr="005136FB">
        <w:rPr>
          <w:rFonts w:cs="Times New Roman"/>
        </w:rPr>
        <w:fldChar w:fldCharType="end"/>
      </w:r>
      <w:r w:rsidR="004A4E91" w:rsidRPr="005136FB">
        <w:rPr>
          <w:rFonts w:cs="Times New Roman" w:hint="eastAsia"/>
        </w:rPr>
        <w:t xml:space="preserve">) </w:t>
      </w:r>
      <w:r w:rsidRPr="005136FB">
        <w:rPr>
          <w:rFonts w:cs="Times New Roman"/>
        </w:rPr>
        <w:t>was used to label independent components (ICs) into seven categories (brain, muscle, eye, heart, etc.) automatically.</w:t>
      </w:r>
      <w:r w:rsidR="00DC4457" w:rsidRPr="00DC4457">
        <w:t xml:space="preserve"> </w:t>
      </w:r>
      <w:r w:rsidR="00DC4457" w:rsidRPr="005136FB">
        <w:rPr>
          <w:rFonts w:cs="Times New Roman"/>
        </w:rPr>
        <w:t>After the ICs related to eye blinks were identified through visual inspection by the authors, with reference to the estimated probabilities provided by ICLabel, they were rejected, and the EEG data were subsequently reconstructed.</w:t>
      </w:r>
      <w:r w:rsidR="00A24870" w:rsidRPr="00A24870">
        <w:t xml:space="preserve"> </w:t>
      </w:r>
      <w:r w:rsidR="00A24870" w:rsidRPr="005136FB">
        <w:rPr>
          <w:rFonts w:cs="Times New Roman"/>
        </w:rPr>
        <w:t xml:space="preserve">For both the problem-solving task and the problem-finding task, epochs were extracted from </w:t>
      </w:r>
      <w:r w:rsidR="00931B30">
        <w:t>−</w:t>
      </w:r>
      <w:r w:rsidR="00A24870" w:rsidRPr="005136FB">
        <w:rPr>
          <w:rFonts w:cs="Times New Roman"/>
        </w:rPr>
        <w:t xml:space="preserve">3 s to +1 s relative to the onset of each response input during the divergent thinking phase. Cases where the interval between the end of the previous </w:t>
      </w:r>
      <w:r w:rsidR="00A24870" w:rsidRPr="005136FB">
        <w:rPr>
          <w:rFonts w:cs="Times New Roman" w:hint="eastAsia"/>
        </w:rPr>
        <w:t>re</w:t>
      </w:r>
      <w:r w:rsidR="00A24870" w:rsidRPr="005136FB">
        <w:rPr>
          <w:rFonts w:cs="Times New Roman"/>
        </w:rPr>
        <w:t>s</w:t>
      </w:r>
      <w:r w:rsidR="00A24870" w:rsidRPr="005136FB">
        <w:rPr>
          <w:rFonts w:cs="Times New Roman" w:hint="eastAsia"/>
        </w:rPr>
        <w:t>ponse input</w:t>
      </w:r>
      <w:r w:rsidR="00A24870" w:rsidRPr="005136FB">
        <w:rPr>
          <w:rFonts w:cs="Times New Roman"/>
        </w:rPr>
        <w:t xml:space="preserve"> and the onset of the next response input was less than 3 seconds were excluded from </w:t>
      </w:r>
      <w:r w:rsidR="00A24870" w:rsidRPr="005136FB">
        <w:rPr>
          <w:rFonts w:cs="Times New Roman" w:hint="eastAsia"/>
        </w:rPr>
        <w:t xml:space="preserve">the </w:t>
      </w:r>
      <w:r w:rsidR="00A24870" w:rsidRPr="005136FB">
        <w:rPr>
          <w:rFonts w:cs="Times New Roman"/>
        </w:rPr>
        <w:t xml:space="preserve">analysis, as the thinking time was considered insufficient. Additionally, epochs </w:t>
      </w:r>
      <w:r w:rsidR="00A24870" w:rsidRPr="005136FB">
        <w:rPr>
          <w:rFonts w:cs="Times New Roman" w:hint="eastAsia"/>
        </w:rPr>
        <w:t>where</w:t>
      </w:r>
      <w:r w:rsidR="00A24870" w:rsidRPr="005136FB">
        <w:rPr>
          <w:rFonts w:cs="Times New Roman"/>
        </w:rPr>
        <w:t xml:space="preserve"> the EEG amplitude exceeded the threshold of 70 µV were excluded from </w:t>
      </w:r>
      <w:r w:rsidR="00A24870" w:rsidRPr="005136FB">
        <w:rPr>
          <w:rFonts w:cs="Times New Roman" w:hint="eastAsia"/>
        </w:rPr>
        <w:t xml:space="preserve">the </w:t>
      </w:r>
      <w:r w:rsidR="00A24870" w:rsidRPr="005136FB">
        <w:rPr>
          <w:rFonts w:cs="Times New Roman"/>
        </w:rPr>
        <w:t>analysis.</w:t>
      </w:r>
      <w:r w:rsidR="00931B30" w:rsidRPr="00931B30">
        <w:t xml:space="preserve"> </w:t>
      </w:r>
    </w:p>
    <w:p w14:paraId="298BB1A3" w14:textId="77777777" w:rsidR="005136FB" w:rsidRDefault="001F5ECC" w:rsidP="005136FB">
      <w:pPr>
        <w:pStyle w:val="a3"/>
        <w:numPr>
          <w:ilvl w:val="1"/>
          <w:numId w:val="14"/>
        </w:numPr>
        <w:ind w:leftChars="0" w:left="426" w:hanging="425"/>
        <w:rPr>
          <w:b/>
          <w:bCs/>
        </w:rPr>
      </w:pPr>
      <w:r w:rsidRPr="005136FB">
        <w:rPr>
          <w:rFonts w:hint="eastAsia"/>
          <w:b/>
          <w:bCs/>
        </w:rPr>
        <w:t>Time-frequency analysis</w:t>
      </w:r>
    </w:p>
    <w:p w14:paraId="24738F66" w14:textId="78A69414" w:rsidR="001F5ECC" w:rsidRPr="005136FB" w:rsidRDefault="00931B30" w:rsidP="005136FB">
      <w:pPr>
        <w:pStyle w:val="a3"/>
        <w:ind w:leftChars="0" w:left="426"/>
        <w:rPr>
          <w:b/>
          <w:bCs/>
        </w:rPr>
      </w:pPr>
      <w:r w:rsidRPr="005136FB">
        <w:rPr>
          <w:rFonts w:cs="Times New Roman"/>
        </w:rPr>
        <w:t>For the remaining epochs, to examine the time-frequency representation, a time-frequency analysis was performed. The EEG power spectrum (obtained through a fast Fourier transform) and the power spectrum using complex Morlet wavelets (</w:t>
      </w:r>
      <m:oMath>
        <m:sSup>
          <m:sSupPr>
            <m:ctrlPr>
              <w:rPr>
                <w:rFonts w:ascii="Cambria Math" w:hAnsi="Cambria Math" w:cs="Times New Roman"/>
                <w:i/>
              </w:rPr>
            </m:ctrlPr>
          </m:sSupPr>
          <m:e>
            <m:r>
              <w:rPr>
                <w:rFonts w:ascii="Cambria Math" w:hAnsi="Cambria Math" w:cs="Times New Roman"/>
              </w:rPr>
              <m:t>e</m:t>
            </m:r>
          </m:e>
          <m:sup>
            <m:r>
              <w:rPr>
                <w:rFonts w:ascii="Cambria Math" w:hAnsi="Cambria Math" w:cs="Times New Roman"/>
              </w:rPr>
              <m:t>i2πtf</m:t>
            </m:r>
          </m:sup>
        </m:sSup>
        <m:sSup>
          <m:sSupPr>
            <m:ctrlPr>
              <w:rPr>
                <w:rFonts w:ascii="Cambria Math" w:hAnsi="Cambria Math" w:cs="Times New Roman"/>
                <w:i/>
              </w:rPr>
            </m:ctrlPr>
          </m:sSupPr>
          <m:e>
            <m:r>
              <w:rPr>
                <w:rFonts w:ascii="Cambria Math" w:hAnsi="Cambria Math" w:cs="Times New Roman"/>
              </w:rPr>
              <m:t>e</m:t>
            </m:r>
          </m:e>
          <m:sup>
            <m:f>
              <m:fPr>
                <m:type m:val="lin"/>
                <m:ctrlPr>
                  <w:rPr>
                    <w:rFonts w:ascii="Cambria Math" w:hAnsi="Cambria Math" w:cs="Times New Roman"/>
                    <w:i/>
                  </w:rPr>
                </m:ctrlPr>
              </m:fPr>
              <m:num>
                <m:r>
                  <w:rPr>
                    <w:rFonts w:ascii="Cambria Math" w:hAnsi="Cambria Math" w:cs="Times New Roman"/>
                  </w:rPr>
                  <m:t>-</m:t>
                </m:r>
                <m:sSup>
                  <m:sSupPr>
                    <m:ctrlPr>
                      <w:rPr>
                        <w:rFonts w:ascii="Cambria Math" w:hAnsi="Cambria Math" w:cs="Times New Roman"/>
                        <w:i/>
                      </w:rPr>
                    </m:ctrlPr>
                  </m:sSupPr>
                  <m:e>
                    <m:r>
                      <w:rPr>
                        <w:rFonts w:ascii="Cambria Math" w:hAnsi="Cambria Math" w:cs="Times New Roman"/>
                      </w:rPr>
                      <m:t>t</m:t>
                    </m:r>
                  </m:e>
                  <m:sup>
                    <m:r>
                      <w:rPr>
                        <w:rFonts w:ascii="Cambria Math" w:hAnsi="Cambria Math" w:cs="Times New Roman"/>
                      </w:rPr>
                      <m:t>2</m:t>
                    </m:r>
                  </m:sup>
                </m:sSup>
              </m:num>
              <m:den>
                <m:d>
                  <m:dPr>
                    <m:ctrlPr>
                      <w:rPr>
                        <w:rFonts w:ascii="Cambria Math" w:hAnsi="Cambria Math" w:cs="Times New Roman"/>
                        <w:i/>
                      </w:rPr>
                    </m:ctrlPr>
                  </m:dPr>
                  <m:e>
                    <m:r>
                      <w:rPr>
                        <w:rFonts w:ascii="Cambria Math" w:hAnsi="Cambria Math" w:cs="Times New Roman"/>
                      </w:rPr>
                      <m:t>2</m:t>
                    </m:r>
                    <m:sSup>
                      <m:sSupPr>
                        <m:ctrlPr>
                          <w:rPr>
                            <w:rFonts w:ascii="Cambria Math" w:hAnsi="Cambria Math" w:cs="Times New Roman"/>
                            <w:i/>
                          </w:rPr>
                        </m:ctrlPr>
                      </m:sSupPr>
                      <m:e>
                        <m:r>
                          <w:rPr>
                            <w:rFonts w:ascii="Cambria Math" w:hAnsi="Cambria Math" w:cs="Times New Roman"/>
                          </w:rPr>
                          <m:t>σ</m:t>
                        </m:r>
                      </m:e>
                      <m:sup>
                        <m:r>
                          <w:rPr>
                            <w:rFonts w:ascii="Cambria Math" w:hAnsi="Cambria Math" w:cs="Times New Roman"/>
                          </w:rPr>
                          <m:t>2</m:t>
                        </m:r>
                      </m:sup>
                    </m:sSup>
                  </m:e>
                </m:d>
              </m:den>
            </m:f>
          </m:sup>
        </m:sSup>
      </m:oMath>
      <w:r w:rsidRPr="005136FB">
        <w:rPr>
          <w:rFonts w:cs="Times New Roman"/>
        </w:rPr>
        <w:t xml:space="preserve">, where </w:t>
      </w:r>
      <m:oMath>
        <m:r>
          <w:rPr>
            <w:rFonts w:ascii="Cambria Math" w:hAnsi="Cambria Math" w:cs="Times New Roman"/>
          </w:rPr>
          <m:t>t</m:t>
        </m:r>
      </m:oMath>
      <w:r w:rsidRPr="005136FB">
        <w:rPr>
          <w:rFonts w:cs="Times New Roman"/>
        </w:rPr>
        <w:t xml:space="preserve"> is time, </w:t>
      </w:r>
      <m:oMath>
        <m:r>
          <w:rPr>
            <w:rFonts w:ascii="Cambria Math" w:hAnsi="Cambria Math" w:cs="Times New Roman"/>
          </w:rPr>
          <m:t>f</m:t>
        </m:r>
      </m:oMath>
      <w:r w:rsidRPr="005136FB">
        <w:rPr>
          <w:rFonts w:cs="Times New Roman"/>
        </w:rPr>
        <w:t xml:space="preserve"> represents frequencies increasing logarithmically from 4 Hz to 32 Hz with 28 log-spaced steps, and </w:t>
      </w:r>
      <m:oMath>
        <m:r>
          <w:rPr>
            <w:rFonts w:ascii="Cambria Math" w:hAnsi="Cambria Math" w:cs="Times New Roman"/>
          </w:rPr>
          <m:t>σ=n/2πf</m:t>
        </m:r>
      </m:oMath>
      <w:r w:rsidRPr="005136FB">
        <w:rPr>
          <w:rFonts w:cs="Times New Roman" w:hint="eastAsia"/>
        </w:rPr>
        <w:t xml:space="preserve"> </w:t>
      </w:r>
      <w:r w:rsidRPr="005136FB">
        <w:rPr>
          <w:rFonts w:cs="Times New Roman"/>
        </w:rPr>
        <w:t xml:space="preserve">is the bandwidth of each frequency band, with </w:t>
      </w:r>
      <m:oMath>
        <m:r>
          <w:rPr>
            <w:rFonts w:ascii="Cambria Math" w:hAnsi="Cambria Math" w:cs="Times New Roman"/>
          </w:rPr>
          <m:t>n</m:t>
        </m:r>
      </m:oMath>
      <w:r w:rsidRPr="005136FB">
        <w:rPr>
          <w:rFonts w:cs="Times New Roman"/>
        </w:rPr>
        <w:t xml:space="preserve"> being wavelet cycle numbers increasing logarithmically from 3 to 12) were multiplied for each epoch of the right temporal electrode</w:t>
      </w:r>
      <w:r w:rsidRPr="005136FB">
        <w:rPr>
          <w:rFonts w:cs="Times New Roman" w:hint="eastAsia"/>
        </w:rPr>
        <w:t xml:space="preserve"> (T8)</w:t>
      </w:r>
      <w:r w:rsidRPr="005136FB">
        <w:rPr>
          <w:rFonts w:cs="Times New Roman"/>
        </w:rPr>
        <w:t xml:space="preserve"> data. Subsequently, the inverse fast Fourier transform (convolution in the frequency domain) was applied to obtain the time-frequency representation. The squared magnitude of the convolution results was defined as the power estimate at each time point and frequency band.</w:t>
      </w:r>
      <w:r w:rsidRPr="005136FB">
        <w:rPr>
          <w:rFonts w:cs="Times New Roman" w:hint="eastAsia"/>
        </w:rPr>
        <w:t xml:space="preserve"> </w:t>
      </w:r>
      <w:r w:rsidRPr="005136FB">
        <w:rPr>
          <w:rFonts w:cs="Times New Roman"/>
        </w:rPr>
        <w:t xml:space="preserve">After calculating the average power estimate across epochs, the alpha frequency band power (8–12 Hz) at T8 during divergent thinking was derived by averaging the power within the time window from </w:t>
      </w:r>
      <w:r>
        <w:t>−</w:t>
      </w:r>
      <w:r w:rsidRPr="005136FB">
        <w:rPr>
          <w:rFonts w:cs="Times New Roman"/>
        </w:rPr>
        <w:t xml:space="preserve">1.5 s to </w:t>
      </w:r>
      <w:r>
        <w:t>−</w:t>
      </w:r>
      <w:r w:rsidRPr="005136FB">
        <w:rPr>
          <w:rFonts w:cs="Times New Roman"/>
        </w:rPr>
        <w:t>0.5 s relative to the onset of the response input.</w:t>
      </w:r>
      <w:r w:rsidR="008F173A" w:rsidRPr="008F173A">
        <w:rPr>
          <w:rFonts w:hint="eastAsia"/>
        </w:rPr>
        <w:t xml:space="preserve"> </w:t>
      </w:r>
    </w:p>
    <w:p w14:paraId="33803B1B" w14:textId="77777777" w:rsidR="005136FB" w:rsidRDefault="001F5ECC" w:rsidP="005136FB">
      <w:pPr>
        <w:pStyle w:val="a3"/>
        <w:numPr>
          <w:ilvl w:val="1"/>
          <w:numId w:val="14"/>
        </w:numPr>
        <w:ind w:leftChars="0" w:left="426" w:hanging="425"/>
        <w:rPr>
          <w:b/>
          <w:bCs/>
        </w:rPr>
      </w:pPr>
      <w:r w:rsidRPr="001F5ECC">
        <w:rPr>
          <w:rFonts w:hint="eastAsia"/>
          <w:b/>
          <w:bCs/>
        </w:rPr>
        <w:t>Statistical analysis</w:t>
      </w:r>
    </w:p>
    <w:p w14:paraId="03E12D53" w14:textId="5116DB53" w:rsidR="006D41B3" w:rsidRDefault="008F173A" w:rsidP="005136FB">
      <w:pPr>
        <w:pStyle w:val="a3"/>
        <w:ind w:leftChars="0" w:left="426"/>
      </w:pPr>
      <w:r w:rsidRPr="008F173A">
        <w:t xml:space="preserve">Finally, we performed </w:t>
      </w:r>
      <w:r w:rsidR="00272FFD">
        <w:rPr>
          <w:rFonts w:hint="eastAsia"/>
        </w:rPr>
        <w:t xml:space="preserve">a </w:t>
      </w:r>
      <w:r w:rsidR="00272FFD" w:rsidRPr="00272FFD">
        <w:t>3 (stimulation condition) × 2 (</w:t>
      </w:r>
      <w:r w:rsidR="00272FFD">
        <w:rPr>
          <w:rFonts w:hint="eastAsia"/>
        </w:rPr>
        <w:t xml:space="preserve">phase: </w:t>
      </w:r>
      <w:r w:rsidR="00272FFD" w:rsidRPr="008F173A">
        <w:t>Pre and Post</w:t>
      </w:r>
      <w:r w:rsidR="00272FFD" w:rsidRPr="00272FFD">
        <w:t xml:space="preserve">) mixed-design ANOVA </w:t>
      </w:r>
      <w:r w:rsidRPr="008F173A">
        <w:t xml:space="preserve">to compare alpha power at T8. Additionally, </w:t>
      </w:r>
      <w:r w:rsidR="0028264B">
        <w:rPr>
          <w:rFonts w:hint="eastAsia"/>
        </w:rPr>
        <w:t>after</w:t>
      </w:r>
      <w:r w:rsidR="0028264B" w:rsidRPr="0028264B">
        <w:rPr>
          <w:rFonts w:hint="eastAsia"/>
        </w:rPr>
        <w:t xml:space="preserve"> </w:t>
      </w:r>
      <w:r w:rsidR="0028264B">
        <w:rPr>
          <w:rFonts w:hint="eastAsia"/>
        </w:rPr>
        <w:t>outlier exclusion w</w:t>
      </w:r>
      <w:r w:rsidR="008A1482">
        <w:rPr>
          <w:rFonts w:hint="eastAsia"/>
        </w:rPr>
        <w:t>as</w:t>
      </w:r>
      <w:r w:rsidR="0028264B">
        <w:rPr>
          <w:rFonts w:hint="eastAsia"/>
        </w:rPr>
        <w:t xml:space="preserve"> performed using the IQR approach,</w:t>
      </w:r>
      <w:r w:rsidR="0028264B" w:rsidRPr="008F173A">
        <w:t xml:space="preserve"> </w:t>
      </w:r>
      <w:r w:rsidRPr="008F173A">
        <w:t xml:space="preserve">changes in alpha </w:t>
      </w:r>
      <w:r w:rsidRPr="008F173A">
        <w:lastRenderedPageBreak/>
        <w:t>power at T8 (Post−Pre) were analy</w:t>
      </w:r>
      <w:r w:rsidR="00373C76">
        <w:rPr>
          <w:rFonts w:hint="eastAsia"/>
        </w:rPr>
        <w:t>z</w:t>
      </w:r>
      <w:r w:rsidRPr="008F173A">
        <w:t>ed using a one-way ANOVA to examine differences across conditions. When significant differences were identified, post hoc Dunnett’s tests were conducted to compare the right alpha condition with each control condition</w:t>
      </w:r>
      <w:r w:rsidR="00C719AD">
        <w:rPr>
          <w:rFonts w:hint="eastAsia"/>
        </w:rPr>
        <w:t>,</w:t>
      </w:r>
      <w:r w:rsidR="00C719AD" w:rsidRPr="00C719AD">
        <w:t xml:space="preserve"> </w:t>
      </w:r>
      <w:r w:rsidR="00C719AD">
        <w:t>with p-values adjusted for multiple comparisons using the multivariate t distribution.</w:t>
      </w:r>
    </w:p>
    <w:p w14:paraId="42204F9C" w14:textId="77777777" w:rsidR="005136FB" w:rsidRDefault="005136FB" w:rsidP="005136FB">
      <w:pPr>
        <w:pStyle w:val="a3"/>
        <w:ind w:leftChars="0" w:left="426"/>
      </w:pPr>
    </w:p>
    <w:p w14:paraId="67FBBFFB" w14:textId="77777777" w:rsidR="005136FB" w:rsidRDefault="005136FB" w:rsidP="005136FB">
      <w:pPr>
        <w:pStyle w:val="a3"/>
        <w:numPr>
          <w:ilvl w:val="0"/>
          <w:numId w:val="14"/>
        </w:numPr>
        <w:ind w:leftChars="0"/>
        <w:rPr>
          <w:b/>
          <w:bCs/>
        </w:rPr>
      </w:pPr>
      <w:r w:rsidRPr="005136FB">
        <w:rPr>
          <w:rFonts w:hint="eastAsia"/>
          <w:b/>
          <w:bCs/>
        </w:rPr>
        <w:t>EEG analysis results</w:t>
      </w:r>
    </w:p>
    <w:p w14:paraId="7489CB6B" w14:textId="77777777" w:rsidR="005136FB" w:rsidRDefault="005136FB" w:rsidP="005136FB">
      <w:pPr>
        <w:pStyle w:val="a3"/>
        <w:numPr>
          <w:ilvl w:val="1"/>
          <w:numId w:val="14"/>
        </w:numPr>
        <w:ind w:leftChars="0" w:left="426" w:hanging="425"/>
        <w:rPr>
          <w:b/>
          <w:bCs/>
        </w:rPr>
      </w:pPr>
      <w:r w:rsidRPr="005136FB">
        <w:rPr>
          <w:rFonts w:hint="eastAsia"/>
          <w:b/>
          <w:bCs/>
        </w:rPr>
        <w:t>Comparison of right temporal alpha power across conditions in Problem-solving task</w:t>
      </w:r>
    </w:p>
    <w:p w14:paraId="0F4284B2" w14:textId="77B4DB8A" w:rsidR="005136FB" w:rsidRPr="005136FB" w:rsidRDefault="005136FB" w:rsidP="005136FB">
      <w:pPr>
        <w:pStyle w:val="a3"/>
        <w:ind w:leftChars="0" w:left="426"/>
        <w:rPr>
          <w:rFonts w:cs="Times New Roman"/>
        </w:rPr>
      </w:pPr>
      <w:r w:rsidRPr="005136FB">
        <w:rPr>
          <w:rFonts w:cs="Times New Roman" w:hint="eastAsia"/>
        </w:rPr>
        <w:t>Figure 11</w:t>
      </w:r>
      <w:r w:rsidRPr="005136FB">
        <w:rPr>
          <w:lang w:val="en-GB"/>
        </w:rPr>
        <w:t>A</w:t>
      </w:r>
      <w:r w:rsidRPr="005136FB">
        <w:rPr>
          <w:rFonts w:hint="eastAsia"/>
          <w:lang w:val="en-GB"/>
        </w:rPr>
        <w:t xml:space="preserve"> illustrate</w:t>
      </w:r>
      <w:r w:rsidRPr="005136FB">
        <w:rPr>
          <w:lang w:val="en-GB"/>
        </w:rPr>
        <w:t>s</w:t>
      </w:r>
      <w:r w:rsidRPr="005136FB">
        <w:rPr>
          <w:rFonts w:hint="eastAsia"/>
          <w:lang w:val="en-GB"/>
        </w:rPr>
        <w:t xml:space="preserve"> the</w:t>
      </w:r>
      <w:r w:rsidRPr="005136FB">
        <w:rPr>
          <w:lang w:val="en-GB"/>
        </w:rPr>
        <w:t xml:space="preserve"> </w:t>
      </w:r>
      <w:r w:rsidRPr="005136FB">
        <w:rPr>
          <w:rFonts w:hint="eastAsia"/>
          <w:lang w:val="en-GB"/>
        </w:rPr>
        <w:t xml:space="preserve">right temporal </w:t>
      </w:r>
      <w:r w:rsidRPr="005136FB">
        <w:rPr>
          <w:lang w:val="en-GB"/>
        </w:rPr>
        <w:t xml:space="preserve">alpha power </w:t>
      </w:r>
      <w:r w:rsidRPr="005136FB">
        <w:rPr>
          <w:color w:val="000000" w:themeColor="text1"/>
        </w:rPr>
        <w:t>durin</w:t>
      </w:r>
      <w:r>
        <w:rPr>
          <w:rFonts w:hint="eastAsia"/>
        </w:rPr>
        <w:t>g the divergent thinking phase of the problem-solving task</w:t>
      </w:r>
      <w:r w:rsidRPr="005136FB">
        <w:rPr>
          <w:lang w:val="en-GB"/>
        </w:rPr>
        <w:t xml:space="preserve"> for the Pre and Post phases across the three stimulation conditions</w:t>
      </w:r>
      <w:r w:rsidRPr="005136FB">
        <w:rPr>
          <w:rFonts w:hint="eastAsia"/>
          <w:lang w:val="en-GB"/>
        </w:rPr>
        <w:t xml:space="preserve">. A 3 (stimulation </w:t>
      </w:r>
      <w:r w:rsidRPr="005136FB">
        <w:rPr>
          <w:lang w:val="en-GB"/>
        </w:rPr>
        <w:t>condition</w:t>
      </w:r>
      <w:r w:rsidRPr="005136FB">
        <w:rPr>
          <w:rFonts w:hint="eastAsia"/>
          <w:lang w:val="en-GB"/>
        </w:rPr>
        <w:t>)</w:t>
      </w:r>
      <w:r w:rsidRPr="005136FB">
        <w:rPr>
          <w:lang w:val="en-GB"/>
        </w:rPr>
        <w:t xml:space="preserve"> </w:t>
      </w:r>
      <m:oMath>
        <m:r>
          <w:rPr>
            <w:rFonts w:ascii="Cambria Math" w:hAnsi="Cambria Math"/>
            <w:lang w:val="en-GB"/>
          </w:rPr>
          <m:t>×</m:t>
        </m:r>
      </m:oMath>
      <w:r w:rsidRPr="005136FB">
        <w:rPr>
          <w:lang w:val="en-GB"/>
        </w:rPr>
        <w:t xml:space="preserve"> </w:t>
      </w:r>
      <w:r w:rsidRPr="005136FB">
        <w:rPr>
          <w:rFonts w:hint="eastAsia"/>
          <w:lang w:val="en-GB"/>
        </w:rPr>
        <w:t>2 (</w:t>
      </w:r>
      <w:r w:rsidRPr="005136FB">
        <w:rPr>
          <w:lang w:val="en-GB"/>
        </w:rPr>
        <w:t>phase</w:t>
      </w:r>
      <w:r w:rsidRPr="005136FB">
        <w:rPr>
          <w:rFonts w:hint="eastAsia"/>
          <w:lang w:val="en-GB"/>
        </w:rPr>
        <w:t xml:space="preserve">) mixed-design ANOVA revealed a significant interaction between stimulation condition and phase, </w:t>
      </w:r>
      <w:r w:rsidRPr="005136FB">
        <w:rPr>
          <w:i/>
          <w:iCs/>
        </w:rPr>
        <w:t>F</w:t>
      </w:r>
      <w:r w:rsidRPr="002E21ED">
        <w:t xml:space="preserve">(2, </w:t>
      </w:r>
      <w:r>
        <w:rPr>
          <w:rFonts w:hint="eastAsia"/>
        </w:rPr>
        <w:t>31</w:t>
      </w:r>
      <w:r w:rsidRPr="002E21ED">
        <w:t>) =</w:t>
      </w:r>
      <w:r>
        <w:rPr>
          <w:rFonts w:hint="eastAsia"/>
        </w:rPr>
        <w:t xml:space="preserve"> 5.32</w:t>
      </w:r>
      <w:r w:rsidRPr="002E21ED">
        <w:t xml:space="preserve">, </w:t>
      </w:r>
      <w:r w:rsidRPr="005136FB">
        <w:rPr>
          <w:i/>
          <w:iCs/>
        </w:rPr>
        <w:t>p</w:t>
      </w:r>
      <w:r w:rsidRPr="002E21ED">
        <w:t xml:space="preserve"> </w:t>
      </w:r>
      <w:r>
        <w:rPr>
          <w:rFonts w:hint="eastAsia"/>
        </w:rPr>
        <w:t>=</w:t>
      </w:r>
      <w:r w:rsidRPr="002E21ED">
        <w:t xml:space="preserve"> .</w:t>
      </w:r>
      <w:r>
        <w:rPr>
          <w:rFonts w:hint="eastAsia"/>
        </w:rPr>
        <w:t>010</w:t>
      </w:r>
      <w:r w:rsidRPr="005136FB">
        <w:rPr>
          <w:rFonts w:cs="Times New Roman"/>
        </w:rPr>
        <w:t xml:space="preserve">, </w:t>
      </w:r>
      <w:r w:rsidRPr="005136FB">
        <w:rPr>
          <w:rFonts w:cs="Times New Roman"/>
          <w:i/>
          <w:iCs/>
        </w:rPr>
        <w:t>η</w:t>
      </w:r>
      <w:r w:rsidRPr="005136FB">
        <w:rPr>
          <w:rFonts w:cs="Times New Roman" w:hint="eastAsia"/>
          <w:i/>
          <w:iCs/>
          <w:vertAlign w:val="subscript"/>
        </w:rPr>
        <w:t>G</w:t>
      </w:r>
      <w:r w:rsidRPr="005136FB">
        <w:rPr>
          <w:rFonts w:cs="Times New Roman"/>
          <w:vertAlign w:val="superscript"/>
        </w:rPr>
        <w:t>2</w:t>
      </w:r>
      <w:r w:rsidRPr="005136FB">
        <w:rPr>
          <w:rFonts w:cs="Times New Roman"/>
        </w:rPr>
        <w:t xml:space="preserve"> = </w:t>
      </w:r>
      <w:r w:rsidRPr="005136FB">
        <w:rPr>
          <w:rFonts w:cs="Times New Roman" w:hint="eastAsia"/>
        </w:rPr>
        <w:t>0</w:t>
      </w:r>
      <w:r w:rsidRPr="005136FB">
        <w:rPr>
          <w:rFonts w:cs="Times New Roman"/>
        </w:rPr>
        <w:t>.</w:t>
      </w:r>
      <w:r w:rsidRPr="005136FB">
        <w:rPr>
          <w:rFonts w:cs="Times New Roman" w:hint="eastAsia"/>
        </w:rPr>
        <w:t xml:space="preserve">082. To further investigate this interaction, one-way ANOVAs were conducted to compare alpha power across conditions within each phase. However, </w:t>
      </w:r>
      <w:r>
        <w:t xml:space="preserve">no significant main effects of condition were </w:t>
      </w:r>
      <w:r>
        <w:rPr>
          <w:rFonts w:hint="eastAsia"/>
        </w:rPr>
        <w:t>foun</w:t>
      </w:r>
      <w:r>
        <w:t>d in either phase</w:t>
      </w:r>
      <w:r>
        <w:rPr>
          <w:rFonts w:hint="eastAsia"/>
        </w:rPr>
        <w:t xml:space="preserve">: Pre phase, </w:t>
      </w:r>
      <w:r w:rsidRPr="005136FB">
        <w:rPr>
          <w:i/>
          <w:iCs/>
        </w:rPr>
        <w:t>F</w:t>
      </w:r>
      <w:r w:rsidRPr="002E21ED">
        <w:t xml:space="preserve">(2, </w:t>
      </w:r>
      <w:r>
        <w:rPr>
          <w:rFonts w:hint="eastAsia"/>
        </w:rPr>
        <w:t>31</w:t>
      </w:r>
      <w:r w:rsidRPr="002E21ED">
        <w:t>) =</w:t>
      </w:r>
      <w:r>
        <w:rPr>
          <w:rFonts w:hint="eastAsia"/>
        </w:rPr>
        <w:t xml:space="preserve"> 1.43</w:t>
      </w:r>
      <w:r w:rsidRPr="002E21ED">
        <w:t xml:space="preserve">, </w:t>
      </w:r>
      <w:r w:rsidRPr="005136FB">
        <w:rPr>
          <w:i/>
          <w:iCs/>
        </w:rPr>
        <w:t>p</w:t>
      </w:r>
      <w:r w:rsidRPr="002E21ED">
        <w:t xml:space="preserve"> </w:t>
      </w:r>
      <w:r>
        <w:rPr>
          <w:rFonts w:hint="eastAsia"/>
        </w:rPr>
        <w:t>=</w:t>
      </w:r>
      <w:r w:rsidRPr="002E21ED">
        <w:t xml:space="preserve"> .</w:t>
      </w:r>
      <w:r>
        <w:rPr>
          <w:rFonts w:hint="eastAsia"/>
        </w:rPr>
        <w:t>254</w:t>
      </w:r>
      <w:r w:rsidRPr="005136FB">
        <w:rPr>
          <w:rFonts w:cs="Times New Roman"/>
        </w:rPr>
        <w:t xml:space="preserve">, </w:t>
      </w:r>
      <w:r w:rsidRPr="005136FB">
        <w:rPr>
          <w:rFonts w:cs="Times New Roman"/>
          <w:i/>
          <w:iCs/>
        </w:rPr>
        <w:t>η</w:t>
      </w:r>
      <w:r w:rsidRPr="005136FB">
        <w:rPr>
          <w:rFonts w:cs="Times New Roman" w:hint="eastAsia"/>
          <w:i/>
          <w:iCs/>
          <w:vertAlign w:val="subscript"/>
        </w:rPr>
        <w:t>G</w:t>
      </w:r>
      <w:r w:rsidRPr="005136FB">
        <w:rPr>
          <w:rFonts w:cs="Times New Roman"/>
          <w:vertAlign w:val="superscript"/>
        </w:rPr>
        <w:t>2</w:t>
      </w:r>
      <w:r w:rsidRPr="005136FB">
        <w:rPr>
          <w:rFonts w:cs="Times New Roman"/>
        </w:rPr>
        <w:t xml:space="preserve"> = </w:t>
      </w:r>
      <w:r w:rsidRPr="005136FB">
        <w:rPr>
          <w:rFonts w:cs="Times New Roman" w:hint="eastAsia"/>
        </w:rPr>
        <w:t>0</w:t>
      </w:r>
      <w:r w:rsidRPr="005136FB">
        <w:rPr>
          <w:rFonts w:cs="Times New Roman"/>
        </w:rPr>
        <w:t>.</w:t>
      </w:r>
      <w:r w:rsidRPr="005136FB">
        <w:rPr>
          <w:rFonts w:cs="Times New Roman" w:hint="eastAsia"/>
        </w:rPr>
        <w:t>085;</w:t>
      </w:r>
      <w:r w:rsidRPr="00280C2D">
        <w:rPr>
          <w:rFonts w:hint="eastAsia"/>
        </w:rPr>
        <w:t xml:space="preserve"> </w:t>
      </w:r>
      <w:r>
        <w:rPr>
          <w:rFonts w:hint="eastAsia"/>
        </w:rPr>
        <w:t xml:space="preserve">Post phase, </w:t>
      </w:r>
      <w:r w:rsidRPr="005136FB">
        <w:rPr>
          <w:i/>
          <w:iCs/>
        </w:rPr>
        <w:t>F</w:t>
      </w:r>
      <w:r w:rsidRPr="002E21ED">
        <w:t xml:space="preserve">(2, </w:t>
      </w:r>
      <w:r>
        <w:rPr>
          <w:rFonts w:hint="eastAsia"/>
        </w:rPr>
        <w:t>31</w:t>
      </w:r>
      <w:r w:rsidRPr="002E21ED">
        <w:t>) =</w:t>
      </w:r>
      <w:r>
        <w:rPr>
          <w:rFonts w:hint="eastAsia"/>
        </w:rPr>
        <w:t xml:space="preserve"> 1.43</w:t>
      </w:r>
      <w:r w:rsidRPr="002E21ED">
        <w:t xml:space="preserve">, </w:t>
      </w:r>
      <w:r w:rsidRPr="005136FB">
        <w:rPr>
          <w:i/>
          <w:iCs/>
        </w:rPr>
        <w:t>p</w:t>
      </w:r>
      <w:r w:rsidRPr="002E21ED">
        <w:t xml:space="preserve"> </w:t>
      </w:r>
      <w:r>
        <w:rPr>
          <w:rFonts w:hint="eastAsia"/>
        </w:rPr>
        <w:t>=</w:t>
      </w:r>
      <w:r w:rsidRPr="002E21ED">
        <w:t xml:space="preserve"> .</w:t>
      </w:r>
      <w:r>
        <w:rPr>
          <w:rFonts w:hint="eastAsia"/>
        </w:rPr>
        <w:t>255</w:t>
      </w:r>
      <w:r w:rsidRPr="005136FB">
        <w:rPr>
          <w:rFonts w:cs="Times New Roman"/>
        </w:rPr>
        <w:t xml:space="preserve">, </w:t>
      </w:r>
      <w:r w:rsidRPr="005136FB">
        <w:rPr>
          <w:rFonts w:cs="Times New Roman"/>
          <w:i/>
          <w:iCs/>
        </w:rPr>
        <w:t>η</w:t>
      </w:r>
      <w:r w:rsidRPr="005136FB">
        <w:rPr>
          <w:rFonts w:cs="Times New Roman" w:hint="eastAsia"/>
          <w:i/>
          <w:iCs/>
          <w:vertAlign w:val="subscript"/>
        </w:rPr>
        <w:t>G</w:t>
      </w:r>
      <w:r w:rsidRPr="005136FB">
        <w:rPr>
          <w:rFonts w:cs="Times New Roman"/>
          <w:vertAlign w:val="superscript"/>
        </w:rPr>
        <w:t>2</w:t>
      </w:r>
      <w:r w:rsidRPr="005136FB">
        <w:rPr>
          <w:rFonts w:cs="Times New Roman"/>
        </w:rPr>
        <w:t xml:space="preserve"> = </w:t>
      </w:r>
      <w:r w:rsidRPr="005136FB">
        <w:rPr>
          <w:rFonts w:cs="Times New Roman" w:hint="eastAsia"/>
        </w:rPr>
        <w:t>0</w:t>
      </w:r>
      <w:r w:rsidRPr="005136FB">
        <w:rPr>
          <w:rFonts w:cs="Times New Roman"/>
        </w:rPr>
        <w:t>.</w:t>
      </w:r>
      <w:r w:rsidRPr="005136FB">
        <w:rPr>
          <w:rFonts w:cs="Times New Roman" w:hint="eastAsia"/>
        </w:rPr>
        <w:t>084. Figure 11</w:t>
      </w:r>
      <w:r w:rsidRPr="005136FB">
        <w:rPr>
          <w:rFonts w:hint="eastAsia"/>
          <w:lang w:val="en-GB"/>
        </w:rPr>
        <w:t>B</w:t>
      </w:r>
      <w:r w:rsidRPr="005136FB">
        <w:rPr>
          <w:rFonts w:cs="Times New Roman" w:hint="eastAsia"/>
        </w:rPr>
        <w:t xml:space="preserve"> depicts changes </w:t>
      </w:r>
      <w:r w:rsidRPr="008F173A">
        <w:t>in alpha power at T8 (Post−Pre)</w:t>
      </w:r>
      <w:r>
        <w:rPr>
          <w:rFonts w:hint="eastAsia"/>
        </w:rPr>
        <w:t xml:space="preserve"> </w:t>
      </w:r>
      <w:r w:rsidRPr="008F173A">
        <w:t xml:space="preserve">across </w:t>
      </w:r>
      <w:r>
        <w:rPr>
          <w:rFonts w:hint="eastAsia"/>
        </w:rPr>
        <w:t xml:space="preserve">the stimulation </w:t>
      </w:r>
      <w:r w:rsidRPr="008F173A">
        <w:t>conditions</w:t>
      </w:r>
      <w:r>
        <w:rPr>
          <w:rFonts w:hint="eastAsia"/>
        </w:rPr>
        <w:t>. A</w:t>
      </w:r>
      <w:r w:rsidRPr="008F173A">
        <w:t xml:space="preserve"> one-way ANOVA </w:t>
      </w:r>
      <w:r>
        <w:rPr>
          <w:rFonts w:hint="eastAsia"/>
        </w:rPr>
        <w:t xml:space="preserve">on these changes revealed a significant effect of condition, </w:t>
      </w:r>
      <w:r w:rsidRPr="005136FB">
        <w:rPr>
          <w:i/>
          <w:iCs/>
        </w:rPr>
        <w:t>F</w:t>
      </w:r>
      <w:r w:rsidRPr="002E21ED">
        <w:t xml:space="preserve">(2, </w:t>
      </w:r>
      <w:r>
        <w:rPr>
          <w:rFonts w:hint="eastAsia"/>
        </w:rPr>
        <w:t>31</w:t>
      </w:r>
      <w:r w:rsidRPr="002E21ED">
        <w:t>) =</w:t>
      </w:r>
      <w:r>
        <w:rPr>
          <w:rFonts w:hint="eastAsia"/>
        </w:rPr>
        <w:t xml:space="preserve"> 5.32</w:t>
      </w:r>
      <w:r w:rsidRPr="002E21ED">
        <w:t xml:space="preserve">, </w:t>
      </w:r>
      <w:r w:rsidRPr="005136FB">
        <w:rPr>
          <w:i/>
          <w:iCs/>
        </w:rPr>
        <w:t>p</w:t>
      </w:r>
      <w:r w:rsidRPr="002E21ED">
        <w:t xml:space="preserve"> </w:t>
      </w:r>
      <w:r>
        <w:rPr>
          <w:rFonts w:hint="eastAsia"/>
        </w:rPr>
        <w:t>=</w:t>
      </w:r>
      <w:r w:rsidRPr="002E21ED">
        <w:t xml:space="preserve"> .</w:t>
      </w:r>
      <w:r>
        <w:rPr>
          <w:rFonts w:hint="eastAsia"/>
        </w:rPr>
        <w:t>010</w:t>
      </w:r>
      <w:r w:rsidRPr="005136FB">
        <w:rPr>
          <w:rFonts w:cs="Times New Roman"/>
        </w:rPr>
        <w:t xml:space="preserve">, </w:t>
      </w:r>
      <w:r w:rsidRPr="005136FB">
        <w:rPr>
          <w:rFonts w:cs="Times New Roman"/>
          <w:i/>
          <w:iCs/>
        </w:rPr>
        <w:t>η</w:t>
      </w:r>
      <w:r w:rsidRPr="005136FB">
        <w:rPr>
          <w:rFonts w:cs="Times New Roman" w:hint="eastAsia"/>
          <w:i/>
          <w:iCs/>
          <w:vertAlign w:val="subscript"/>
        </w:rPr>
        <w:t>G</w:t>
      </w:r>
      <w:r w:rsidRPr="005136FB">
        <w:rPr>
          <w:rFonts w:cs="Times New Roman"/>
          <w:vertAlign w:val="superscript"/>
        </w:rPr>
        <w:t>2</w:t>
      </w:r>
      <w:r w:rsidRPr="005136FB">
        <w:rPr>
          <w:rFonts w:cs="Times New Roman"/>
        </w:rPr>
        <w:t xml:space="preserve"> = </w:t>
      </w:r>
      <w:r w:rsidRPr="005136FB">
        <w:rPr>
          <w:rFonts w:cs="Times New Roman" w:hint="eastAsia"/>
        </w:rPr>
        <w:t>0</w:t>
      </w:r>
      <w:r w:rsidRPr="005136FB">
        <w:rPr>
          <w:rFonts w:cs="Times New Roman"/>
        </w:rPr>
        <w:t>.</w:t>
      </w:r>
      <w:r w:rsidRPr="005136FB">
        <w:rPr>
          <w:rFonts w:cs="Times New Roman" w:hint="eastAsia"/>
        </w:rPr>
        <w:t xml:space="preserve">256. Post-hoc contrasts indicated that the right alpha condition exhibited significantly greater changes in right temporal alpha power compared to the left alpha condition, </w:t>
      </w:r>
      <w:r w:rsidRPr="005136FB">
        <w:rPr>
          <w:rFonts w:hint="eastAsia"/>
          <w:i/>
          <w:iCs/>
        </w:rPr>
        <w:t>t</w:t>
      </w:r>
      <w:r w:rsidRPr="00BC7466">
        <w:rPr>
          <w:rFonts w:hint="eastAsia"/>
        </w:rPr>
        <w:t>(3</w:t>
      </w:r>
      <w:r>
        <w:rPr>
          <w:rFonts w:hint="eastAsia"/>
        </w:rPr>
        <w:t>1</w:t>
      </w:r>
      <w:r w:rsidRPr="00BC7466">
        <w:rPr>
          <w:rFonts w:hint="eastAsia"/>
        </w:rPr>
        <w:t>)</w:t>
      </w:r>
      <w:r w:rsidRPr="00BC7466">
        <w:t xml:space="preserve"> = </w:t>
      </w:r>
      <w:r>
        <w:rPr>
          <w:rFonts w:hint="eastAsia"/>
        </w:rPr>
        <w:t>3</w:t>
      </w:r>
      <w:r w:rsidRPr="00BC7466">
        <w:t>.</w:t>
      </w:r>
      <w:r w:rsidRPr="00BC7466">
        <w:rPr>
          <w:rFonts w:hint="eastAsia"/>
        </w:rPr>
        <w:t>0</w:t>
      </w:r>
      <w:r>
        <w:rPr>
          <w:rFonts w:hint="eastAsia"/>
        </w:rPr>
        <w:t>5</w:t>
      </w:r>
      <w:r w:rsidRPr="00BC7466">
        <w:t xml:space="preserve">, </w:t>
      </w:r>
      <w:r w:rsidRPr="005136FB">
        <w:rPr>
          <w:i/>
          <w:iCs/>
        </w:rPr>
        <w:t>p</w:t>
      </w:r>
      <w:r w:rsidRPr="00BC7466">
        <w:t xml:space="preserve"> </w:t>
      </w:r>
      <w:r w:rsidRPr="00BC7466">
        <w:rPr>
          <w:rFonts w:hint="eastAsia"/>
        </w:rPr>
        <w:t>=</w:t>
      </w:r>
      <w:r w:rsidRPr="00BC7466">
        <w:t xml:space="preserve"> .</w:t>
      </w:r>
      <w:r>
        <w:rPr>
          <w:rFonts w:hint="eastAsia"/>
        </w:rPr>
        <w:t>009</w:t>
      </w:r>
      <w:r w:rsidRPr="00BC7466">
        <w:rPr>
          <w:rFonts w:hint="eastAsia"/>
        </w:rPr>
        <w:t>, Hedges</w:t>
      </w:r>
      <w:r w:rsidRPr="00BC7466">
        <w:t>’</w:t>
      </w:r>
      <w:r w:rsidRPr="00BC7466">
        <w:rPr>
          <w:rFonts w:hint="eastAsia"/>
        </w:rPr>
        <w:t xml:space="preserve"> </w:t>
      </w:r>
      <w:r w:rsidRPr="005136FB">
        <w:rPr>
          <w:rFonts w:hint="eastAsia"/>
          <w:i/>
          <w:iCs/>
        </w:rPr>
        <w:t>g</w:t>
      </w:r>
      <w:r w:rsidRPr="00BC7466">
        <w:rPr>
          <w:rFonts w:hint="eastAsia"/>
        </w:rPr>
        <w:t xml:space="preserve"> = 1.0</w:t>
      </w:r>
      <w:r>
        <w:rPr>
          <w:rFonts w:hint="eastAsia"/>
        </w:rPr>
        <w:t>84</w:t>
      </w:r>
      <w:r w:rsidRPr="005136FB">
        <w:rPr>
          <w:rFonts w:cs="Times New Roman" w:hint="eastAsia"/>
        </w:rPr>
        <w:t xml:space="preserve">, but not significantly different from the right gamma condition, </w:t>
      </w:r>
      <w:r w:rsidRPr="005136FB">
        <w:rPr>
          <w:rFonts w:hint="eastAsia"/>
          <w:i/>
          <w:iCs/>
        </w:rPr>
        <w:t>t</w:t>
      </w:r>
      <w:r w:rsidRPr="00BC7466">
        <w:rPr>
          <w:rFonts w:hint="eastAsia"/>
        </w:rPr>
        <w:t>(3</w:t>
      </w:r>
      <w:r>
        <w:rPr>
          <w:rFonts w:hint="eastAsia"/>
        </w:rPr>
        <w:t>1</w:t>
      </w:r>
      <w:r w:rsidRPr="00BC7466">
        <w:rPr>
          <w:rFonts w:hint="eastAsia"/>
        </w:rPr>
        <w:t>)</w:t>
      </w:r>
      <w:r w:rsidRPr="00BC7466">
        <w:t xml:space="preserve"> = </w:t>
      </w:r>
      <w:r>
        <w:rPr>
          <w:rFonts w:hint="eastAsia"/>
        </w:rPr>
        <w:t>0</w:t>
      </w:r>
      <w:r w:rsidRPr="00BC7466">
        <w:rPr>
          <w:rFonts w:hint="eastAsia"/>
        </w:rPr>
        <w:t>.</w:t>
      </w:r>
      <w:r>
        <w:rPr>
          <w:rFonts w:hint="eastAsia"/>
        </w:rPr>
        <w:t>70</w:t>
      </w:r>
      <w:r w:rsidRPr="00BC7466">
        <w:t xml:space="preserve">, </w:t>
      </w:r>
      <w:r w:rsidRPr="005136FB">
        <w:rPr>
          <w:i/>
          <w:iCs/>
        </w:rPr>
        <w:t>p</w:t>
      </w:r>
      <w:r w:rsidRPr="00BC7466">
        <w:t xml:space="preserve"> </w:t>
      </w:r>
      <w:r w:rsidRPr="00BC7466">
        <w:rPr>
          <w:rFonts w:hint="eastAsia"/>
        </w:rPr>
        <w:t>=</w:t>
      </w:r>
      <w:r w:rsidRPr="00BC7466">
        <w:t xml:space="preserve"> .</w:t>
      </w:r>
      <w:r>
        <w:rPr>
          <w:rFonts w:hint="eastAsia"/>
        </w:rPr>
        <w:t>705</w:t>
      </w:r>
      <w:r w:rsidRPr="00BC7466">
        <w:rPr>
          <w:rFonts w:hint="eastAsia"/>
        </w:rPr>
        <w:t>, Hedges</w:t>
      </w:r>
      <w:r w:rsidRPr="00BC7466">
        <w:t>’</w:t>
      </w:r>
      <w:r w:rsidRPr="00BC7466">
        <w:rPr>
          <w:rFonts w:hint="eastAsia"/>
        </w:rPr>
        <w:t xml:space="preserve"> </w:t>
      </w:r>
      <w:r w:rsidRPr="005136FB">
        <w:rPr>
          <w:rFonts w:hint="eastAsia"/>
          <w:i/>
          <w:iCs/>
        </w:rPr>
        <w:t>g</w:t>
      </w:r>
      <w:r w:rsidRPr="00BC7466">
        <w:rPr>
          <w:rFonts w:hint="eastAsia"/>
        </w:rPr>
        <w:t xml:space="preserve"> =</w:t>
      </w:r>
      <w:r>
        <w:rPr>
          <w:rFonts w:hint="eastAsia"/>
        </w:rPr>
        <w:t xml:space="preserve"> 0.357</w:t>
      </w:r>
      <w:r w:rsidRPr="005136FB">
        <w:rPr>
          <w:rFonts w:cs="Times New Roman" w:hint="eastAsia"/>
        </w:rPr>
        <w:t>.</w:t>
      </w:r>
    </w:p>
    <w:p w14:paraId="32BF6AB5" w14:textId="77777777" w:rsidR="005136FB" w:rsidRDefault="005136FB" w:rsidP="005136FB">
      <w:pPr>
        <w:pStyle w:val="a3"/>
        <w:ind w:leftChars="0" w:left="426"/>
        <w:rPr>
          <w:rFonts w:cs="Times New Roman"/>
        </w:rPr>
      </w:pPr>
    </w:p>
    <w:p w14:paraId="270E8930" w14:textId="2EA2D972" w:rsidR="005136FB" w:rsidRDefault="005136FB" w:rsidP="005136FB">
      <w:pPr>
        <w:pStyle w:val="a3"/>
        <w:ind w:leftChars="0" w:left="426"/>
        <w:jc w:val="center"/>
        <w:rPr>
          <w:rFonts w:cs="Times New Roman"/>
        </w:rPr>
      </w:pPr>
      <w:r>
        <w:rPr>
          <w:rFonts w:cs="Times New Roman" w:hint="eastAsia"/>
          <w:noProof/>
        </w:rPr>
        <w:drawing>
          <wp:inline distT="0" distB="0" distL="0" distR="0" wp14:anchorId="0484F57C" wp14:editId="48AFFD01">
            <wp:extent cx="5102253" cy="2076450"/>
            <wp:effectExtent l="0" t="0" r="3175" b="0"/>
            <wp:docPr id="182698781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6987814" name="図 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102253" cy="2076450"/>
                    </a:xfrm>
                    <a:prstGeom prst="rect">
                      <a:avLst/>
                    </a:prstGeom>
                    <a:noFill/>
                    <a:ln>
                      <a:noFill/>
                    </a:ln>
                  </pic:spPr>
                </pic:pic>
              </a:graphicData>
            </a:graphic>
          </wp:inline>
        </w:drawing>
      </w:r>
    </w:p>
    <w:p w14:paraId="7FF6DE30" w14:textId="24DC0E4F" w:rsidR="005136FB" w:rsidRPr="005136FB" w:rsidRDefault="006D1C21" w:rsidP="006D1C21">
      <w:pPr>
        <w:pStyle w:val="a5"/>
        <w:ind w:leftChars="100" w:left="210"/>
        <w:jc w:val="left"/>
        <w:rPr>
          <w:b w:val="0"/>
          <w:bCs w:val="0"/>
        </w:rPr>
      </w:pPr>
      <w:r>
        <w:t>Supplementary Figure</w:t>
      </w:r>
      <w:r w:rsidR="005136FB">
        <w:t xml:space="preserve"> </w:t>
      </w:r>
      <w:r w:rsidR="005136FB">
        <w:rPr>
          <w:rFonts w:hint="eastAsia"/>
        </w:rPr>
        <w:t xml:space="preserve">1 </w:t>
      </w:r>
      <w:r w:rsidR="005136FB" w:rsidRPr="00F56DDD">
        <w:rPr>
          <w:b w:val="0"/>
          <w:bCs w:val="0"/>
          <w:color w:val="000000" w:themeColor="text1"/>
        </w:rPr>
        <w:t xml:space="preserve">Alpha power changes at </w:t>
      </w:r>
      <w:r w:rsidR="005136FB">
        <w:rPr>
          <w:rFonts w:hint="eastAsia"/>
          <w:b w:val="0"/>
          <w:bCs w:val="0"/>
          <w:color w:val="000000" w:themeColor="text1"/>
        </w:rPr>
        <w:t xml:space="preserve">the right temporal electrode </w:t>
      </w:r>
      <w:r w:rsidR="005136FB" w:rsidRPr="00F56DDD">
        <w:rPr>
          <w:b w:val="0"/>
          <w:bCs w:val="0"/>
          <w:color w:val="000000" w:themeColor="text1"/>
        </w:rPr>
        <w:t>T8</w:t>
      </w:r>
      <w:r w:rsidR="005136FB">
        <w:rPr>
          <w:rFonts w:hint="eastAsia"/>
          <w:b w:val="0"/>
          <w:bCs w:val="0"/>
          <w:color w:val="000000" w:themeColor="text1"/>
        </w:rPr>
        <w:t xml:space="preserve"> </w:t>
      </w:r>
      <w:r w:rsidR="005136FB" w:rsidRPr="00F56DDD">
        <w:rPr>
          <w:b w:val="0"/>
          <w:bCs w:val="0"/>
          <w:color w:val="000000" w:themeColor="text1"/>
        </w:rPr>
        <w:t>durin</w:t>
      </w:r>
      <w:r w:rsidR="005136FB">
        <w:rPr>
          <w:rFonts w:hint="eastAsia"/>
          <w:b w:val="0"/>
          <w:bCs w:val="0"/>
        </w:rPr>
        <w:t>g the divergent thinking phase of the problem-solving task</w:t>
      </w:r>
      <w:r w:rsidR="005136FB" w:rsidRPr="00F56DDD">
        <w:rPr>
          <w:b w:val="0"/>
          <w:bCs w:val="0"/>
          <w:color w:val="000000" w:themeColor="text1"/>
        </w:rPr>
        <w:t xml:space="preserve"> </w:t>
      </w:r>
      <w:r w:rsidR="005136FB">
        <w:rPr>
          <w:rFonts w:hint="eastAsia"/>
          <w:b w:val="0"/>
          <w:bCs w:val="0"/>
          <w:color w:val="000000" w:themeColor="text1"/>
        </w:rPr>
        <w:t>across the three</w:t>
      </w:r>
      <w:r w:rsidR="005136FB" w:rsidRPr="00F56DDD">
        <w:rPr>
          <w:b w:val="0"/>
          <w:bCs w:val="0"/>
          <w:color w:val="000000" w:themeColor="text1"/>
        </w:rPr>
        <w:t xml:space="preserve"> stimulation conditions (left alpha, right alpha, and right gamma).</w:t>
      </w:r>
      <w:r w:rsidR="005136FB" w:rsidRPr="00F56DDD">
        <w:rPr>
          <w:rFonts w:hint="eastAsia"/>
        </w:rPr>
        <w:t xml:space="preserve"> </w:t>
      </w:r>
      <w:r w:rsidR="005136FB" w:rsidRPr="004A75DB">
        <w:rPr>
          <w:rFonts w:hint="eastAsia"/>
        </w:rPr>
        <w:t>(A)</w:t>
      </w:r>
      <w:r w:rsidR="005136FB" w:rsidRPr="00F56DDD">
        <w:rPr>
          <w:b w:val="0"/>
          <w:bCs w:val="0"/>
          <w:color w:val="000000" w:themeColor="text1"/>
        </w:rPr>
        <w:t xml:space="preserve"> Alpha power at T8 for Pre and Post phases in each stimulation condition</w:t>
      </w:r>
      <w:r w:rsidR="005136FB">
        <w:rPr>
          <w:rFonts w:hint="eastAsia"/>
          <w:b w:val="0"/>
          <w:bCs w:val="0"/>
          <w:color w:val="000000" w:themeColor="text1"/>
        </w:rPr>
        <w:t xml:space="preserve">: </w:t>
      </w:r>
      <w:r w:rsidR="005136FB">
        <w:rPr>
          <w:rFonts w:hint="eastAsia"/>
          <w:b w:val="0"/>
          <w:bCs w:val="0"/>
        </w:rPr>
        <w:t>left alpha (blue), right alpha (green), right gamma (red).</w:t>
      </w:r>
      <w:r w:rsidR="005136FB" w:rsidRPr="00F56DDD">
        <w:rPr>
          <w:b w:val="0"/>
          <w:bCs w:val="0"/>
          <w:color w:val="000000" w:themeColor="text1"/>
        </w:rPr>
        <w:t xml:space="preserve"> </w:t>
      </w:r>
      <w:r w:rsidR="005136FB" w:rsidRPr="00A46A67">
        <w:rPr>
          <w:b w:val="0"/>
          <w:bCs w:val="0"/>
          <w:color w:val="000000" w:themeColor="text1"/>
        </w:rPr>
        <w:t>The data are displayed using violin plots overlaid with box plots, with gray lines representing the changes in alpha power for individual participants.</w:t>
      </w:r>
      <w:r w:rsidR="005136FB" w:rsidRPr="00F56DDD">
        <w:rPr>
          <w:b w:val="0"/>
          <w:bCs w:val="0"/>
          <w:color w:val="000000" w:themeColor="text1"/>
        </w:rPr>
        <w:t xml:space="preserve"> </w:t>
      </w:r>
      <w:r w:rsidR="005136FB" w:rsidRPr="004A75DB">
        <w:rPr>
          <w:rFonts w:hint="eastAsia"/>
        </w:rPr>
        <w:t>(</w:t>
      </w:r>
      <w:r w:rsidR="005136FB">
        <w:rPr>
          <w:rFonts w:hint="eastAsia"/>
        </w:rPr>
        <w:t>B</w:t>
      </w:r>
      <w:r w:rsidR="005136FB" w:rsidRPr="004A75DB">
        <w:rPr>
          <w:rFonts w:hint="eastAsia"/>
        </w:rPr>
        <w:t>)</w:t>
      </w:r>
      <w:r w:rsidR="005136FB" w:rsidRPr="00F56DDD">
        <w:rPr>
          <w:b w:val="0"/>
          <w:bCs w:val="0"/>
          <w:color w:val="000000" w:themeColor="text1"/>
        </w:rPr>
        <w:t xml:space="preserve"> </w:t>
      </w:r>
      <w:r w:rsidR="005136FB">
        <w:rPr>
          <w:rFonts w:hint="eastAsia"/>
          <w:b w:val="0"/>
          <w:bCs w:val="0"/>
          <w:color w:val="000000" w:themeColor="text1"/>
        </w:rPr>
        <w:t>T</w:t>
      </w:r>
      <w:r w:rsidR="005136FB" w:rsidRPr="00F56DDD">
        <w:rPr>
          <w:b w:val="0"/>
          <w:bCs w:val="0"/>
          <w:color w:val="000000" w:themeColor="text1"/>
        </w:rPr>
        <w:t>he change in alpha power (Post</w:t>
      </w:r>
      <w:r w:rsidR="005136FB">
        <w:t>−</w:t>
      </w:r>
      <w:r w:rsidR="005136FB" w:rsidRPr="00F56DDD">
        <w:rPr>
          <w:b w:val="0"/>
          <w:bCs w:val="0"/>
          <w:color w:val="000000" w:themeColor="text1"/>
        </w:rPr>
        <w:t>Pr</w:t>
      </w:r>
      <w:r w:rsidR="005136FB">
        <w:rPr>
          <w:rFonts w:hint="eastAsia"/>
          <w:b w:val="0"/>
          <w:bCs w:val="0"/>
          <w:color w:val="000000" w:themeColor="text1"/>
        </w:rPr>
        <w:t>e</w:t>
      </w:r>
      <w:r w:rsidR="005136FB" w:rsidRPr="00F56DDD">
        <w:rPr>
          <w:b w:val="0"/>
          <w:bCs w:val="0"/>
          <w:color w:val="000000" w:themeColor="text1"/>
        </w:rPr>
        <w:t>) across conditions</w:t>
      </w:r>
      <w:r w:rsidR="005136FB">
        <w:rPr>
          <w:rFonts w:hint="eastAsia"/>
          <w:b w:val="0"/>
          <w:bCs w:val="0"/>
          <w:color w:val="000000" w:themeColor="text1"/>
        </w:rPr>
        <w:t xml:space="preserve"> </w:t>
      </w:r>
      <w:r w:rsidR="005136FB" w:rsidRPr="00A46A67">
        <w:rPr>
          <w:b w:val="0"/>
          <w:bCs w:val="0"/>
          <w:color w:val="000000" w:themeColor="text1"/>
        </w:rPr>
        <w:t xml:space="preserve">is </w:t>
      </w:r>
      <w:r w:rsidR="005136FB">
        <w:rPr>
          <w:b w:val="0"/>
          <w:bCs w:val="0"/>
          <w:color w:val="000000" w:themeColor="text1"/>
        </w:rPr>
        <w:t>visuali</w:t>
      </w:r>
      <w:r w:rsidR="00373C76">
        <w:rPr>
          <w:rFonts w:hint="eastAsia"/>
          <w:b w:val="0"/>
          <w:bCs w:val="0"/>
          <w:color w:val="000000" w:themeColor="text1"/>
        </w:rPr>
        <w:t>z</w:t>
      </w:r>
      <w:r w:rsidR="005136FB">
        <w:rPr>
          <w:b w:val="0"/>
          <w:bCs w:val="0"/>
          <w:color w:val="000000" w:themeColor="text1"/>
        </w:rPr>
        <w:t>ed</w:t>
      </w:r>
      <w:r w:rsidR="005136FB" w:rsidRPr="00A46A67">
        <w:rPr>
          <w:b w:val="0"/>
          <w:bCs w:val="0"/>
          <w:color w:val="000000" w:themeColor="text1"/>
        </w:rPr>
        <w:t xml:space="preserve"> using violin plots and box plots, with each dot representing an individual participant</w:t>
      </w:r>
      <w:r w:rsidR="005136FB" w:rsidRPr="00F56DDD">
        <w:rPr>
          <w:b w:val="0"/>
          <w:bCs w:val="0"/>
          <w:color w:val="000000" w:themeColor="text1"/>
        </w:rPr>
        <w:t xml:space="preserve">. </w:t>
      </w:r>
      <w:r w:rsidR="005136FB" w:rsidRPr="00104485">
        <w:rPr>
          <w:rFonts w:ascii="Open Sans" w:hAnsi="Open Sans" w:cs="Open Sans"/>
          <w:b w:val="0"/>
          <w:bCs w:val="0"/>
          <w:color w:val="000000" w:themeColor="text1"/>
          <w:spacing w:val="4"/>
          <w:shd w:val="clear" w:color="auto" w:fill="FFFFFF"/>
        </w:rPr>
        <w:t>**</w:t>
      </w:r>
      <w:r w:rsidR="005136FB" w:rsidRPr="00104485">
        <w:rPr>
          <w:rFonts w:hint="eastAsia"/>
          <w:b w:val="0"/>
          <w:bCs w:val="0"/>
          <w:i/>
          <w:iCs/>
        </w:rPr>
        <w:t>p</w:t>
      </w:r>
      <w:r w:rsidR="005136FB" w:rsidRPr="00104485">
        <w:rPr>
          <w:b w:val="0"/>
          <w:bCs w:val="0"/>
        </w:rPr>
        <w:t xml:space="preserve"> &lt; .</w:t>
      </w:r>
      <w:r w:rsidR="005136FB">
        <w:rPr>
          <w:rFonts w:hint="eastAsia"/>
          <w:b w:val="0"/>
          <w:bCs w:val="0"/>
        </w:rPr>
        <w:t>0</w:t>
      </w:r>
      <w:r w:rsidR="005136FB" w:rsidRPr="00104485">
        <w:rPr>
          <w:b w:val="0"/>
          <w:bCs w:val="0"/>
        </w:rPr>
        <w:t>1</w:t>
      </w:r>
      <w:r w:rsidR="005136FB" w:rsidRPr="00F56DDD">
        <w:rPr>
          <w:b w:val="0"/>
          <w:bCs w:val="0"/>
          <w:color w:val="000000" w:themeColor="text1"/>
        </w:rPr>
        <w:t>.</w:t>
      </w:r>
    </w:p>
    <w:p w14:paraId="2272DC1F" w14:textId="77777777" w:rsidR="005136FB" w:rsidRPr="005136FB" w:rsidRDefault="005136FB" w:rsidP="005136FB">
      <w:pPr>
        <w:pStyle w:val="a3"/>
        <w:ind w:leftChars="0" w:left="426"/>
        <w:rPr>
          <w:b/>
          <w:bCs/>
        </w:rPr>
      </w:pPr>
    </w:p>
    <w:p w14:paraId="1D253918" w14:textId="77777777" w:rsidR="005136FB" w:rsidRDefault="005136FB" w:rsidP="005136FB">
      <w:pPr>
        <w:pStyle w:val="a3"/>
        <w:numPr>
          <w:ilvl w:val="1"/>
          <w:numId w:val="14"/>
        </w:numPr>
        <w:ind w:leftChars="0" w:left="426" w:hanging="425"/>
        <w:rPr>
          <w:b/>
          <w:bCs/>
        </w:rPr>
      </w:pPr>
      <w:r w:rsidRPr="005136FB">
        <w:rPr>
          <w:rFonts w:hint="eastAsia"/>
          <w:b/>
          <w:bCs/>
        </w:rPr>
        <w:t>Comparison of right temporal alpha power across conditions in Problem-finding task</w:t>
      </w:r>
    </w:p>
    <w:p w14:paraId="60BE5272" w14:textId="31B3BE1A" w:rsidR="005136FB" w:rsidRDefault="005136FB" w:rsidP="005136FB">
      <w:pPr>
        <w:pStyle w:val="a3"/>
        <w:ind w:leftChars="0" w:left="426"/>
        <w:rPr>
          <w:rFonts w:cs="Times New Roman"/>
        </w:rPr>
      </w:pPr>
      <w:r w:rsidRPr="005136FB">
        <w:rPr>
          <w:rFonts w:cs="Times New Roman" w:hint="eastAsia"/>
        </w:rPr>
        <w:lastRenderedPageBreak/>
        <w:t>Figure 15</w:t>
      </w:r>
      <w:r w:rsidRPr="005136FB">
        <w:rPr>
          <w:lang w:val="en-GB"/>
        </w:rPr>
        <w:t>A</w:t>
      </w:r>
      <w:r w:rsidRPr="005136FB">
        <w:rPr>
          <w:rFonts w:hint="eastAsia"/>
          <w:lang w:val="en-GB"/>
        </w:rPr>
        <w:t xml:space="preserve"> illustrate</w:t>
      </w:r>
      <w:r w:rsidRPr="005136FB">
        <w:rPr>
          <w:lang w:val="en-GB"/>
        </w:rPr>
        <w:t>s</w:t>
      </w:r>
      <w:r w:rsidRPr="005136FB">
        <w:rPr>
          <w:rFonts w:hint="eastAsia"/>
          <w:lang w:val="en-GB"/>
        </w:rPr>
        <w:t xml:space="preserve"> the</w:t>
      </w:r>
      <w:r w:rsidRPr="005136FB">
        <w:rPr>
          <w:lang w:val="en-GB"/>
        </w:rPr>
        <w:t xml:space="preserve"> </w:t>
      </w:r>
      <w:r w:rsidRPr="005136FB">
        <w:rPr>
          <w:rFonts w:hint="eastAsia"/>
          <w:lang w:val="en-GB"/>
        </w:rPr>
        <w:t xml:space="preserve">right temporal </w:t>
      </w:r>
      <w:r w:rsidRPr="005136FB">
        <w:rPr>
          <w:lang w:val="en-GB"/>
        </w:rPr>
        <w:t xml:space="preserve">alpha power </w:t>
      </w:r>
      <w:r w:rsidRPr="005136FB">
        <w:rPr>
          <w:color w:val="000000" w:themeColor="text1"/>
        </w:rPr>
        <w:t>durin</w:t>
      </w:r>
      <w:r>
        <w:rPr>
          <w:rFonts w:hint="eastAsia"/>
        </w:rPr>
        <w:t>g the divergent thinking phase of the problem-finding task</w:t>
      </w:r>
      <w:r w:rsidRPr="005136FB">
        <w:rPr>
          <w:lang w:val="en-GB"/>
        </w:rPr>
        <w:t xml:space="preserve"> for the Pre and Post phases across the three stimulation conditions</w:t>
      </w:r>
      <w:r w:rsidRPr="005136FB">
        <w:rPr>
          <w:rFonts w:hint="eastAsia"/>
          <w:lang w:val="en-GB"/>
        </w:rPr>
        <w:t>. A mixed-design ANOVA revealed no significant effects:</w:t>
      </w:r>
      <w:r w:rsidRPr="00CE6120">
        <w:t xml:space="preserve"> </w:t>
      </w:r>
      <w:r>
        <w:t>stimulation condition,</w:t>
      </w:r>
      <w:r w:rsidRPr="005136FB">
        <w:rPr>
          <w:i/>
          <w:iCs/>
        </w:rPr>
        <w:t xml:space="preserve"> F</w:t>
      </w:r>
      <w:r w:rsidRPr="002E21ED">
        <w:t xml:space="preserve">(2, </w:t>
      </w:r>
      <w:r>
        <w:rPr>
          <w:rFonts w:hint="eastAsia"/>
        </w:rPr>
        <w:t>27</w:t>
      </w:r>
      <w:r w:rsidRPr="002E21ED">
        <w:t>) =</w:t>
      </w:r>
      <w:r>
        <w:rPr>
          <w:rFonts w:hint="eastAsia"/>
        </w:rPr>
        <w:t xml:space="preserve"> 0.88</w:t>
      </w:r>
      <w:r w:rsidRPr="002E21ED">
        <w:t xml:space="preserve">, </w:t>
      </w:r>
      <w:r w:rsidRPr="005136FB">
        <w:rPr>
          <w:i/>
          <w:iCs/>
        </w:rPr>
        <w:t>p</w:t>
      </w:r>
      <w:r w:rsidRPr="002E21ED">
        <w:t xml:space="preserve"> </w:t>
      </w:r>
      <w:r>
        <w:rPr>
          <w:rFonts w:hint="eastAsia"/>
        </w:rPr>
        <w:t>=</w:t>
      </w:r>
      <w:r w:rsidRPr="002E21ED">
        <w:t xml:space="preserve"> .</w:t>
      </w:r>
      <w:r>
        <w:rPr>
          <w:rFonts w:hint="eastAsia"/>
        </w:rPr>
        <w:t>426</w:t>
      </w:r>
      <w:r w:rsidRPr="005136FB">
        <w:rPr>
          <w:rFonts w:cs="Times New Roman"/>
        </w:rPr>
        <w:t xml:space="preserve">, </w:t>
      </w:r>
      <w:r w:rsidRPr="005136FB">
        <w:rPr>
          <w:rFonts w:cs="Times New Roman"/>
          <w:i/>
          <w:iCs/>
        </w:rPr>
        <w:t>η</w:t>
      </w:r>
      <w:r w:rsidRPr="005136FB">
        <w:rPr>
          <w:rFonts w:cs="Times New Roman" w:hint="eastAsia"/>
          <w:i/>
          <w:iCs/>
          <w:vertAlign w:val="subscript"/>
        </w:rPr>
        <w:t>G</w:t>
      </w:r>
      <w:r w:rsidRPr="005136FB">
        <w:rPr>
          <w:rFonts w:cs="Times New Roman"/>
          <w:vertAlign w:val="superscript"/>
        </w:rPr>
        <w:t>2</w:t>
      </w:r>
      <w:r w:rsidRPr="005136FB">
        <w:rPr>
          <w:rFonts w:cs="Times New Roman"/>
        </w:rPr>
        <w:t xml:space="preserve"> = </w:t>
      </w:r>
      <w:r w:rsidRPr="005136FB">
        <w:rPr>
          <w:rFonts w:cs="Times New Roman" w:hint="eastAsia"/>
        </w:rPr>
        <w:t>0</w:t>
      </w:r>
      <w:r w:rsidRPr="005136FB">
        <w:rPr>
          <w:rFonts w:cs="Times New Roman"/>
        </w:rPr>
        <w:t>.</w:t>
      </w:r>
      <w:r w:rsidRPr="005136FB">
        <w:rPr>
          <w:rFonts w:cs="Times New Roman" w:hint="eastAsia"/>
        </w:rPr>
        <w:t>057</w:t>
      </w:r>
      <w:r>
        <w:rPr>
          <w:rFonts w:hint="eastAsia"/>
        </w:rPr>
        <w:t xml:space="preserve">; </w:t>
      </w:r>
      <w:r>
        <w:t>phase,</w:t>
      </w:r>
      <w:r w:rsidRPr="005136FB">
        <w:rPr>
          <w:i/>
          <w:iCs/>
        </w:rPr>
        <w:t xml:space="preserve"> F</w:t>
      </w:r>
      <w:r w:rsidRPr="002E21ED">
        <w:t>(</w:t>
      </w:r>
      <w:r>
        <w:rPr>
          <w:rFonts w:hint="eastAsia"/>
        </w:rPr>
        <w:t>1</w:t>
      </w:r>
      <w:r w:rsidRPr="002E21ED">
        <w:t xml:space="preserve">, </w:t>
      </w:r>
      <w:r>
        <w:rPr>
          <w:rFonts w:hint="eastAsia"/>
        </w:rPr>
        <w:t>27</w:t>
      </w:r>
      <w:r w:rsidRPr="002E21ED">
        <w:t>) =</w:t>
      </w:r>
      <w:r>
        <w:rPr>
          <w:rFonts w:hint="eastAsia"/>
        </w:rPr>
        <w:t xml:space="preserve"> 1.05</w:t>
      </w:r>
      <w:r w:rsidRPr="002E21ED">
        <w:t xml:space="preserve">, </w:t>
      </w:r>
      <w:r w:rsidRPr="005136FB">
        <w:rPr>
          <w:i/>
          <w:iCs/>
        </w:rPr>
        <w:t>p</w:t>
      </w:r>
      <w:r w:rsidRPr="002E21ED">
        <w:t xml:space="preserve"> </w:t>
      </w:r>
      <w:r>
        <w:rPr>
          <w:rFonts w:hint="eastAsia"/>
        </w:rPr>
        <w:t>=</w:t>
      </w:r>
      <w:r w:rsidRPr="002E21ED">
        <w:t xml:space="preserve"> .</w:t>
      </w:r>
      <w:r>
        <w:rPr>
          <w:rFonts w:hint="eastAsia"/>
        </w:rPr>
        <w:t>315</w:t>
      </w:r>
      <w:r w:rsidRPr="005136FB">
        <w:rPr>
          <w:rFonts w:cs="Times New Roman"/>
        </w:rPr>
        <w:t xml:space="preserve">, </w:t>
      </w:r>
      <w:r w:rsidRPr="005136FB">
        <w:rPr>
          <w:rFonts w:cs="Times New Roman"/>
          <w:i/>
          <w:iCs/>
        </w:rPr>
        <w:t>η</w:t>
      </w:r>
      <w:r w:rsidRPr="005136FB">
        <w:rPr>
          <w:rFonts w:cs="Times New Roman" w:hint="eastAsia"/>
          <w:i/>
          <w:iCs/>
          <w:vertAlign w:val="subscript"/>
        </w:rPr>
        <w:t>G</w:t>
      </w:r>
      <w:r w:rsidRPr="005136FB">
        <w:rPr>
          <w:rFonts w:cs="Times New Roman"/>
          <w:vertAlign w:val="superscript"/>
        </w:rPr>
        <w:t>2</w:t>
      </w:r>
      <w:r w:rsidRPr="005136FB">
        <w:rPr>
          <w:rFonts w:cs="Times New Roman"/>
        </w:rPr>
        <w:t xml:space="preserve"> = </w:t>
      </w:r>
      <w:r w:rsidRPr="005136FB">
        <w:rPr>
          <w:rFonts w:cs="Times New Roman" w:hint="eastAsia"/>
        </w:rPr>
        <w:t>0</w:t>
      </w:r>
      <w:r w:rsidRPr="005136FB">
        <w:rPr>
          <w:rFonts w:cs="Times New Roman"/>
        </w:rPr>
        <w:t>.</w:t>
      </w:r>
      <w:r w:rsidRPr="005136FB">
        <w:rPr>
          <w:rFonts w:cs="Times New Roman" w:hint="eastAsia"/>
        </w:rPr>
        <w:t>003</w:t>
      </w:r>
      <w:r>
        <w:rPr>
          <w:rFonts w:hint="eastAsia"/>
        </w:rPr>
        <w:t>; or their interaction,</w:t>
      </w:r>
      <w:r w:rsidRPr="005136FB">
        <w:rPr>
          <w:i/>
          <w:iCs/>
        </w:rPr>
        <w:t xml:space="preserve"> F</w:t>
      </w:r>
      <w:r w:rsidRPr="002E21ED">
        <w:t xml:space="preserve">(2, </w:t>
      </w:r>
      <w:r>
        <w:rPr>
          <w:rFonts w:hint="eastAsia"/>
        </w:rPr>
        <w:t>27</w:t>
      </w:r>
      <w:r w:rsidRPr="002E21ED">
        <w:t>) =</w:t>
      </w:r>
      <w:r>
        <w:rPr>
          <w:rFonts w:hint="eastAsia"/>
        </w:rPr>
        <w:t xml:space="preserve"> 1.61</w:t>
      </w:r>
      <w:r w:rsidRPr="002E21ED">
        <w:t xml:space="preserve">, </w:t>
      </w:r>
      <w:r w:rsidRPr="005136FB">
        <w:rPr>
          <w:i/>
          <w:iCs/>
        </w:rPr>
        <w:t>p</w:t>
      </w:r>
      <w:r w:rsidRPr="002E21ED">
        <w:t xml:space="preserve"> </w:t>
      </w:r>
      <w:r>
        <w:rPr>
          <w:rFonts w:hint="eastAsia"/>
        </w:rPr>
        <w:t>=</w:t>
      </w:r>
      <w:r w:rsidRPr="002E21ED">
        <w:t xml:space="preserve"> .</w:t>
      </w:r>
      <w:r>
        <w:rPr>
          <w:rFonts w:hint="eastAsia"/>
        </w:rPr>
        <w:t>219</w:t>
      </w:r>
      <w:r w:rsidRPr="005136FB">
        <w:rPr>
          <w:rFonts w:cs="Times New Roman"/>
        </w:rPr>
        <w:t xml:space="preserve">, </w:t>
      </w:r>
      <w:r w:rsidRPr="005136FB">
        <w:rPr>
          <w:rFonts w:cs="Times New Roman"/>
          <w:i/>
          <w:iCs/>
        </w:rPr>
        <w:t>η</w:t>
      </w:r>
      <w:r w:rsidRPr="005136FB">
        <w:rPr>
          <w:rFonts w:cs="Times New Roman" w:hint="eastAsia"/>
          <w:i/>
          <w:iCs/>
          <w:vertAlign w:val="subscript"/>
        </w:rPr>
        <w:t>G</w:t>
      </w:r>
      <w:r w:rsidRPr="005136FB">
        <w:rPr>
          <w:rFonts w:cs="Times New Roman"/>
          <w:vertAlign w:val="superscript"/>
        </w:rPr>
        <w:t>2</w:t>
      </w:r>
      <w:r w:rsidRPr="005136FB">
        <w:rPr>
          <w:rFonts w:cs="Times New Roman"/>
        </w:rPr>
        <w:t xml:space="preserve"> = </w:t>
      </w:r>
      <w:r w:rsidRPr="005136FB">
        <w:rPr>
          <w:rFonts w:cs="Times New Roman" w:hint="eastAsia"/>
        </w:rPr>
        <w:t>0</w:t>
      </w:r>
      <w:r w:rsidRPr="005136FB">
        <w:rPr>
          <w:rFonts w:cs="Times New Roman"/>
        </w:rPr>
        <w:t>.</w:t>
      </w:r>
      <w:r w:rsidRPr="005136FB">
        <w:rPr>
          <w:rFonts w:cs="Times New Roman" w:hint="eastAsia"/>
        </w:rPr>
        <w:t>008. Figure 15</w:t>
      </w:r>
      <w:r w:rsidRPr="005136FB">
        <w:rPr>
          <w:rFonts w:hint="eastAsia"/>
          <w:lang w:val="en-GB"/>
        </w:rPr>
        <w:t>B</w:t>
      </w:r>
      <w:r w:rsidRPr="005136FB">
        <w:rPr>
          <w:rFonts w:cs="Times New Roman" w:hint="eastAsia"/>
        </w:rPr>
        <w:t xml:space="preserve"> depicts changes </w:t>
      </w:r>
      <w:r w:rsidRPr="008F173A">
        <w:t>in alpha power at T8 (Post−Pre)</w:t>
      </w:r>
      <w:r>
        <w:rPr>
          <w:rFonts w:hint="eastAsia"/>
        </w:rPr>
        <w:t xml:space="preserve"> </w:t>
      </w:r>
      <w:r w:rsidRPr="008F173A">
        <w:t xml:space="preserve">across </w:t>
      </w:r>
      <w:r>
        <w:rPr>
          <w:rFonts w:hint="eastAsia"/>
        </w:rPr>
        <w:t xml:space="preserve">the stimulation </w:t>
      </w:r>
      <w:r w:rsidRPr="008F173A">
        <w:t>conditions</w:t>
      </w:r>
      <w:r>
        <w:rPr>
          <w:rFonts w:hint="eastAsia"/>
        </w:rPr>
        <w:t>. A</w:t>
      </w:r>
      <w:r w:rsidRPr="008F173A">
        <w:t xml:space="preserve"> one-way ANOVA </w:t>
      </w:r>
      <w:r>
        <w:rPr>
          <w:rFonts w:hint="eastAsia"/>
        </w:rPr>
        <w:t xml:space="preserve">on these changes revealed no significant effect of condition, </w:t>
      </w:r>
      <w:r w:rsidRPr="005136FB">
        <w:rPr>
          <w:i/>
          <w:iCs/>
        </w:rPr>
        <w:t>F</w:t>
      </w:r>
      <w:r w:rsidRPr="002E21ED">
        <w:t xml:space="preserve">(2, </w:t>
      </w:r>
      <w:r>
        <w:rPr>
          <w:rFonts w:hint="eastAsia"/>
        </w:rPr>
        <w:t>25</w:t>
      </w:r>
      <w:r w:rsidRPr="002E21ED">
        <w:t>) =</w:t>
      </w:r>
      <w:r>
        <w:rPr>
          <w:rFonts w:hint="eastAsia"/>
        </w:rPr>
        <w:t xml:space="preserve"> 0.91</w:t>
      </w:r>
      <w:r w:rsidRPr="002E21ED">
        <w:t xml:space="preserve">, </w:t>
      </w:r>
      <w:r w:rsidRPr="005136FB">
        <w:rPr>
          <w:i/>
          <w:iCs/>
        </w:rPr>
        <w:t>p</w:t>
      </w:r>
      <w:r w:rsidRPr="002E21ED">
        <w:t xml:space="preserve"> </w:t>
      </w:r>
      <w:r>
        <w:rPr>
          <w:rFonts w:hint="eastAsia"/>
        </w:rPr>
        <w:t>=</w:t>
      </w:r>
      <w:r w:rsidRPr="002E21ED">
        <w:t xml:space="preserve"> .</w:t>
      </w:r>
      <w:r>
        <w:rPr>
          <w:rFonts w:hint="eastAsia"/>
        </w:rPr>
        <w:t>417</w:t>
      </w:r>
      <w:r w:rsidRPr="005136FB">
        <w:rPr>
          <w:rFonts w:cs="Times New Roman"/>
        </w:rPr>
        <w:t xml:space="preserve">, </w:t>
      </w:r>
      <w:r w:rsidRPr="005136FB">
        <w:rPr>
          <w:rFonts w:cs="Times New Roman"/>
          <w:i/>
          <w:iCs/>
        </w:rPr>
        <w:t>η</w:t>
      </w:r>
      <w:r w:rsidRPr="005136FB">
        <w:rPr>
          <w:rFonts w:cs="Times New Roman" w:hint="eastAsia"/>
          <w:i/>
          <w:iCs/>
          <w:vertAlign w:val="subscript"/>
        </w:rPr>
        <w:t>G</w:t>
      </w:r>
      <w:r w:rsidRPr="005136FB">
        <w:rPr>
          <w:rFonts w:cs="Times New Roman"/>
          <w:vertAlign w:val="superscript"/>
        </w:rPr>
        <w:t>2</w:t>
      </w:r>
      <w:r w:rsidRPr="005136FB">
        <w:rPr>
          <w:rFonts w:cs="Times New Roman"/>
        </w:rPr>
        <w:t xml:space="preserve"> = </w:t>
      </w:r>
      <w:r w:rsidRPr="005136FB">
        <w:rPr>
          <w:rFonts w:cs="Times New Roman" w:hint="eastAsia"/>
        </w:rPr>
        <w:t>0</w:t>
      </w:r>
      <w:r w:rsidRPr="005136FB">
        <w:rPr>
          <w:rFonts w:cs="Times New Roman"/>
        </w:rPr>
        <w:t>.</w:t>
      </w:r>
      <w:r w:rsidRPr="005136FB">
        <w:rPr>
          <w:rFonts w:cs="Times New Roman" w:hint="eastAsia"/>
        </w:rPr>
        <w:t>068</w:t>
      </w:r>
      <w:r>
        <w:rPr>
          <w:rFonts w:cs="Times New Roman" w:hint="eastAsia"/>
        </w:rPr>
        <w:t>.</w:t>
      </w:r>
    </w:p>
    <w:p w14:paraId="57E1173D" w14:textId="77777777" w:rsidR="006D1C21" w:rsidRDefault="006D1C21" w:rsidP="005136FB">
      <w:pPr>
        <w:pStyle w:val="a3"/>
        <w:ind w:leftChars="0" w:left="426"/>
        <w:rPr>
          <w:rFonts w:cs="Times New Roman"/>
        </w:rPr>
      </w:pPr>
    </w:p>
    <w:p w14:paraId="3D971B9A" w14:textId="714560DD" w:rsidR="005136FB" w:rsidRDefault="005136FB" w:rsidP="006D1C21">
      <w:pPr>
        <w:jc w:val="center"/>
        <w:rPr>
          <w:rFonts w:cs="Times New Roman"/>
        </w:rPr>
      </w:pPr>
      <w:r>
        <w:rPr>
          <w:rFonts w:cs="Times New Roman"/>
          <w:noProof/>
        </w:rPr>
        <w:drawing>
          <wp:inline distT="0" distB="0" distL="0" distR="0" wp14:anchorId="5063857E" wp14:editId="5B618ECC">
            <wp:extent cx="5167209" cy="2089150"/>
            <wp:effectExtent l="0" t="0" r="0" b="6350"/>
            <wp:docPr id="1468821861" name="図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821861" name="図 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5167209" cy="2089150"/>
                    </a:xfrm>
                    <a:prstGeom prst="rect">
                      <a:avLst/>
                    </a:prstGeom>
                    <a:noFill/>
                    <a:ln>
                      <a:noFill/>
                    </a:ln>
                  </pic:spPr>
                </pic:pic>
              </a:graphicData>
            </a:graphic>
          </wp:inline>
        </w:drawing>
      </w:r>
    </w:p>
    <w:p w14:paraId="19DDDC79" w14:textId="77777777" w:rsidR="006D1C21" w:rsidRPr="006D1C21" w:rsidRDefault="006D1C21" w:rsidP="006D1C21">
      <w:pPr>
        <w:jc w:val="center"/>
        <w:rPr>
          <w:rFonts w:cs="Times New Roman"/>
        </w:rPr>
      </w:pPr>
    </w:p>
    <w:p w14:paraId="1C0943E5" w14:textId="726E1ACF" w:rsidR="006D1C21" w:rsidRDefault="006D1C21" w:rsidP="006D1C21">
      <w:pPr>
        <w:pStyle w:val="a5"/>
        <w:ind w:leftChars="100" w:left="210"/>
        <w:jc w:val="left"/>
        <w:rPr>
          <w:b w:val="0"/>
          <w:bCs w:val="0"/>
          <w:color w:val="000000" w:themeColor="text1"/>
        </w:rPr>
      </w:pPr>
      <w:r>
        <w:t xml:space="preserve">Supplementary </w:t>
      </w:r>
      <w:r w:rsidR="005136FB">
        <w:t xml:space="preserve">Figure </w:t>
      </w:r>
      <w:r w:rsidR="005136FB">
        <w:rPr>
          <w:rFonts w:hint="eastAsia"/>
        </w:rPr>
        <w:t xml:space="preserve">2 </w:t>
      </w:r>
      <w:r w:rsidR="005136FB" w:rsidRPr="00F56DDD">
        <w:rPr>
          <w:b w:val="0"/>
          <w:bCs w:val="0"/>
          <w:color w:val="000000" w:themeColor="text1"/>
        </w:rPr>
        <w:t xml:space="preserve">Alpha power changes at </w:t>
      </w:r>
      <w:r w:rsidR="005136FB">
        <w:rPr>
          <w:rFonts w:hint="eastAsia"/>
          <w:b w:val="0"/>
          <w:bCs w:val="0"/>
          <w:color w:val="000000" w:themeColor="text1"/>
        </w:rPr>
        <w:t xml:space="preserve">the right temporal electrode </w:t>
      </w:r>
      <w:r w:rsidR="005136FB" w:rsidRPr="00F56DDD">
        <w:rPr>
          <w:b w:val="0"/>
          <w:bCs w:val="0"/>
          <w:color w:val="000000" w:themeColor="text1"/>
        </w:rPr>
        <w:t>T8</w:t>
      </w:r>
      <w:r w:rsidR="005136FB">
        <w:rPr>
          <w:rFonts w:hint="eastAsia"/>
          <w:b w:val="0"/>
          <w:bCs w:val="0"/>
          <w:color w:val="000000" w:themeColor="text1"/>
        </w:rPr>
        <w:t xml:space="preserve"> </w:t>
      </w:r>
      <w:r w:rsidR="005136FB" w:rsidRPr="00F56DDD">
        <w:rPr>
          <w:b w:val="0"/>
          <w:bCs w:val="0"/>
          <w:color w:val="000000" w:themeColor="text1"/>
        </w:rPr>
        <w:t>durin</w:t>
      </w:r>
      <w:r w:rsidR="005136FB">
        <w:rPr>
          <w:rFonts w:hint="eastAsia"/>
          <w:b w:val="0"/>
          <w:bCs w:val="0"/>
        </w:rPr>
        <w:t>g the divergent thinking phase of the problem-finding task</w:t>
      </w:r>
      <w:r w:rsidR="005136FB" w:rsidRPr="00F56DDD">
        <w:rPr>
          <w:b w:val="0"/>
          <w:bCs w:val="0"/>
          <w:color w:val="000000" w:themeColor="text1"/>
        </w:rPr>
        <w:t xml:space="preserve"> </w:t>
      </w:r>
      <w:r w:rsidR="005136FB">
        <w:rPr>
          <w:rFonts w:hint="eastAsia"/>
          <w:b w:val="0"/>
          <w:bCs w:val="0"/>
          <w:color w:val="000000" w:themeColor="text1"/>
        </w:rPr>
        <w:t>across the three</w:t>
      </w:r>
      <w:r w:rsidR="005136FB" w:rsidRPr="00F56DDD">
        <w:rPr>
          <w:b w:val="0"/>
          <w:bCs w:val="0"/>
          <w:color w:val="000000" w:themeColor="text1"/>
        </w:rPr>
        <w:t xml:space="preserve"> stimulation conditions (left alpha, right alpha, and right gamma).</w:t>
      </w:r>
      <w:r w:rsidR="005136FB" w:rsidRPr="00F56DDD">
        <w:rPr>
          <w:rFonts w:hint="eastAsia"/>
        </w:rPr>
        <w:t xml:space="preserve"> </w:t>
      </w:r>
      <w:r w:rsidR="005136FB" w:rsidRPr="004A75DB">
        <w:rPr>
          <w:rFonts w:hint="eastAsia"/>
        </w:rPr>
        <w:t>(A)</w:t>
      </w:r>
      <w:r w:rsidR="005136FB" w:rsidRPr="00F56DDD">
        <w:rPr>
          <w:b w:val="0"/>
          <w:bCs w:val="0"/>
          <w:color w:val="000000" w:themeColor="text1"/>
        </w:rPr>
        <w:t xml:space="preserve"> Alpha power at T8 for Pre and Post phases in each stimulation condition</w:t>
      </w:r>
      <w:r w:rsidR="005136FB">
        <w:rPr>
          <w:rFonts w:hint="eastAsia"/>
          <w:b w:val="0"/>
          <w:bCs w:val="0"/>
          <w:color w:val="000000" w:themeColor="text1"/>
        </w:rPr>
        <w:t xml:space="preserve">: </w:t>
      </w:r>
      <w:r w:rsidR="005136FB">
        <w:rPr>
          <w:rFonts w:hint="eastAsia"/>
          <w:b w:val="0"/>
          <w:bCs w:val="0"/>
        </w:rPr>
        <w:t>left alpha (blue), right alpha (green), right gamma (red).</w:t>
      </w:r>
      <w:r w:rsidR="005136FB" w:rsidRPr="00F56DDD">
        <w:rPr>
          <w:b w:val="0"/>
          <w:bCs w:val="0"/>
          <w:color w:val="000000" w:themeColor="text1"/>
        </w:rPr>
        <w:t xml:space="preserve"> </w:t>
      </w:r>
      <w:r w:rsidR="005136FB" w:rsidRPr="00A46A67">
        <w:rPr>
          <w:b w:val="0"/>
          <w:bCs w:val="0"/>
          <w:color w:val="000000" w:themeColor="text1"/>
        </w:rPr>
        <w:t>The data are displayed using violin plots overlaid with box plots, with gray lines representing the changes in alpha power for individual participants.</w:t>
      </w:r>
      <w:r w:rsidR="005136FB" w:rsidRPr="00F56DDD">
        <w:rPr>
          <w:b w:val="0"/>
          <w:bCs w:val="0"/>
          <w:color w:val="000000" w:themeColor="text1"/>
        </w:rPr>
        <w:t xml:space="preserve"> </w:t>
      </w:r>
      <w:r w:rsidR="005136FB" w:rsidRPr="004A75DB">
        <w:rPr>
          <w:rFonts w:hint="eastAsia"/>
        </w:rPr>
        <w:t>(</w:t>
      </w:r>
      <w:r w:rsidR="005136FB">
        <w:rPr>
          <w:rFonts w:hint="eastAsia"/>
        </w:rPr>
        <w:t>B</w:t>
      </w:r>
      <w:r w:rsidR="005136FB" w:rsidRPr="004A75DB">
        <w:rPr>
          <w:rFonts w:hint="eastAsia"/>
        </w:rPr>
        <w:t>)</w:t>
      </w:r>
      <w:r w:rsidR="005136FB" w:rsidRPr="00F56DDD">
        <w:rPr>
          <w:b w:val="0"/>
          <w:bCs w:val="0"/>
          <w:color w:val="000000" w:themeColor="text1"/>
        </w:rPr>
        <w:t xml:space="preserve"> </w:t>
      </w:r>
      <w:r w:rsidR="005136FB">
        <w:rPr>
          <w:rFonts w:hint="eastAsia"/>
          <w:b w:val="0"/>
          <w:bCs w:val="0"/>
          <w:color w:val="000000" w:themeColor="text1"/>
        </w:rPr>
        <w:t>T</w:t>
      </w:r>
      <w:r w:rsidR="005136FB" w:rsidRPr="00F56DDD">
        <w:rPr>
          <w:b w:val="0"/>
          <w:bCs w:val="0"/>
          <w:color w:val="000000" w:themeColor="text1"/>
        </w:rPr>
        <w:t>he change in alpha power (Post</w:t>
      </w:r>
      <w:r w:rsidR="005136FB">
        <w:t>−</w:t>
      </w:r>
      <w:r w:rsidR="005136FB" w:rsidRPr="00F56DDD">
        <w:rPr>
          <w:b w:val="0"/>
          <w:bCs w:val="0"/>
          <w:color w:val="000000" w:themeColor="text1"/>
        </w:rPr>
        <w:t>Pr</w:t>
      </w:r>
      <w:r w:rsidR="005136FB">
        <w:rPr>
          <w:rFonts w:hint="eastAsia"/>
          <w:b w:val="0"/>
          <w:bCs w:val="0"/>
          <w:color w:val="000000" w:themeColor="text1"/>
        </w:rPr>
        <w:t>e</w:t>
      </w:r>
      <w:r w:rsidR="005136FB" w:rsidRPr="00F56DDD">
        <w:rPr>
          <w:b w:val="0"/>
          <w:bCs w:val="0"/>
          <w:color w:val="000000" w:themeColor="text1"/>
        </w:rPr>
        <w:t>) across conditions</w:t>
      </w:r>
      <w:r w:rsidR="005136FB">
        <w:rPr>
          <w:rFonts w:hint="eastAsia"/>
          <w:b w:val="0"/>
          <w:bCs w:val="0"/>
          <w:color w:val="000000" w:themeColor="text1"/>
        </w:rPr>
        <w:t xml:space="preserve"> </w:t>
      </w:r>
      <w:r w:rsidR="005136FB" w:rsidRPr="00A46A67">
        <w:rPr>
          <w:b w:val="0"/>
          <w:bCs w:val="0"/>
          <w:color w:val="000000" w:themeColor="text1"/>
        </w:rPr>
        <w:t xml:space="preserve">is </w:t>
      </w:r>
      <w:r w:rsidR="005136FB">
        <w:rPr>
          <w:b w:val="0"/>
          <w:bCs w:val="0"/>
          <w:color w:val="000000" w:themeColor="text1"/>
        </w:rPr>
        <w:t>visuali</w:t>
      </w:r>
      <w:r w:rsidR="00373C76">
        <w:rPr>
          <w:rFonts w:hint="eastAsia"/>
          <w:b w:val="0"/>
          <w:bCs w:val="0"/>
          <w:color w:val="000000" w:themeColor="text1"/>
        </w:rPr>
        <w:t>z</w:t>
      </w:r>
      <w:r w:rsidR="005136FB">
        <w:rPr>
          <w:b w:val="0"/>
          <w:bCs w:val="0"/>
          <w:color w:val="000000" w:themeColor="text1"/>
        </w:rPr>
        <w:t>ed</w:t>
      </w:r>
      <w:r w:rsidR="005136FB" w:rsidRPr="00A46A67">
        <w:rPr>
          <w:b w:val="0"/>
          <w:bCs w:val="0"/>
          <w:color w:val="000000" w:themeColor="text1"/>
        </w:rPr>
        <w:t xml:space="preserve"> using violin plots and box plots, with each dot representing an individual participant</w:t>
      </w:r>
      <w:r w:rsidR="005136FB" w:rsidRPr="00F56DDD">
        <w:rPr>
          <w:b w:val="0"/>
          <w:bCs w:val="0"/>
          <w:color w:val="000000" w:themeColor="text1"/>
        </w:rPr>
        <w:t>.</w:t>
      </w:r>
    </w:p>
    <w:p w14:paraId="4F610055" w14:textId="77777777" w:rsidR="006D1C21" w:rsidRDefault="006D1C21" w:rsidP="006D1C21">
      <w:pPr>
        <w:pStyle w:val="a5"/>
        <w:ind w:leftChars="100" w:left="210"/>
        <w:jc w:val="left"/>
        <w:rPr>
          <w:b w:val="0"/>
          <w:bCs w:val="0"/>
        </w:rPr>
      </w:pPr>
    </w:p>
    <w:p w14:paraId="5F02124B" w14:textId="6D84BF6E" w:rsidR="006D1C21" w:rsidRDefault="006D1C21" w:rsidP="006D1C21">
      <w:pPr>
        <w:pStyle w:val="a5"/>
        <w:ind w:leftChars="100" w:left="210"/>
        <w:jc w:val="left"/>
      </w:pPr>
      <w:r w:rsidRPr="006D1C21">
        <w:rPr>
          <w:rFonts w:hint="eastAsia"/>
        </w:rPr>
        <w:t>References</w:t>
      </w:r>
    </w:p>
    <w:p w14:paraId="749EF689" w14:textId="77777777" w:rsidR="003D6A2E" w:rsidRPr="003D6A2E" w:rsidRDefault="003D6A2E" w:rsidP="003D6A2E">
      <w:pPr>
        <w:pStyle w:val="ae"/>
      </w:pPr>
      <w:r>
        <w:fldChar w:fldCharType="begin"/>
      </w:r>
      <w:r>
        <w:instrText xml:space="preserve"> ADDIN ZOTERO_BIBL {"uncited":[],"omitted":[],"custom":[]} CSL_BIBLIOGRAPHY </w:instrText>
      </w:r>
      <w:r>
        <w:fldChar w:fldCharType="separate"/>
      </w:r>
      <w:r w:rsidRPr="003D6A2E">
        <w:t>1.</w:t>
      </w:r>
      <w:r w:rsidRPr="003D6A2E">
        <w:tab/>
        <w:t xml:space="preserve">Yanagisawa H. &amp; S. Honda. 2025. Modeling the arousal potential of epistemic emotions using Bayesian information gain: a framework for inquiry cycles driven by free energy fluctuations. </w:t>
      </w:r>
      <w:r w:rsidRPr="003D6A2E">
        <w:rPr>
          <w:i/>
          <w:iCs/>
        </w:rPr>
        <w:t>Front. Psychol.</w:t>
      </w:r>
      <w:r w:rsidRPr="003D6A2E">
        <w:t xml:space="preserve"> </w:t>
      </w:r>
      <w:r w:rsidRPr="003D6A2E">
        <w:rPr>
          <w:b/>
          <w:bCs/>
        </w:rPr>
        <w:t>16</w:t>
      </w:r>
      <w:r w:rsidRPr="003D6A2E">
        <w:t>:. https://doi.org/10.3389/fpsyg.2025.1438080</w:t>
      </w:r>
    </w:p>
    <w:p w14:paraId="1164CCA6" w14:textId="77777777" w:rsidR="003D6A2E" w:rsidRPr="003D6A2E" w:rsidRDefault="003D6A2E" w:rsidP="003D6A2E">
      <w:pPr>
        <w:pStyle w:val="ae"/>
      </w:pPr>
      <w:r w:rsidRPr="003D6A2E">
        <w:t>2.</w:t>
      </w:r>
      <w:r w:rsidRPr="003D6A2E">
        <w:tab/>
        <w:t>Berlyne D.E. 1960. “</w:t>
      </w:r>
      <w:r w:rsidRPr="003D6A2E">
        <w:rPr>
          <w:i/>
          <w:iCs/>
        </w:rPr>
        <w:t>Conflict, arousal, and curiosity</w:t>
      </w:r>
      <w:r w:rsidRPr="003D6A2E">
        <w:t>.” New York, NY, US: McGraw-Hill Book Company. https://doi.org/10.1037/11164-000</w:t>
      </w:r>
    </w:p>
    <w:p w14:paraId="630BBEEA" w14:textId="77777777" w:rsidR="003D6A2E" w:rsidRPr="003D6A2E" w:rsidRDefault="003D6A2E" w:rsidP="003D6A2E">
      <w:pPr>
        <w:pStyle w:val="ae"/>
      </w:pPr>
      <w:r w:rsidRPr="003D6A2E">
        <w:t>3.</w:t>
      </w:r>
      <w:r w:rsidRPr="003D6A2E">
        <w:tab/>
        <w:t xml:space="preserve">Delorme A. &amp; S. Makeig. 2004. EEGLAB: an open source toolbox for analysis of single-trial EEG dynamics including independent component analysis. </w:t>
      </w:r>
      <w:r w:rsidRPr="003D6A2E">
        <w:rPr>
          <w:i/>
          <w:iCs/>
        </w:rPr>
        <w:t>Journal of Neuroscience Methods</w:t>
      </w:r>
      <w:r w:rsidRPr="003D6A2E">
        <w:t xml:space="preserve"> </w:t>
      </w:r>
      <w:r w:rsidRPr="003D6A2E">
        <w:rPr>
          <w:b/>
          <w:bCs/>
        </w:rPr>
        <w:t>134</w:t>
      </w:r>
      <w:r w:rsidRPr="003D6A2E">
        <w:t>: 9–21. https://doi.org/10.1016/j.jneumeth.2003.10.009</w:t>
      </w:r>
    </w:p>
    <w:p w14:paraId="54A80334" w14:textId="77777777" w:rsidR="003D6A2E" w:rsidRPr="003D6A2E" w:rsidRDefault="003D6A2E" w:rsidP="003D6A2E">
      <w:pPr>
        <w:pStyle w:val="ae"/>
      </w:pPr>
      <w:r w:rsidRPr="003D6A2E">
        <w:t>4.</w:t>
      </w:r>
      <w:r w:rsidRPr="003D6A2E">
        <w:tab/>
        <w:t xml:space="preserve">Mullen T.R., C.A.E. Kothe, Y.M. Chi, </w:t>
      </w:r>
      <w:r w:rsidRPr="003D6A2E">
        <w:rPr>
          <w:i/>
          <w:iCs/>
        </w:rPr>
        <w:t>et al.</w:t>
      </w:r>
      <w:r w:rsidRPr="003D6A2E">
        <w:t xml:space="preserve"> 2015. Real-time neuroimaging and cognitive monitoring using wearable dry EEG. </w:t>
      </w:r>
      <w:r w:rsidRPr="003D6A2E">
        <w:rPr>
          <w:i/>
          <w:iCs/>
        </w:rPr>
        <w:t>IEEE Transactions on Biomedical Engineering</w:t>
      </w:r>
      <w:r w:rsidRPr="003D6A2E">
        <w:t xml:space="preserve"> </w:t>
      </w:r>
      <w:r w:rsidRPr="003D6A2E">
        <w:rPr>
          <w:b/>
          <w:bCs/>
        </w:rPr>
        <w:t>62</w:t>
      </w:r>
      <w:r w:rsidRPr="003D6A2E">
        <w:t>: 2553–2567. https://doi.org/10.1109/TBME.2015.2481482</w:t>
      </w:r>
    </w:p>
    <w:p w14:paraId="4C8FC6D2" w14:textId="77777777" w:rsidR="003D6A2E" w:rsidRPr="003D6A2E" w:rsidRDefault="003D6A2E" w:rsidP="003D6A2E">
      <w:pPr>
        <w:pStyle w:val="ae"/>
      </w:pPr>
      <w:r w:rsidRPr="003D6A2E">
        <w:lastRenderedPageBreak/>
        <w:t>5.</w:t>
      </w:r>
      <w:r w:rsidRPr="003D6A2E">
        <w:tab/>
        <w:t xml:space="preserve">Makoto’s preprocessing pipeline. </w:t>
      </w:r>
      <w:r w:rsidRPr="003D6A2E">
        <w:rPr>
          <w:i/>
          <w:iCs/>
        </w:rPr>
        <w:t>Center of the Institute for Neural Computation the University of California San Diego</w:t>
      </w:r>
      <w:r w:rsidRPr="003D6A2E">
        <w:t>.</w:t>
      </w:r>
    </w:p>
    <w:p w14:paraId="42CB3377" w14:textId="77777777" w:rsidR="003D6A2E" w:rsidRPr="003D6A2E" w:rsidRDefault="003D6A2E" w:rsidP="003D6A2E">
      <w:pPr>
        <w:pStyle w:val="ae"/>
      </w:pPr>
      <w:r w:rsidRPr="003D6A2E">
        <w:t>6.</w:t>
      </w:r>
      <w:r w:rsidRPr="003D6A2E">
        <w:tab/>
        <w:t xml:space="preserve">Palmer J.A., K. Kreut Z-Delgado &amp; S. Makeig. 2012. AMICA: An Adaptive Mixture of Independent Component Analyzers with Shared Components. </w:t>
      </w:r>
      <w:r w:rsidRPr="003D6A2E">
        <w:rPr>
          <w:i/>
          <w:iCs/>
        </w:rPr>
        <w:t>Swartz Center for Computational Neuroscience, University of California San Diego, Tech. Rep</w:t>
      </w:r>
      <w:r w:rsidRPr="003D6A2E">
        <w:t>.</w:t>
      </w:r>
    </w:p>
    <w:p w14:paraId="08823985" w14:textId="77777777" w:rsidR="003D6A2E" w:rsidRPr="003D6A2E" w:rsidRDefault="003D6A2E" w:rsidP="003D6A2E">
      <w:pPr>
        <w:pStyle w:val="ae"/>
      </w:pPr>
      <w:r w:rsidRPr="003D6A2E">
        <w:t>7.</w:t>
      </w:r>
      <w:r w:rsidRPr="003D6A2E">
        <w:tab/>
        <w:t xml:space="preserve">Pion-Tonachini L., K. Kreutz-Delgado &amp; S. Makeig. 2019. ICLabel: An automated electroencephalographic independent component classifier, dataset, and website. </w:t>
      </w:r>
      <w:r w:rsidRPr="003D6A2E">
        <w:rPr>
          <w:i/>
          <w:iCs/>
        </w:rPr>
        <w:t>NeuroImage</w:t>
      </w:r>
      <w:r w:rsidRPr="003D6A2E">
        <w:t xml:space="preserve"> </w:t>
      </w:r>
      <w:r w:rsidRPr="003D6A2E">
        <w:rPr>
          <w:b/>
          <w:bCs/>
        </w:rPr>
        <w:t>198</w:t>
      </w:r>
      <w:r w:rsidRPr="003D6A2E">
        <w:t>: 181–197. https://doi.org/10.1016/J.NEUROIMAGE.2019.05.026</w:t>
      </w:r>
    </w:p>
    <w:p w14:paraId="50B3CAF1" w14:textId="3B82C348" w:rsidR="006D1C21" w:rsidRPr="006D1C21" w:rsidRDefault="003D6A2E" w:rsidP="006D1C21">
      <w:r>
        <w:fldChar w:fldCharType="end"/>
      </w:r>
    </w:p>
    <w:sectPr w:rsidR="006D1C21" w:rsidRPr="006D1C21" w:rsidSect="008441E2">
      <w:pgSz w:w="11906" w:h="16838" w:code="9"/>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1B361F" w14:textId="77777777" w:rsidR="00040374" w:rsidRDefault="00040374" w:rsidP="00546BDA">
      <w:r>
        <w:separator/>
      </w:r>
    </w:p>
  </w:endnote>
  <w:endnote w:type="continuationSeparator" w:id="0">
    <w:p w14:paraId="751CD027" w14:textId="77777777" w:rsidR="00040374" w:rsidRDefault="00040374" w:rsidP="00546B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Open Sans">
    <w:charset w:val="00"/>
    <w:family w:val="swiss"/>
    <w:pitch w:val="variable"/>
    <w:sig w:usb0="E00002EF" w:usb1="4000205B" w:usb2="00000028"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ACF62" w14:textId="77777777" w:rsidR="00040374" w:rsidRDefault="00040374" w:rsidP="00546BDA">
      <w:r>
        <w:separator/>
      </w:r>
    </w:p>
  </w:footnote>
  <w:footnote w:type="continuationSeparator" w:id="0">
    <w:p w14:paraId="03E03419" w14:textId="77777777" w:rsidR="00040374" w:rsidRDefault="00040374" w:rsidP="00546B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0703C"/>
    <w:multiLevelType w:val="hybridMultilevel"/>
    <w:tmpl w:val="11F0723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09A70B0A"/>
    <w:multiLevelType w:val="hybridMultilevel"/>
    <w:tmpl w:val="404ABE48"/>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4E37797"/>
    <w:multiLevelType w:val="multilevel"/>
    <w:tmpl w:val="9DD6B56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bCs/>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 w15:restartNumberingAfterBreak="0">
    <w:nsid w:val="162E2247"/>
    <w:multiLevelType w:val="hybridMultilevel"/>
    <w:tmpl w:val="862A8D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9934C1D"/>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5" w15:restartNumberingAfterBreak="0">
    <w:nsid w:val="1DAB51C1"/>
    <w:multiLevelType w:val="hybridMultilevel"/>
    <w:tmpl w:val="A14ED686"/>
    <w:lvl w:ilvl="0" w:tplc="29F02FA8">
      <w:start w:val="1"/>
      <w:numFmt w:val="bullet"/>
      <w:lvlText w:val="-"/>
      <w:lvlJc w:val="left"/>
      <w:pPr>
        <w:ind w:left="927" w:hanging="360"/>
      </w:pPr>
      <w:rPr>
        <w:rFonts w:ascii="Times New Roman" w:eastAsiaTheme="minorEastAsia" w:hAnsi="Times New Roman" w:cs="Times New Roman"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6" w15:restartNumberingAfterBreak="0">
    <w:nsid w:val="21A576A2"/>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7" w15:restartNumberingAfterBreak="0">
    <w:nsid w:val="27910DA6"/>
    <w:multiLevelType w:val="multilevel"/>
    <w:tmpl w:val="16181D0A"/>
    <w:lvl w:ilvl="0">
      <w:start w:val="3"/>
      <w:numFmt w:val="decimal"/>
      <w:lvlText w:val="%1"/>
      <w:lvlJc w:val="left"/>
      <w:pPr>
        <w:ind w:left="425" w:hanging="425"/>
      </w:pPr>
      <w:rPr>
        <w:rFonts w:hint="eastAsia"/>
      </w:rPr>
    </w:lvl>
    <w:lvl w:ilvl="1">
      <w:start w:val="1"/>
      <w:numFmt w:val="decimal"/>
      <w:lvlText w:val="%1.%2"/>
      <w:lvlJc w:val="left"/>
      <w:pPr>
        <w:ind w:left="992" w:hanging="567"/>
      </w:pPr>
      <w:rPr>
        <w:rFonts w:hint="eastAsia"/>
        <w:b/>
        <w:bCs/>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 w15:restartNumberingAfterBreak="0">
    <w:nsid w:val="3E503326"/>
    <w:multiLevelType w:val="hybridMultilevel"/>
    <w:tmpl w:val="62A61A4C"/>
    <w:lvl w:ilvl="0" w:tplc="D34EF890">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9" w15:restartNumberingAfterBreak="0">
    <w:nsid w:val="42777F0B"/>
    <w:multiLevelType w:val="multilevel"/>
    <w:tmpl w:val="0409001D"/>
    <w:lvl w:ilvl="0">
      <w:start w:val="1"/>
      <w:numFmt w:val="decimal"/>
      <w:lvlText w:val="%1"/>
      <w:lvlJc w:val="left"/>
      <w:pPr>
        <w:ind w:left="425" w:hanging="425"/>
      </w:p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0" w15:restartNumberingAfterBreak="0">
    <w:nsid w:val="4B6F3919"/>
    <w:multiLevelType w:val="hybridMultilevel"/>
    <w:tmpl w:val="6B2E3FA8"/>
    <w:lvl w:ilvl="0" w:tplc="04090003">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5362216E"/>
    <w:multiLevelType w:val="hybridMultilevel"/>
    <w:tmpl w:val="6A6048BC"/>
    <w:lvl w:ilvl="0" w:tplc="0409000F">
      <w:start w:val="1"/>
      <w:numFmt w:val="decimal"/>
      <w:lvlText w:val="%1."/>
      <w:lvlJc w:val="left"/>
      <w:pPr>
        <w:ind w:left="440" w:hanging="440"/>
      </w:p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54F21510"/>
    <w:multiLevelType w:val="hybridMultilevel"/>
    <w:tmpl w:val="C338D398"/>
    <w:lvl w:ilvl="0" w:tplc="2604CEBC">
      <w:start w:val="1"/>
      <w:numFmt w:val="decimal"/>
      <w:lvlText w:val="%1."/>
      <w:lvlJc w:val="left"/>
      <w:pPr>
        <w:ind w:left="440" w:hanging="440"/>
      </w:pPr>
      <w:rPr>
        <w:b/>
        <w:bCs/>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3" w15:restartNumberingAfterBreak="0">
    <w:nsid w:val="55001C47"/>
    <w:multiLevelType w:val="hybridMultilevel"/>
    <w:tmpl w:val="747077A6"/>
    <w:lvl w:ilvl="0" w:tplc="FC18B398">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14" w15:restartNumberingAfterBreak="0">
    <w:nsid w:val="5FEF2F32"/>
    <w:multiLevelType w:val="multilevel"/>
    <w:tmpl w:val="0409001D"/>
    <w:lvl w:ilvl="0">
      <w:start w:val="1"/>
      <w:numFmt w:val="decimal"/>
      <w:lvlText w:val="%1"/>
      <w:lvlJc w:val="left"/>
      <w:pPr>
        <w:ind w:left="425" w:hanging="425"/>
      </w:pPr>
      <w:rPr>
        <w:rFonts w:hint="default"/>
      </w:rPr>
    </w:lvl>
    <w:lvl w:ilvl="1">
      <w:start w:val="1"/>
      <w:numFmt w:val="decimal"/>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5" w15:restartNumberingAfterBreak="0">
    <w:nsid w:val="60043ECB"/>
    <w:multiLevelType w:val="hybridMultilevel"/>
    <w:tmpl w:val="5C84ABCE"/>
    <w:lvl w:ilvl="0" w:tplc="6E144E24">
      <w:start w:val="1"/>
      <w:numFmt w:val="decimal"/>
      <w:lvlText w:val="%1."/>
      <w:lvlJc w:val="left"/>
      <w:pPr>
        <w:ind w:left="720" w:hanging="360"/>
      </w:pPr>
    </w:lvl>
    <w:lvl w:ilvl="1" w:tplc="4F086688">
      <w:start w:val="1"/>
      <w:numFmt w:val="decimal"/>
      <w:lvlText w:val="%2."/>
      <w:lvlJc w:val="left"/>
      <w:pPr>
        <w:ind w:left="720" w:hanging="360"/>
      </w:pPr>
    </w:lvl>
    <w:lvl w:ilvl="2" w:tplc="D00E2CC6">
      <w:start w:val="1"/>
      <w:numFmt w:val="decimal"/>
      <w:lvlText w:val="%3."/>
      <w:lvlJc w:val="left"/>
      <w:pPr>
        <w:ind w:left="720" w:hanging="360"/>
      </w:pPr>
    </w:lvl>
    <w:lvl w:ilvl="3" w:tplc="1F02F8F6">
      <w:start w:val="1"/>
      <w:numFmt w:val="decimal"/>
      <w:lvlText w:val="%4."/>
      <w:lvlJc w:val="left"/>
      <w:pPr>
        <w:ind w:left="720" w:hanging="360"/>
      </w:pPr>
    </w:lvl>
    <w:lvl w:ilvl="4" w:tplc="BA1E8B3C">
      <w:start w:val="1"/>
      <w:numFmt w:val="decimal"/>
      <w:lvlText w:val="%5."/>
      <w:lvlJc w:val="left"/>
      <w:pPr>
        <w:ind w:left="720" w:hanging="360"/>
      </w:pPr>
    </w:lvl>
    <w:lvl w:ilvl="5" w:tplc="1CBEE5C4">
      <w:start w:val="1"/>
      <w:numFmt w:val="decimal"/>
      <w:lvlText w:val="%6."/>
      <w:lvlJc w:val="left"/>
      <w:pPr>
        <w:ind w:left="720" w:hanging="360"/>
      </w:pPr>
    </w:lvl>
    <w:lvl w:ilvl="6" w:tplc="1040CEBC">
      <w:start w:val="1"/>
      <w:numFmt w:val="decimal"/>
      <w:lvlText w:val="%7."/>
      <w:lvlJc w:val="left"/>
      <w:pPr>
        <w:ind w:left="720" w:hanging="360"/>
      </w:pPr>
    </w:lvl>
    <w:lvl w:ilvl="7" w:tplc="8B64E962">
      <w:start w:val="1"/>
      <w:numFmt w:val="decimal"/>
      <w:lvlText w:val="%8."/>
      <w:lvlJc w:val="left"/>
      <w:pPr>
        <w:ind w:left="720" w:hanging="360"/>
      </w:pPr>
    </w:lvl>
    <w:lvl w:ilvl="8" w:tplc="0F7C7B52">
      <w:start w:val="1"/>
      <w:numFmt w:val="decimal"/>
      <w:lvlText w:val="%9."/>
      <w:lvlJc w:val="left"/>
      <w:pPr>
        <w:ind w:left="720" w:hanging="360"/>
      </w:pPr>
    </w:lvl>
  </w:abstractNum>
  <w:abstractNum w:abstractNumId="16" w15:restartNumberingAfterBreak="0">
    <w:nsid w:val="79770E45"/>
    <w:multiLevelType w:val="multilevel"/>
    <w:tmpl w:val="07B8889A"/>
    <w:lvl w:ilvl="0">
      <w:start w:val="4"/>
      <w:numFmt w:val="decimal"/>
      <w:lvlText w:val="%1"/>
      <w:lvlJc w:val="left"/>
      <w:pPr>
        <w:ind w:left="425" w:hanging="425"/>
      </w:pPr>
      <w:rPr>
        <w:rFonts w:hint="eastAsia"/>
      </w:rPr>
    </w:lvl>
    <w:lvl w:ilvl="1">
      <w:start w:val="1"/>
      <w:numFmt w:val="decimal"/>
      <w:lvlText w:val="%1.%2"/>
      <w:lvlJc w:val="left"/>
      <w:pPr>
        <w:ind w:left="992" w:hanging="567"/>
      </w:pPr>
      <w:rPr>
        <w:rFonts w:hint="eastAsia"/>
        <w:b/>
        <w:bCs/>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730276241">
    <w:abstractNumId w:val="10"/>
  </w:num>
  <w:num w:numId="2" w16cid:durableId="1954171658">
    <w:abstractNumId w:val="7"/>
  </w:num>
  <w:num w:numId="3" w16cid:durableId="883950316">
    <w:abstractNumId w:val="5"/>
  </w:num>
  <w:num w:numId="4" w16cid:durableId="577058158">
    <w:abstractNumId w:val="8"/>
  </w:num>
  <w:num w:numId="5" w16cid:durableId="1523863191">
    <w:abstractNumId w:val="13"/>
  </w:num>
  <w:num w:numId="6" w16cid:durableId="139613398">
    <w:abstractNumId w:val="9"/>
  </w:num>
  <w:num w:numId="7" w16cid:durableId="469521399">
    <w:abstractNumId w:val="3"/>
  </w:num>
  <w:num w:numId="8" w16cid:durableId="776482816">
    <w:abstractNumId w:val="15"/>
  </w:num>
  <w:num w:numId="9" w16cid:durableId="313871755">
    <w:abstractNumId w:val="1"/>
  </w:num>
  <w:num w:numId="10" w16cid:durableId="47605705">
    <w:abstractNumId w:val="12"/>
  </w:num>
  <w:num w:numId="11" w16cid:durableId="1125730515">
    <w:abstractNumId w:val="2"/>
  </w:num>
  <w:num w:numId="12" w16cid:durableId="828834579">
    <w:abstractNumId w:val="16"/>
  </w:num>
  <w:num w:numId="13" w16cid:durableId="316111935">
    <w:abstractNumId w:val="14"/>
  </w:num>
  <w:num w:numId="14" w16cid:durableId="146363558">
    <w:abstractNumId w:val="6"/>
  </w:num>
  <w:num w:numId="15" w16cid:durableId="990409682">
    <w:abstractNumId w:val="4"/>
  </w:num>
  <w:num w:numId="16" w16cid:durableId="224072346">
    <w:abstractNumId w:val="11"/>
  </w:num>
  <w:num w:numId="17" w16cid:durableId="21353677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Y2tbAwNDMwMTc1NTRQ0lEKTi0uzszPAykwNDStBQBlF2AnLgAAAA=="/>
  </w:docVars>
  <w:rsids>
    <w:rsidRoot w:val="00875CB6"/>
    <w:rsid w:val="00000B1E"/>
    <w:rsid w:val="00000E80"/>
    <w:rsid w:val="00002F29"/>
    <w:rsid w:val="00004AEA"/>
    <w:rsid w:val="000065D9"/>
    <w:rsid w:val="000065EB"/>
    <w:rsid w:val="000068A3"/>
    <w:rsid w:val="0000711E"/>
    <w:rsid w:val="00007948"/>
    <w:rsid w:val="00010C25"/>
    <w:rsid w:val="00010D4B"/>
    <w:rsid w:val="00013E6E"/>
    <w:rsid w:val="000143F0"/>
    <w:rsid w:val="000162D1"/>
    <w:rsid w:val="00017363"/>
    <w:rsid w:val="00017A27"/>
    <w:rsid w:val="00017DA8"/>
    <w:rsid w:val="00022423"/>
    <w:rsid w:val="00022B57"/>
    <w:rsid w:val="0003075C"/>
    <w:rsid w:val="00031A1B"/>
    <w:rsid w:val="000330C7"/>
    <w:rsid w:val="000331D3"/>
    <w:rsid w:val="00034AED"/>
    <w:rsid w:val="00034E2E"/>
    <w:rsid w:val="00035406"/>
    <w:rsid w:val="0003585F"/>
    <w:rsid w:val="00035AC6"/>
    <w:rsid w:val="00035BC1"/>
    <w:rsid w:val="000367E3"/>
    <w:rsid w:val="00036B07"/>
    <w:rsid w:val="00040374"/>
    <w:rsid w:val="000408EB"/>
    <w:rsid w:val="00041457"/>
    <w:rsid w:val="000425FC"/>
    <w:rsid w:val="00042B18"/>
    <w:rsid w:val="00043BFF"/>
    <w:rsid w:val="00044060"/>
    <w:rsid w:val="0004684A"/>
    <w:rsid w:val="00046CEC"/>
    <w:rsid w:val="0004732B"/>
    <w:rsid w:val="00050301"/>
    <w:rsid w:val="00052F9B"/>
    <w:rsid w:val="000540B0"/>
    <w:rsid w:val="000548DC"/>
    <w:rsid w:val="0005501C"/>
    <w:rsid w:val="00055477"/>
    <w:rsid w:val="00055EB3"/>
    <w:rsid w:val="00057AB9"/>
    <w:rsid w:val="00057B23"/>
    <w:rsid w:val="000617ED"/>
    <w:rsid w:val="00061C8D"/>
    <w:rsid w:val="000622CF"/>
    <w:rsid w:val="00062665"/>
    <w:rsid w:val="0006388D"/>
    <w:rsid w:val="00063E2E"/>
    <w:rsid w:val="00063EFA"/>
    <w:rsid w:val="00064C2D"/>
    <w:rsid w:val="000661E4"/>
    <w:rsid w:val="000666F2"/>
    <w:rsid w:val="00066B91"/>
    <w:rsid w:val="00067000"/>
    <w:rsid w:val="00071EE1"/>
    <w:rsid w:val="0007273E"/>
    <w:rsid w:val="00074934"/>
    <w:rsid w:val="00075E30"/>
    <w:rsid w:val="000761FB"/>
    <w:rsid w:val="000763F3"/>
    <w:rsid w:val="00076702"/>
    <w:rsid w:val="00076710"/>
    <w:rsid w:val="00077419"/>
    <w:rsid w:val="000776BA"/>
    <w:rsid w:val="000803E9"/>
    <w:rsid w:val="00080E3A"/>
    <w:rsid w:val="00082242"/>
    <w:rsid w:val="000826F2"/>
    <w:rsid w:val="00083594"/>
    <w:rsid w:val="00084CE0"/>
    <w:rsid w:val="000911C1"/>
    <w:rsid w:val="000923D2"/>
    <w:rsid w:val="00093DCB"/>
    <w:rsid w:val="00094210"/>
    <w:rsid w:val="000956DC"/>
    <w:rsid w:val="00095D89"/>
    <w:rsid w:val="00095E4C"/>
    <w:rsid w:val="000970C0"/>
    <w:rsid w:val="000974FA"/>
    <w:rsid w:val="00097CCD"/>
    <w:rsid w:val="000A0246"/>
    <w:rsid w:val="000A0994"/>
    <w:rsid w:val="000A1A44"/>
    <w:rsid w:val="000A20D3"/>
    <w:rsid w:val="000A278D"/>
    <w:rsid w:val="000A330C"/>
    <w:rsid w:val="000A3608"/>
    <w:rsid w:val="000A4ED6"/>
    <w:rsid w:val="000A51DD"/>
    <w:rsid w:val="000A6121"/>
    <w:rsid w:val="000A6B1E"/>
    <w:rsid w:val="000B20DE"/>
    <w:rsid w:val="000B315F"/>
    <w:rsid w:val="000B4096"/>
    <w:rsid w:val="000B435E"/>
    <w:rsid w:val="000B4569"/>
    <w:rsid w:val="000B4D25"/>
    <w:rsid w:val="000B6A80"/>
    <w:rsid w:val="000B6BD6"/>
    <w:rsid w:val="000B70BA"/>
    <w:rsid w:val="000B7952"/>
    <w:rsid w:val="000B7BF5"/>
    <w:rsid w:val="000C0818"/>
    <w:rsid w:val="000C1000"/>
    <w:rsid w:val="000C1E7B"/>
    <w:rsid w:val="000C626A"/>
    <w:rsid w:val="000C6386"/>
    <w:rsid w:val="000D1025"/>
    <w:rsid w:val="000D127F"/>
    <w:rsid w:val="000D2553"/>
    <w:rsid w:val="000D3405"/>
    <w:rsid w:val="000D45A2"/>
    <w:rsid w:val="000D6BA2"/>
    <w:rsid w:val="000D72D3"/>
    <w:rsid w:val="000D745B"/>
    <w:rsid w:val="000D7783"/>
    <w:rsid w:val="000E0519"/>
    <w:rsid w:val="000E1E31"/>
    <w:rsid w:val="000E21B6"/>
    <w:rsid w:val="000E29AF"/>
    <w:rsid w:val="000E2C7C"/>
    <w:rsid w:val="000E36D9"/>
    <w:rsid w:val="000E3B9F"/>
    <w:rsid w:val="000E4DB2"/>
    <w:rsid w:val="000E666C"/>
    <w:rsid w:val="000E68B4"/>
    <w:rsid w:val="000E79B4"/>
    <w:rsid w:val="000E7F46"/>
    <w:rsid w:val="000F0693"/>
    <w:rsid w:val="000F1633"/>
    <w:rsid w:val="000F1A18"/>
    <w:rsid w:val="000F31B3"/>
    <w:rsid w:val="000F3A79"/>
    <w:rsid w:val="000F4A9D"/>
    <w:rsid w:val="000F66C0"/>
    <w:rsid w:val="00100BBB"/>
    <w:rsid w:val="00100CBC"/>
    <w:rsid w:val="001013C0"/>
    <w:rsid w:val="00102D71"/>
    <w:rsid w:val="00103016"/>
    <w:rsid w:val="00103B0A"/>
    <w:rsid w:val="00103CA0"/>
    <w:rsid w:val="00104485"/>
    <w:rsid w:val="00106507"/>
    <w:rsid w:val="0010793B"/>
    <w:rsid w:val="00107FFA"/>
    <w:rsid w:val="00110832"/>
    <w:rsid w:val="001108C6"/>
    <w:rsid w:val="00112E1C"/>
    <w:rsid w:val="00114345"/>
    <w:rsid w:val="00115A5B"/>
    <w:rsid w:val="00122171"/>
    <w:rsid w:val="00122A8F"/>
    <w:rsid w:val="00123D71"/>
    <w:rsid w:val="0012400E"/>
    <w:rsid w:val="00126C7F"/>
    <w:rsid w:val="00127CB3"/>
    <w:rsid w:val="001304F6"/>
    <w:rsid w:val="00131F95"/>
    <w:rsid w:val="001333D2"/>
    <w:rsid w:val="001333F9"/>
    <w:rsid w:val="00133B30"/>
    <w:rsid w:val="0013467C"/>
    <w:rsid w:val="001378BF"/>
    <w:rsid w:val="00140D3E"/>
    <w:rsid w:val="001413DF"/>
    <w:rsid w:val="00141A25"/>
    <w:rsid w:val="00143094"/>
    <w:rsid w:val="001444DA"/>
    <w:rsid w:val="00146EBB"/>
    <w:rsid w:val="00147122"/>
    <w:rsid w:val="00147459"/>
    <w:rsid w:val="001529C0"/>
    <w:rsid w:val="00152DAA"/>
    <w:rsid w:val="00153FAF"/>
    <w:rsid w:val="00154633"/>
    <w:rsid w:val="00155213"/>
    <w:rsid w:val="00160EC2"/>
    <w:rsid w:val="0016168C"/>
    <w:rsid w:val="00161ABD"/>
    <w:rsid w:val="00162942"/>
    <w:rsid w:val="00162A58"/>
    <w:rsid w:val="00164631"/>
    <w:rsid w:val="00165396"/>
    <w:rsid w:val="00165E97"/>
    <w:rsid w:val="00166F34"/>
    <w:rsid w:val="00166FD0"/>
    <w:rsid w:val="00170FC5"/>
    <w:rsid w:val="00172210"/>
    <w:rsid w:val="00174707"/>
    <w:rsid w:val="0017559B"/>
    <w:rsid w:val="0017575F"/>
    <w:rsid w:val="001762D5"/>
    <w:rsid w:val="0017635D"/>
    <w:rsid w:val="00181104"/>
    <w:rsid w:val="001819D4"/>
    <w:rsid w:val="00181BFF"/>
    <w:rsid w:val="00182F55"/>
    <w:rsid w:val="001843A3"/>
    <w:rsid w:val="001849FC"/>
    <w:rsid w:val="00187788"/>
    <w:rsid w:val="00187AA8"/>
    <w:rsid w:val="00190429"/>
    <w:rsid w:val="0019264B"/>
    <w:rsid w:val="0019271B"/>
    <w:rsid w:val="00192B59"/>
    <w:rsid w:val="00193522"/>
    <w:rsid w:val="00194EE4"/>
    <w:rsid w:val="0019687B"/>
    <w:rsid w:val="001A0751"/>
    <w:rsid w:val="001A1178"/>
    <w:rsid w:val="001A378E"/>
    <w:rsid w:val="001A3A61"/>
    <w:rsid w:val="001A58CF"/>
    <w:rsid w:val="001A61EC"/>
    <w:rsid w:val="001A68B3"/>
    <w:rsid w:val="001A6ACA"/>
    <w:rsid w:val="001A7396"/>
    <w:rsid w:val="001A7933"/>
    <w:rsid w:val="001A7E30"/>
    <w:rsid w:val="001B040A"/>
    <w:rsid w:val="001B063A"/>
    <w:rsid w:val="001B17B3"/>
    <w:rsid w:val="001B2BAC"/>
    <w:rsid w:val="001B41BA"/>
    <w:rsid w:val="001B7AA3"/>
    <w:rsid w:val="001C09B3"/>
    <w:rsid w:val="001C0AC8"/>
    <w:rsid w:val="001C222D"/>
    <w:rsid w:val="001C41C3"/>
    <w:rsid w:val="001C4581"/>
    <w:rsid w:val="001C4EAF"/>
    <w:rsid w:val="001C6D47"/>
    <w:rsid w:val="001C73C9"/>
    <w:rsid w:val="001C7802"/>
    <w:rsid w:val="001C78DF"/>
    <w:rsid w:val="001D17BA"/>
    <w:rsid w:val="001D2906"/>
    <w:rsid w:val="001D2EA0"/>
    <w:rsid w:val="001D476C"/>
    <w:rsid w:val="001D4F05"/>
    <w:rsid w:val="001D6E49"/>
    <w:rsid w:val="001D7AB3"/>
    <w:rsid w:val="001E0395"/>
    <w:rsid w:val="001E1F6B"/>
    <w:rsid w:val="001E2572"/>
    <w:rsid w:val="001E4537"/>
    <w:rsid w:val="001E45BA"/>
    <w:rsid w:val="001E4988"/>
    <w:rsid w:val="001E498E"/>
    <w:rsid w:val="001E4C47"/>
    <w:rsid w:val="001E5B0E"/>
    <w:rsid w:val="001E6455"/>
    <w:rsid w:val="001E7655"/>
    <w:rsid w:val="001E77B5"/>
    <w:rsid w:val="001E787C"/>
    <w:rsid w:val="001F02E1"/>
    <w:rsid w:val="001F2915"/>
    <w:rsid w:val="001F3041"/>
    <w:rsid w:val="001F409E"/>
    <w:rsid w:val="001F5ECC"/>
    <w:rsid w:val="002000D0"/>
    <w:rsid w:val="00201074"/>
    <w:rsid w:val="00202268"/>
    <w:rsid w:val="0020288F"/>
    <w:rsid w:val="00203F98"/>
    <w:rsid w:val="00205B14"/>
    <w:rsid w:val="0020666F"/>
    <w:rsid w:val="00206DAA"/>
    <w:rsid w:val="00207DDA"/>
    <w:rsid w:val="00210AF3"/>
    <w:rsid w:val="00210B80"/>
    <w:rsid w:val="002157B7"/>
    <w:rsid w:val="00216B95"/>
    <w:rsid w:val="0021781C"/>
    <w:rsid w:val="002214B5"/>
    <w:rsid w:val="002215DD"/>
    <w:rsid w:val="00221AD6"/>
    <w:rsid w:val="00221F98"/>
    <w:rsid w:val="00222763"/>
    <w:rsid w:val="00223210"/>
    <w:rsid w:val="00224A0F"/>
    <w:rsid w:val="00224C8B"/>
    <w:rsid w:val="00225893"/>
    <w:rsid w:val="002264E7"/>
    <w:rsid w:val="00226626"/>
    <w:rsid w:val="00226D27"/>
    <w:rsid w:val="002275E8"/>
    <w:rsid w:val="002310A1"/>
    <w:rsid w:val="00231E7B"/>
    <w:rsid w:val="00232E1A"/>
    <w:rsid w:val="00233D8D"/>
    <w:rsid w:val="002344B7"/>
    <w:rsid w:val="00237B62"/>
    <w:rsid w:val="0024096C"/>
    <w:rsid w:val="00242081"/>
    <w:rsid w:val="0024214D"/>
    <w:rsid w:val="00243C8E"/>
    <w:rsid w:val="00243EEA"/>
    <w:rsid w:val="002446F1"/>
    <w:rsid w:val="00244845"/>
    <w:rsid w:val="00244D0C"/>
    <w:rsid w:val="00245525"/>
    <w:rsid w:val="0024587F"/>
    <w:rsid w:val="00246555"/>
    <w:rsid w:val="00250EE2"/>
    <w:rsid w:val="00251191"/>
    <w:rsid w:val="002531AA"/>
    <w:rsid w:val="00253B50"/>
    <w:rsid w:val="002556DC"/>
    <w:rsid w:val="0026010B"/>
    <w:rsid w:val="00262109"/>
    <w:rsid w:val="0026236E"/>
    <w:rsid w:val="00263B43"/>
    <w:rsid w:val="00263E5D"/>
    <w:rsid w:val="002676E3"/>
    <w:rsid w:val="00270C72"/>
    <w:rsid w:val="00272FFD"/>
    <w:rsid w:val="00273EA0"/>
    <w:rsid w:val="00274676"/>
    <w:rsid w:val="0027472E"/>
    <w:rsid w:val="00274802"/>
    <w:rsid w:val="002750C0"/>
    <w:rsid w:val="00276202"/>
    <w:rsid w:val="00276943"/>
    <w:rsid w:val="00276E80"/>
    <w:rsid w:val="00277203"/>
    <w:rsid w:val="0027734F"/>
    <w:rsid w:val="00280A6D"/>
    <w:rsid w:val="00280C2D"/>
    <w:rsid w:val="00282133"/>
    <w:rsid w:val="0028264B"/>
    <w:rsid w:val="00282B96"/>
    <w:rsid w:val="002901C7"/>
    <w:rsid w:val="002902F6"/>
    <w:rsid w:val="002915B4"/>
    <w:rsid w:val="00291C49"/>
    <w:rsid w:val="00292F9C"/>
    <w:rsid w:val="00293B89"/>
    <w:rsid w:val="00294539"/>
    <w:rsid w:val="00295273"/>
    <w:rsid w:val="002970C6"/>
    <w:rsid w:val="002A2136"/>
    <w:rsid w:val="002A47F0"/>
    <w:rsid w:val="002A4D92"/>
    <w:rsid w:val="002B027A"/>
    <w:rsid w:val="002B0564"/>
    <w:rsid w:val="002B16D6"/>
    <w:rsid w:val="002B3ADA"/>
    <w:rsid w:val="002B5ED1"/>
    <w:rsid w:val="002C0E00"/>
    <w:rsid w:val="002C3DF1"/>
    <w:rsid w:val="002C6BAD"/>
    <w:rsid w:val="002C77DF"/>
    <w:rsid w:val="002C7DAB"/>
    <w:rsid w:val="002D06EA"/>
    <w:rsid w:val="002D0C5E"/>
    <w:rsid w:val="002D28CF"/>
    <w:rsid w:val="002D5D51"/>
    <w:rsid w:val="002D5F01"/>
    <w:rsid w:val="002D66A5"/>
    <w:rsid w:val="002D7A3F"/>
    <w:rsid w:val="002E0663"/>
    <w:rsid w:val="002E19D0"/>
    <w:rsid w:val="002E21ED"/>
    <w:rsid w:val="002E2F0D"/>
    <w:rsid w:val="002E329D"/>
    <w:rsid w:val="002E4790"/>
    <w:rsid w:val="002E4DF7"/>
    <w:rsid w:val="002E57AB"/>
    <w:rsid w:val="002E5BA0"/>
    <w:rsid w:val="002E7DC2"/>
    <w:rsid w:val="002E7E19"/>
    <w:rsid w:val="002F0A17"/>
    <w:rsid w:val="002F125F"/>
    <w:rsid w:val="002F192A"/>
    <w:rsid w:val="002F1DAB"/>
    <w:rsid w:val="002F4E36"/>
    <w:rsid w:val="002F56FE"/>
    <w:rsid w:val="002F5A3E"/>
    <w:rsid w:val="00300742"/>
    <w:rsid w:val="003016B7"/>
    <w:rsid w:val="00302C09"/>
    <w:rsid w:val="003031DE"/>
    <w:rsid w:val="00304A19"/>
    <w:rsid w:val="00304B8A"/>
    <w:rsid w:val="003052D3"/>
    <w:rsid w:val="00307083"/>
    <w:rsid w:val="00307102"/>
    <w:rsid w:val="003073E1"/>
    <w:rsid w:val="00307512"/>
    <w:rsid w:val="003078F3"/>
    <w:rsid w:val="00310117"/>
    <w:rsid w:val="003102B9"/>
    <w:rsid w:val="003115DB"/>
    <w:rsid w:val="00311C36"/>
    <w:rsid w:val="00311ED6"/>
    <w:rsid w:val="003120DA"/>
    <w:rsid w:val="003125E2"/>
    <w:rsid w:val="00312D58"/>
    <w:rsid w:val="00312DBE"/>
    <w:rsid w:val="00313909"/>
    <w:rsid w:val="00313EC8"/>
    <w:rsid w:val="00314251"/>
    <w:rsid w:val="00316B91"/>
    <w:rsid w:val="00316E66"/>
    <w:rsid w:val="00317B40"/>
    <w:rsid w:val="003201B7"/>
    <w:rsid w:val="00320DE8"/>
    <w:rsid w:val="00322B8A"/>
    <w:rsid w:val="003234AB"/>
    <w:rsid w:val="0032485D"/>
    <w:rsid w:val="00325130"/>
    <w:rsid w:val="00325633"/>
    <w:rsid w:val="00327AD1"/>
    <w:rsid w:val="00331B70"/>
    <w:rsid w:val="003334EA"/>
    <w:rsid w:val="003352EF"/>
    <w:rsid w:val="00337CAB"/>
    <w:rsid w:val="00337F23"/>
    <w:rsid w:val="00340387"/>
    <w:rsid w:val="00340749"/>
    <w:rsid w:val="00341F5D"/>
    <w:rsid w:val="003420F1"/>
    <w:rsid w:val="00344259"/>
    <w:rsid w:val="003477C7"/>
    <w:rsid w:val="00351036"/>
    <w:rsid w:val="0035156F"/>
    <w:rsid w:val="00354639"/>
    <w:rsid w:val="00355A19"/>
    <w:rsid w:val="0035611C"/>
    <w:rsid w:val="00356AFE"/>
    <w:rsid w:val="0036236E"/>
    <w:rsid w:val="00364401"/>
    <w:rsid w:val="003656DA"/>
    <w:rsid w:val="00365849"/>
    <w:rsid w:val="003667E8"/>
    <w:rsid w:val="00367BF2"/>
    <w:rsid w:val="003715AB"/>
    <w:rsid w:val="0037189F"/>
    <w:rsid w:val="00373B32"/>
    <w:rsid w:val="00373C76"/>
    <w:rsid w:val="00374735"/>
    <w:rsid w:val="00375D71"/>
    <w:rsid w:val="00375EF4"/>
    <w:rsid w:val="00377C93"/>
    <w:rsid w:val="00377DE0"/>
    <w:rsid w:val="00382696"/>
    <w:rsid w:val="00382CCD"/>
    <w:rsid w:val="00385719"/>
    <w:rsid w:val="003858BD"/>
    <w:rsid w:val="003862F7"/>
    <w:rsid w:val="00386702"/>
    <w:rsid w:val="00386762"/>
    <w:rsid w:val="00386BF4"/>
    <w:rsid w:val="00391198"/>
    <w:rsid w:val="003928A5"/>
    <w:rsid w:val="00392B50"/>
    <w:rsid w:val="0039469F"/>
    <w:rsid w:val="00395395"/>
    <w:rsid w:val="00395652"/>
    <w:rsid w:val="00396256"/>
    <w:rsid w:val="003976AE"/>
    <w:rsid w:val="003978F3"/>
    <w:rsid w:val="003A06B4"/>
    <w:rsid w:val="003A37EA"/>
    <w:rsid w:val="003A407C"/>
    <w:rsid w:val="003A4C28"/>
    <w:rsid w:val="003A5632"/>
    <w:rsid w:val="003A5644"/>
    <w:rsid w:val="003A5D81"/>
    <w:rsid w:val="003A7BF6"/>
    <w:rsid w:val="003A7F16"/>
    <w:rsid w:val="003A7FC7"/>
    <w:rsid w:val="003B2EA8"/>
    <w:rsid w:val="003B3518"/>
    <w:rsid w:val="003B3CD0"/>
    <w:rsid w:val="003B6365"/>
    <w:rsid w:val="003B6A38"/>
    <w:rsid w:val="003B6BE5"/>
    <w:rsid w:val="003B6C3A"/>
    <w:rsid w:val="003B7DB2"/>
    <w:rsid w:val="003C0F19"/>
    <w:rsid w:val="003C1A8E"/>
    <w:rsid w:val="003C1DC7"/>
    <w:rsid w:val="003C291F"/>
    <w:rsid w:val="003C32EC"/>
    <w:rsid w:val="003C41C0"/>
    <w:rsid w:val="003C4DF0"/>
    <w:rsid w:val="003C647B"/>
    <w:rsid w:val="003C69FF"/>
    <w:rsid w:val="003D04DA"/>
    <w:rsid w:val="003D0CD0"/>
    <w:rsid w:val="003D0EC3"/>
    <w:rsid w:val="003D1584"/>
    <w:rsid w:val="003D1A99"/>
    <w:rsid w:val="003D2185"/>
    <w:rsid w:val="003D3DA8"/>
    <w:rsid w:val="003D593A"/>
    <w:rsid w:val="003D5A50"/>
    <w:rsid w:val="003D5F85"/>
    <w:rsid w:val="003D60ED"/>
    <w:rsid w:val="003D6A2E"/>
    <w:rsid w:val="003D7C03"/>
    <w:rsid w:val="003E056D"/>
    <w:rsid w:val="003E0C6F"/>
    <w:rsid w:val="003E22F9"/>
    <w:rsid w:val="003E292D"/>
    <w:rsid w:val="003E2BAB"/>
    <w:rsid w:val="003E4DCF"/>
    <w:rsid w:val="003E55FB"/>
    <w:rsid w:val="003E629E"/>
    <w:rsid w:val="003E62DE"/>
    <w:rsid w:val="003E6914"/>
    <w:rsid w:val="003F12B7"/>
    <w:rsid w:val="003F23C8"/>
    <w:rsid w:val="003F577C"/>
    <w:rsid w:val="003F5C28"/>
    <w:rsid w:val="00400212"/>
    <w:rsid w:val="00400857"/>
    <w:rsid w:val="00402149"/>
    <w:rsid w:val="00402A02"/>
    <w:rsid w:val="00402F4F"/>
    <w:rsid w:val="00405C79"/>
    <w:rsid w:val="00405CD9"/>
    <w:rsid w:val="00407C42"/>
    <w:rsid w:val="00412D5C"/>
    <w:rsid w:val="00413B41"/>
    <w:rsid w:val="0041568C"/>
    <w:rsid w:val="00416851"/>
    <w:rsid w:val="00420801"/>
    <w:rsid w:val="00430633"/>
    <w:rsid w:val="00432674"/>
    <w:rsid w:val="00433480"/>
    <w:rsid w:val="00433635"/>
    <w:rsid w:val="0043385A"/>
    <w:rsid w:val="00434194"/>
    <w:rsid w:val="004343A0"/>
    <w:rsid w:val="004351A2"/>
    <w:rsid w:val="0043792C"/>
    <w:rsid w:val="004407D5"/>
    <w:rsid w:val="00440B62"/>
    <w:rsid w:val="00442098"/>
    <w:rsid w:val="0044212E"/>
    <w:rsid w:val="00443412"/>
    <w:rsid w:val="00443707"/>
    <w:rsid w:val="00444057"/>
    <w:rsid w:val="00447940"/>
    <w:rsid w:val="00447AAA"/>
    <w:rsid w:val="00447B3C"/>
    <w:rsid w:val="0045073F"/>
    <w:rsid w:val="00451C8A"/>
    <w:rsid w:val="0045531F"/>
    <w:rsid w:val="0045610F"/>
    <w:rsid w:val="00457081"/>
    <w:rsid w:val="00457300"/>
    <w:rsid w:val="00457BBA"/>
    <w:rsid w:val="00460C1A"/>
    <w:rsid w:val="0046104D"/>
    <w:rsid w:val="0046474E"/>
    <w:rsid w:val="0046514E"/>
    <w:rsid w:val="004672E1"/>
    <w:rsid w:val="00470CF2"/>
    <w:rsid w:val="00471512"/>
    <w:rsid w:val="00471D4B"/>
    <w:rsid w:val="00471EBC"/>
    <w:rsid w:val="00471FC3"/>
    <w:rsid w:val="0047203B"/>
    <w:rsid w:val="00472A42"/>
    <w:rsid w:val="0047319E"/>
    <w:rsid w:val="00474A51"/>
    <w:rsid w:val="00474DE1"/>
    <w:rsid w:val="00475A2D"/>
    <w:rsid w:val="00476324"/>
    <w:rsid w:val="00476375"/>
    <w:rsid w:val="00482967"/>
    <w:rsid w:val="00483CB4"/>
    <w:rsid w:val="00483CC8"/>
    <w:rsid w:val="00485845"/>
    <w:rsid w:val="00485867"/>
    <w:rsid w:val="00485ADB"/>
    <w:rsid w:val="004867C8"/>
    <w:rsid w:val="00486C6C"/>
    <w:rsid w:val="004877B8"/>
    <w:rsid w:val="004901E5"/>
    <w:rsid w:val="004904DC"/>
    <w:rsid w:val="004933EA"/>
    <w:rsid w:val="0049400B"/>
    <w:rsid w:val="00494D2D"/>
    <w:rsid w:val="00495B48"/>
    <w:rsid w:val="00495C56"/>
    <w:rsid w:val="00496259"/>
    <w:rsid w:val="00497FF1"/>
    <w:rsid w:val="004A1D89"/>
    <w:rsid w:val="004A427E"/>
    <w:rsid w:val="004A4E91"/>
    <w:rsid w:val="004A5172"/>
    <w:rsid w:val="004A6704"/>
    <w:rsid w:val="004A75DB"/>
    <w:rsid w:val="004B0055"/>
    <w:rsid w:val="004B06EE"/>
    <w:rsid w:val="004B184D"/>
    <w:rsid w:val="004B1C1C"/>
    <w:rsid w:val="004B204E"/>
    <w:rsid w:val="004B5FAC"/>
    <w:rsid w:val="004B6095"/>
    <w:rsid w:val="004B6687"/>
    <w:rsid w:val="004B6D77"/>
    <w:rsid w:val="004C0741"/>
    <w:rsid w:val="004C17BE"/>
    <w:rsid w:val="004C2628"/>
    <w:rsid w:val="004C278C"/>
    <w:rsid w:val="004C3037"/>
    <w:rsid w:val="004C364B"/>
    <w:rsid w:val="004C4159"/>
    <w:rsid w:val="004C690A"/>
    <w:rsid w:val="004C726A"/>
    <w:rsid w:val="004C7925"/>
    <w:rsid w:val="004D146F"/>
    <w:rsid w:val="004D5B6D"/>
    <w:rsid w:val="004D5C4C"/>
    <w:rsid w:val="004D76AE"/>
    <w:rsid w:val="004E117F"/>
    <w:rsid w:val="004E294D"/>
    <w:rsid w:val="004E3357"/>
    <w:rsid w:val="004E5E27"/>
    <w:rsid w:val="004F26E0"/>
    <w:rsid w:val="004F3117"/>
    <w:rsid w:val="004F325A"/>
    <w:rsid w:val="004F4CB2"/>
    <w:rsid w:val="004F5A66"/>
    <w:rsid w:val="004F6455"/>
    <w:rsid w:val="005002F2"/>
    <w:rsid w:val="00500C4B"/>
    <w:rsid w:val="00505539"/>
    <w:rsid w:val="00505B2E"/>
    <w:rsid w:val="00506EE8"/>
    <w:rsid w:val="00510455"/>
    <w:rsid w:val="005136FB"/>
    <w:rsid w:val="00513FF8"/>
    <w:rsid w:val="005145B4"/>
    <w:rsid w:val="0051575E"/>
    <w:rsid w:val="005160AD"/>
    <w:rsid w:val="00516145"/>
    <w:rsid w:val="00516B0E"/>
    <w:rsid w:val="0052235A"/>
    <w:rsid w:val="00522C4F"/>
    <w:rsid w:val="00522D3F"/>
    <w:rsid w:val="00524150"/>
    <w:rsid w:val="00524177"/>
    <w:rsid w:val="00524C87"/>
    <w:rsid w:val="00525624"/>
    <w:rsid w:val="0052569D"/>
    <w:rsid w:val="005259D2"/>
    <w:rsid w:val="0052762B"/>
    <w:rsid w:val="00527825"/>
    <w:rsid w:val="0052785C"/>
    <w:rsid w:val="0053018D"/>
    <w:rsid w:val="00530773"/>
    <w:rsid w:val="00533AA6"/>
    <w:rsid w:val="00533C36"/>
    <w:rsid w:val="00534151"/>
    <w:rsid w:val="00534E99"/>
    <w:rsid w:val="00535EF8"/>
    <w:rsid w:val="00540509"/>
    <w:rsid w:val="005407C7"/>
    <w:rsid w:val="00541C9B"/>
    <w:rsid w:val="00543A04"/>
    <w:rsid w:val="00543A53"/>
    <w:rsid w:val="005456B2"/>
    <w:rsid w:val="00545FCB"/>
    <w:rsid w:val="005461FF"/>
    <w:rsid w:val="00546BDA"/>
    <w:rsid w:val="0054741A"/>
    <w:rsid w:val="00547B80"/>
    <w:rsid w:val="00550212"/>
    <w:rsid w:val="00550636"/>
    <w:rsid w:val="005511A3"/>
    <w:rsid w:val="00552970"/>
    <w:rsid w:val="00553DFF"/>
    <w:rsid w:val="00554A0F"/>
    <w:rsid w:val="005610D2"/>
    <w:rsid w:val="0056158D"/>
    <w:rsid w:val="0056175B"/>
    <w:rsid w:val="00561D7F"/>
    <w:rsid w:val="0056210E"/>
    <w:rsid w:val="005644C7"/>
    <w:rsid w:val="00565355"/>
    <w:rsid w:val="005667A9"/>
    <w:rsid w:val="0056732A"/>
    <w:rsid w:val="00567A10"/>
    <w:rsid w:val="00567FE9"/>
    <w:rsid w:val="00572FBE"/>
    <w:rsid w:val="00573B12"/>
    <w:rsid w:val="00575795"/>
    <w:rsid w:val="00576207"/>
    <w:rsid w:val="00576931"/>
    <w:rsid w:val="00576BB5"/>
    <w:rsid w:val="00577422"/>
    <w:rsid w:val="0057773A"/>
    <w:rsid w:val="00580ED4"/>
    <w:rsid w:val="00581C41"/>
    <w:rsid w:val="00582BA4"/>
    <w:rsid w:val="005849FF"/>
    <w:rsid w:val="00584A3E"/>
    <w:rsid w:val="005857CE"/>
    <w:rsid w:val="00585CCE"/>
    <w:rsid w:val="00586793"/>
    <w:rsid w:val="00587220"/>
    <w:rsid w:val="00587B60"/>
    <w:rsid w:val="00587FB9"/>
    <w:rsid w:val="00590A3D"/>
    <w:rsid w:val="005913CB"/>
    <w:rsid w:val="00591537"/>
    <w:rsid w:val="00591ABB"/>
    <w:rsid w:val="00591DCA"/>
    <w:rsid w:val="00592D0C"/>
    <w:rsid w:val="00593756"/>
    <w:rsid w:val="00594C74"/>
    <w:rsid w:val="00594FC8"/>
    <w:rsid w:val="00595680"/>
    <w:rsid w:val="005976B9"/>
    <w:rsid w:val="00597F3E"/>
    <w:rsid w:val="005A0FFA"/>
    <w:rsid w:val="005A64EF"/>
    <w:rsid w:val="005A79D0"/>
    <w:rsid w:val="005B0E4B"/>
    <w:rsid w:val="005B1278"/>
    <w:rsid w:val="005B2525"/>
    <w:rsid w:val="005B59E4"/>
    <w:rsid w:val="005B6902"/>
    <w:rsid w:val="005C0AC2"/>
    <w:rsid w:val="005C2AB4"/>
    <w:rsid w:val="005C41CD"/>
    <w:rsid w:val="005C6259"/>
    <w:rsid w:val="005C6344"/>
    <w:rsid w:val="005C72D6"/>
    <w:rsid w:val="005C732D"/>
    <w:rsid w:val="005C78CF"/>
    <w:rsid w:val="005C7F93"/>
    <w:rsid w:val="005D1604"/>
    <w:rsid w:val="005D2A7D"/>
    <w:rsid w:val="005D2DA1"/>
    <w:rsid w:val="005D3000"/>
    <w:rsid w:val="005D6808"/>
    <w:rsid w:val="005D7637"/>
    <w:rsid w:val="005D7BD3"/>
    <w:rsid w:val="005E307D"/>
    <w:rsid w:val="005F3CC3"/>
    <w:rsid w:val="005F4501"/>
    <w:rsid w:val="005F4C13"/>
    <w:rsid w:val="005F5638"/>
    <w:rsid w:val="005F5C15"/>
    <w:rsid w:val="005F7CC0"/>
    <w:rsid w:val="006008EB"/>
    <w:rsid w:val="00600F58"/>
    <w:rsid w:val="0060319F"/>
    <w:rsid w:val="00604161"/>
    <w:rsid w:val="00604757"/>
    <w:rsid w:val="00605608"/>
    <w:rsid w:val="00605681"/>
    <w:rsid w:val="00605C06"/>
    <w:rsid w:val="006063BD"/>
    <w:rsid w:val="00606B71"/>
    <w:rsid w:val="00607772"/>
    <w:rsid w:val="00607797"/>
    <w:rsid w:val="00607DA6"/>
    <w:rsid w:val="0061066F"/>
    <w:rsid w:val="0061131E"/>
    <w:rsid w:val="00611EC5"/>
    <w:rsid w:val="00612345"/>
    <w:rsid w:val="00612619"/>
    <w:rsid w:val="00612BE0"/>
    <w:rsid w:val="00613D42"/>
    <w:rsid w:val="00614AEB"/>
    <w:rsid w:val="006156BE"/>
    <w:rsid w:val="006203A9"/>
    <w:rsid w:val="006206C5"/>
    <w:rsid w:val="006210BA"/>
    <w:rsid w:val="00621126"/>
    <w:rsid w:val="00621557"/>
    <w:rsid w:val="00621A10"/>
    <w:rsid w:val="00623294"/>
    <w:rsid w:val="00623322"/>
    <w:rsid w:val="0062634D"/>
    <w:rsid w:val="0062709D"/>
    <w:rsid w:val="00633C3C"/>
    <w:rsid w:val="00637AB8"/>
    <w:rsid w:val="006410A6"/>
    <w:rsid w:val="00641F01"/>
    <w:rsid w:val="00644493"/>
    <w:rsid w:val="006448C6"/>
    <w:rsid w:val="006449D0"/>
    <w:rsid w:val="00647EDB"/>
    <w:rsid w:val="00651B6F"/>
    <w:rsid w:val="00653034"/>
    <w:rsid w:val="006533E6"/>
    <w:rsid w:val="0065391C"/>
    <w:rsid w:val="00654217"/>
    <w:rsid w:val="00654727"/>
    <w:rsid w:val="00655668"/>
    <w:rsid w:val="00655932"/>
    <w:rsid w:val="006576DE"/>
    <w:rsid w:val="00657A31"/>
    <w:rsid w:val="0066006D"/>
    <w:rsid w:val="0066074A"/>
    <w:rsid w:val="00660FFA"/>
    <w:rsid w:val="006620CF"/>
    <w:rsid w:val="00662D58"/>
    <w:rsid w:val="00662E85"/>
    <w:rsid w:val="0066637D"/>
    <w:rsid w:val="006706DF"/>
    <w:rsid w:val="006725B9"/>
    <w:rsid w:val="00672693"/>
    <w:rsid w:val="00673A07"/>
    <w:rsid w:val="00674608"/>
    <w:rsid w:val="00676F2B"/>
    <w:rsid w:val="00680124"/>
    <w:rsid w:val="00680CF6"/>
    <w:rsid w:val="00680E18"/>
    <w:rsid w:val="00681BD8"/>
    <w:rsid w:val="006823DE"/>
    <w:rsid w:val="00683F15"/>
    <w:rsid w:val="0068497E"/>
    <w:rsid w:val="00685068"/>
    <w:rsid w:val="0068564B"/>
    <w:rsid w:val="00686630"/>
    <w:rsid w:val="00687BCA"/>
    <w:rsid w:val="00687BD9"/>
    <w:rsid w:val="00687CBF"/>
    <w:rsid w:val="0069039C"/>
    <w:rsid w:val="006909AD"/>
    <w:rsid w:val="00690A4B"/>
    <w:rsid w:val="0069314D"/>
    <w:rsid w:val="00695D2F"/>
    <w:rsid w:val="006961A6"/>
    <w:rsid w:val="006961B3"/>
    <w:rsid w:val="006962DA"/>
    <w:rsid w:val="00696923"/>
    <w:rsid w:val="006A090F"/>
    <w:rsid w:val="006A389D"/>
    <w:rsid w:val="006A7922"/>
    <w:rsid w:val="006B0D9E"/>
    <w:rsid w:val="006B3151"/>
    <w:rsid w:val="006B3563"/>
    <w:rsid w:val="006B3C4E"/>
    <w:rsid w:val="006B4FFE"/>
    <w:rsid w:val="006B5277"/>
    <w:rsid w:val="006B786D"/>
    <w:rsid w:val="006C0139"/>
    <w:rsid w:val="006C02F1"/>
    <w:rsid w:val="006C07DD"/>
    <w:rsid w:val="006C0FCE"/>
    <w:rsid w:val="006C335F"/>
    <w:rsid w:val="006C3F2A"/>
    <w:rsid w:val="006C4C95"/>
    <w:rsid w:val="006C4F1C"/>
    <w:rsid w:val="006C5BBD"/>
    <w:rsid w:val="006C665C"/>
    <w:rsid w:val="006C6D89"/>
    <w:rsid w:val="006C7DD1"/>
    <w:rsid w:val="006D1318"/>
    <w:rsid w:val="006D14E2"/>
    <w:rsid w:val="006D1C21"/>
    <w:rsid w:val="006D20F7"/>
    <w:rsid w:val="006D2502"/>
    <w:rsid w:val="006D2B65"/>
    <w:rsid w:val="006D314F"/>
    <w:rsid w:val="006D32F9"/>
    <w:rsid w:val="006D41B3"/>
    <w:rsid w:val="006D66A5"/>
    <w:rsid w:val="006D78C7"/>
    <w:rsid w:val="006E0C9F"/>
    <w:rsid w:val="006E1C74"/>
    <w:rsid w:val="006E32FC"/>
    <w:rsid w:val="006E3C4A"/>
    <w:rsid w:val="006E3F17"/>
    <w:rsid w:val="006E538E"/>
    <w:rsid w:val="006E5720"/>
    <w:rsid w:val="006E59DD"/>
    <w:rsid w:val="006E68DD"/>
    <w:rsid w:val="006F3173"/>
    <w:rsid w:val="0070006E"/>
    <w:rsid w:val="00701DF9"/>
    <w:rsid w:val="007031C0"/>
    <w:rsid w:val="007048F4"/>
    <w:rsid w:val="00704AA0"/>
    <w:rsid w:val="00706F49"/>
    <w:rsid w:val="00707A0E"/>
    <w:rsid w:val="007114D0"/>
    <w:rsid w:val="007125C8"/>
    <w:rsid w:val="0071396F"/>
    <w:rsid w:val="00714FFB"/>
    <w:rsid w:val="00715A2F"/>
    <w:rsid w:val="00715E0E"/>
    <w:rsid w:val="00716F58"/>
    <w:rsid w:val="0071789B"/>
    <w:rsid w:val="007214C2"/>
    <w:rsid w:val="00722414"/>
    <w:rsid w:val="00724C8B"/>
    <w:rsid w:val="007264BE"/>
    <w:rsid w:val="00726FA7"/>
    <w:rsid w:val="00727FF4"/>
    <w:rsid w:val="00731B90"/>
    <w:rsid w:val="00732B7C"/>
    <w:rsid w:val="00732F91"/>
    <w:rsid w:val="00733616"/>
    <w:rsid w:val="00734107"/>
    <w:rsid w:val="00734645"/>
    <w:rsid w:val="00735081"/>
    <w:rsid w:val="00736251"/>
    <w:rsid w:val="007402A6"/>
    <w:rsid w:val="00740520"/>
    <w:rsid w:val="007407E6"/>
    <w:rsid w:val="00742284"/>
    <w:rsid w:val="00743308"/>
    <w:rsid w:val="00743D45"/>
    <w:rsid w:val="00743D99"/>
    <w:rsid w:val="00744C34"/>
    <w:rsid w:val="00745F80"/>
    <w:rsid w:val="0074696C"/>
    <w:rsid w:val="0075151E"/>
    <w:rsid w:val="00751748"/>
    <w:rsid w:val="00751AD1"/>
    <w:rsid w:val="00752256"/>
    <w:rsid w:val="0075234E"/>
    <w:rsid w:val="0075285D"/>
    <w:rsid w:val="007542EA"/>
    <w:rsid w:val="007550B5"/>
    <w:rsid w:val="00756CF0"/>
    <w:rsid w:val="007570A0"/>
    <w:rsid w:val="00761150"/>
    <w:rsid w:val="0076463B"/>
    <w:rsid w:val="00764CDD"/>
    <w:rsid w:val="0076579D"/>
    <w:rsid w:val="0076638C"/>
    <w:rsid w:val="00767C69"/>
    <w:rsid w:val="00771591"/>
    <w:rsid w:val="007731C0"/>
    <w:rsid w:val="00774B9E"/>
    <w:rsid w:val="007751E5"/>
    <w:rsid w:val="007753E8"/>
    <w:rsid w:val="00775E33"/>
    <w:rsid w:val="00776A4A"/>
    <w:rsid w:val="0078129E"/>
    <w:rsid w:val="00781837"/>
    <w:rsid w:val="00781BC2"/>
    <w:rsid w:val="00782824"/>
    <w:rsid w:val="007831C3"/>
    <w:rsid w:val="007843D1"/>
    <w:rsid w:val="00784C4C"/>
    <w:rsid w:val="00784D2F"/>
    <w:rsid w:val="007862D9"/>
    <w:rsid w:val="00786BF2"/>
    <w:rsid w:val="0079019A"/>
    <w:rsid w:val="00793901"/>
    <w:rsid w:val="00794C41"/>
    <w:rsid w:val="00795052"/>
    <w:rsid w:val="00797475"/>
    <w:rsid w:val="00797F15"/>
    <w:rsid w:val="007A0BC6"/>
    <w:rsid w:val="007A153F"/>
    <w:rsid w:val="007A1C55"/>
    <w:rsid w:val="007A2B25"/>
    <w:rsid w:val="007A2CD7"/>
    <w:rsid w:val="007A4038"/>
    <w:rsid w:val="007A4874"/>
    <w:rsid w:val="007A5281"/>
    <w:rsid w:val="007A53CD"/>
    <w:rsid w:val="007A591B"/>
    <w:rsid w:val="007A5EA1"/>
    <w:rsid w:val="007A5EAE"/>
    <w:rsid w:val="007A78DD"/>
    <w:rsid w:val="007B11AB"/>
    <w:rsid w:val="007B31F0"/>
    <w:rsid w:val="007B37B5"/>
    <w:rsid w:val="007B38F0"/>
    <w:rsid w:val="007B48D9"/>
    <w:rsid w:val="007B521D"/>
    <w:rsid w:val="007C1509"/>
    <w:rsid w:val="007C3FB4"/>
    <w:rsid w:val="007C49DD"/>
    <w:rsid w:val="007C7224"/>
    <w:rsid w:val="007C7C32"/>
    <w:rsid w:val="007D267A"/>
    <w:rsid w:val="007D2DFF"/>
    <w:rsid w:val="007D4017"/>
    <w:rsid w:val="007D4208"/>
    <w:rsid w:val="007D4451"/>
    <w:rsid w:val="007D4E6F"/>
    <w:rsid w:val="007D5AC6"/>
    <w:rsid w:val="007D5F35"/>
    <w:rsid w:val="007D6041"/>
    <w:rsid w:val="007E01B8"/>
    <w:rsid w:val="007E0FFD"/>
    <w:rsid w:val="007E25CA"/>
    <w:rsid w:val="007E2BD1"/>
    <w:rsid w:val="007E2F2A"/>
    <w:rsid w:val="007E37EB"/>
    <w:rsid w:val="007E3BB2"/>
    <w:rsid w:val="007E4120"/>
    <w:rsid w:val="007E43BA"/>
    <w:rsid w:val="007E557A"/>
    <w:rsid w:val="007E55FF"/>
    <w:rsid w:val="007E5EDD"/>
    <w:rsid w:val="007F0545"/>
    <w:rsid w:val="007F1B6C"/>
    <w:rsid w:val="007F2362"/>
    <w:rsid w:val="007F442C"/>
    <w:rsid w:val="00800E8E"/>
    <w:rsid w:val="00801414"/>
    <w:rsid w:val="00801F62"/>
    <w:rsid w:val="008020A6"/>
    <w:rsid w:val="00803817"/>
    <w:rsid w:val="0081251C"/>
    <w:rsid w:val="00812520"/>
    <w:rsid w:val="00813529"/>
    <w:rsid w:val="00813B2B"/>
    <w:rsid w:val="00814C2A"/>
    <w:rsid w:val="00814E92"/>
    <w:rsid w:val="0081550B"/>
    <w:rsid w:val="008212D7"/>
    <w:rsid w:val="00821D4D"/>
    <w:rsid w:val="00823A62"/>
    <w:rsid w:val="00825266"/>
    <w:rsid w:val="00830076"/>
    <w:rsid w:val="00830AF2"/>
    <w:rsid w:val="00830E70"/>
    <w:rsid w:val="00831181"/>
    <w:rsid w:val="00831BF8"/>
    <w:rsid w:val="0083216E"/>
    <w:rsid w:val="00832FC9"/>
    <w:rsid w:val="008352B2"/>
    <w:rsid w:val="008362A7"/>
    <w:rsid w:val="0083670C"/>
    <w:rsid w:val="00837918"/>
    <w:rsid w:val="008425F9"/>
    <w:rsid w:val="008427F1"/>
    <w:rsid w:val="00843DA8"/>
    <w:rsid w:val="008441E2"/>
    <w:rsid w:val="00844D6A"/>
    <w:rsid w:val="0084523F"/>
    <w:rsid w:val="008466E8"/>
    <w:rsid w:val="00847DCE"/>
    <w:rsid w:val="00850160"/>
    <w:rsid w:val="0085063D"/>
    <w:rsid w:val="00850922"/>
    <w:rsid w:val="00850D5E"/>
    <w:rsid w:val="00851F09"/>
    <w:rsid w:val="00853678"/>
    <w:rsid w:val="008537BF"/>
    <w:rsid w:val="00853C31"/>
    <w:rsid w:val="008554A2"/>
    <w:rsid w:val="008556D4"/>
    <w:rsid w:val="00860966"/>
    <w:rsid w:val="008610E7"/>
    <w:rsid w:val="00861210"/>
    <w:rsid w:val="0086217C"/>
    <w:rsid w:val="00862282"/>
    <w:rsid w:val="00863EC8"/>
    <w:rsid w:val="0086452F"/>
    <w:rsid w:val="008668F2"/>
    <w:rsid w:val="008677A1"/>
    <w:rsid w:val="00871546"/>
    <w:rsid w:val="00873209"/>
    <w:rsid w:val="008732DA"/>
    <w:rsid w:val="00873DBF"/>
    <w:rsid w:val="00874117"/>
    <w:rsid w:val="00875CB6"/>
    <w:rsid w:val="00877B34"/>
    <w:rsid w:val="00880A3E"/>
    <w:rsid w:val="008822C3"/>
    <w:rsid w:val="0088294F"/>
    <w:rsid w:val="00884051"/>
    <w:rsid w:val="00885857"/>
    <w:rsid w:val="00885865"/>
    <w:rsid w:val="00885CAA"/>
    <w:rsid w:val="0088679E"/>
    <w:rsid w:val="008867B1"/>
    <w:rsid w:val="00886953"/>
    <w:rsid w:val="00887E78"/>
    <w:rsid w:val="00890713"/>
    <w:rsid w:val="00890769"/>
    <w:rsid w:val="008916CE"/>
    <w:rsid w:val="00891F90"/>
    <w:rsid w:val="00894622"/>
    <w:rsid w:val="00895DC4"/>
    <w:rsid w:val="008960F1"/>
    <w:rsid w:val="008A1482"/>
    <w:rsid w:val="008A1D6E"/>
    <w:rsid w:val="008A2285"/>
    <w:rsid w:val="008A29C6"/>
    <w:rsid w:val="008A3AAB"/>
    <w:rsid w:val="008A3DE1"/>
    <w:rsid w:val="008A481A"/>
    <w:rsid w:val="008A4940"/>
    <w:rsid w:val="008A5124"/>
    <w:rsid w:val="008A53C6"/>
    <w:rsid w:val="008A6636"/>
    <w:rsid w:val="008A74CB"/>
    <w:rsid w:val="008B1CD2"/>
    <w:rsid w:val="008B2D55"/>
    <w:rsid w:val="008B3B41"/>
    <w:rsid w:val="008B45AD"/>
    <w:rsid w:val="008B531D"/>
    <w:rsid w:val="008B535C"/>
    <w:rsid w:val="008C03EE"/>
    <w:rsid w:val="008C0B43"/>
    <w:rsid w:val="008C0D75"/>
    <w:rsid w:val="008C2542"/>
    <w:rsid w:val="008C311F"/>
    <w:rsid w:val="008C327E"/>
    <w:rsid w:val="008C3B40"/>
    <w:rsid w:val="008C425A"/>
    <w:rsid w:val="008C4D54"/>
    <w:rsid w:val="008C560E"/>
    <w:rsid w:val="008C6169"/>
    <w:rsid w:val="008C7C2D"/>
    <w:rsid w:val="008D0142"/>
    <w:rsid w:val="008D0BB7"/>
    <w:rsid w:val="008D0D6C"/>
    <w:rsid w:val="008D300D"/>
    <w:rsid w:val="008D4032"/>
    <w:rsid w:val="008D41AE"/>
    <w:rsid w:val="008D50EE"/>
    <w:rsid w:val="008D70C5"/>
    <w:rsid w:val="008E070C"/>
    <w:rsid w:val="008E1237"/>
    <w:rsid w:val="008E1E5E"/>
    <w:rsid w:val="008E2B84"/>
    <w:rsid w:val="008E36AC"/>
    <w:rsid w:val="008E3C0E"/>
    <w:rsid w:val="008E3FC8"/>
    <w:rsid w:val="008E4601"/>
    <w:rsid w:val="008E6CC1"/>
    <w:rsid w:val="008E6F1A"/>
    <w:rsid w:val="008E73A2"/>
    <w:rsid w:val="008F00C2"/>
    <w:rsid w:val="008F0841"/>
    <w:rsid w:val="008F08A6"/>
    <w:rsid w:val="008F173A"/>
    <w:rsid w:val="008F2DF8"/>
    <w:rsid w:val="008F2EEC"/>
    <w:rsid w:val="008F338C"/>
    <w:rsid w:val="008F5DF2"/>
    <w:rsid w:val="008F6BE5"/>
    <w:rsid w:val="008F7482"/>
    <w:rsid w:val="008F750A"/>
    <w:rsid w:val="0090388A"/>
    <w:rsid w:val="00904BC3"/>
    <w:rsid w:val="00904BDB"/>
    <w:rsid w:val="00906517"/>
    <w:rsid w:val="009065A2"/>
    <w:rsid w:val="0090690D"/>
    <w:rsid w:val="00910B72"/>
    <w:rsid w:val="0091119E"/>
    <w:rsid w:val="00911324"/>
    <w:rsid w:val="00911F6E"/>
    <w:rsid w:val="0091203B"/>
    <w:rsid w:val="00913271"/>
    <w:rsid w:val="009134C4"/>
    <w:rsid w:val="00913598"/>
    <w:rsid w:val="009170F7"/>
    <w:rsid w:val="009176A1"/>
    <w:rsid w:val="00920459"/>
    <w:rsid w:val="009250B6"/>
    <w:rsid w:val="0093049B"/>
    <w:rsid w:val="00931B30"/>
    <w:rsid w:val="00932651"/>
    <w:rsid w:val="00932E59"/>
    <w:rsid w:val="009331A7"/>
    <w:rsid w:val="00933975"/>
    <w:rsid w:val="009349F8"/>
    <w:rsid w:val="009350DA"/>
    <w:rsid w:val="00936C51"/>
    <w:rsid w:val="00941B26"/>
    <w:rsid w:val="0094208E"/>
    <w:rsid w:val="0094218A"/>
    <w:rsid w:val="00942397"/>
    <w:rsid w:val="00942743"/>
    <w:rsid w:val="009437C5"/>
    <w:rsid w:val="009439B0"/>
    <w:rsid w:val="00943A4F"/>
    <w:rsid w:val="0094579E"/>
    <w:rsid w:val="00945E85"/>
    <w:rsid w:val="00946DE3"/>
    <w:rsid w:val="00950F92"/>
    <w:rsid w:val="00951A68"/>
    <w:rsid w:val="00952930"/>
    <w:rsid w:val="009533C0"/>
    <w:rsid w:val="009551AE"/>
    <w:rsid w:val="00955A64"/>
    <w:rsid w:val="00955C84"/>
    <w:rsid w:val="00955EAF"/>
    <w:rsid w:val="00956F86"/>
    <w:rsid w:val="0095760F"/>
    <w:rsid w:val="0096089F"/>
    <w:rsid w:val="009621DE"/>
    <w:rsid w:val="0096354A"/>
    <w:rsid w:val="009643A2"/>
    <w:rsid w:val="00965F81"/>
    <w:rsid w:val="00966108"/>
    <w:rsid w:val="00967AD4"/>
    <w:rsid w:val="00972118"/>
    <w:rsid w:val="00972B01"/>
    <w:rsid w:val="00972DF3"/>
    <w:rsid w:val="00974BFE"/>
    <w:rsid w:val="00974E5F"/>
    <w:rsid w:val="009751D2"/>
    <w:rsid w:val="0097673B"/>
    <w:rsid w:val="00976751"/>
    <w:rsid w:val="009769E6"/>
    <w:rsid w:val="0097741D"/>
    <w:rsid w:val="009776DD"/>
    <w:rsid w:val="00977C83"/>
    <w:rsid w:val="009829C2"/>
    <w:rsid w:val="009829D9"/>
    <w:rsid w:val="00991AA2"/>
    <w:rsid w:val="0099265C"/>
    <w:rsid w:val="00992CF5"/>
    <w:rsid w:val="00996EFF"/>
    <w:rsid w:val="009A148C"/>
    <w:rsid w:val="009A27D0"/>
    <w:rsid w:val="009A4929"/>
    <w:rsid w:val="009A4D8B"/>
    <w:rsid w:val="009A54E5"/>
    <w:rsid w:val="009A6E0B"/>
    <w:rsid w:val="009B0922"/>
    <w:rsid w:val="009B1693"/>
    <w:rsid w:val="009B1EB4"/>
    <w:rsid w:val="009B2612"/>
    <w:rsid w:val="009B29DF"/>
    <w:rsid w:val="009B3F69"/>
    <w:rsid w:val="009B4645"/>
    <w:rsid w:val="009B4B3C"/>
    <w:rsid w:val="009B4EF3"/>
    <w:rsid w:val="009B53E6"/>
    <w:rsid w:val="009B6548"/>
    <w:rsid w:val="009B68FD"/>
    <w:rsid w:val="009C067B"/>
    <w:rsid w:val="009C0C9A"/>
    <w:rsid w:val="009C1F58"/>
    <w:rsid w:val="009C2FB9"/>
    <w:rsid w:val="009C33D0"/>
    <w:rsid w:val="009C3AB4"/>
    <w:rsid w:val="009C3C24"/>
    <w:rsid w:val="009C3EBE"/>
    <w:rsid w:val="009C3F98"/>
    <w:rsid w:val="009C47F9"/>
    <w:rsid w:val="009C5EB5"/>
    <w:rsid w:val="009C6795"/>
    <w:rsid w:val="009C73CE"/>
    <w:rsid w:val="009C7A8A"/>
    <w:rsid w:val="009D0DFB"/>
    <w:rsid w:val="009D2D1F"/>
    <w:rsid w:val="009D2D2D"/>
    <w:rsid w:val="009D3621"/>
    <w:rsid w:val="009D3A83"/>
    <w:rsid w:val="009D4343"/>
    <w:rsid w:val="009D44B7"/>
    <w:rsid w:val="009D4818"/>
    <w:rsid w:val="009D4E32"/>
    <w:rsid w:val="009D4E3F"/>
    <w:rsid w:val="009D6F1E"/>
    <w:rsid w:val="009D7A2B"/>
    <w:rsid w:val="009D7C68"/>
    <w:rsid w:val="009E23CF"/>
    <w:rsid w:val="009E5422"/>
    <w:rsid w:val="009E581D"/>
    <w:rsid w:val="009E5F66"/>
    <w:rsid w:val="009E6AEC"/>
    <w:rsid w:val="009E725B"/>
    <w:rsid w:val="009F0682"/>
    <w:rsid w:val="009F0ABA"/>
    <w:rsid w:val="009F20D2"/>
    <w:rsid w:val="00A00DFE"/>
    <w:rsid w:val="00A01F94"/>
    <w:rsid w:val="00A0297A"/>
    <w:rsid w:val="00A035A5"/>
    <w:rsid w:val="00A0469F"/>
    <w:rsid w:val="00A05B18"/>
    <w:rsid w:val="00A065E3"/>
    <w:rsid w:val="00A06918"/>
    <w:rsid w:val="00A07542"/>
    <w:rsid w:val="00A1056C"/>
    <w:rsid w:val="00A109B9"/>
    <w:rsid w:val="00A10F8C"/>
    <w:rsid w:val="00A12233"/>
    <w:rsid w:val="00A1386D"/>
    <w:rsid w:val="00A142B4"/>
    <w:rsid w:val="00A165E0"/>
    <w:rsid w:val="00A20E84"/>
    <w:rsid w:val="00A22529"/>
    <w:rsid w:val="00A23449"/>
    <w:rsid w:val="00A24870"/>
    <w:rsid w:val="00A2555A"/>
    <w:rsid w:val="00A25C4B"/>
    <w:rsid w:val="00A261F2"/>
    <w:rsid w:val="00A30B4E"/>
    <w:rsid w:val="00A31232"/>
    <w:rsid w:val="00A317C7"/>
    <w:rsid w:val="00A31ECF"/>
    <w:rsid w:val="00A33B2A"/>
    <w:rsid w:val="00A33CCE"/>
    <w:rsid w:val="00A33FD8"/>
    <w:rsid w:val="00A358B6"/>
    <w:rsid w:val="00A3592A"/>
    <w:rsid w:val="00A372F7"/>
    <w:rsid w:val="00A419CB"/>
    <w:rsid w:val="00A425CF"/>
    <w:rsid w:val="00A427C5"/>
    <w:rsid w:val="00A439DD"/>
    <w:rsid w:val="00A4400F"/>
    <w:rsid w:val="00A44C5B"/>
    <w:rsid w:val="00A44DA1"/>
    <w:rsid w:val="00A46A67"/>
    <w:rsid w:val="00A50936"/>
    <w:rsid w:val="00A53434"/>
    <w:rsid w:val="00A55412"/>
    <w:rsid w:val="00A55A28"/>
    <w:rsid w:val="00A563CE"/>
    <w:rsid w:val="00A56B67"/>
    <w:rsid w:val="00A5738D"/>
    <w:rsid w:val="00A57AA8"/>
    <w:rsid w:val="00A610B1"/>
    <w:rsid w:val="00A61374"/>
    <w:rsid w:val="00A61F75"/>
    <w:rsid w:val="00A6596B"/>
    <w:rsid w:val="00A65C0A"/>
    <w:rsid w:val="00A65C33"/>
    <w:rsid w:val="00A66A26"/>
    <w:rsid w:val="00A677F2"/>
    <w:rsid w:val="00A70C13"/>
    <w:rsid w:val="00A71C5E"/>
    <w:rsid w:val="00A72D27"/>
    <w:rsid w:val="00A74123"/>
    <w:rsid w:val="00A74476"/>
    <w:rsid w:val="00A75461"/>
    <w:rsid w:val="00A8072B"/>
    <w:rsid w:val="00A817E8"/>
    <w:rsid w:val="00A81F09"/>
    <w:rsid w:val="00A82B51"/>
    <w:rsid w:val="00A830F3"/>
    <w:rsid w:val="00A8521F"/>
    <w:rsid w:val="00A85339"/>
    <w:rsid w:val="00A87137"/>
    <w:rsid w:val="00A87D80"/>
    <w:rsid w:val="00A907F2"/>
    <w:rsid w:val="00A922AF"/>
    <w:rsid w:val="00A94151"/>
    <w:rsid w:val="00A94C25"/>
    <w:rsid w:val="00AA07A2"/>
    <w:rsid w:val="00AA0A9F"/>
    <w:rsid w:val="00AA0D6B"/>
    <w:rsid w:val="00AA1227"/>
    <w:rsid w:val="00AA28AF"/>
    <w:rsid w:val="00AA291E"/>
    <w:rsid w:val="00AA2ABC"/>
    <w:rsid w:val="00AA2B0C"/>
    <w:rsid w:val="00AA3A83"/>
    <w:rsid w:val="00AA5851"/>
    <w:rsid w:val="00AA5C3A"/>
    <w:rsid w:val="00AA71E7"/>
    <w:rsid w:val="00AA753F"/>
    <w:rsid w:val="00AB03C9"/>
    <w:rsid w:val="00AB0B58"/>
    <w:rsid w:val="00AB28F8"/>
    <w:rsid w:val="00AB4E96"/>
    <w:rsid w:val="00AB5761"/>
    <w:rsid w:val="00AB5B32"/>
    <w:rsid w:val="00AB7995"/>
    <w:rsid w:val="00AB7FF6"/>
    <w:rsid w:val="00AC03E0"/>
    <w:rsid w:val="00AC1313"/>
    <w:rsid w:val="00AC14E0"/>
    <w:rsid w:val="00AC3093"/>
    <w:rsid w:val="00AC4A99"/>
    <w:rsid w:val="00AC4B04"/>
    <w:rsid w:val="00AC7A32"/>
    <w:rsid w:val="00AD066E"/>
    <w:rsid w:val="00AD18BB"/>
    <w:rsid w:val="00AD1F74"/>
    <w:rsid w:val="00AD22F1"/>
    <w:rsid w:val="00AD3D52"/>
    <w:rsid w:val="00AD4A53"/>
    <w:rsid w:val="00AD4BFD"/>
    <w:rsid w:val="00AD4C9E"/>
    <w:rsid w:val="00AD5605"/>
    <w:rsid w:val="00AD5899"/>
    <w:rsid w:val="00AD6DBF"/>
    <w:rsid w:val="00AD7AF3"/>
    <w:rsid w:val="00AE2E06"/>
    <w:rsid w:val="00AE51B1"/>
    <w:rsid w:val="00AF1BD2"/>
    <w:rsid w:val="00AF5A88"/>
    <w:rsid w:val="00AF5D41"/>
    <w:rsid w:val="00AF6BF8"/>
    <w:rsid w:val="00B0093A"/>
    <w:rsid w:val="00B03169"/>
    <w:rsid w:val="00B04534"/>
    <w:rsid w:val="00B0527D"/>
    <w:rsid w:val="00B057DA"/>
    <w:rsid w:val="00B05E2B"/>
    <w:rsid w:val="00B07120"/>
    <w:rsid w:val="00B07211"/>
    <w:rsid w:val="00B11C5B"/>
    <w:rsid w:val="00B1200C"/>
    <w:rsid w:val="00B14820"/>
    <w:rsid w:val="00B14973"/>
    <w:rsid w:val="00B15D87"/>
    <w:rsid w:val="00B16A1D"/>
    <w:rsid w:val="00B17DA3"/>
    <w:rsid w:val="00B2097D"/>
    <w:rsid w:val="00B231C1"/>
    <w:rsid w:val="00B24FF8"/>
    <w:rsid w:val="00B265F7"/>
    <w:rsid w:val="00B27D66"/>
    <w:rsid w:val="00B27E55"/>
    <w:rsid w:val="00B30031"/>
    <w:rsid w:val="00B30649"/>
    <w:rsid w:val="00B3065E"/>
    <w:rsid w:val="00B30E31"/>
    <w:rsid w:val="00B3148B"/>
    <w:rsid w:val="00B3369C"/>
    <w:rsid w:val="00B36659"/>
    <w:rsid w:val="00B400C6"/>
    <w:rsid w:val="00B4205A"/>
    <w:rsid w:val="00B44144"/>
    <w:rsid w:val="00B44A2C"/>
    <w:rsid w:val="00B44E32"/>
    <w:rsid w:val="00B45B33"/>
    <w:rsid w:val="00B462B8"/>
    <w:rsid w:val="00B46A59"/>
    <w:rsid w:val="00B47D9E"/>
    <w:rsid w:val="00B53AE8"/>
    <w:rsid w:val="00B54883"/>
    <w:rsid w:val="00B550C2"/>
    <w:rsid w:val="00B576F3"/>
    <w:rsid w:val="00B57A7E"/>
    <w:rsid w:val="00B600CC"/>
    <w:rsid w:val="00B607C5"/>
    <w:rsid w:val="00B60BDE"/>
    <w:rsid w:val="00B629A9"/>
    <w:rsid w:val="00B63D7E"/>
    <w:rsid w:val="00B641E5"/>
    <w:rsid w:val="00B646B1"/>
    <w:rsid w:val="00B64D77"/>
    <w:rsid w:val="00B659FC"/>
    <w:rsid w:val="00B660EC"/>
    <w:rsid w:val="00B66340"/>
    <w:rsid w:val="00B67248"/>
    <w:rsid w:val="00B7021A"/>
    <w:rsid w:val="00B70459"/>
    <w:rsid w:val="00B70C21"/>
    <w:rsid w:val="00B72421"/>
    <w:rsid w:val="00B7359F"/>
    <w:rsid w:val="00B73E1B"/>
    <w:rsid w:val="00B74A9D"/>
    <w:rsid w:val="00B74B24"/>
    <w:rsid w:val="00B75690"/>
    <w:rsid w:val="00B802CC"/>
    <w:rsid w:val="00B8102B"/>
    <w:rsid w:val="00B827F9"/>
    <w:rsid w:val="00B860DC"/>
    <w:rsid w:val="00B86274"/>
    <w:rsid w:val="00B876B3"/>
    <w:rsid w:val="00B8794B"/>
    <w:rsid w:val="00B90014"/>
    <w:rsid w:val="00B90E3D"/>
    <w:rsid w:val="00B92666"/>
    <w:rsid w:val="00B93088"/>
    <w:rsid w:val="00B9475D"/>
    <w:rsid w:val="00B947D3"/>
    <w:rsid w:val="00B958B6"/>
    <w:rsid w:val="00B9596B"/>
    <w:rsid w:val="00BA105A"/>
    <w:rsid w:val="00BA109C"/>
    <w:rsid w:val="00BA2674"/>
    <w:rsid w:val="00BA3EBB"/>
    <w:rsid w:val="00BA4E5B"/>
    <w:rsid w:val="00BA5054"/>
    <w:rsid w:val="00BA5AC7"/>
    <w:rsid w:val="00BA5E3D"/>
    <w:rsid w:val="00BA6376"/>
    <w:rsid w:val="00BA6512"/>
    <w:rsid w:val="00BA67D7"/>
    <w:rsid w:val="00BA70A3"/>
    <w:rsid w:val="00BA7197"/>
    <w:rsid w:val="00BA78C5"/>
    <w:rsid w:val="00BB11EA"/>
    <w:rsid w:val="00BB140D"/>
    <w:rsid w:val="00BB1452"/>
    <w:rsid w:val="00BB19B3"/>
    <w:rsid w:val="00BB2140"/>
    <w:rsid w:val="00BB3FBD"/>
    <w:rsid w:val="00BB53C1"/>
    <w:rsid w:val="00BB5430"/>
    <w:rsid w:val="00BB5C19"/>
    <w:rsid w:val="00BB5FE8"/>
    <w:rsid w:val="00BC0988"/>
    <w:rsid w:val="00BC0CF2"/>
    <w:rsid w:val="00BC2CE1"/>
    <w:rsid w:val="00BC62B1"/>
    <w:rsid w:val="00BC6AE5"/>
    <w:rsid w:val="00BC7082"/>
    <w:rsid w:val="00BC7466"/>
    <w:rsid w:val="00BC7C20"/>
    <w:rsid w:val="00BC7D98"/>
    <w:rsid w:val="00BD3161"/>
    <w:rsid w:val="00BD41D9"/>
    <w:rsid w:val="00BD57A2"/>
    <w:rsid w:val="00BD74A4"/>
    <w:rsid w:val="00BD766B"/>
    <w:rsid w:val="00BE0E6D"/>
    <w:rsid w:val="00BE13C9"/>
    <w:rsid w:val="00BE1752"/>
    <w:rsid w:val="00BE2E09"/>
    <w:rsid w:val="00BE393C"/>
    <w:rsid w:val="00BE5921"/>
    <w:rsid w:val="00BE5C17"/>
    <w:rsid w:val="00BE6EC1"/>
    <w:rsid w:val="00BE74E7"/>
    <w:rsid w:val="00BE7F1A"/>
    <w:rsid w:val="00BF0274"/>
    <w:rsid w:val="00BF035B"/>
    <w:rsid w:val="00BF1D60"/>
    <w:rsid w:val="00BF22FF"/>
    <w:rsid w:val="00BF2648"/>
    <w:rsid w:val="00C01318"/>
    <w:rsid w:val="00C019B2"/>
    <w:rsid w:val="00C03186"/>
    <w:rsid w:val="00C046BF"/>
    <w:rsid w:val="00C05378"/>
    <w:rsid w:val="00C11F3C"/>
    <w:rsid w:val="00C1281F"/>
    <w:rsid w:val="00C1348C"/>
    <w:rsid w:val="00C14D43"/>
    <w:rsid w:val="00C15020"/>
    <w:rsid w:val="00C16022"/>
    <w:rsid w:val="00C16041"/>
    <w:rsid w:val="00C17327"/>
    <w:rsid w:val="00C22C56"/>
    <w:rsid w:val="00C256AD"/>
    <w:rsid w:val="00C2661B"/>
    <w:rsid w:val="00C27154"/>
    <w:rsid w:val="00C3144B"/>
    <w:rsid w:val="00C336B9"/>
    <w:rsid w:val="00C34715"/>
    <w:rsid w:val="00C3480C"/>
    <w:rsid w:val="00C352A4"/>
    <w:rsid w:val="00C35754"/>
    <w:rsid w:val="00C36EA9"/>
    <w:rsid w:val="00C3701C"/>
    <w:rsid w:val="00C37E01"/>
    <w:rsid w:val="00C40EE3"/>
    <w:rsid w:val="00C41D61"/>
    <w:rsid w:val="00C4200B"/>
    <w:rsid w:val="00C429DB"/>
    <w:rsid w:val="00C430C8"/>
    <w:rsid w:val="00C45576"/>
    <w:rsid w:val="00C50C51"/>
    <w:rsid w:val="00C50E60"/>
    <w:rsid w:val="00C56FA5"/>
    <w:rsid w:val="00C602F4"/>
    <w:rsid w:val="00C604E5"/>
    <w:rsid w:val="00C60C3E"/>
    <w:rsid w:val="00C617BA"/>
    <w:rsid w:val="00C6238B"/>
    <w:rsid w:val="00C62467"/>
    <w:rsid w:val="00C628A6"/>
    <w:rsid w:val="00C63C76"/>
    <w:rsid w:val="00C63E95"/>
    <w:rsid w:val="00C64503"/>
    <w:rsid w:val="00C65715"/>
    <w:rsid w:val="00C65826"/>
    <w:rsid w:val="00C65B4E"/>
    <w:rsid w:val="00C66B35"/>
    <w:rsid w:val="00C66F87"/>
    <w:rsid w:val="00C679F6"/>
    <w:rsid w:val="00C715F0"/>
    <w:rsid w:val="00C719AD"/>
    <w:rsid w:val="00C72B9D"/>
    <w:rsid w:val="00C74FFF"/>
    <w:rsid w:val="00C76C32"/>
    <w:rsid w:val="00C77A26"/>
    <w:rsid w:val="00C77ED5"/>
    <w:rsid w:val="00C80154"/>
    <w:rsid w:val="00C80FF4"/>
    <w:rsid w:val="00C82707"/>
    <w:rsid w:val="00C84372"/>
    <w:rsid w:val="00C84419"/>
    <w:rsid w:val="00C85052"/>
    <w:rsid w:val="00C850B7"/>
    <w:rsid w:val="00C87297"/>
    <w:rsid w:val="00C87D36"/>
    <w:rsid w:val="00C9077D"/>
    <w:rsid w:val="00C93471"/>
    <w:rsid w:val="00C9351C"/>
    <w:rsid w:val="00C93A52"/>
    <w:rsid w:val="00C93D56"/>
    <w:rsid w:val="00C96DC6"/>
    <w:rsid w:val="00C97430"/>
    <w:rsid w:val="00C97936"/>
    <w:rsid w:val="00C97EFB"/>
    <w:rsid w:val="00CA22F1"/>
    <w:rsid w:val="00CA24EB"/>
    <w:rsid w:val="00CA2BF3"/>
    <w:rsid w:val="00CA33E4"/>
    <w:rsid w:val="00CA3A14"/>
    <w:rsid w:val="00CA3EFF"/>
    <w:rsid w:val="00CA6887"/>
    <w:rsid w:val="00CB0309"/>
    <w:rsid w:val="00CB173D"/>
    <w:rsid w:val="00CB399C"/>
    <w:rsid w:val="00CB3EDB"/>
    <w:rsid w:val="00CB5DAC"/>
    <w:rsid w:val="00CB633C"/>
    <w:rsid w:val="00CC0414"/>
    <w:rsid w:val="00CC0672"/>
    <w:rsid w:val="00CC1F66"/>
    <w:rsid w:val="00CC3EE2"/>
    <w:rsid w:val="00CC5B3C"/>
    <w:rsid w:val="00CC5DBC"/>
    <w:rsid w:val="00CD1B52"/>
    <w:rsid w:val="00CD24E3"/>
    <w:rsid w:val="00CD370E"/>
    <w:rsid w:val="00CD3951"/>
    <w:rsid w:val="00CD3F98"/>
    <w:rsid w:val="00CD45DA"/>
    <w:rsid w:val="00CD4AEF"/>
    <w:rsid w:val="00CD6790"/>
    <w:rsid w:val="00CD7269"/>
    <w:rsid w:val="00CD7772"/>
    <w:rsid w:val="00CE092B"/>
    <w:rsid w:val="00CE13C7"/>
    <w:rsid w:val="00CE15B9"/>
    <w:rsid w:val="00CE25E2"/>
    <w:rsid w:val="00CE30AC"/>
    <w:rsid w:val="00CE3438"/>
    <w:rsid w:val="00CE57FD"/>
    <w:rsid w:val="00CE6042"/>
    <w:rsid w:val="00CE6120"/>
    <w:rsid w:val="00CE69AE"/>
    <w:rsid w:val="00CE6BBE"/>
    <w:rsid w:val="00CF0D06"/>
    <w:rsid w:val="00CF197C"/>
    <w:rsid w:val="00CF24AF"/>
    <w:rsid w:val="00CF2753"/>
    <w:rsid w:val="00CF2863"/>
    <w:rsid w:val="00CF4039"/>
    <w:rsid w:val="00CF5F31"/>
    <w:rsid w:val="00CF6FBA"/>
    <w:rsid w:val="00CF79C7"/>
    <w:rsid w:val="00CF7E65"/>
    <w:rsid w:val="00D00749"/>
    <w:rsid w:val="00D00EA1"/>
    <w:rsid w:val="00D016A0"/>
    <w:rsid w:val="00D01D5C"/>
    <w:rsid w:val="00D02DC8"/>
    <w:rsid w:val="00D03759"/>
    <w:rsid w:val="00D037EA"/>
    <w:rsid w:val="00D0669F"/>
    <w:rsid w:val="00D1139F"/>
    <w:rsid w:val="00D126AD"/>
    <w:rsid w:val="00D130A9"/>
    <w:rsid w:val="00D135D6"/>
    <w:rsid w:val="00D14D68"/>
    <w:rsid w:val="00D15675"/>
    <w:rsid w:val="00D1698A"/>
    <w:rsid w:val="00D209B5"/>
    <w:rsid w:val="00D21873"/>
    <w:rsid w:val="00D2401C"/>
    <w:rsid w:val="00D25133"/>
    <w:rsid w:val="00D265D9"/>
    <w:rsid w:val="00D3155D"/>
    <w:rsid w:val="00D3388A"/>
    <w:rsid w:val="00D33F04"/>
    <w:rsid w:val="00D34437"/>
    <w:rsid w:val="00D370DC"/>
    <w:rsid w:val="00D37F20"/>
    <w:rsid w:val="00D40608"/>
    <w:rsid w:val="00D41920"/>
    <w:rsid w:val="00D41DB3"/>
    <w:rsid w:val="00D4213D"/>
    <w:rsid w:val="00D42554"/>
    <w:rsid w:val="00D4456C"/>
    <w:rsid w:val="00D462BE"/>
    <w:rsid w:val="00D477FD"/>
    <w:rsid w:val="00D479D1"/>
    <w:rsid w:val="00D51808"/>
    <w:rsid w:val="00D51C4A"/>
    <w:rsid w:val="00D52067"/>
    <w:rsid w:val="00D53346"/>
    <w:rsid w:val="00D546F5"/>
    <w:rsid w:val="00D5746C"/>
    <w:rsid w:val="00D6128D"/>
    <w:rsid w:val="00D61D93"/>
    <w:rsid w:val="00D61F5E"/>
    <w:rsid w:val="00D62665"/>
    <w:rsid w:val="00D632F4"/>
    <w:rsid w:val="00D64692"/>
    <w:rsid w:val="00D648BD"/>
    <w:rsid w:val="00D6561E"/>
    <w:rsid w:val="00D708A3"/>
    <w:rsid w:val="00D736BA"/>
    <w:rsid w:val="00D73B45"/>
    <w:rsid w:val="00D775A2"/>
    <w:rsid w:val="00D77B34"/>
    <w:rsid w:val="00D82588"/>
    <w:rsid w:val="00D85B01"/>
    <w:rsid w:val="00D876F5"/>
    <w:rsid w:val="00D87B9C"/>
    <w:rsid w:val="00D91421"/>
    <w:rsid w:val="00D9172D"/>
    <w:rsid w:val="00D91F71"/>
    <w:rsid w:val="00D929FA"/>
    <w:rsid w:val="00D92BEA"/>
    <w:rsid w:val="00D95446"/>
    <w:rsid w:val="00D958F6"/>
    <w:rsid w:val="00D95E13"/>
    <w:rsid w:val="00DA0160"/>
    <w:rsid w:val="00DA18F2"/>
    <w:rsid w:val="00DA4F53"/>
    <w:rsid w:val="00DA5A67"/>
    <w:rsid w:val="00DA60A8"/>
    <w:rsid w:val="00DA666D"/>
    <w:rsid w:val="00DA7D24"/>
    <w:rsid w:val="00DB3890"/>
    <w:rsid w:val="00DB428A"/>
    <w:rsid w:val="00DB58D6"/>
    <w:rsid w:val="00DB639A"/>
    <w:rsid w:val="00DB669A"/>
    <w:rsid w:val="00DC12BB"/>
    <w:rsid w:val="00DC3531"/>
    <w:rsid w:val="00DC3814"/>
    <w:rsid w:val="00DC4017"/>
    <w:rsid w:val="00DC4457"/>
    <w:rsid w:val="00DC5BC0"/>
    <w:rsid w:val="00DC5E3F"/>
    <w:rsid w:val="00DC6237"/>
    <w:rsid w:val="00DC6342"/>
    <w:rsid w:val="00DD0E68"/>
    <w:rsid w:val="00DD1485"/>
    <w:rsid w:val="00DD22F2"/>
    <w:rsid w:val="00DD6085"/>
    <w:rsid w:val="00DE18D1"/>
    <w:rsid w:val="00DE1A11"/>
    <w:rsid w:val="00DE22DC"/>
    <w:rsid w:val="00DE487D"/>
    <w:rsid w:val="00DE53B7"/>
    <w:rsid w:val="00DE553C"/>
    <w:rsid w:val="00DE73FE"/>
    <w:rsid w:val="00DF0BFC"/>
    <w:rsid w:val="00DF0CBB"/>
    <w:rsid w:val="00DF0F30"/>
    <w:rsid w:val="00DF1271"/>
    <w:rsid w:val="00DF137E"/>
    <w:rsid w:val="00DF340B"/>
    <w:rsid w:val="00DF3FFA"/>
    <w:rsid w:val="00DF47B5"/>
    <w:rsid w:val="00DF5645"/>
    <w:rsid w:val="00DF5E51"/>
    <w:rsid w:val="00DF6CB5"/>
    <w:rsid w:val="00DF79BE"/>
    <w:rsid w:val="00E0181D"/>
    <w:rsid w:val="00E025C2"/>
    <w:rsid w:val="00E02EF7"/>
    <w:rsid w:val="00E03373"/>
    <w:rsid w:val="00E06C2B"/>
    <w:rsid w:val="00E07F48"/>
    <w:rsid w:val="00E100E6"/>
    <w:rsid w:val="00E125F9"/>
    <w:rsid w:val="00E1284D"/>
    <w:rsid w:val="00E1286B"/>
    <w:rsid w:val="00E13319"/>
    <w:rsid w:val="00E16103"/>
    <w:rsid w:val="00E1680B"/>
    <w:rsid w:val="00E1716A"/>
    <w:rsid w:val="00E201F2"/>
    <w:rsid w:val="00E23550"/>
    <w:rsid w:val="00E2522C"/>
    <w:rsid w:val="00E259D5"/>
    <w:rsid w:val="00E26BF8"/>
    <w:rsid w:val="00E3029D"/>
    <w:rsid w:val="00E308AB"/>
    <w:rsid w:val="00E32C8C"/>
    <w:rsid w:val="00E32E17"/>
    <w:rsid w:val="00E34717"/>
    <w:rsid w:val="00E366B7"/>
    <w:rsid w:val="00E36E9A"/>
    <w:rsid w:val="00E37202"/>
    <w:rsid w:val="00E37F58"/>
    <w:rsid w:val="00E407C5"/>
    <w:rsid w:val="00E41F1A"/>
    <w:rsid w:val="00E420E4"/>
    <w:rsid w:val="00E42619"/>
    <w:rsid w:val="00E429C5"/>
    <w:rsid w:val="00E4336F"/>
    <w:rsid w:val="00E43682"/>
    <w:rsid w:val="00E44E93"/>
    <w:rsid w:val="00E46C53"/>
    <w:rsid w:val="00E500AD"/>
    <w:rsid w:val="00E54406"/>
    <w:rsid w:val="00E545C4"/>
    <w:rsid w:val="00E572C5"/>
    <w:rsid w:val="00E579BA"/>
    <w:rsid w:val="00E601DB"/>
    <w:rsid w:val="00E61DBE"/>
    <w:rsid w:val="00E6211F"/>
    <w:rsid w:val="00E628B5"/>
    <w:rsid w:val="00E6457D"/>
    <w:rsid w:val="00E65A06"/>
    <w:rsid w:val="00E65B18"/>
    <w:rsid w:val="00E66B62"/>
    <w:rsid w:val="00E67A1D"/>
    <w:rsid w:val="00E67E6F"/>
    <w:rsid w:val="00E70D2B"/>
    <w:rsid w:val="00E70F1F"/>
    <w:rsid w:val="00E718BA"/>
    <w:rsid w:val="00E72A5C"/>
    <w:rsid w:val="00E73016"/>
    <w:rsid w:val="00E74116"/>
    <w:rsid w:val="00E7439F"/>
    <w:rsid w:val="00E75938"/>
    <w:rsid w:val="00E801FB"/>
    <w:rsid w:val="00E81968"/>
    <w:rsid w:val="00E81A96"/>
    <w:rsid w:val="00E8381B"/>
    <w:rsid w:val="00E8461F"/>
    <w:rsid w:val="00E84837"/>
    <w:rsid w:val="00E854C2"/>
    <w:rsid w:val="00E863D8"/>
    <w:rsid w:val="00E87066"/>
    <w:rsid w:val="00E875E9"/>
    <w:rsid w:val="00E87834"/>
    <w:rsid w:val="00E94951"/>
    <w:rsid w:val="00E95A7E"/>
    <w:rsid w:val="00E9659F"/>
    <w:rsid w:val="00E9672E"/>
    <w:rsid w:val="00E973D5"/>
    <w:rsid w:val="00EA01BC"/>
    <w:rsid w:val="00EA0D43"/>
    <w:rsid w:val="00EA1A22"/>
    <w:rsid w:val="00EA1AC4"/>
    <w:rsid w:val="00EA2684"/>
    <w:rsid w:val="00EA2EF2"/>
    <w:rsid w:val="00EA3C7A"/>
    <w:rsid w:val="00EA44E5"/>
    <w:rsid w:val="00EA51F6"/>
    <w:rsid w:val="00EA7AD7"/>
    <w:rsid w:val="00EB2A8C"/>
    <w:rsid w:val="00EB2D9F"/>
    <w:rsid w:val="00EB425B"/>
    <w:rsid w:val="00EB5E37"/>
    <w:rsid w:val="00EB7258"/>
    <w:rsid w:val="00EB7A0A"/>
    <w:rsid w:val="00EC0485"/>
    <w:rsid w:val="00EC0631"/>
    <w:rsid w:val="00EC14A9"/>
    <w:rsid w:val="00EC14BB"/>
    <w:rsid w:val="00EC197A"/>
    <w:rsid w:val="00EC47A0"/>
    <w:rsid w:val="00EC70A8"/>
    <w:rsid w:val="00ED09F4"/>
    <w:rsid w:val="00ED1BE1"/>
    <w:rsid w:val="00ED1CA5"/>
    <w:rsid w:val="00ED3868"/>
    <w:rsid w:val="00ED3E55"/>
    <w:rsid w:val="00ED5E39"/>
    <w:rsid w:val="00ED6B1E"/>
    <w:rsid w:val="00ED717B"/>
    <w:rsid w:val="00ED7404"/>
    <w:rsid w:val="00ED7D3F"/>
    <w:rsid w:val="00EE1BE4"/>
    <w:rsid w:val="00EE24AD"/>
    <w:rsid w:val="00EE2A1A"/>
    <w:rsid w:val="00EE3E6C"/>
    <w:rsid w:val="00EE4C04"/>
    <w:rsid w:val="00EE5B0F"/>
    <w:rsid w:val="00EE787B"/>
    <w:rsid w:val="00EF0A69"/>
    <w:rsid w:val="00EF185A"/>
    <w:rsid w:val="00EF1D16"/>
    <w:rsid w:val="00EF4203"/>
    <w:rsid w:val="00EF42F3"/>
    <w:rsid w:val="00EF5753"/>
    <w:rsid w:val="00EF66DD"/>
    <w:rsid w:val="00EF6BE6"/>
    <w:rsid w:val="00EF7711"/>
    <w:rsid w:val="00EF7E7B"/>
    <w:rsid w:val="00F0040E"/>
    <w:rsid w:val="00F024F3"/>
    <w:rsid w:val="00F068B9"/>
    <w:rsid w:val="00F107EB"/>
    <w:rsid w:val="00F10CAE"/>
    <w:rsid w:val="00F11AA3"/>
    <w:rsid w:val="00F1618B"/>
    <w:rsid w:val="00F1637B"/>
    <w:rsid w:val="00F172BA"/>
    <w:rsid w:val="00F17D8A"/>
    <w:rsid w:val="00F20677"/>
    <w:rsid w:val="00F20730"/>
    <w:rsid w:val="00F20A2C"/>
    <w:rsid w:val="00F21784"/>
    <w:rsid w:val="00F21A0C"/>
    <w:rsid w:val="00F21C0D"/>
    <w:rsid w:val="00F2336B"/>
    <w:rsid w:val="00F237CD"/>
    <w:rsid w:val="00F24278"/>
    <w:rsid w:val="00F24948"/>
    <w:rsid w:val="00F252C5"/>
    <w:rsid w:val="00F25A37"/>
    <w:rsid w:val="00F275DD"/>
    <w:rsid w:val="00F30428"/>
    <w:rsid w:val="00F30BF0"/>
    <w:rsid w:val="00F3112F"/>
    <w:rsid w:val="00F33437"/>
    <w:rsid w:val="00F33D93"/>
    <w:rsid w:val="00F33EC6"/>
    <w:rsid w:val="00F36EE7"/>
    <w:rsid w:val="00F371ED"/>
    <w:rsid w:val="00F37C52"/>
    <w:rsid w:val="00F37C57"/>
    <w:rsid w:val="00F401B4"/>
    <w:rsid w:val="00F4060E"/>
    <w:rsid w:val="00F40942"/>
    <w:rsid w:val="00F40E18"/>
    <w:rsid w:val="00F43BF6"/>
    <w:rsid w:val="00F44D71"/>
    <w:rsid w:val="00F44F51"/>
    <w:rsid w:val="00F451AE"/>
    <w:rsid w:val="00F45A45"/>
    <w:rsid w:val="00F463E6"/>
    <w:rsid w:val="00F467F8"/>
    <w:rsid w:val="00F47271"/>
    <w:rsid w:val="00F47727"/>
    <w:rsid w:val="00F50E78"/>
    <w:rsid w:val="00F52162"/>
    <w:rsid w:val="00F525F1"/>
    <w:rsid w:val="00F52718"/>
    <w:rsid w:val="00F52979"/>
    <w:rsid w:val="00F53D69"/>
    <w:rsid w:val="00F53D96"/>
    <w:rsid w:val="00F550DC"/>
    <w:rsid w:val="00F5550C"/>
    <w:rsid w:val="00F56AE6"/>
    <w:rsid w:val="00F56DDD"/>
    <w:rsid w:val="00F57EC9"/>
    <w:rsid w:val="00F60C99"/>
    <w:rsid w:val="00F62462"/>
    <w:rsid w:val="00F626F0"/>
    <w:rsid w:val="00F63710"/>
    <w:rsid w:val="00F640D2"/>
    <w:rsid w:val="00F645F3"/>
    <w:rsid w:val="00F716B6"/>
    <w:rsid w:val="00F71A52"/>
    <w:rsid w:val="00F71BD9"/>
    <w:rsid w:val="00F720D4"/>
    <w:rsid w:val="00F7210D"/>
    <w:rsid w:val="00F721FA"/>
    <w:rsid w:val="00F724FB"/>
    <w:rsid w:val="00F73F1F"/>
    <w:rsid w:val="00F74068"/>
    <w:rsid w:val="00F74F9D"/>
    <w:rsid w:val="00F74FBF"/>
    <w:rsid w:val="00F75800"/>
    <w:rsid w:val="00F75A78"/>
    <w:rsid w:val="00F773A1"/>
    <w:rsid w:val="00F83D68"/>
    <w:rsid w:val="00F85B15"/>
    <w:rsid w:val="00F86A0D"/>
    <w:rsid w:val="00F86F08"/>
    <w:rsid w:val="00F87339"/>
    <w:rsid w:val="00F95A63"/>
    <w:rsid w:val="00F96A0C"/>
    <w:rsid w:val="00F97089"/>
    <w:rsid w:val="00FA05F4"/>
    <w:rsid w:val="00FA293F"/>
    <w:rsid w:val="00FA50DB"/>
    <w:rsid w:val="00FA7781"/>
    <w:rsid w:val="00FB03E5"/>
    <w:rsid w:val="00FB1269"/>
    <w:rsid w:val="00FB1D74"/>
    <w:rsid w:val="00FB217E"/>
    <w:rsid w:val="00FB27C3"/>
    <w:rsid w:val="00FB2826"/>
    <w:rsid w:val="00FB2864"/>
    <w:rsid w:val="00FB2F76"/>
    <w:rsid w:val="00FB374A"/>
    <w:rsid w:val="00FB3B24"/>
    <w:rsid w:val="00FB3B6E"/>
    <w:rsid w:val="00FB4E25"/>
    <w:rsid w:val="00FB692B"/>
    <w:rsid w:val="00FB75B0"/>
    <w:rsid w:val="00FB7934"/>
    <w:rsid w:val="00FB7B75"/>
    <w:rsid w:val="00FC1A77"/>
    <w:rsid w:val="00FC22A9"/>
    <w:rsid w:val="00FC27B5"/>
    <w:rsid w:val="00FC2C92"/>
    <w:rsid w:val="00FC2DA5"/>
    <w:rsid w:val="00FC2DCD"/>
    <w:rsid w:val="00FC2F72"/>
    <w:rsid w:val="00FC4ECE"/>
    <w:rsid w:val="00FC6918"/>
    <w:rsid w:val="00FD05AE"/>
    <w:rsid w:val="00FD1362"/>
    <w:rsid w:val="00FD1B66"/>
    <w:rsid w:val="00FD4D0E"/>
    <w:rsid w:val="00FD5649"/>
    <w:rsid w:val="00FD5D14"/>
    <w:rsid w:val="00FD687D"/>
    <w:rsid w:val="00FD7614"/>
    <w:rsid w:val="00FE0A6B"/>
    <w:rsid w:val="00FE12F4"/>
    <w:rsid w:val="00FE4A6B"/>
    <w:rsid w:val="00FE62B1"/>
    <w:rsid w:val="00FE6630"/>
    <w:rsid w:val="00FF092B"/>
    <w:rsid w:val="00FF16A1"/>
    <w:rsid w:val="00FF17FD"/>
    <w:rsid w:val="00FF3979"/>
    <w:rsid w:val="00FF43EE"/>
    <w:rsid w:val="00FF4648"/>
    <w:rsid w:val="00FF52C1"/>
    <w:rsid w:val="00FF6492"/>
    <w:rsid w:val="00FF65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DF80A9C"/>
  <w15:chartTrackingRefBased/>
  <w15:docId w15:val="{4833AC92-9FF5-4ED8-83BF-168BBF88B8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07FFA"/>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D4D0E"/>
    <w:pPr>
      <w:ind w:leftChars="400" w:left="840"/>
    </w:pPr>
  </w:style>
  <w:style w:type="table" w:styleId="a4">
    <w:name w:val="Table Grid"/>
    <w:basedOn w:val="a1"/>
    <w:uiPriority w:val="39"/>
    <w:rsid w:val="003C291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caption"/>
    <w:basedOn w:val="a"/>
    <w:next w:val="a"/>
    <w:uiPriority w:val="35"/>
    <w:unhideWhenUsed/>
    <w:qFormat/>
    <w:rsid w:val="003C291F"/>
    <w:rPr>
      <w:b/>
      <w:bCs/>
      <w:szCs w:val="21"/>
    </w:rPr>
  </w:style>
  <w:style w:type="paragraph" w:styleId="a6">
    <w:name w:val="header"/>
    <w:basedOn w:val="a"/>
    <w:link w:val="a7"/>
    <w:uiPriority w:val="99"/>
    <w:unhideWhenUsed/>
    <w:rsid w:val="00546BDA"/>
    <w:pPr>
      <w:tabs>
        <w:tab w:val="center" w:pos="4252"/>
        <w:tab w:val="right" w:pos="8504"/>
      </w:tabs>
      <w:snapToGrid w:val="0"/>
    </w:pPr>
  </w:style>
  <w:style w:type="character" w:customStyle="1" w:styleId="a7">
    <w:name w:val="ヘッダー (文字)"/>
    <w:basedOn w:val="a0"/>
    <w:link w:val="a6"/>
    <w:uiPriority w:val="99"/>
    <w:rsid w:val="00546BDA"/>
  </w:style>
  <w:style w:type="paragraph" w:styleId="a8">
    <w:name w:val="footer"/>
    <w:basedOn w:val="a"/>
    <w:link w:val="a9"/>
    <w:uiPriority w:val="99"/>
    <w:unhideWhenUsed/>
    <w:rsid w:val="00546BDA"/>
    <w:pPr>
      <w:tabs>
        <w:tab w:val="center" w:pos="4252"/>
        <w:tab w:val="right" w:pos="8504"/>
      </w:tabs>
      <w:snapToGrid w:val="0"/>
    </w:pPr>
  </w:style>
  <w:style w:type="character" w:customStyle="1" w:styleId="a9">
    <w:name w:val="フッター (文字)"/>
    <w:basedOn w:val="a0"/>
    <w:link w:val="a8"/>
    <w:uiPriority w:val="99"/>
    <w:rsid w:val="00546BDA"/>
  </w:style>
  <w:style w:type="character" w:styleId="aa">
    <w:name w:val="Hyperlink"/>
    <w:basedOn w:val="a0"/>
    <w:uiPriority w:val="99"/>
    <w:unhideWhenUsed/>
    <w:rsid w:val="007E4120"/>
    <w:rPr>
      <w:color w:val="0563C1" w:themeColor="hyperlink"/>
      <w:u w:val="single"/>
    </w:rPr>
  </w:style>
  <w:style w:type="character" w:styleId="ab">
    <w:name w:val="Unresolved Mention"/>
    <w:basedOn w:val="a0"/>
    <w:uiPriority w:val="99"/>
    <w:semiHidden/>
    <w:unhideWhenUsed/>
    <w:rsid w:val="007E4120"/>
    <w:rPr>
      <w:color w:val="605E5C"/>
      <w:shd w:val="clear" w:color="auto" w:fill="E1DFDD"/>
    </w:rPr>
  </w:style>
  <w:style w:type="character" w:styleId="ac">
    <w:name w:val="Placeholder Text"/>
    <w:basedOn w:val="a0"/>
    <w:uiPriority w:val="99"/>
    <w:rsid w:val="00696923"/>
    <w:rPr>
      <w:color w:val="808080"/>
    </w:rPr>
  </w:style>
  <w:style w:type="paragraph" w:styleId="Web">
    <w:name w:val="Normal (Web)"/>
    <w:basedOn w:val="a"/>
    <w:uiPriority w:val="99"/>
    <w:semiHidden/>
    <w:unhideWhenUsed/>
    <w:rsid w:val="00302C09"/>
    <w:pPr>
      <w:widowControl/>
      <w:spacing w:before="100" w:beforeAutospacing="1" w:after="100" w:afterAutospacing="1"/>
      <w:jc w:val="left"/>
    </w:pPr>
    <w:rPr>
      <w:rFonts w:eastAsia="Times New Roman" w:cs="Times New Roman"/>
      <w:kern w:val="0"/>
      <w:sz w:val="24"/>
      <w:szCs w:val="24"/>
      <w:lang w:val="en-GB" w:eastAsia="en-GB"/>
    </w:rPr>
  </w:style>
  <w:style w:type="table" w:customStyle="1" w:styleId="1">
    <w:name w:val="表 (格子)1"/>
    <w:basedOn w:val="a1"/>
    <w:next w:val="a4"/>
    <w:uiPriority w:val="39"/>
    <w:rsid w:val="007A591B"/>
    <w:rPr>
      <w:rFonts w:ascii="Arial" w:hAnsi="Arial" w:cs="Arial"/>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atex-mathml">
    <w:name w:val="katex-mathml"/>
    <w:basedOn w:val="a0"/>
    <w:rsid w:val="00880A3E"/>
  </w:style>
  <w:style w:type="character" w:customStyle="1" w:styleId="mord">
    <w:name w:val="mord"/>
    <w:basedOn w:val="a0"/>
    <w:rsid w:val="00C34715"/>
  </w:style>
  <w:style w:type="character" w:styleId="ad">
    <w:name w:val="Strong"/>
    <w:basedOn w:val="a0"/>
    <w:uiPriority w:val="22"/>
    <w:qFormat/>
    <w:rsid w:val="001E787C"/>
    <w:rPr>
      <w:b/>
      <w:bCs/>
    </w:rPr>
  </w:style>
  <w:style w:type="character" w:customStyle="1" w:styleId="vlist-s">
    <w:name w:val="vlist-s"/>
    <w:basedOn w:val="a0"/>
    <w:rsid w:val="00685068"/>
  </w:style>
  <w:style w:type="character" w:customStyle="1" w:styleId="mrel">
    <w:name w:val="mrel"/>
    <w:basedOn w:val="a0"/>
    <w:rsid w:val="00685068"/>
  </w:style>
  <w:style w:type="paragraph" w:styleId="ae">
    <w:name w:val="Bibliography"/>
    <w:basedOn w:val="a"/>
    <w:next w:val="a"/>
    <w:uiPriority w:val="37"/>
    <w:unhideWhenUsed/>
    <w:rsid w:val="00D037EA"/>
    <w:pPr>
      <w:tabs>
        <w:tab w:val="left" w:pos="384"/>
      </w:tabs>
      <w:ind w:left="384" w:hanging="384"/>
    </w:pPr>
  </w:style>
  <w:style w:type="character" w:styleId="af">
    <w:name w:val="annotation reference"/>
    <w:basedOn w:val="a0"/>
    <w:uiPriority w:val="99"/>
    <w:semiHidden/>
    <w:unhideWhenUsed/>
    <w:rsid w:val="00CB633C"/>
    <w:rPr>
      <w:sz w:val="18"/>
      <w:szCs w:val="18"/>
    </w:rPr>
  </w:style>
  <w:style w:type="paragraph" w:styleId="af0">
    <w:name w:val="annotation text"/>
    <w:basedOn w:val="a"/>
    <w:link w:val="af1"/>
    <w:uiPriority w:val="99"/>
    <w:unhideWhenUsed/>
    <w:rsid w:val="00CB633C"/>
    <w:pPr>
      <w:jc w:val="left"/>
    </w:pPr>
  </w:style>
  <w:style w:type="character" w:customStyle="1" w:styleId="af1">
    <w:name w:val="コメント文字列 (文字)"/>
    <w:basedOn w:val="a0"/>
    <w:link w:val="af0"/>
    <w:uiPriority w:val="99"/>
    <w:rsid w:val="00CB633C"/>
  </w:style>
  <w:style w:type="paragraph" w:styleId="af2">
    <w:name w:val="annotation subject"/>
    <w:basedOn w:val="af0"/>
    <w:next w:val="af0"/>
    <w:link w:val="af3"/>
    <w:uiPriority w:val="99"/>
    <w:semiHidden/>
    <w:unhideWhenUsed/>
    <w:rsid w:val="00CB633C"/>
    <w:rPr>
      <w:b/>
      <w:bCs/>
    </w:rPr>
  </w:style>
  <w:style w:type="character" w:customStyle="1" w:styleId="af3">
    <w:name w:val="コメント内容 (文字)"/>
    <w:basedOn w:val="af1"/>
    <w:link w:val="af2"/>
    <w:uiPriority w:val="99"/>
    <w:semiHidden/>
    <w:rsid w:val="00CB633C"/>
    <w:rPr>
      <w:b/>
      <w:bCs/>
    </w:rPr>
  </w:style>
  <w:style w:type="character" w:customStyle="1" w:styleId="hljs-tag">
    <w:name w:val="hljs-tag"/>
    <w:basedOn w:val="a0"/>
    <w:rsid w:val="00E95A7E"/>
  </w:style>
  <w:style w:type="character" w:customStyle="1" w:styleId="hljs-name">
    <w:name w:val="hljs-name"/>
    <w:basedOn w:val="a0"/>
    <w:rsid w:val="00E95A7E"/>
  </w:style>
  <w:style w:type="character" w:customStyle="1" w:styleId="hljs-attr">
    <w:name w:val="hljs-attr"/>
    <w:basedOn w:val="a0"/>
    <w:rsid w:val="00E95A7E"/>
  </w:style>
  <w:style w:type="character" w:customStyle="1" w:styleId="hljs-string">
    <w:name w:val="hljs-string"/>
    <w:basedOn w:val="a0"/>
    <w:rsid w:val="00E95A7E"/>
  </w:style>
  <w:style w:type="character" w:customStyle="1" w:styleId="language-css">
    <w:name w:val="language-css"/>
    <w:basedOn w:val="a0"/>
    <w:rsid w:val="00E95A7E"/>
  </w:style>
  <w:style w:type="character" w:customStyle="1" w:styleId="hljs-selector-tag">
    <w:name w:val="hljs-selector-tag"/>
    <w:basedOn w:val="a0"/>
    <w:rsid w:val="00E95A7E"/>
  </w:style>
  <w:style w:type="character" w:customStyle="1" w:styleId="hljs-attribute">
    <w:name w:val="hljs-attribute"/>
    <w:basedOn w:val="a0"/>
    <w:rsid w:val="00E95A7E"/>
  </w:style>
  <w:style w:type="character" w:customStyle="1" w:styleId="hljs-number">
    <w:name w:val="hljs-number"/>
    <w:basedOn w:val="a0"/>
    <w:rsid w:val="00E95A7E"/>
  </w:style>
  <w:style w:type="character" w:customStyle="1" w:styleId="hljs-selector-class">
    <w:name w:val="hljs-selector-class"/>
    <w:basedOn w:val="a0"/>
    <w:rsid w:val="00E95A7E"/>
  </w:style>
  <w:style w:type="character" w:customStyle="1" w:styleId="hljs-symbol">
    <w:name w:val="hljs-symbol"/>
    <w:basedOn w:val="a0"/>
    <w:rsid w:val="00E95A7E"/>
  </w:style>
  <w:style w:type="character" w:customStyle="1" w:styleId="mopen">
    <w:name w:val="mopen"/>
    <w:basedOn w:val="a0"/>
    <w:rsid w:val="000B70BA"/>
  </w:style>
  <w:style w:type="character" w:customStyle="1" w:styleId="mclose">
    <w:name w:val="mclose"/>
    <w:basedOn w:val="a0"/>
    <w:rsid w:val="000B70BA"/>
  </w:style>
  <w:style w:type="character" w:styleId="af4">
    <w:name w:val="Emphasis"/>
    <w:basedOn w:val="a0"/>
    <w:uiPriority w:val="20"/>
    <w:qFormat/>
    <w:rsid w:val="005849FF"/>
    <w:rPr>
      <w:i/>
      <w:iCs/>
    </w:rPr>
  </w:style>
  <w:style w:type="paragraph" w:styleId="af5">
    <w:name w:val="Balloon Text"/>
    <w:basedOn w:val="a"/>
    <w:link w:val="af6"/>
    <w:uiPriority w:val="99"/>
    <w:semiHidden/>
    <w:unhideWhenUsed/>
    <w:rsid w:val="00D85B01"/>
    <w:rPr>
      <w:rFonts w:ascii="Segoe UI" w:hAnsi="Segoe UI" w:cs="Segoe UI"/>
      <w:sz w:val="18"/>
      <w:szCs w:val="18"/>
    </w:rPr>
  </w:style>
  <w:style w:type="character" w:customStyle="1" w:styleId="af6">
    <w:name w:val="吹き出し (文字)"/>
    <w:basedOn w:val="a0"/>
    <w:link w:val="af5"/>
    <w:uiPriority w:val="99"/>
    <w:semiHidden/>
    <w:rsid w:val="00D85B01"/>
    <w:rPr>
      <w:rFonts w:ascii="Segoe UI" w:hAnsi="Segoe UI" w:cs="Segoe UI"/>
      <w:sz w:val="18"/>
      <w:szCs w:val="18"/>
    </w:rPr>
  </w:style>
  <w:style w:type="paragraph" w:styleId="af7">
    <w:name w:val="Revision"/>
    <w:hidden/>
    <w:uiPriority w:val="99"/>
    <w:semiHidden/>
    <w:rsid w:val="00C256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601401">
      <w:bodyDiv w:val="1"/>
      <w:marLeft w:val="0"/>
      <w:marRight w:val="0"/>
      <w:marTop w:val="0"/>
      <w:marBottom w:val="0"/>
      <w:divBdr>
        <w:top w:val="none" w:sz="0" w:space="0" w:color="auto"/>
        <w:left w:val="none" w:sz="0" w:space="0" w:color="auto"/>
        <w:bottom w:val="none" w:sz="0" w:space="0" w:color="auto"/>
        <w:right w:val="none" w:sz="0" w:space="0" w:color="auto"/>
      </w:divBdr>
    </w:div>
    <w:div w:id="201019650">
      <w:bodyDiv w:val="1"/>
      <w:marLeft w:val="0"/>
      <w:marRight w:val="0"/>
      <w:marTop w:val="0"/>
      <w:marBottom w:val="0"/>
      <w:divBdr>
        <w:top w:val="none" w:sz="0" w:space="0" w:color="auto"/>
        <w:left w:val="none" w:sz="0" w:space="0" w:color="auto"/>
        <w:bottom w:val="none" w:sz="0" w:space="0" w:color="auto"/>
        <w:right w:val="none" w:sz="0" w:space="0" w:color="auto"/>
      </w:divBdr>
    </w:div>
    <w:div w:id="439570387">
      <w:bodyDiv w:val="1"/>
      <w:marLeft w:val="0"/>
      <w:marRight w:val="0"/>
      <w:marTop w:val="0"/>
      <w:marBottom w:val="0"/>
      <w:divBdr>
        <w:top w:val="none" w:sz="0" w:space="0" w:color="auto"/>
        <w:left w:val="none" w:sz="0" w:space="0" w:color="auto"/>
        <w:bottom w:val="none" w:sz="0" w:space="0" w:color="auto"/>
        <w:right w:val="none" w:sz="0" w:space="0" w:color="auto"/>
      </w:divBdr>
    </w:div>
    <w:div w:id="628317221">
      <w:bodyDiv w:val="1"/>
      <w:marLeft w:val="0"/>
      <w:marRight w:val="0"/>
      <w:marTop w:val="0"/>
      <w:marBottom w:val="0"/>
      <w:divBdr>
        <w:top w:val="none" w:sz="0" w:space="0" w:color="auto"/>
        <w:left w:val="none" w:sz="0" w:space="0" w:color="auto"/>
        <w:bottom w:val="none" w:sz="0" w:space="0" w:color="auto"/>
        <w:right w:val="none" w:sz="0" w:space="0" w:color="auto"/>
      </w:divBdr>
    </w:div>
    <w:div w:id="789862614">
      <w:bodyDiv w:val="1"/>
      <w:marLeft w:val="0"/>
      <w:marRight w:val="0"/>
      <w:marTop w:val="0"/>
      <w:marBottom w:val="0"/>
      <w:divBdr>
        <w:top w:val="none" w:sz="0" w:space="0" w:color="auto"/>
        <w:left w:val="none" w:sz="0" w:space="0" w:color="auto"/>
        <w:bottom w:val="none" w:sz="0" w:space="0" w:color="auto"/>
        <w:right w:val="none" w:sz="0" w:space="0" w:color="auto"/>
      </w:divBdr>
    </w:div>
    <w:div w:id="791822412">
      <w:bodyDiv w:val="1"/>
      <w:marLeft w:val="0"/>
      <w:marRight w:val="0"/>
      <w:marTop w:val="0"/>
      <w:marBottom w:val="0"/>
      <w:divBdr>
        <w:top w:val="none" w:sz="0" w:space="0" w:color="auto"/>
        <w:left w:val="none" w:sz="0" w:space="0" w:color="auto"/>
        <w:bottom w:val="none" w:sz="0" w:space="0" w:color="auto"/>
        <w:right w:val="none" w:sz="0" w:space="0" w:color="auto"/>
      </w:divBdr>
    </w:div>
    <w:div w:id="1114522190">
      <w:bodyDiv w:val="1"/>
      <w:marLeft w:val="0"/>
      <w:marRight w:val="0"/>
      <w:marTop w:val="0"/>
      <w:marBottom w:val="0"/>
      <w:divBdr>
        <w:top w:val="none" w:sz="0" w:space="0" w:color="auto"/>
        <w:left w:val="none" w:sz="0" w:space="0" w:color="auto"/>
        <w:bottom w:val="none" w:sz="0" w:space="0" w:color="auto"/>
        <w:right w:val="none" w:sz="0" w:space="0" w:color="auto"/>
      </w:divBdr>
    </w:div>
    <w:div w:id="1257060347">
      <w:bodyDiv w:val="1"/>
      <w:marLeft w:val="0"/>
      <w:marRight w:val="0"/>
      <w:marTop w:val="0"/>
      <w:marBottom w:val="0"/>
      <w:divBdr>
        <w:top w:val="none" w:sz="0" w:space="0" w:color="auto"/>
        <w:left w:val="none" w:sz="0" w:space="0" w:color="auto"/>
        <w:bottom w:val="none" w:sz="0" w:space="0" w:color="auto"/>
        <w:right w:val="none" w:sz="0" w:space="0" w:color="auto"/>
      </w:divBdr>
    </w:div>
    <w:div w:id="1356535570">
      <w:bodyDiv w:val="1"/>
      <w:marLeft w:val="0"/>
      <w:marRight w:val="0"/>
      <w:marTop w:val="0"/>
      <w:marBottom w:val="0"/>
      <w:divBdr>
        <w:top w:val="none" w:sz="0" w:space="0" w:color="auto"/>
        <w:left w:val="none" w:sz="0" w:space="0" w:color="auto"/>
        <w:bottom w:val="none" w:sz="0" w:space="0" w:color="auto"/>
        <w:right w:val="none" w:sz="0" w:space="0" w:color="auto"/>
      </w:divBdr>
      <w:divsChild>
        <w:div w:id="907881474">
          <w:marLeft w:val="0"/>
          <w:marRight w:val="0"/>
          <w:marTop w:val="0"/>
          <w:marBottom w:val="0"/>
          <w:divBdr>
            <w:top w:val="none" w:sz="0" w:space="0" w:color="auto"/>
            <w:left w:val="none" w:sz="0" w:space="0" w:color="auto"/>
            <w:bottom w:val="none" w:sz="0" w:space="0" w:color="auto"/>
            <w:right w:val="none" w:sz="0" w:space="0" w:color="auto"/>
          </w:divBdr>
          <w:divsChild>
            <w:div w:id="1240217989">
              <w:marLeft w:val="0"/>
              <w:marRight w:val="0"/>
              <w:marTop w:val="0"/>
              <w:marBottom w:val="0"/>
              <w:divBdr>
                <w:top w:val="none" w:sz="0" w:space="0" w:color="auto"/>
                <w:left w:val="none" w:sz="0" w:space="0" w:color="auto"/>
                <w:bottom w:val="none" w:sz="0" w:space="0" w:color="auto"/>
                <w:right w:val="none" w:sz="0" w:space="0" w:color="auto"/>
              </w:divBdr>
              <w:divsChild>
                <w:div w:id="1669477008">
                  <w:marLeft w:val="0"/>
                  <w:marRight w:val="0"/>
                  <w:marTop w:val="0"/>
                  <w:marBottom w:val="0"/>
                  <w:divBdr>
                    <w:top w:val="none" w:sz="0" w:space="0" w:color="auto"/>
                    <w:left w:val="none" w:sz="0" w:space="0" w:color="auto"/>
                    <w:bottom w:val="none" w:sz="0" w:space="0" w:color="auto"/>
                    <w:right w:val="none" w:sz="0" w:space="0" w:color="auto"/>
                  </w:divBdr>
                  <w:divsChild>
                    <w:div w:id="91350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8512608">
          <w:marLeft w:val="0"/>
          <w:marRight w:val="0"/>
          <w:marTop w:val="0"/>
          <w:marBottom w:val="0"/>
          <w:divBdr>
            <w:top w:val="none" w:sz="0" w:space="0" w:color="auto"/>
            <w:left w:val="none" w:sz="0" w:space="0" w:color="auto"/>
            <w:bottom w:val="none" w:sz="0" w:space="0" w:color="auto"/>
            <w:right w:val="none" w:sz="0" w:space="0" w:color="auto"/>
          </w:divBdr>
          <w:divsChild>
            <w:div w:id="168522351">
              <w:marLeft w:val="0"/>
              <w:marRight w:val="0"/>
              <w:marTop w:val="0"/>
              <w:marBottom w:val="0"/>
              <w:divBdr>
                <w:top w:val="none" w:sz="0" w:space="0" w:color="auto"/>
                <w:left w:val="none" w:sz="0" w:space="0" w:color="auto"/>
                <w:bottom w:val="none" w:sz="0" w:space="0" w:color="auto"/>
                <w:right w:val="none" w:sz="0" w:space="0" w:color="auto"/>
              </w:divBdr>
              <w:divsChild>
                <w:div w:id="304241691">
                  <w:marLeft w:val="0"/>
                  <w:marRight w:val="0"/>
                  <w:marTop w:val="0"/>
                  <w:marBottom w:val="0"/>
                  <w:divBdr>
                    <w:top w:val="none" w:sz="0" w:space="0" w:color="auto"/>
                    <w:left w:val="none" w:sz="0" w:space="0" w:color="auto"/>
                    <w:bottom w:val="none" w:sz="0" w:space="0" w:color="auto"/>
                    <w:right w:val="none" w:sz="0" w:space="0" w:color="auto"/>
                  </w:divBdr>
                  <w:divsChild>
                    <w:div w:id="180407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8021140">
      <w:bodyDiv w:val="1"/>
      <w:marLeft w:val="0"/>
      <w:marRight w:val="0"/>
      <w:marTop w:val="0"/>
      <w:marBottom w:val="0"/>
      <w:divBdr>
        <w:top w:val="none" w:sz="0" w:space="0" w:color="auto"/>
        <w:left w:val="none" w:sz="0" w:space="0" w:color="auto"/>
        <w:bottom w:val="none" w:sz="0" w:space="0" w:color="auto"/>
        <w:right w:val="none" w:sz="0" w:space="0" w:color="auto"/>
      </w:divBdr>
    </w:div>
    <w:div w:id="1497114597">
      <w:bodyDiv w:val="1"/>
      <w:marLeft w:val="0"/>
      <w:marRight w:val="0"/>
      <w:marTop w:val="0"/>
      <w:marBottom w:val="0"/>
      <w:divBdr>
        <w:top w:val="none" w:sz="0" w:space="0" w:color="auto"/>
        <w:left w:val="none" w:sz="0" w:space="0" w:color="auto"/>
        <w:bottom w:val="none" w:sz="0" w:space="0" w:color="auto"/>
        <w:right w:val="none" w:sz="0" w:space="0" w:color="auto"/>
      </w:divBdr>
    </w:div>
    <w:div w:id="1624342386">
      <w:bodyDiv w:val="1"/>
      <w:marLeft w:val="0"/>
      <w:marRight w:val="0"/>
      <w:marTop w:val="0"/>
      <w:marBottom w:val="0"/>
      <w:divBdr>
        <w:top w:val="none" w:sz="0" w:space="0" w:color="auto"/>
        <w:left w:val="none" w:sz="0" w:space="0" w:color="auto"/>
        <w:bottom w:val="none" w:sz="0" w:space="0" w:color="auto"/>
        <w:right w:val="none" w:sz="0" w:space="0" w:color="auto"/>
      </w:divBdr>
    </w:div>
    <w:div w:id="1930458924">
      <w:bodyDiv w:val="1"/>
      <w:marLeft w:val="0"/>
      <w:marRight w:val="0"/>
      <w:marTop w:val="0"/>
      <w:marBottom w:val="0"/>
      <w:divBdr>
        <w:top w:val="none" w:sz="0" w:space="0" w:color="auto"/>
        <w:left w:val="none" w:sz="0" w:space="0" w:color="auto"/>
        <w:bottom w:val="none" w:sz="0" w:space="0" w:color="auto"/>
        <w:right w:val="none" w:sz="0" w:space="0" w:color="auto"/>
      </w:divBdr>
    </w:div>
    <w:div w:id="2012180133">
      <w:bodyDiv w:val="1"/>
      <w:marLeft w:val="0"/>
      <w:marRight w:val="0"/>
      <w:marTop w:val="0"/>
      <w:marBottom w:val="0"/>
      <w:divBdr>
        <w:top w:val="none" w:sz="0" w:space="0" w:color="auto"/>
        <w:left w:val="none" w:sz="0" w:space="0" w:color="auto"/>
        <w:bottom w:val="none" w:sz="0" w:space="0" w:color="auto"/>
        <w:right w:val="none" w:sz="0" w:space="0" w:color="auto"/>
      </w:divBdr>
    </w:div>
    <w:div w:id="2093309181">
      <w:bodyDiv w:val="1"/>
      <w:marLeft w:val="0"/>
      <w:marRight w:val="0"/>
      <w:marTop w:val="0"/>
      <w:marBottom w:val="0"/>
      <w:divBdr>
        <w:top w:val="none" w:sz="0" w:space="0" w:color="auto"/>
        <w:left w:val="none" w:sz="0" w:space="0" w:color="auto"/>
        <w:bottom w:val="none" w:sz="0" w:space="0" w:color="auto"/>
        <w:right w:val="none" w:sz="0" w:space="0" w:color="auto"/>
      </w:divBdr>
    </w:div>
    <w:div w:id="2093433461">
      <w:bodyDiv w:val="1"/>
      <w:marLeft w:val="0"/>
      <w:marRight w:val="0"/>
      <w:marTop w:val="0"/>
      <w:marBottom w:val="0"/>
      <w:divBdr>
        <w:top w:val="none" w:sz="0" w:space="0" w:color="auto"/>
        <w:left w:val="none" w:sz="0" w:space="0" w:color="auto"/>
        <w:bottom w:val="none" w:sz="0" w:space="0" w:color="auto"/>
        <w:right w:val="none" w:sz="0" w:space="0" w:color="auto"/>
      </w:divBdr>
    </w:div>
    <w:div w:id="2120951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tiff"/><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f"/><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3b8547f3-9362-4849-b45e-3c680a688da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0935FB593E587428FAAC3F93A973B70" ma:contentTypeVersion="16" ma:contentTypeDescription="Create a new document." ma:contentTypeScope="" ma:versionID="c6222c30ab64022fd33a4b30cd0b03e9">
  <xsd:schema xmlns:xsd="http://www.w3.org/2001/XMLSchema" xmlns:xs="http://www.w3.org/2001/XMLSchema" xmlns:p="http://schemas.microsoft.com/office/2006/metadata/properties" xmlns:ns3="3b8547f3-9362-4849-b45e-3c680a688da6" xmlns:ns4="6f6e5b0f-ac7b-48a5-badb-81729b1196c8" targetNamespace="http://schemas.microsoft.com/office/2006/metadata/properties" ma:root="true" ma:fieldsID="a2e1649f1d21c80d91c602df95415707" ns3:_="" ns4:_="">
    <xsd:import namespace="3b8547f3-9362-4849-b45e-3c680a688da6"/>
    <xsd:import namespace="6f6e5b0f-ac7b-48a5-badb-81729b1196c8"/>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_activity" minOccurs="0"/>
                <xsd:element ref="ns3:MediaServiceLocation"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8547f3-9362-4849-b45e-3c680a688d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activity" ma:index="19" nillable="true" ma:displayName="_activity" ma:hidden="true" ma:internalName="_activity">
      <xsd:simpleType>
        <xsd:restriction base="dms:Note"/>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ystemTags" ma:index="22" nillable="true" ma:displayName="MediaServiceSystemTags" ma:hidden="true" ma:internalName="MediaServiceSystemTags" ma:readOnly="true">
      <xsd:simpleType>
        <xsd:restriction base="dms:Note"/>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6e5b0f-ac7b-48a5-badb-81729b1196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7A3401-2227-469D-897E-FC4DA2D2DDE0}">
  <ds:schemaRefs>
    <ds:schemaRef ds:uri="http://schemas.microsoft.com/sharepoint/v3/contenttype/forms"/>
  </ds:schemaRefs>
</ds:datastoreItem>
</file>

<file path=customXml/itemProps2.xml><?xml version="1.0" encoding="utf-8"?>
<ds:datastoreItem xmlns:ds="http://schemas.openxmlformats.org/officeDocument/2006/customXml" ds:itemID="{C751E6E2-4ECF-40C4-A00A-DF64EF30319F}">
  <ds:schemaRefs>
    <ds:schemaRef ds:uri="http://schemas.microsoft.com/office/2006/metadata/properties"/>
    <ds:schemaRef ds:uri="http://schemas.microsoft.com/office/infopath/2007/PartnerControls"/>
    <ds:schemaRef ds:uri="3b8547f3-9362-4849-b45e-3c680a688da6"/>
  </ds:schemaRefs>
</ds:datastoreItem>
</file>

<file path=customXml/itemProps3.xml><?xml version="1.0" encoding="utf-8"?>
<ds:datastoreItem xmlns:ds="http://schemas.openxmlformats.org/officeDocument/2006/customXml" ds:itemID="{55627F1F-2A74-4B39-96C0-F0565173F0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8547f3-9362-4849-b45e-3c680a688da6"/>
    <ds:schemaRef ds:uri="6f6e5b0f-ac7b-48a5-badb-81729b119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CEF59AE-6855-4553-A62F-500BB65E55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4989</TotalTime>
  <Pages>7</Pages>
  <Words>5072</Words>
  <Characters>31499</Characters>
  <Application>Microsoft Office Word</Application>
  <DocSecurity>0</DocSecurity>
  <Lines>425</Lines>
  <Paragraphs>139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Koji Koizumi</dc:creator>
  <cp:keywords/>
  <dc:description/>
  <cp:lastModifiedBy>Koji Koizumi</cp:lastModifiedBy>
  <cp:revision>154</cp:revision>
  <cp:lastPrinted>2025-05-19T08:00:00Z</cp:lastPrinted>
  <dcterms:created xsi:type="dcterms:W3CDTF">2025-03-03T17:57:00Z</dcterms:created>
  <dcterms:modified xsi:type="dcterms:W3CDTF">2026-03-10T05:20:00Z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zotero-version="8.0.3"&gt;&lt;session id="6c0JUq9q"/&gt;&lt;style id="http://www.zotero.org/styles/annals-of-the-new-york-academy-of-sciences" hasBibliography="1" bibliographyStyleHasBeenSet="1"/&gt;&lt;prefs&gt;&lt;pref name="fieldType" value="Field"/&gt;&lt;/p</vt:lpwstr>
  </property>
  <property fmtid="{D5CDD505-2E9C-101B-9397-08002B2CF9AE}" pid="3" name="ContentTypeId">
    <vt:lpwstr>0x010100C0935FB593E587428FAAC3F93A973B70</vt:lpwstr>
  </property>
  <property fmtid="{D5CDD505-2E9C-101B-9397-08002B2CF9AE}" pid="4" name="ZOTERO_PREF_2">
    <vt:lpwstr>refs&gt;&lt;/data&gt;</vt:lpwstr>
  </property>
</Properties>
</file>