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0197" w14:textId="694E9C25" w:rsidR="00E3444A" w:rsidRDefault="00E3444A" w:rsidP="00E3444A">
      <w:pPr>
        <w:rPr>
          <w:b/>
          <w:bCs/>
          <w:sz w:val="28"/>
          <w:szCs w:val="28"/>
        </w:rPr>
      </w:pPr>
      <w:r w:rsidRPr="00E3444A">
        <w:rPr>
          <w:b/>
          <w:bCs/>
          <w:sz w:val="28"/>
          <w:szCs w:val="28"/>
        </w:rPr>
        <w:t>Supplementary Material</w:t>
      </w:r>
    </w:p>
    <w:p w14:paraId="0A80AAD5" w14:textId="77777777" w:rsidR="00E3444A" w:rsidRDefault="00E3444A" w:rsidP="00E3444A">
      <w:pPr>
        <w:spacing w:line="480" w:lineRule="auto"/>
      </w:pPr>
    </w:p>
    <w:p w14:paraId="55F0EFD9" w14:textId="6326FCA8" w:rsidR="00367B9B" w:rsidRDefault="00367B9B" w:rsidP="00367B9B">
      <w:pPr>
        <w:spacing w:line="480" w:lineRule="auto"/>
        <w:rPr>
          <w:b/>
          <w:bCs/>
        </w:rPr>
      </w:pPr>
      <w:r w:rsidRPr="00740F1C">
        <w:rPr>
          <w:b/>
          <w:bCs/>
        </w:rPr>
        <w:t xml:space="preserve">Section </w:t>
      </w:r>
      <w:r>
        <w:rPr>
          <w:b/>
          <w:bCs/>
        </w:rPr>
        <w:t>S1</w:t>
      </w:r>
      <w:r w:rsidRPr="00740F1C">
        <w:rPr>
          <w:b/>
          <w:bCs/>
        </w:rPr>
        <w:t>.</w:t>
      </w:r>
      <w:r>
        <w:rPr>
          <w:b/>
          <w:bCs/>
        </w:rPr>
        <w:t xml:space="preserve"> Sunspot rhythm parameters</w:t>
      </w:r>
    </w:p>
    <w:p w14:paraId="172E4561" w14:textId="77777777" w:rsidR="00367B9B" w:rsidRPr="00AD0591" w:rsidRDefault="00367B9B" w:rsidP="00367B9B">
      <w:pPr>
        <w:spacing w:line="480" w:lineRule="auto"/>
        <w:rPr>
          <w:b/>
          <w:bCs/>
        </w:rPr>
      </w:pPr>
    </w:p>
    <w:tbl>
      <w:tblPr>
        <w:tblW w:w="9280" w:type="dxa"/>
        <w:tblLook w:val="04A0" w:firstRow="1" w:lastRow="0" w:firstColumn="1" w:lastColumn="0" w:noHBand="0" w:noVBand="1"/>
      </w:tblPr>
      <w:tblGrid>
        <w:gridCol w:w="1300"/>
        <w:gridCol w:w="1300"/>
        <w:gridCol w:w="2540"/>
        <w:gridCol w:w="2020"/>
        <w:gridCol w:w="2120"/>
      </w:tblGrid>
      <w:tr w:rsidR="00367B9B" w14:paraId="485F0AAA" w14:textId="77777777" w:rsidTr="00B661EF">
        <w:trPr>
          <w:trHeight w:val="680"/>
        </w:trPr>
        <w:tc>
          <w:tcPr>
            <w:tcW w:w="1300" w:type="dxa"/>
            <w:tcBorders>
              <w:top w:val="nil"/>
              <w:left w:val="nil"/>
              <w:bottom w:val="single" w:sz="4" w:space="0" w:color="auto"/>
              <w:right w:val="nil"/>
            </w:tcBorders>
            <w:noWrap/>
            <w:vAlign w:val="center"/>
            <w:hideMark/>
          </w:tcPr>
          <w:p w14:paraId="65286324" w14:textId="77777777" w:rsidR="00367B9B" w:rsidRDefault="00367B9B" w:rsidP="00B661EF">
            <w:pPr>
              <w:rPr>
                <w:rFonts w:ascii="Aptos Narrow" w:hAnsi="Aptos Narrow"/>
                <w:b/>
                <w:bCs/>
                <w:color w:val="000000"/>
                <w:sz w:val="20"/>
                <w:szCs w:val="20"/>
              </w:rPr>
            </w:pPr>
            <w:r>
              <w:rPr>
                <w:rFonts w:ascii="Aptos Narrow" w:hAnsi="Aptos Narrow"/>
                <w:b/>
                <w:bCs/>
                <w:color w:val="000000"/>
                <w:sz w:val="20"/>
                <w:szCs w:val="20"/>
              </w:rPr>
              <w:t>Subgroup</w:t>
            </w:r>
          </w:p>
        </w:tc>
        <w:tc>
          <w:tcPr>
            <w:tcW w:w="1300" w:type="dxa"/>
            <w:tcBorders>
              <w:top w:val="nil"/>
              <w:left w:val="nil"/>
              <w:bottom w:val="single" w:sz="4" w:space="0" w:color="auto"/>
              <w:right w:val="nil"/>
            </w:tcBorders>
            <w:noWrap/>
            <w:vAlign w:val="center"/>
            <w:hideMark/>
          </w:tcPr>
          <w:p w14:paraId="5970522A" w14:textId="77777777" w:rsidR="00367B9B" w:rsidRDefault="00367B9B" w:rsidP="00B661EF">
            <w:pPr>
              <w:jc w:val="center"/>
              <w:rPr>
                <w:rFonts w:ascii="Aptos Narrow" w:hAnsi="Aptos Narrow"/>
                <w:b/>
                <w:bCs/>
                <w:color w:val="000000"/>
                <w:sz w:val="20"/>
                <w:szCs w:val="20"/>
              </w:rPr>
            </w:pPr>
            <w:r>
              <w:rPr>
                <w:rFonts w:ascii="Aptos Narrow" w:hAnsi="Aptos Narrow"/>
                <w:b/>
                <w:bCs/>
                <w:color w:val="000000"/>
                <w:sz w:val="20"/>
                <w:szCs w:val="20"/>
              </w:rPr>
              <w:t>Model</w:t>
            </w:r>
          </w:p>
        </w:tc>
        <w:tc>
          <w:tcPr>
            <w:tcW w:w="2540" w:type="dxa"/>
            <w:tcBorders>
              <w:top w:val="nil"/>
              <w:left w:val="nil"/>
              <w:bottom w:val="single" w:sz="4" w:space="0" w:color="auto"/>
              <w:right w:val="nil"/>
            </w:tcBorders>
            <w:noWrap/>
            <w:vAlign w:val="center"/>
            <w:hideMark/>
          </w:tcPr>
          <w:p w14:paraId="450CF949" w14:textId="77777777" w:rsidR="00367B9B" w:rsidRDefault="00367B9B" w:rsidP="00B661EF">
            <w:pPr>
              <w:jc w:val="center"/>
              <w:rPr>
                <w:rFonts w:ascii="Aptos Narrow" w:hAnsi="Aptos Narrow"/>
                <w:b/>
                <w:bCs/>
                <w:color w:val="000000"/>
                <w:sz w:val="20"/>
                <w:szCs w:val="20"/>
              </w:rPr>
            </w:pPr>
            <w:r>
              <w:rPr>
                <w:rFonts w:ascii="Aptos Narrow" w:hAnsi="Aptos Narrow"/>
                <w:b/>
                <w:bCs/>
                <w:color w:val="000000"/>
                <w:sz w:val="20"/>
                <w:szCs w:val="20"/>
              </w:rPr>
              <w:t>Amplitude A</w:t>
            </w:r>
          </w:p>
        </w:tc>
        <w:tc>
          <w:tcPr>
            <w:tcW w:w="2020" w:type="dxa"/>
            <w:tcBorders>
              <w:top w:val="nil"/>
              <w:left w:val="nil"/>
              <w:bottom w:val="single" w:sz="4" w:space="0" w:color="auto"/>
              <w:right w:val="nil"/>
            </w:tcBorders>
            <w:noWrap/>
            <w:vAlign w:val="center"/>
            <w:hideMark/>
          </w:tcPr>
          <w:p w14:paraId="1DC4522B" w14:textId="77777777" w:rsidR="00367B9B" w:rsidRDefault="00367B9B" w:rsidP="00B661EF">
            <w:pPr>
              <w:jc w:val="center"/>
              <w:rPr>
                <w:rFonts w:ascii="Aptos Narrow" w:hAnsi="Aptos Narrow"/>
                <w:b/>
                <w:bCs/>
                <w:color w:val="000000"/>
                <w:sz w:val="20"/>
                <w:szCs w:val="20"/>
              </w:rPr>
            </w:pPr>
            <w:r>
              <w:rPr>
                <w:rFonts w:ascii="Aptos Narrow" w:hAnsi="Aptos Narrow"/>
                <w:b/>
                <w:bCs/>
                <w:color w:val="000000"/>
                <w:sz w:val="20"/>
                <w:szCs w:val="20"/>
              </w:rPr>
              <w:t>Period T years</w:t>
            </w:r>
          </w:p>
        </w:tc>
        <w:tc>
          <w:tcPr>
            <w:tcW w:w="2120" w:type="dxa"/>
            <w:tcBorders>
              <w:top w:val="nil"/>
              <w:left w:val="nil"/>
              <w:bottom w:val="single" w:sz="4" w:space="0" w:color="auto"/>
              <w:right w:val="nil"/>
            </w:tcBorders>
            <w:noWrap/>
            <w:vAlign w:val="center"/>
            <w:hideMark/>
          </w:tcPr>
          <w:p w14:paraId="0F90FDA3" w14:textId="77777777" w:rsidR="00367B9B" w:rsidRDefault="00367B9B" w:rsidP="00B661EF">
            <w:pPr>
              <w:jc w:val="center"/>
              <w:rPr>
                <w:rFonts w:ascii="Aptos Narrow" w:hAnsi="Aptos Narrow"/>
                <w:b/>
                <w:bCs/>
                <w:color w:val="000000"/>
                <w:sz w:val="20"/>
                <w:szCs w:val="20"/>
              </w:rPr>
            </w:pPr>
            <w:r>
              <w:rPr>
                <w:rFonts w:ascii="Aptos Narrow" w:hAnsi="Aptos Narrow"/>
                <w:b/>
                <w:bCs/>
                <w:color w:val="000000"/>
                <w:sz w:val="20"/>
                <w:szCs w:val="20"/>
              </w:rPr>
              <w:t>Phase E years</w:t>
            </w:r>
          </w:p>
        </w:tc>
      </w:tr>
      <w:tr w:rsidR="00367B9B" w14:paraId="69377AC3" w14:textId="77777777" w:rsidTr="00B661EF">
        <w:trPr>
          <w:trHeight w:val="320"/>
        </w:trPr>
        <w:tc>
          <w:tcPr>
            <w:tcW w:w="1300" w:type="dxa"/>
            <w:tcBorders>
              <w:top w:val="nil"/>
              <w:left w:val="nil"/>
              <w:bottom w:val="single" w:sz="4" w:space="0" w:color="auto"/>
              <w:right w:val="nil"/>
            </w:tcBorders>
            <w:noWrap/>
            <w:vAlign w:val="bottom"/>
            <w:hideMark/>
          </w:tcPr>
          <w:p w14:paraId="0128FB4C"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WM</w:t>
            </w:r>
          </w:p>
        </w:tc>
        <w:tc>
          <w:tcPr>
            <w:tcW w:w="1300" w:type="dxa"/>
            <w:tcBorders>
              <w:top w:val="nil"/>
              <w:left w:val="nil"/>
              <w:bottom w:val="single" w:sz="4" w:space="0" w:color="auto"/>
              <w:right w:val="nil"/>
            </w:tcBorders>
            <w:noWrap/>
            <w:vAlign w:val="bottom"/>
            <w:hideMark/>
          </w:tcPr>
          <w:p w14:paraId="1C3D366D" w14:textId="77777777" w:rsidR="00367B9B" w:rsidRDefault="00367B9B" w:rsidP="00B661EF">
            <w:pPr>
              <w:jc w:val="center"/>
              <w:rPr>
                <w:rFonts w:ascii="Aptos Narrow" w:hAnsi="Aptos Narrow"/>
                <w:color w:val="000000"/>
                <w:sz w:val="20"/>
                <w:szCs w:val="20"/>
              </w:rPr>
            </w:pPr>
            <w:r>
              <w:rPr>
                <w:rFonts w:ascii="Aptos Narrow" w:hAnsi="Aptos Narrow"/>
                <w:i/>
                <w:iCs/>
                <w:color w:val="000000"/>
                <w:sz w:val="20"/>
                <w:szCs w:val="20"/>
              </w:rPr>
              <w:t xml:space="preserve">r </w:t>
            </w:r>
            <w:r>
              <w:rPr>
                <w:rFonts w:ascii="Aptos Narrow" w:hAnsi="Aptos Narrow"/>
                <w:color w:val="000000"/>
                <w:sz w:val="20"/>
                <w:szCs w:val="20"/>
              </w:rPr>
              <w:t>= 0.31</w:t>
            </w:r>
          </w:p>
        </w:tc>
        <w:tc>
          <w:tcPr>
            <w:tcW w:w="2540" w:type="dxa"/>
            <w:tcBorders>
              <w:top w:val="nil"/>
              <w:left w:val="nil"/>
              <w:bottom w:val="single" w:sz="4" w:space="0" w:color="auto"/>
              <w:right w:val="nil"/>
            </w:tcBorders>
            <w:noWrap/>
            <w:vAlign w:val="bottom"/>
            <w:hideMark/>
          </w:tcPr>
          <w:p w14:paraId="735DC6B1"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0.157 (0.109 to </w:t>
            </w:r>
            <w:proofErr w:type="gramStart"/>
            <w:r>
              <w:rPr>
                <w:rFonts w:ascii="Aptos Narrow" w:hAnsi="Aptos Narrow"/>
                <w:color w:val="000000"/>
                <w:sz w:val="20"/>
                <w:szCs w:val="20"/>
              </w:rPr>
              <w:t>0.215)*</w:t>
            </w:r>
            <w:proofErr w:type="gramEnd"/>
            <w:r>
              <w:rPr>
                <w:rFonts w:ascii="Aptos Narrow" w:hAnsi="Aptos Narrow"/>
                <w:color w:val="000000"/>
                <w:sz w:val="20"/>
                <w:szCs w:val="20"/>
              </w:rPr>
              <w:t>*</w:t>
            </w:r>
          </w:p>
        </w:tc>
        <w:tc>
          <w:tcPr>
            <w:tcW w:w="2020" w:type="dxa"/>
            <w:tcBorders>
              <w:top w:val="nil"/>
              <w:left w:val="nil"/>
              <w:bottom w:val="single" w:sz="4" w:space="0" w:color="auto"/>
              <w:right w:val="nil"/>
            </w:tcBorders>
            <w:noWrap/>
            <w:vAlign w:val="bottom"/>
            <w:hideMark/>
          </w:tcPr>
          <w:p w14:paraId="6F9C6A7F"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7.9 (7.4 to </w:t>
            </w:r>
            <w:proofErr w:type="gramStart"/>
            <w:r>
              <w:rPr>
                <w:rFonts w:ascii="Aptos Narrow" w:hAnsi="Aptos Narrow"/>
                <w:color w:val="000000"/>
                <w:sz w:val="20"/>
                <w:szCs w:val="20"/>
              </w:rPr>
              <w:t>8.4)*</w:t>
            </w:r>
            <w:proofErr w:type="gramEnd"/>
            <w:r>
              <w:rPr>
                <w:rFonts w:ascii="Aptos Narrow" w:hAnsi="Aptos Narrow"/>
                <w:color w:val="000000"/>
                <w:sz w:val="20"/>
                <w:szCs w:val="20"/>
              </w:rPr>
              <w:t>*</w:t>
            </w:r>
          </w:p>
        </w:tc>
        <w:tc>
          <w:tcPr>
            <w:tcW w:w="2120" w:type="dxa"/>
            <w:tcBorders>
              <w:top w:val="nil"/>
              <w:left w:val="nil"/>
              <w:bottom w:val="single" w:sz="4" w:space="0" w:color="auto"/>
              <w:right w:val="nil"/>
            </w:tcBorders>
            <w:noWrap/>
            <w:vAlign w:val="bottom"/>
            <w:hideMark/>
          </w:tcPr>
          <w:p w14:paraId="5EAE8BD6"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2.9 (2.2 to </w:t>
            </w:r>
            <w:proofErr w:type="gramStart"/>
            <w:r>
              <w:rPr>
                <w:rFonts w:ascii="Aptos Narrow" w:hAnsi="Aptos Narrow"/>
                <w:color w:val="000000"/>
                <w:sz w:val="20"/>
                <w:szCs w:val="20"/>
              </w:rPr>
              <w:t>3.6)*</w:t>
            </w:r>
            <w:proofErr w:type="gramEnd"/>
            <w:r>
              <w:rPr>
                <w:rFonts w:ascii="Aptos Narrow" w:hAnsi="Aptos Narrow"/>
                <w:color w:val="000000"/>
                <w:sz w:val="20"/>
                <w:szCs w:val="20"/>
              </w:rPr>
              <w:t>*</w:t>
            </w:r>
          </w:p>
        </w:tc>
      </w:tr>
      <w:tr w:rsidR="00367B9B" w14:paraId="6DC0A228" w14:textId="77777777" w:rsidTr="00B661EF">
        <w:trPr>
          <w:trHeight w:val="320"/>
        </w:trPr>
        <w:tc>
          <w:tcPr>
            <w:tcW w:w="1300" w:type="dxa"/>
            <w:tcBorders>
              <w:top w:val="nil"/>
              <w:left w:val="nil"/>
              <w:bottom w:val="single" w:sz="4" w:space="0" w:color="auto"/>
              <w:right w:val="nil"/>
            </w:tcBorders>
            <w:noWrap/>
            <w:vAlign w:val="bottom"/>
            <w:hideMark/>
          </w:tcPr>
          <w:p w14:paraId="106D8BDF"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WF</w:t>
            </w:r>
          </w:p>
        </w:tc>
        <w:tc>
          <w:tcPr>
            <w:tcW w:w="1300" w:type="dxa"/>
            <w:tcBorders>
              <w:top w:val="nil"/>
              <w:left w:val="nil"/>
              <w:bottom w:val="single" w:sz="4" w:space="0" w:color="auto"/>
              <w:right w:val="nil"/>
            </w:tcBorders>
            <w:noWrap/>
            <w:vAlign w:val="bottom"/>
            <w:hideMark/>
          </w:tcPr>
          <w:p w14:paraId="559B953F" w14:textId="77777777" w:rsidR="00367B9B" w:rsidRDefault="00367B9B" w:rsidP="00B661EF">
            <w:pPr>
              <w:jc w:val="center"/>
              <w:rPr>
                <w:rFonts w:ascii="Aptos Narrow" w:hAnsi="Aptos Narrow"/>
                <w:color w:val="000000"/>
                <w:sz w:val="20"/>
                <w:szCs w:val="20"/>
              </w:rPr>
            </w:pPr>
            <w:r>
              <w:rPr>
                <w:rFonts w:ascii="Aptos Narrow" w:hAnsi="Aptos Narrow"/>
                <w:i/>
                <w:iCs/>
                <w:color w:val="000000"/>
                <w:sz w:val="20"/>
                <w:szCs w:val="20"/>
              </w:rPr>
              <w:t xml:space="preserve">r </w:t>
            </w:r>
            <w:r>
              <w:rPr>
                <w:rFonts w:ascii="Aptos Narrow" w:hAnsi="Aptos Narrow"/>
                <w:color w:val="000000"/>
                <w:sz w:val="20"/>
                <w:szCs w:val="20"/>
              </w:rPr>
              <w:t>= 0.51</w:t>
            </w:r>
          </w:p>
        </w:tc>
        <w:tc>
          <w:tcPr>
            <w:tcW w:w="2540" w:type="dxa"/>
            <w:tcBorders>
              <w:top w:val="nil"/>
              <w:left w:val="nil"/>
              <w:bottom w:val="single" w:sz="4" w:space="0" w:color="auto"/>
              <w:right w:val="nil"/>
            </w:tcBorders>
            <w:noWrap/>
            <w:vAlign w:val="bottom"/>
            <w:hideMark/>
          </w:tcPr>
          <w:p w14:paraId="4CB9644F"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0.110 (0.0869 to </w:t>
            </w:r>
            <w:proofErr w:type="gramStart"/>
            <w:r>
              <w:rPr>
                <w:rFonts w:ascii="Aptos Narrow" w:hAnsi="Aptos Narrow"/>
                <w:color w:val="000000"/>
                <w:sz w:val="20"/>
                <w:szCs w:val="20"/>
              </w:rPr>
              <w:t>0.132)*</w:t>
            </w:r>
            <w:proofErr w:type="gramEnd"/>
            <w:r>
              <w:rPr>
                <w:rFonts w:ascii="Aptos Narrow" w:hAnsi="Aptos Narrow"/>
                <w:color w:val="000000"/>
                <w:sz w:val="20"/>
                <w:szCs w:val="20"/>
              </w:rPr>
              <w:t>*</w:t>
            </w:r>
          </w:p>
        </w:tc>
        <w:tc>
          <w:tcPr>
            <w:tcW w:w="2020" w:type="dxa"/>
            <w:tcBorders>
              <w:top w:val="nil"/>
              <w:left w:val="nil"/>
              <w:bottom w:val="single" w:sz="4" w:space="0" w:color="auto"/>
              <w:right w:val="nil"/>
            </w:tcBorders>
            <w:noWrap/>
            <w:vAlign w:val="bottom"/>
            <w:hideMark/>
          </w:tcPr>
          <w:p w14:paraId="7F49FD0B"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15.8 (14.6 to </w:t>
            </w:r>
            <w:proofErr w:type="gramStart"/>
            <w:r>
              <w:rPr>
                <w:rFonts w:ascii="Aptos Narrow" w:hAnsi="Aptos Narrow"/>
                <w:color w:val="000000"/>
                <w:sz w:val="20"/>
                <w:szCs w:val="20"/>
              </w:rPr>
              <w:t>17.0)*</w:t>
            </w:r>
            <w:proofErr w:type="gramEnd"/>
            <w:r>
              <w:rPr>
                <w:rFonts w:ascii="Aptos Narrow" w:hAnsi="Aptos Narrow"/>
                <w:color w:val="000000"/>
                <w:sz w:val="20"/>
                <w:szCs w:val="20"/>
              </w:rPr>
              <w:t>*</w:t>
            </w:r>
          </w:p>
        </w:tc>
        <w:tc>
          <w:tcPr>
            <w:tcW w:w="2120" w:type="dxa"/>
            <w:tcBorders>
              <w:top w:val="nil"/>
              <w:left w:val="nil"/>
              <w:bottom w:val="single" w:sz="4" w:space="0" w:color="auto"/>
              <w:right w:val="nil"/>
            </w:tcBorders>
            <w:noWrap/>
            <w:vAlign w:val="bottom"/>
            <w:hideMark/>
          </w:tcPr>
          <w:p w14:paraId="547D80BC"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0.1 (-1.0 to 0.9)</w:t>
            </w:r>
          </w:p>
        </w:tc>
      </w:tr>
      <w:tr w:rsidR="00367B9B" w14:paraId="388EC3CE" w14:textId="77777777" w:rsidTr="00B661EF">
        <w:trPr>
          <w:trHeight w:val="320"/>
        </w:trPr>
        <w:tc>
          <w:tcPr>
            <w:tcW w:w="1300" w:type="dxa"/>
            <w:tcBorders>
              <w:top w:val="nil"/>
              <w:left w:val="nil"/>
              <w:bottom w:val="single" w:sz="4" w:space="0" w:color="auto"/>
              <w:right w:val="nil"/>
            </w:tcBorders>
            <w:noWrap/>
            <w:vAlign w:val="bottom"/>
            <w:hideMark/>
          </w:tcPr>
          <w:p w14:paraId="1219CE06"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BM</w:t>
            </w:r>
          </w:p>
        </w:tc>
        <w:tc>
          <w:tcPr>
            <w:tcW w:w="1300" w:type="dxa"/>
            <w:tcBorders>
              <w:top w:val="nil"/>
              <w:left w:val="nil"/>
              <w:bottom w:val="single" w:sz="4" w:space="0" w:color="auto"/>
              <w:right w:val="nil"/>
            </w:tcBorders>
            <w:noWrap/>
            <w:vAlign w:val="bottom"/>
            <w:hideMark/>
          </w:tcPr>
          <w:p w14:paraId="03016877" w14:textId="77777777" w:rsidR="00367B9B" w:rsidRDefault="00367B9B" w:rsidP="00B661EF">
            <w:pPr>
              <w:jc w:val="center"/>
              <w:rPr>
                <w:rFonts w:ascii="Aptos Narrow" w:hAnsi="Aptos Narrow"/>
                <w:color w:val="000000"/>
                <w:sz w:val="20"/>
                <w:szCs w:val="20"/>
              </w:rPr>
            </w:pPr>
            <w:r>
              <w:rPr>
                <w:rFonts w:ascii="Aptos Narrow" w:hAnsi="Aptos Narrow"/>
                <w:i/>
                <w:iCs/>
                <w:color w:val="000000"/>
                <w:sz w:val="20"/>
                <w:szCs w:val="20"/>
              </w:rPr>
              <w:t>r</w:t>
            </w:r>
            <w:r>
              <w:rPr>
                <w:rFonts w:ascii="Aptos Narrow" w:hAnsi="Aptos Narrow"/>
                <w:color w:val="000000"/>
                <w:sz w:val="20"/>
                <w:szCs w:val="20"/>
              </w:rPr>
              <w:t xml:space="preserve"> = 0.14</w:t>
            </w:r>
          </w:p>
        </w:tc>
        <w:tc>
          <w:tcPr>
            <w:tcW w:w="2540" w:type="dxa"/>
            <w:tcBorders>
              <w:top w:val="nil"/>
              <w:left w:val="nil"/>
              <w:bottom w:val="single" w:sz="4" w:space="0" w:color="auto"/>
              <w:right w:val="nil"/>
            </w:tcBorders>
            <w:noWrap/>
            <w:vAlign w:val="bottom"/>
            <w:hideMark/>
          </w:tcPr>
          <w:p w14:paraId="68115E1E"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0.0689 (0.0113 to </w:t>
            </w:r>
            <w:proofErr w:type="gramStart"/>
            <w:r>
              <w:rPr>
                <w:rFonts w:ascii="Aptos Narrow" w:hAnsi="Aptos Narrow"/>
                <w:color w:val="000000"/>
                <w:sz w:val="20"/>
                <w:szCs w:val="20"/>
              </w:rPr>
              <w:t>0.127)*</w:t>
            </w:r>
            <w:proofErr w:type="gramEnd"/>
          </w:p>
        </w:tc>
        <w:tc>
          <w:tcPr>
            <w:tcW w:w="2020" w:type="dxa"/>
            <w:tcBorders>
              <w:top w:val="nil"/>
              <w:left w:val="nil"/>
              <w:bottom w:val="single" w:sz="4" w:space="0" w:color="auto"/>
              <w:right w:val="nil"/>
            </w:tcBorders>
            <w:noWrap/>
            <w:vAlign w:val="bottom"/>
            <w:hideMark/>
          </w:tcPr>
          <w:p w14:paraId="7D548A46"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15.5 (11.1 to </w:t>
            </w:r>
            <w:proofErr w:type="gramStart"/>
            <w:r>
              <w:rPr>
                <w:rFonts w:ascii="Aptos Narrow" w:hAnsi="Aptos Narrow"/>
                <w:color w:val="000000"/>
                <w:sz w:val="20"/>
                <w:szCs w:val="20"/>
              </w:rPr>
              <w:t>19.8)*</w:t>
            </w:r>
            <w:proofErr w:type="gramEnd"/>
            <w:r>
              <w:rPr>
                <w:rFonts w:ascii="Aptos Narrow" w:hAnsi="Aptos Narrow"/>
                <w:color w:val="000000"/>
                <w:sz w:val="20"/>
                <w:szCs w:val="20"/>
              </w:rPr>
              <w:t>*</w:t>
            </w:r>
          </w:p>
        </w:tc>
        <w:tc>
          <w:tcPr>
            <w:tcW w:w="2120" w:type="dxa"/>
            <w:tcBorders>
              <w:top w:val="nil"/>
              <w:left w:val="nil"/>
              <w:bottom w:val="single" w:sz="4" w:space="0" w:color="auto"/>
              <w:right w:val="nil"/>
            </w:tcBorders>
            <w:noWrap/>
            <w:vAlign w:val="bottom"/>
            <w:hideMark/>
          </w:tcPr>
          <w:p w14:paraId="2F49AD6C"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7.7 (5.4 to </w:t>
            </w:r>
            <w:proofErr w:type="gramStart"/>
            <w:r>
              <w:rPr>
                <w:rFonts w:ascii="Aptos Narrow" w:hAnsi="Aptos Narrow"/>
                <w:color w:val="000000"/>
                <w:sz w:val="20"/>
                <w:szCs w:val="20"/>
              </w:rPr>
              <w:t>9.9)*</w:t>
            </w:r>
            <w:proofErr w:type="gramEnd"/>
            <w:r>
              <w:rPr>
                <w:rFonts w:ascii="Aptos Narrow" w:hAnsi="Aptos Narrow"/>
                <w:color w:val="000000"/>
                <w:sz w:val="20"/>
                <w:szCs w:val="20"/>
              </w:rPr>
              <w:t>*</w:t>
            </w:r>
          </w:p>
        </w:tc>
      </w:tr>
      <w:tr w:rsidR="00367B9B" w14:paraId="24964DB4" w14:textId="77777777" w:rsidTr="00B661EF">
        <w:trPr>
          <w:trHeight w:val="320"/>
        </w:trPr>
        <w:tc>
          <w:tcPr>
            <w:tcW w:w="1300" w:type="dxa"/>
            <w:tcBorders>
              <w:top w:val="nil"/>
              <w:left w:val="nil"/>
              <w:bottom w:val="single" w:sz="4" w:space="0" w:color="auto"/>
              <w:right w:val="nil"/>
            </w:tcBorders>
            <w:noWrap/>
            <w:vAlign w:val="bottom"/>
            <w:hideMark/>
          </w:tcPr>
          <w:p w14:paraId="57FA78D2"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BF</w:t>
            </w:r>
          </w:p>
        </w:tc>
        <w:tc>
          <w:tcPr>
            <w:tcW w:w="1300" w:type="dxa"/>
            <w:tcBorders>
              <w:top w:val="nil"/>
              <w:left w:val="nil"/>
              <w:bottom w:val="single" w:sz="4" w:space="0" w:color="auto"/>
              <w:right w:val="nil"/>
            </w:tcBorders>
            <w:noWrap/>
            <w:vAlign w:val="bottom"/>
            <w:hideMark/>
          </w:tcPr>
          <w:p w14:paraId="3EF9F8F7" w14:textId="77777777" w:rsidR="00367B9B" w:rsidRDefault="00367B9B" w:rsidP="00B661EF">
            <w:pPr>
              <w:jc w:val="center"/>
              <w:rPr>
                <w:rFonts w:ascii="Aptos Narrow" w:hAnsi="Aptos Narrow"/>
                <w:color w:val="000000"/>
                <w:sz w:val="20"/>
                <w:szCs w:val="20"/>
              </w:rPr>
            </w:pPr>
            <w:r>
              <w:rPr>
                <w:rFonts w:ascii="Aptos Narrow" w:hAnsi="Aptos Narrow"/>
                <w:i/>
                <w:iCs/>
                <w:color w:val="000000"/>
                <w:sz w:val="20"/>
                <w:szCs w:val="20"/>
              </w:rPr>
              <w:t xml:space="preserve">r </w:t>
            </w:r>
            <w:r>
              <w:rPr>
                <w:rFonts w:ascii="Aptos Narrow" w:hAnsi="Aptos Narrow"/>
                <w:color w:val="000000"/>
                <w:sz w:val="20"/>
                <w:szCs w:val="20"/>
              </w:rPr>
              <w:t>= 0.20</w:t>
            </w:r>
          </w:p>
        </w:tc>
        <w:tc>
          <w:tcPr>
            <w:tcW w:w="2540" w:type="dxa"/>
            <w:tcBorders>
              <w:top w:val="nil"/>
              <w:left w:val="nil"/>
              <w:bottom w:val="single" w:sz="4" w:space="0" w:color="auto"/>
              <w:right w:val="nil"/>
            </w:tcBorders>
            <w:noWrap/>
            <w:vAlign w:val="bottom"/>
            <w:hideMark/>
          </w:tcPr>
          <w:p w14:paraId="16D0EC0E"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0.0392 (0.0155 to </w:t>
            </w:r>
            <w:proofErr w:type="gramStart"/>
            <w:r>
              <w:rPr>
                <w:rFonts w:ascii="Aptos Narrow" w:hAnsi="Aptos Narrow"/>
                <w:color w:val="000000"/>
                <w:sz w:val="20"/>
                <w:szCs w:val="20"/>
              </w:rPr>
              <w:t>0.0629)*</w:t>
            </w:r>
            <w:proofErr w:type="gramEnd"/>
            <w:r>
              <w:rPr>
                <w:rFonts w:ascii="Aptos Narrow" w:hAnsi="Aptos Narrow"/>
                <w:color w:val="000000"/>
                <w:sz w:val="20"/>
                <w:szCs w:val="20"/>
              </w:rPr>
              <w:t>*</w:t>
            </w:r>
          </w:p>
        </w:tc>
        <w:tc>
          <w:tcPr>
            <w:tcW w:w="2020" w:type="dxa"/>
            <w:tcBorders>
              <w:top w:val="nil"/>
              <w:left w:val="nil"/>
              <w:bottom w:val="single" w:sz="4" w:space="0" w:color="auto"/>
              <w:right w:val="nil"/>
            </w:tcBorders>
            <w:noWrap/>
            <w:vAlign w:val="bottom"/>
            <w:hideMark/>
          </w:tcPr>
          <w:p w14:paraId="67FCA422"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7.4 (6.6 to </w:t>
            </w:r>
            <w:proofErr w:type="gramStart"/>
            <w:r>
              <w:rPr>
                <w:rFonts w:ascii="Aptos Narrow" w:hAnsi="Aptos Narrow"/>
                <w:color w:val="000000"/>
                <w:sz w:val="20"/>
                <w:szCs w:val="20"/>
              </w:rPr>
              <w:t>8.3)*</w:t>
            </w:r>
            <w:proofErr w:type="gramEnd"/>
            <w:r>
              <w:rPr>
                <w:rFonts w:ascii="Aptos Narrow" w:hAnsi="Aptos Narrow"/>
                <w:color w:val="000000"/>
                <w:sz w:val="20"/>
                <w:szCs w:val="20"/>
              </w:rPr>
              <w:t>*</w:t>
            </w:r>
          </w:p>
        </w:tc>
        <w:tc>
          <w:tcPr>
            <w:tcW w:w="2120" w:type="dxa"/>
            <w:tcBorders>
              <w:top w:val="nil"/>
              <w:left w:val="nil"/>
              <w:bottom w:val="single" w:sz="4" w:space="0" w:color="auto"/>
              <w:right w:val="nil"/>
            </w:tcBorders>
            <w:noWrap/>
            <w:vAlign w:val="bottom"/>
            <w:hideMark/>
          </w:tcPr>
          <w:p w14:paraId="62319E64"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4.6 (3.6 to </w:t>
            </w:r>
            <w:proofErr w:type="gramStart"/>
            <w:r>
              <w:rPr>
                <w:rFonts w:ascii="Aptos Narrow" w:hAnsi="Aptos Narrow"/>
                <w:color w:val="000000"/>
                <w:sz w:val="20"/>
                <w:szCs w:val="20"/>
              </w:rPr>
              <w:t>5.7)*</w:t>
            </w:r>
            <w:proofErr w:type="gramEnd"/>
            <w:r>
              <w:rPr>
                <w:rFonts w:ascii="Aptos Narrow" w:hAnsi="Aptos Narrow"/>
                <w:color w:val="000000"/>
                <w:sz w:val="20"/>
                <w:szCs w:val="20"/>
              </w:rPr>
              <w:t>*</w:t>
            </w:r>
          </w:p>
        </w:tc>
      </w:tr>
      <w:tr w:rsidR="00367B9B" w14:paraId="5869B8BC" w14:textId="77777777" w:rsidTr="00B661EF">
        <w:trPr>
          <w:trHeight w:val="320"/>
        </w:trPr>
        <w:tc>
          <w:tcPr>
            <w:tcW w:w="1300" w:type="dxa"/>
            <w:tcBorders>
              <w:top w:val="nil"/>
              <w:left w:val="nil"/>
              <w:bottom w:val="single" w:sz="4" w:space="0" w:color="auto"/>
              <w:right w:val="nil"/>
            </w:tcBorders>
            <w:noWrap/>
            <w:vAlign w:val="bottom"/>
            <w:hideMark/>
          </w:tcPr>
          <w:p w14:paraId="352FB108"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APIM</w:t>
            </w:r>
          </w:p>
        </w:tc>
        <w:tc>
          <w:tcPr>
            <w:tcW w:w="1300" w:type="dxa"/>
            <w:tcBorders>
              <w:top w:val="nil"/>
              <w:left w:val="nil"/>
              <w:bottom w:val="single" w:sz="4" w:space="0" w:color="auto"/>
              <w:right w:val="nil"/>
            </w:tcBorders>
            <w:noWrap/>
            <w:vAlign w:val="bottom"/>
            <w:hideMark/>
          </w:tcPr>
          <w:p w14:paraId="01A7540E" w14:textId="77777777" w:rsidR="00367B9B" w:rsidRDefault="00367B9B" w:rsidP="00B661EF">
            <w:pPr>
              <w:jc w:val="center"/>
              <w:rPr>
                <w:rFonts w:ascii="Aptos Narrow" w:hAnsi="Aptos Narrow"/>
                <w:color w:val="000000"/>
                <w:sz w:val="20"/>
                <w:szCs w:val="20"/>
              </w:rPr>
            </w:pPr>
            <w:r>
              <w:rPr>
                <w:rFonts w:ascii="Aptos Narrow" w:hAnsi="Aptos Narrow"/>
                <w:i/>
                <w:iCs/>
                <w:color w:val="000000"/>
                <w:sz w:val="20"/>
                <w:szCs w:val="20"/>
              </w:rPr>
              <w:t xml:space="preserve">r </w:t>
            </w:r>
            <w:r>
              <w:rPr>
                <w:rFonts w:ascii="Aptos Narrow" w:hAnsi="Aptos Narrow"/>
                <w:color w:val="000000"/>
                <w:sz w:val="20"/>
                <w:szCs w:val="20"/>
              </w:rPr>
              <w:t>= 0.23</w:t>
            </w:r>
          </w:p>
        </w:tc>
        <w:tc>
          <w:tcPr>
            <w:tcW w:w="2540" w:type="dxa"/>
            <w:tcBorders>
              <w:top w:val="nil"/>
              <w:left w:val="nil"/>
              <w:bottom w:val="single" w:sz="4" w:space="0" w:color="auto"/>
              <w:right w:val="nil"/>
            </w:tcBorders>
            <w:noWrap/>
            <w:vAlign w:val="bottom"/>
            <w:hideMark/>
          </w:tcPr>
          <w:p w14:paraId="0B504FE4"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0.155 (0.0766 to </w:t>
            </w:r>
            <w:proofErr w:type="gramStart"/>
            <w:r>
              <w:rPr>
                <w:rFonts w:ascii="Aptos Narrow" w:hAnsi="Aptos Narrow"/>
                <w:color w:val="000000"/>
                <w:sz w:val="20"/>
                <w:szCs w:val="20"/>
              </w:rPr>
              <w:t>0.233)*</w:t>
            </w:r>
            <w:proofErr w:type="gramEnd"/>
            <w:r>
              <w:rPr>
                <w:rFonts w:ascii="Aptos Narrow" w:hAnsi="Aptos Narrow"/>
                <w:color w:val="000000"/>
                <w:sz w:val="20"/>
                <w:szCs w:val="20"/>
              </w:rPr>
              <w:t>*</w:t>
            </w:r>
          </w:p>
        </w:tc>
        <w:tc>
          <w:tcPr>
            <w:tcW w:w="2020" w:type="dxa"/>
            <w:tcBorders>
              <w:top w:val="nil"/>
              <w:left w:val="nil"/>
              <w:bottom w:val="single" w:sz="4" w:space="0" w:color="auto"/>
              <w:right w:val="nil"/>
            </w:tcBorders>
            <w:noWrap/>
            <w:vAlign w:val="bottom"/>
            <w:hideMark/>
          </w:tcPr>
          <w:p w14:paraId="23159727"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12.0 (10.4 to </w:t>
            </w:r>
            <w:proofErr w:type="gramStart"/>
            <w:r>
              <w:rPr>
                <w:rFonts w:ascii="Aptos Narrow" w:hAnsi="Aptos Narrow"/>
                <w:color w:val="000000"/>
                <w:sz w:val="20"/>
                <w:szCs w:val="20"/>
              </w:rPr>
              <w:t>13.7)*</w:t>
            </w:r>
            <w:proofErr w:type="gramEnd"/>
            <w:r>
              <w:rPr>
                <w:rFonts w:ascii="Aptos Narrow" w:hAnsi="Aptos Narrow"/>
                <w:color w:val="000000"/>
                <w:sz w:val="20"/>
                <w:szCs w:val="20"/>
              </w:rPr>
              <w:t>*</w:t>
            </w:r>
          </w:p>
        </w:tc>
        <w:tc>
          <w:tcPr>
            <w:tcW w:w="2120" w:type="dxa"/>
            <w:tcBorders>
              <w:top w:val="nil"/>
              <w:left w:val="nil"/>
              <w:bottom w:val="single" w:sz="4" w:space="0" w:color="auto"/>
              <w:right w:val="nil"/>
            </w:tcBorders>
            <w:noWrap/>
            <w:vAlign w:val="bottom"/>
            <w:hideMark/>
          </w:tcPr>
          <w:p w14:paraId="0E54706D"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-0.43 (-2.27 to -0.43)</w:t>
            </w:r>
          </w:p>
        </w:tc>
      </w:tr>
      <w:tr w:rsidR="00367B9B" w14:paraId="5C23E64B" w14:textId="77777777" w:rsidTr="00B661EF">
        <w:trPr>
          <w:trHeight w:val="320"/>
        </w:trPr>
        <w:tc>
          <w:tcPr>
            <w:tcW w:w="1300" w:type="dxa"/>
            <w:tcBorders>
              <w:top w:val="nil"/>
              <w:left w:val="nil"/>
              <w:bottom w:val="single" w:sz="4" w:space="0" w:color="auto"/>
              <w:right w:val="nil"/>
            </w:tcBorders>
            <w:noWrap/>
            <w:vAlign w:val="bottom"/>
            <w:hideMark/>
          </w:tcPr>
          <w:p w14:paraId="6AE0F027"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APIF</w:t>
            </w:r>
          </w:p>
        </w:tc>
        <w:tc>
          <w:tcPr>
            <w:tcW w:w="1300" w:type="dxa"/>
            <w:tcBorders>
              <w:top w:val="nil"/>
              <w:left w:val="nil"/>
              <w:bottom w:val="single" w:sz="4" w:space="0" w:color="auto"/>
              <w:right w:val="nil"/>
            </w:tcBorders>
            <w:noWrap/>
            <w:vAlign w:val="bottom"/>
            <w:hideMark/>
          </w:tcPr>
          <w:p w14:paraId="526A0752" w14:textId="77777777" w:rsidR="00367B9B" w:rsidRDefault="00367B9B" w:rsidP="00B661EF">
            <w:pPr>
              <w:jc w:val="center"/>
              <w:rPr>
                <w:rFonts w:ascii="Aptos Narrow" w:hAnsi="Aptos Narrow"/>
                <w:color w:val="000000"/>
                <w:sz w:val="20"/>
                <w:szCs w:val="20"/>
              </w:rPr>
            </w:pPr>
            <w:r>
              <w:rPr>
                <w:rFonts w:ascii="Aptos Narrow" w:hAnsi="Aptos Narrow"/>
                <w:i/>
                <w:iCs/>
                <w:color w:val="000000"/>
                <w:sz w:val="20"/>
                <w:szCs w:val="20"/>
              </w:rPr>
              <w:t>r</w:t>
            </w:r>
            <w:r>
              <w:rPr>
                <w:rFonts w:ascii="Aptos Narrow" w:hAnsi="Aptos Narrow"/>
                <w:color w:val="000000"/>
                <w:sz w:val="20"/>
                <w:szCs w:val="20"/>
              </w:rPr>
              <w:t xml:space="preserve"> = 0.12</w:t>
            </w:r>
          </w:p>
        </w:tc>
        <w:tc>
          <w:tcPr>
            <w:tcW w:w="2540" w:type="dxa"/>
            <w:tcBorders>
              <w:top w:val="nil"/>
              <w:left w:val="nil"/>
              <w:bottom w:val="single" w:sz="4" w:space="0" w:color="auto"/>
              <w:right w:val="nil"/>
            </w:tcBorders>
            <w:noWrap/>
            <w:vAlign w:val="bottom"/>
            <w:hideMark/>
          </w:tcPr>
          <w:p w14:paraId="48A7B812"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0.0428 (0.0262 to </w:t>
            </w:r>
            <w:proofErr w:type="gramStart"/>
            <w:r>
              <w:rPr>
                <w:rFonts w:ascii="Aptos Narrow" w:hAnsi="Aptos Narrow"/>
                <w:color w:val="000000"/>
                <w:sz w:val="20"/>
                <w:szCs w:val="20"/>
              </w:rPr>
              <w:t>0.0830)*</w:t>
            </w:r>
            <w:proofErr w:type="gramEnd"/>
          </w:p>
        </w:tc>
        <w:tc>
          <w:tcPr>
            <w:tcW w:w="2020" w:type="dxa"/>
            <w:tcBorders>
              <w:top w:val="nil"/>
              <w:left w:val="nil"/>
              <w:bottom w:val="single" w:sz="4" w:space="0" w:color="auto"/>
              <w:right w:val="nil"/>
            </w:tcBorders>
            <w:noWrap/>
            <w:vAlign w:val="bottom"/>
            <w:hideMark/>
          </w:tcPr>
          <w:p w14:paraId="654D57DD"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6.1 (5.2 to </w:t>
            </w:r>
            <w:proofErr w:type="gramStart"/>
            <w:r>
              <w:rPr>
                <w:rFonts w:ascii="Aptos Narrow" w:hAnsi="Aptos Narrow"/>
                <w:color w:val="000000"/>
                <w:sz w:val="20"/>
                <w:szCs w:val="20"/>
              </w:rPr>
              <w:t>7.0)*</w:t>
            </w:r>
            <w:proofErr w:type="gramEnd"/>
            <w:r>
              <w:rPr>
                <w:rFonts w:ascii="Aptos Narrow" w:hAnsi="Aptos Narrow"/>
                <w:color w:val="000000"/>
                <w:sz w:val="20"/>
                <w:szCs w:val="20"/>
              </w:rPr>
              <w:t>*</w:t>
            </w:r>
          </w:p>
        </w:tc>
        <w:tc>
          <w:tcPr>
            <w:tcW w:w="2120" w:type="dxa"/>
            <w:tcBorders>
              <w:top w:val="nil"/>
              <w:left w:val="nil"/>
              <w:bottom w:val="single" w:sz="4" w:space="0" w:color="auto"/>
              <w:right w:val="nil"/>
            </w:tcBorders>
            <w:noWrap/>
            <w:vAlign w:val="bottom"/>
            <w:hideMark/>
          </w:tcPr>
          <w:p w14:paraId="6330A481"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-0.42 (-2.25 to -0.42)</w:t>
            </w:r>
          </w:p>
        </w:tc>
      </w:tr>
      <w:tr w:rsidR="00367B9B" w14:paraId="1ECE3F15" w14:textId="77777777" w:rsidTr="00B661EF">
        <w:trPr>
          <w:trHeight w:val="320"/>
        </w:trPr>
        <w:tc>
          <w:tcPr>
            <w:tcW w:w="1300" w:type="dxa"/>
            <w:tcBorders>
              <w:top w:val="nil"/>
              <w:left w:val="nil"/>
              <w:bottom w:val="single" w:sz="4" w:space="0" w:color="auto"/>
              <w:right w:val="nil"/>
            </w:tcBorders>
            <w:noWrap/>
            <w:vAlign w:val="bottom"/>
            <w:hideMark/>
          </w:tcPr>
          <w:p w14:paraId="6846A7A1"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AIAM</w:t>
            </w:r>
          </w:p>
        </w:tc>
        <w:tc>
          <w:tcPr>
            <w:tcW w:w="1300" w:type="dxa"/>
            <w:tcBorders>
              <w:top w:val="nil"/>
              <w:left w:val="nil"/>
              <w:bottom w:val="single" w:sz="4" w:space="0" w:color="auto"/>
              <w:right w:val="nil"/>
            </w:tcBorders>
            <w:noWrap/>
            <w:vAlign w:val="bottom"/>
            <w:hideMark/>
          </w:tcPr>
          <w:p w14:paraId="7999CA44" w14:textId="77777777" w:rsidR="00367B9B" w:rsidRDefault="00367B9B" w:rsidP="00B661EF">
            <w:pPr>
              <w:jc w:val="center"/>
              <w:rPr>
                <w:rFonts w:ascii="Aptos Narrow" w:hAnsi="Aptos Narrow"/>
                <w:color w:val="000000"/>
                <w:sz w:val="20"/>
                <w:szCs w:val="20"/>
              </w:rPr>
            </w:pPr>
            <w:r>
              <w:rPr>
                <w:rFonts w:ascii="Aptos Narrow" w:hAnsi="Aptos Narrow"/>
                <w:i/>
                <w:iCs/>
                <w:color w:val="000000"/>
                <w:sz w:val="20"/>
                <w:szCs w:val="20"/>
              </w:rPr>
              <w:t>r</w:t>
            </w:r>
            <w:r>
              <w:rPr>
                <w:rFonts w:ascii="Aptos Narrow" w:hAnsi="Aptos Narrow"/>
                <w:color w:val="000000"/>
                <w:sz w:val="20"/>
                <w:szCs w:val="20"/>
              </w:rPr>
              <w:t xml:space="preserve"> = 0.22</w:t>
            </w:r>
          </w:p>
        </w:tc>
        <w:tc>
          <w:tcPr>
            <w:tcW w:w="2540" w:type="dxa"/>
            <w:tcBorders>
              <w:top w:val="nil"/>
              <w:left w:val="nil"/>
              <w:bottom w:val="single" w:sz="4" w:space="0" w:color="auto"/>
              <w:right w:val="nil"/>
            </w:tcBorders>
            <w:noWrap/>
            <w:vAlign w:val="bottom"/>
            <w:hideMark/>
          </w:tcPr>
          <w:p w14:paraId="1BF1796F"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0.399 (0.187 to </w:t>
            </w:r>
            <w:proofErr w:type="gramStart"/>
            <w:r>
              <w:rPr>
                <w:rFonts w:ascii="Aptos Narrow" w:hAnsi="Aptos Narrow"/>
                <w:color w:val="000000"/>
                <w:sz w:val="20"/>
                <w:szCs w:val="20"/>
              </w:rPr>
              <w:t>0.611)*</w:t>
            </w:r>
            <w:proofErr w:type="gramEnd"/>
            <w:r>
              <w:rPr>
                <w:rFonts w:ascii="Aptos Narrow" w:hAnsi="Aptos Narrow"/>
                <w:color w:val="000000"/>
                <w:sz w:val="20"/>
                <w:szCs w:val="20"/>
              </w:rPr>
              <w:t>*</w:t>
            </w:r>
          </w:p>
        </w:tc>
        <w:tc>
          <w:tcPr>
            <w:tcW w:w="2020" w:type="dxa"/>
            <w:tcBorders>
              <w:top w:val="nil"/>
              <w:left w:val="nil"/>
              <w:bottom w:val="single" w:sz="4" w:space="0" w:color="auto"/>
              <w:right w:val="nil"/>
            </w:tcBorders>
            <w:noWrap/>
            <w:vAlign w:val="bottom"/>
            <w:hideMark/>
          </w:tcPr>
          <w:p w14:paraId="19CC4C00"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11.9 (10.2 to </w:t>
            </w:r>
            <w:proofErr w:type="gramStart"/>
            <w:r>
              <w:rPr>
                <w:rFonts w:ascii="Aptos Narrow" w:hAnsi="Aptos Narrow"/>
                <w:color w:val="000000"/>
                <w:sz w:val="20"/>
                <w:szCs w:val="20"/>
              </w:rPr>
              <w:t>13.6)*</w:t>
            </w:r>
            <w:proofErr w:type="gramEnd"/>
            <w:r>
              <w:rPr>
                <w:rFonts w:ascii="Aptos Narrow" w:hAnsi="Aptos Narrow"/>
                <w:color w:val="000000"/>
                <w:sz w:val="20"/>
                <w:szCs w:val="20"/>
              </w:rPr>
              <w:t>*</w:t>
            </w:r>
          </w:p>
        </w:tc>
        <w:tc>
          <w:tcPr>
            <w:tcW w:w="2120" w:type="dxa"/>
            <w:tcBorders>
              <w:top w:val="nil"/>
              <w:left w:val="nil"/>
              <w:bottom w:val="single" w:sz="4" w:space="0" w:color="auto"/>
              <w:right w:val="nil"/>
            </w:tcBorders>
            <w:noWrap/>
            <w:vAlign w:val="bottom"/>
            <w:hideMark/>
          </w:tcPr>
          <w:p w14:paraId="4D8C6A13"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 xml:space="preserve">5.5 (4.6 to </w:t>
            </w:r>
            <w:proofErr w:type="gramStart"/>
            <w:r>
              <w:rPr>
                <w:rFonts w:ascii="Aptos Narrow" w:hAnsi="Aptos Narrow"/>
                <w:color w:val="000000"/>
                <w:sz w:val="20"/>
                <w:szCs w:val="20"/>
              </w:rPr>
              <w:t>6.8)*</w:t>
            </w:r>
            <w:proofErr w:type="gramEnd"/>
            <w:r>
              <w:rPr>
                <w:rFonts w:ascii="Aptos Narrow" w:hAnsi="Aptos Narrow"/>
                <w:color w:val="000000"/>
                <w:sz w:val="20"/>
                <w:szCs w:val="20"/>
              </w:rPr>
              <w:t>*</w:t>
            </w:r>
          </w:p>
        </w:tc>
      </w:tr>
      <w:tr w:rsidR="00367B9B" w14:paraId="60B6241D" w14:textId="77777777" w:rsidTr="00B661EF">
        <w:trPr>
          <w:trHeight w:val="320"/>
        </w:trPr>
        <w:tc>
          <w:tcPr>
            <w:tcW w:w="1300" w:type="dxa"/>
            <w:tcBorders>
              <w:top w:val="nil"/>
              <w:left w:val="nil"/>
              <w:bottom w:val="single" w:sz="4" w:space="0" w:color="auto"/>
              <w:right w:val="nil"/>
            </w:tcBorders>
            <w:noWrap/>
            <w:vAlign w:val="bottom"/>
            <w:hideMark/>
          </w:tcPr>
          <w:p w14:paraId="6956DCD9"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AIAF</w:t>
            </w:r>
          </w:p>
        </w:tc>
        <w:tc>
          <w:tcPr>
            <w:tcW w:w="1300" w:type="dxa"/>
            <w:tcBorders>
              <w:top w:val="nil"/>
              <w:left w:val="nil"/>
              <w:bottom w:val="single" w:sz="4" w:space="0" w:color="auto"/>
              <w:right w:val="nil"/>
            </w:tcBorders>
            <w:noWrap/>
            <w:vAlign w:val="bottom"/>
            <w:hideMark/>
          </w:tcPr>
          <w:p w14:paraId="446350F7"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NA</w:t>
            </w:r>
          </w:p>
        </w:tc>
        <w:tc>
          <w:tcPr>
            <w:tcW w:w="2540" w:type="dxa"/>
            <w:tcBorders>
              <w:top w:val="nil"/>
              <w:left w:val="nil"/>
              <w:bottom w:val="single" w:sz="4" w:space="0" w:color="auto"/>
              <w:right w:val="nil"/>
            </w:tcBorders>
            <w:noWrap/>
            <w:vAlign w:val="bottom"/>
            <w:hideMark/>
          </w:tcPr>
          <w:p w14:paraId="3125EF4B"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NA</w:t>
            </w:r>
          </w:p>
        </w:tc>
        <w:tc>
          <w:tcPr>
            <w:tcW w:w="2020" w:type="dxa"/>
            <w:tcBorders>
              <w:top w:val="nil"/>
              <w:left w:val="nil"/>
              <w:bottom w:val="single" w:sz="4" w:space="0" w:color="auto"/>
              <w:right w:val="nil"/>
            </w:tcBorders>
            <w:noWrap/>
            <w:vAlign w:val="bottom"/>
            <w:hideMark/>
          </w:tcPr>
          <w:p w14:paraId="1759E8BD"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NA</w:t>
            </w:r>
          </w:p>
        </w:tc>
        <w:tc>
          <w:tcPr>
            <w:tcW w:w="2120" w:type="dxa"/>
            <w:tcBorders>
              <w:top w:val="nil"/>
              <w:left w:val="nil"/>
              <w:bottom w:val="single" w:sz="4" w:space="0" w:color="auto"/>
              <w:right w:val="nil"/>
            </w:tcBorders>
            <w:noWrap/>
            <w:vAlign w:val="bottom"/>
            <w:hideMark/>
          </w:tcPr>
          <w:p w14:paraId="6F4261FD" w14:textId="77777777" w:rsidR="00367B9B" w:rsidRDefault="00367B9B" w:rsidP="00B661EF">
            <w:pPr>
              <w:jc w:val="center"/>
              <w:rPr>
                <w:rFonts w:ascii="Aptos Narrow" w:hAnsi="Aptos Narrow"/>
                <w:color w:val="000000"/>
                <w:sz w:val="20"/>
                <w:szCs w:val="20"/>
              </w:rPr>
            </w:pPr>
            <w:r>
              <w:rPr>
                <w:rFonts w:ascii="Aptos Narrow" w:hAnsi="Aptos Narrow"/>
                <w:color w:val="000000"/>
                <w:sz w:val="20"/>
                <w:szCs w:val="20"/>
              </w:rPr>
              <w:t>NA</w:t>
            </w:r>
          </w:p>
        </w:tc>
      </w:tr>
      <w:tr w:rsidR="00367B9B" w14:paraId="189DA6D0" w14:textId="77777777" w:rsidTr="00B661EF">
        <w:trPr>
          <w:trHeight w:val="320"/>
        </w:trPr>
        <w:tc>
          <w:tcPr>
            <w:tcW w:w="1300" w:type="dxa"/>
            <w:tcBorders>
              <w:top w:val="nil"/>
              <w:left w:val="nil"/>
              <w:bottom w:val="nil"/>
              <w:right w:val="nil"/>
            </w:tcBorders>
            <w:noWrap/>
            <w:vAlign w:val="bottom"/>
            <w:hideMark/>
          </w:tcPr>
          <w:p w14:paraId="46945A74" w14:textId="77777777" w:rsidR="00367B9B" w:rsidRDefault="00367B9B" w:rsidP="00B661EF">
            <w:pPr>
              <w:jc w:val="center"/>
              <w:rPr>
                <w:rFonts w:ascii="Aptos Narrow" w:hAnsi="Aptos Narrow"/>
                <w:color w:val="000000"/>
                <w:sz w:val="20"/>
                <w:szCs w:val="20"/>
              </w:rPr>
            </w:pPr>
          </w:p>
        </w:tc>
        <w:tc>
          <w:tcPr>
            <w:tcW w:w="1300" w:type="dxa"/>
            <w:tcBorders>
              <w:top w:val="nil"/>
              <w:left w:val="nil"/>
              <w:bottom w:val="nil"/>
              <w:right w:val="nil"/>
            </w:tcBorders>
            <w:noWrap/>
            <w:vAlign w:val="bottom"/>
            <w:hideMark/>
          </w:tcPr>
          <w:p w14:paraId="445EFFE3" w14:textId="77777777" w:rsidR="00367B9B" w:rsidRDefault="00367B9B" w:rsidP="00B661EF">
            <w:pPr>
              <w:rPr>
                <w:sz w:val="20"/>
                <w:szCs w:val="20"/>
              </w:rPr>
            </w:pPr>
          </w:p>
        </w:tc>
        <w:tc>
          <w:tcPr>
            <w:tcW w:w="2540" w:type="dxa"/>
            <w:tcBorders>
              <w:top w:val="nil"/>
              <w:left w:val="nil"/>
              <w:bottom w:val="nil"/>
              <w:right w:val="nil"/>
            </w:tcBorders>
            <w:noWrap/>
            <w:vAlign w:val="bottom"/>
            <w:hideMark/>
          </w:tcPr>
          <w:p w14:paraId="0B8B88F3" w14:textId="77777777" w:rsidR="00367B9B" w:rsidRDefault="00367B9B" w:rsidP="00B661EF">
            <w:pPr>
              <w:jc w:val="center"/>
              <w:rPr>
                <w:sz w:val="20"/>
                <w:szCs w:val="20"/>
              </w:rPr>
            </w:pPr>
          </w:p>
        </w:tc>
        <w:tc>
          <w:tcPr>
            <w:tcW w:w="2020" w:type="dxa"/>
            <w:tcBorders>
              <w:top w:val="nil"/>
              <w:left w:val="nil"/>
              <w:bottom w:val="nil"/>
              <w:right w:val="nil"/>
            </w:tcBorders>
            <w:noWrap/>
            <w:vAlign w:val="bottom"/>
            <w:hideMark/>
          </w:tcPr>
          <w:p w14:paraId="031191D2" w14:textId="77777777" w:rsidR="00367B9B" w:rsidRDefault="00367B9B" w:rsidP="00B661EF">
            <w:pPr>
              <w:jc w:val="center"/>
              <w:rPr>
                <w:sz w:val="20"/>
                <w:szCs w:val="20"/>
              </w:rPr>
            </w:pPr>
          </w:p>
        </w:tc>
        <w:tc>
          <w:tcPr>
            <w:tcW w:w="2120" w:type="dxa"/>
            <w:tcBorders>
              <w:top w:val="nil"/>
              <w:left w:val="nil"/>
              <w:bottom w:val="nil"/>
              <w:right w:val="nil"/>
            </w:tcBorders>
            <w:noWrap/>
            <w:vAlign w:val="bottom"/>
            <w:hideMark/>
          </w:tcPr>
          <w:p w14:paraId="5413D9F6" w14:textId="77777777" w:rsidR="00367B9B" w:rsidRDefault="00367B9B" w:rsidP="00B661EF">
            <w:pPr>
              <w:jc w:val="center"/>
              <w:rPr>
                <w:sz w:val="20"/>
                <w:szCs w:val="20"/>
              </w:rPr>
            </w:pPr>
          </w:p>
        </w:tc>
      </w:tr>
      <w:tr w:rsidR="00367B9B" w14:paraId="2C5ECCBC" w14:textId="77777777" w:rsidTr="00B661EF">
        <w:trPr>
          <w:trHeight w:val="320"/>
        </w:trPr>
        <w:tc>
          <w:tcPr>
            <w:tcW w:w="1300" w:type="dxa"/>
            <w:tcBorders>
              <w:top w:val="nil"/>
              <w:left w:val="nil"/>
              <w:bottom w:val="nil"/>
              <w:right w:val="nil"/>
            </w:tcBorders>
            <w:noWrap/>
            <w:vAlign w:val="bottom"/>
            <w:hideMark/>
          </w:tcPr>
          <w:p w14:paraId="73152804"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**p &lt; 0.001</w:t>
            </w:r>
          </w:p>
        </w:tc>
        <w:tc>
          <w:tcPr>
            <w:tcW w:w="1300" w:type="dxa"/>
            <w:tcBorders>
              <w:top w:val="nil"/>
              <w:left w:val="nil"/>
              <w:bottom w:val="nil"/>
              <w:right w:val="nil"/>
            </w:tcBorders>
            <w:noWrap/>
            <w:vAlign w:val="center"/>
            <w:hideMark/>
          </w:tcPr>
          <w:p w14:paraId="0DAD12F9" w14:textId="77777777" w:rsidR="00367B9B" w:rsidRDefault="00367B9B" w:rsidP="00B661EF">
            <w:pPr>
              <w:rPr>
                <w:rFonts w:ascii="Aptos Narrow" w:hAnsi="Aptos Narrow"/>
                <w:color w:val="000000"/>
                <w:sz w:val="20"/>
                <w:szCs w:val="20"/>
              </w:rPr>
            </w:pPr>
          </w:p>
        </w:tc>
        <w:tc>
          <w:tcPr>
            <w:tcW w:w="2540" w:type="dxa"/>
            <w:tcBorders>
              <w:top w:val="nil"/>
              <w:left w:val="nil"/>
              <w:bottom w:val="nil"/>
              <w:right w:val="nil"/>
            </w:tcBorders>
            <w:noWrap/>
            <w:vAlign w:val="center"/>
            <w:hideMark/>
          </w:tcPr>
          <w:p w14:paraId="43BD9520" w14:textId="77777777" w:rsidR="00367B9B" w:rsidRDefault="00367B9B" w:rsidP="00B661EF">
            <w:pPr>
              <w:jc w:val="center"/>
              <w:rPr>
                <w:sz w:val="20"/>
                <w:szCs w:val="20"/>
              </w:rPr>
            </w:pPr>
          </w:p>
        </w:tc>
        <w:tc>
          <w:tcPr>
            <w:tcW w:w="2020" w:type="dxa"/>
            <w:tcBorders>
              <w:top w:val="nil"/>
              <w:left w:val="nil"/>
              <w:bottom w:val="nil"/>
              <w:right w:val="nil"/>
            </w:tcBorders>
            <w:noWrap/>
            <w:vAlign w:val="center"/>
            <w:hideMark/>
          </w:tcPr>
          <w:p w14:paraId="5B0ECF14" w14:textId="77777777" w:rsidR="00367B9B" w:rsidRDefault="00367B9B" w:rsidP="00B661EF">
            <w:pPr>
              <w:jc w:val="center"/>
              <w:rPr>
                <w:sz w:val="20"/>
                <w:szCs w:val="20"/>
              </w:rPr>
            </w:pPr>
          </w:p>
        </w:tc>
        <w:tc>
          <w:tcPr>
            <w:tcW w:w="2120" w:type="dxa"/>
            <w:tcBorders>
              <w:top w:val="nil"/>
              <w:left w:val="nil"/>
              <w:bottom w:val="nil"/>
              <w:right w:val="nil"/>
            </w:tcBorders>
            <w:noWrap/>
            <w:vAlign w:val="bottom"/>
            <w:hideMark/>
          </w:tcPr>
          <w:p w14:paraId="622B2607" w14:textId="77777777" w:rsidR="00367B9B" w:rsidRDefault="00367B9B" w:rsidP="00B661EF">
            <w:pPr>
              <w:jc w:val="center"/>
              <w:rPr>
                <w:sz w:val="20"/>
                <w:szCs w:val="20"/>
              </w:rPr>
            </w:pPr>
          </w:p>
        </w:tc>
      </w:tr>
      <w:tr w:rsidR="00367B9B" w14:paraId="03E43805" w14:textId="77777777" w:rsidTr="00B661EF">
        <w:trPr>
          <w:trHeight w:val="320"/>
        </w:trPr>
        <w:tc>
          <w:tcPr>
            <w:tcW w:w="1300" w:type="dxa"/>
            <w:tcBorders>
              <w:top w:val="nil"/>
              <w:left w:val="nil"/>
              <w:bottom w:val="nil"/>
              <w:right w:val="nil"/>
            </w:tcBorders>
            <w:noWrap/>
            <w:vAlign w:val="bottom"/>
            <w:hideMark/>
          </w:tcPr>
          <w:p w14:paraId="4BE11B3E" w14:textId="77777777" w:rsidR="00367B9B" w:rsidRDefault="00367B9B" w:rsidP="00B661EF">
            <w:pPr>
              <w:rPr>
                <w:rFonts w:ascii="Aptos Narrow" w:hAnsi="Aptos Narrow"/>
                <w:color w:val="000000"/>
                <w:sz w:val="20"/>
                <w:szCs w:val="20"/>
              </w:rPr>
            </w:pPr>
            <w:r>
              <w:rPr>
                <w:rFonts w:ascii="Aptos Narrow" w:hAnsi="Aptos Narrow"/>
                <w:color w:val="000000"/>
                <w:sz w:val="20"/>
                <w:szCs w:val="20"/>
              </w:rPr>
              <w:t>*p &lt; 0.05</w:t>
            </w:r>
          </w:p>
        </w:tc>
        <w:tc>
          <w:tcPr>
            <w:tcW w:w="1300" w:type="dxa"/>
            <w:tcBorders>
              <w:top w:val="nil"/>
              <w:left w:val="nil"/>
              <w:bottom w:val="nil"/>
              <w:right w:val="nil"/>
            </w:tcBorders>
            <w:noWrap/>
            <w:vAlign w:val="center"/>
            <w:hideMark/>
          </w:tcPr>
          <w:p w14:paraId="15DEF64A" w14:textId="77777777" w:rsidR="00367B9B" w:rsidRDefault="00367B9B" w:rsidP="00B661EF">
            <w:pPr>
              <w:rPr>
                <w:rFonts w:ascii="Aptos Narrow" w:hAnsi="Aptos Narrow"/>
                <w:color w:val="000000"/>
                <w:sz w:val="20"/>
                <w:szCs w:val="20"/>
              </w:rPr>
            </w:pPr>
          </w:p>
        </w:tc>
        <w:tc>
          <w:tcPr>
            <w:tcW w:w="2540" w:type="dxa"/>
            <w:tcBorders>
              <w:top w:val="nil"/>
              <w:left w:val="nil"/>
              <w:bottom w:val="nil"/>
              <w:right w:val="nil"/>
            </w:tcBorders>
            <w:noWrap/>
            <w:vAlign w:val="center"/>
            <w:hideMark/>
          </w:tcPr>
          <w:p w14:paraId="259B236A" w14:textId="77777777" w:rsidR="00367B9B" w:rsidRDefault="00367B9B" w:rsidP="00B661EF">
            <w:pPr>
              <w:jc w:val="center"/>
              <w:rPr>
                <w:sz w:val="20"/>
                <w:szCs w:val="20"/>
              </w:rPr>
            </w:pPr>
          </w:p>
        </w:tc>
        <w:tc>
          <w:tcPr>
            <w:tcW w:w="2020" w:type="dxa"/>
            <w:tcBorders>
              <w:top w:val="nil"/>
              <w:left w:val="nil"/>
              <w:bottom w:val="nil"/>
              <w:right w:val="nil"/>
            </w:tcBorders>
            <w:noWrap/>
            <w:vAlign w:val="center"/>
            <w:hideMark/>
          </w:tcPr>
          <w:p w14:paraId="4BAA6BA1" w14:textId="77777777" w:rsidR="00367B9B" w:rsidRDefault="00367B9B" w:rsidP="00B661EF">
            <w:pPr>
              <w:jc w:val="center"/>
              <w:rPr>
                <w:sz w:val="20"/>
                <w:szCs w:val="20"/>
              </w:rPr>
            </w:pPr>
          </w:p>
        </w:tc>
        <w:tc>
          <w:tcPr>
            <w:tcW w:w="2120" w:type="dxa"/>
            <w:tcBorders>
              <w:top w:val="nil"/>
              <w:left w:val="nil"/>
              <w:bottom w:val="nil"/>
              <w:right w:val="nil"/>
            </w:tcBorders>
            <w:noWrap/>
            <w:vAlign w:val="bottom"/>
            <w:hideMark/>
          </w:tcPr>
          <w:p w14:paraId="63EFDC53" w14:textId="77777777" w:rsidR="00367B9B" w:rsidRDefault="00367B9B" w:rsidP="00B661EF">
            <w:pPr>
              <w:jc w:val="center"/>
              <w:rPr>
                <w:sz w:val="20"/>
                <w:szCs w:val="20"/>
              </w:rPr>
            </w:pPr>
          </w:p>
        </w:tc>
      </w:tr>
    </w:tbl>
    <w:p w14:paraId="6545BF74" w14:textId="77777777" w:rsidR="00367B9B" w:rsidRPr="00AD0591" w:rsidRDefault="00367B9B" w:rsidP="00367B9B">
      <w:pPr>
        <w:spacing w:line="480" w:lineRule="auto"/>
      </w:pPr>
    </w:p>
    <w:p w14:paraId="3FCEA25A" w14:textId="7E698879" w:rsidR="00367B9B" w:rsidRDefault="00367B9B" w:rsidP="00367B9B">
      <w:pPr>
        <w:spacing w:line="480" w:lineRule="auto"/>
      </w:pPr>
      <w:r>
        <w:rPr>
          <w:b/>
          <w:bCs/>
        </w:rPr>
        <w:t>Table S1</w:t>
      </w:r>
      <w:r w:rsidRPr="005D7E96">
        <w:rPr>
          <w:b/>
          <w:bCs/>
        </w:rPr>
        <w:t>. Sunspot suicide risk rhythm parameters for the 7 subgroups.</w:t>
      </w:r>
      <w:r>
        <w:t xml:space="preserve"> The ~8-, ~12-, and ~16-year sunspot rhythm periods were statistically distinct from one another. American Indian/Native Alaskan </w:t>
      </w:r>
      <w:r w:rsidR="003B41E5">
        <w:t>M</w:t>
      </w:r>
      <w:r>
        <w:t>ales had a significantly greater sunspot amplitude than all other subgroups.</w:t>
      </w:r>
    </w:p>
    <w:p w14:paraId="51B31B8C" w14:textId="77777777" w:rsidR="00367B9B" w:rsidRDefault="00367B9B" w:rsidP="00E3444A">
      <w:pPr>
        <w:spacing w:line="480" w:lineRule="auto"/>
        <w:rPr>
          <w:b/>
          <w:bCs/>
        </w:rPr>
      </w:pPr>
    </w:p>
    <w:p w14:paraId="498FA5DD" w14:textId="38FFF39E" w:rsidR="0092306F" w:rsidRPr="007D694C" w:rsidRDefault="0092306F" w:rsidP="0092306F">
      <w:pPr>
        <w:spacing w:line="480" w:lineRule="auto"/>
      </w:pPr>
      <w:r w:rsidRPr="00740F1C">
        <w:rPr>
          <w:b/>
          <w:bCs/>
        </w:rPr>
        <w:t xml:space="preserve">Section </w:t>
      </w:r>
      <w:r>
        <w:rPr>
          <w:b/>
          <w:bCs/>
        </w:rPr>
        <w:t>S2</w:t>
      </w:r>
      <w:r w:rsidRPr="00740F1C">
        <w:rPr>
          <w:b/>
          <w:bCs/>
        </w:rPr>
        <w:t xml:space="preserve">. </w:t>
      </w:r>
      <w:r>
        <w:rPr>
          <w:b/>
          <w:bCs/>
        </w:rPr>
        <w:t>Abiding proportional modulation</w:t>
      </w:r>
      <w:r w:rsidRPr="00740F1C">
        <w:rPr>
          <w:b/>
          <w:bCs/>
        </w:rPr>
        <w:t xml:space="preserve"> of (</w:t>
      </w:r>
      <w:r w:rsidRPr="00BB03B9">
        <w:rPr>
          <w:b/>
          <w:bCs/>
          <w:i/>
          <w:iCs/>
        </w:rPr>
        <w:t>m</w:t>
      </w:r>
      <w:r w:rsidRPr="00740F1C">
        <w:rPr>
          <w:b/>
          <w:bCs/>
        </w:rPr>
        <w:t xml:space="preserve">, </w:t>
      </w:r>
      <w:r w:rsidRPr="00BB03B9">
        <w:rPr>
          <w:b/>
          <w:bCs/>
          <w:i/>
          <w:iCs/>
        </w:rPr>
        <w:t>d</w:t>
      </w:r>
      <w:r w:rsidRPr="00740F1C">
        <w:rPr>
          <w:b/>
          <w:bCs/>
        </w:rPr>
        <w:t>)</w:t>
      </w:r>
      <w:r>
        <w:rPr>
          <w:b/>
          <w:bCs/>
        </w:rPr>
        <w:t xml:space="preserve">. </w:t>
      </w:r>
      <w:r w:rsidRPr="00CE6C81">
        <w:t>Fig</w:t>
      </w:r>
      <w:r>
        <w:t>ure</w:t>
      </w:r>
      <w:r w:rsidRPr="00CE6C81">
        <w:t xml:space="preserve">s 1 and </w:t>
      </w:r>
      <w:r>
        <w:t xml:space="preserve">6 </w:t>
      </w:r>
      <w:r w:rsidR="007D694C">
        <w:t xml:space="preserve">assumes </w:t>
      </w:r>
      <w:r>
        <w:t xml:space="preserve">that the </w:t>
      </w:r>
      <w:r w:rsidRPr="00934ECC">
        <w:rPr>
          <w:i/>
          <w:iCs/>
        </w:rPr>
        <w:t>intra</w:t>
      </w:r>
      <w:r>
        <w:t>-subgroup linear and quadratic temporal differences in (</w:t>
      </w:r>
      <w:r w:rsidRPr="00934ECC">
        <w:rPr>
          <w:i/>
          <w:iCs/>
        </w:rPr>
        <w:t>m</w:t>
      </w:r>
      <w:r>
        <w:t xml:space="preserve">, </w:t>
      </w:r>
      <w:r w:rsidRPr="00934ECC">
        <w:rPr>
          <w:i/>
          <w:iCs/>
        </w:rPr>
        <w:t>d</w:t>
      </w:r>
      <w:r>
        <w:t xml:space="preserve">) coordinates that can occur over decades are consistent with the conservation of </w:t>
      </w:r>
      <w:r w:rsidRPr="002E11E2">
        <w:rPr>
          <w:i/>
          <w:iCs/>
        </w:rPr>
        <w:t>tau</w:t>
      </w:r>
      <w:r>
        <w:t xml:space="preserve">’s simultaneous proportional regulation of </w:t>
      </w:r>
      <w:r w:rsidRPr="00892AAC">
        <w:rPr>
          <w:i/>
          <w:iCs/>
        </w:rPr>
        <w:t>m</w:t>
      </w:r>
      <w:r>
        <w:t xml:space="preserve"> and </w:t>
      </w:r>
      <w:r w:rsidRPr="00892AAC">
        <w:rPr>
          <w:i/>
          <w:iCs/>
        </w:rPr>
        <w:t>d</w:t>
      </w:r>
      <w:r>
        <w:t xml:space="preserve"> over decades. Therefore, </w:t>
      </w:r>
      <w:r w:rsidR="007D694C">
        <w:t>in order to test this assumption, t</w:t>
      </w:r>
      <w:r>
        <w:t xml:space="preserve">he entire analysis was repeated with a new Model II in which Individual </w:t>
      </w:r>
      <w:r w:rsidR="007D694C">
        <w:t>S</w:t>
      </w:r>
      <w:r>
        <w:t xml:space="preserve">uicide Risk </w:t>
      </w:r>
      <w:r w:rsidRPr="00D00E85">
        <w:rPr>
          <w:i/>
          <w:iCs/>
        </w:rPr>
        <w:t>R</w:t>
      </w:r>
      <w:r w:rsidRPr="008F3BEB">
        <w:rPr>
          <w:i/>
          <w:iCs/>
          <w:vertAlign w:val="subscript"/>
        </w:rPr>
        <w:t>i</w:t>
      </w:r>
      <w:r w:rsidRPr="00D00E85">
        <w:rPr>
          <w:i/>
          <w:iCs/>
        </w:rPr>
        <w:t>(t)</w:t>
      </w:r>
      <w:r>
        <w:rPr>
          <w:vertAlign w:val="subscript"/>
        </w:rPr>
        <w:t xml:space="preserve"> </w:t>
      </w:r>
      <w:r>
        <w:t xml:space="preserve">for each subgroup was modeled from their raw data in </w:t>
      </w:r>
      <w:r w:rsidRPr="00CE6C81">
        <w:t>Fig</w:t>
      </w:r>
      <w:r>
        <w:t xml:space="preserve">ure </w:t>
      </w:r>
      <w:r w:rsidRPr="00CE6C81">
        <w:t>1</w:t>
      </w:r>
      <w:r>
        <w:t xml:space="preserve"> as the sum of two independent terms: 1) an adjusted </w:t>
      </w:r>
      <w:r>
        <w:lastRenderedPageBreak/>
        <w:t xml:space="preserve">“monthly </w:t>
      </w:r>
      <w:r w:rsidRPr="00E40706">
        <w:rPr>
          <w:i/>
          <w:iCs/>
        </w:rPr>
        <w:t>m</w:t>
      </w:r>
      <w:r>
        <w:t>” that was photoperiod</w:t>
      </w:r>
      <w:r w:rsidR="007D694C">
        <w:t>-</w:t>
      </w:r>
      <w:r>
        <w:t xml:space="preserve">independent, or </w:t>
      </w:r>
      <w:r w:rsidRPr="008F3BEB">
        <w:rPr>
          <w:i/>
          <w:iCs/>
        </w:rPr>
        <w:t>m</w:t>
      </w:r>
      <w:r w:rsidRPr="008F3BEB">
        <w:rPr>
          <w:i/>
          <w:iCs/>
          <w:vertAlign w:val="subscript"/>
        </w:rPr>
        <w:t>i</w:t>
      </w:r>
      <w:r w:rsidRPr="008F3BEB">
        <w:rPr>
          <w:i/>
          <w:iCs/>
        </w:rPr>
        <w:t xml:space="preserve">(t) </w:t>
      </w:r>
      <w:r>
        <w:t>= (</w:t>
      </w:r>
      <w:r w:rsidRPr="008F7842">
        <w:rPr>
          <w:i/>
          <w:iCs/>
        </w:rPr>
        <w:t>a</w:t>
      </w:r>
      <w:r w:rsidRPr="008F3BEB">
        <w:rPr>
          <w:i/>
          <w:iCs/>
          <w:vertAlign w:val="subscript"/>
        </w:rPr>
        <w:t>i</w:t>
      </w:r>
      <w:r>
        <w:t xml:space="preserve"> + </w:t>
      </w:r>
      <w:r w:rsidRPr="008F7842">
        <w:rPr>
          <w:i/>
          <w:iCs/>
        </w:rPr>
        <w:t>b</w:t>
      </w:r>
      <w:r w:rsidRPr="008F3BEB">
        <w:rPr>
          <w:i/>
          <w:iCs/>
          <w:vertAlign w:val="subscript"/>
        </w:rPr>
        <w:t>i</w:t>
      </w:r>
      <w:r w:rsidRPr="00364643">
        <w:rPr>
          <w:i/>
          <w:iCs/>
        </w:rPr>
        <w:t xml:space="preserve">t </w:t>
      </w:r>
      <w:r>
        <w:t xml:space="preserve">+ </w:t>
      </w:r>
      <w:r w:rsidRPr="008F7842">
        <w:rPr>
          <w:i/>
          <w:iCs/>
        </w:rPr>
        <w:t>c</w:t>
      </w:r>
      <w:r w:rsidRPr="008F3BEB">
        <w:rPr>
          <w:i/>
          <w:iCs/>
          <w:vertAlign w:val="subscript"/>
        </w:rPr>
        <w:t>i</w:t>
      </w:r>
      <w:r w:rsidRPr="008F7842">
        <w:rPr>
          <w:i/>
          <w:iCs/>
        </w:rPr>
        <w:t>t</w:t>
      </w:r>
      <w:r w:rsidRPr="008F3BEB">
        <w:rPr>
          <w:i/>
          <w:iCs/>
          <w:vertAlign w:val="superscript"/>
        </w:rPr>
        <w:t>2</w:t>
      </w:r>
      <w:r>
        <w:t xml:space="preserve">), and 2) an adjusted “monthly </w:t>
      </w:r>
      <w:r w:rsidRPr="00E40706">
        <w:rPr>
          <w:i/>
          <w:iCs/>
        </w:rPr>
        <w:t>d</w:t>
      </w:r>
      <w:r>
        <w:t>” that was photoperiod</w:t>
      </w:r>
      <w:r w:rsidR="007D694C">
        <w:t>-</w:t>
      </w:r>
      <w:r>
        <w:t xml:space="preserve">dependent, or </w:t>
      </w:r>
      <w:r w:rsidRPr="008F3BEB">
        <w:rPr>
          <w:i/>
          <w:iCs/>
        </w:rPr>
        <w:t>d</w:t>
      </w:r>
      <w:r w:rsidRPr="008F3BEB">
        <w:rPr>
          <w:i/>
          <w:iCs/>
          <w:vertAlign w:val="subscript"/>
        </w:rPr>
        <w:t>i</w:t>
      </w:r>
      <w:r w:rsidRPr="008F3BEB">
        <w:rPr>
          <w:i/>
          <w:iCs/>
        </w:rPr>
        <w:t>(t)</w:t>
      </w:r>
      <w:r>
        <w:t xml:space="preserve"> = (</w:t>
      </w:r>
      <w:proofErr w:type="spellStart"/>
      <w:r w:rsidRPr="008F3BEB">
        <w:rPr>
          <w:i/>
          <w:iCs/>
        </w:rPr>
        <w:t>e</w:t>
      </w:r>
      <w:r w:rsidRPr="008F3BEB">
        <w:rPr>
          <w:i/>
          <w:iCs/>
          <w:vertAlign w:val="subscript"/>
        </w:rPr>
        <w:t>i</w:t>
      </w:r>
      <w:proofErr w:type="spellEnd"/>
      <w:r>
        <w:rPr>
          <w:i/>
          <w:iCs/>
        </w:rPr>
        <w:t xml:space="preserve"> </w:t>
      </w:r>
      <w:r>
        <w:t xml:space="preserve">+ </w:t>
      </w:r>
      <w:r>
        <w:rPr>
          <w:i/>
          <w:iCs/>
        </w:rPr>
        <w:t>f</w:t>
      </w:r>
      <w:r w:rsidRPr="008F3BEB">
        <w:rPr>
          <w:i/>
          <w:iCs/>
          <w:vertAlign w:val="subscript"/>
        </w:rPr>
        <w:t>i</w:t>
      </w:r>
      <w:r w:rsidRPr="007C308D">
        <w:rPr>
          <w:i/>
          <w:iCs/>
        </w:rPr>
        <w:t>t</w:t>
      </w:r>
      <w:r w:rsidRPr="007C308D">
        <w:rPr>
          <w:i/>
          <w:iCs/>
          <w:vertAlign w:val="subscript"/>
        </w:rPr>
        <w:t xml:space="preserve"> </w:t>
      </w:r>
      <w:r w:rsidRPr="00364643">
        <w:t>+</w:t>
      </w:r>
      <w:r>
        <w:rPr>
          <w:vertAlign w:val="subscript"/>
        </w:rPr>
        <w:t xml:space="preserve"> </w:t>
      </w:r>
      <w:r>
        <w:rPr>
          <w:i/>
          <w:iCs/>
        </w:rPr>
        <w:t>g</w:t>
      </w:r>
      <w:r w:rsidRPr="008F3BEB">
        <w:rPr>
          <w:i/>
          <w:iCs/>
          <w:vertAlign w:val="subscript"/>
        </w:rPr>
        <w:t>i</w:t>
      </w:r>
      <w:r w:rsidRPr="007C308D">
        <w:rPr>
          <w:i/>
          <w:iCs/>
        </w:rPr>
        <w:t>t</w:t>
      </w:r>
      <w:r w:rsidRPr="007C308D">
        <w:rPr>
          <w:vertAlign w:val="superscript"/>
        </w:rPr>
        <w:t>2</w:t>
      </w:r>
      <w:r>
        <w:t>)</w:t>
      </w:r>
      <w:r w:rsidRPr="00364643">
        <w:rPr>
          <w:vertAlign w:val="subscript"/>
        </w:rPr>
        <w:t>*</w:t>
      </w:r>
      <w:r>
        <w:t>cos((</w:t>
      </w:r>
      <w:r w:rsidRPr="00861E71">
        <w:t>2</w:t>
      </w:r>
      <w:r w:rsidRPr="00564E3D">
        <w:rPr>
          <w:rFonts w:ascii="Symbol" w:hAnsi="Symbol"/>
        </w:rPr>
        <w:t>p</w:t>
      </w:r>
      <w:r w:rsidRPr="00861E71">
        <w:rPr>
          <w:i/>
          <w:iCs/>
        </w:rPr>
        <w:t>t</w:t>
      </w:r>
      <w:r w:rsidRPr="00861E71">
        <w:t>/</w:t>
      </w:r>
      <w:r>
        <w:t xml:space="preserve">12) + </w:t>
      </w:r>
      <w:r>
        <w:rPr>
          <w:i/>
          <w:iCs/>
        </w:rPr>
        <w:t>h</w:t>
      </w:r>
      <w:r w:rsidRPr="008F3BEB">
        <w:rPr>
          <w:i/>
          <w:iCs/>
          <w:vertAlign w:val="subscript"/>
        </w:rPr>
        <w:t>i</w:t>
      </w:r>
      <w:r>
        <w:t>).</w:t>
      </w:r>
      <w:r w:rsidR="007D694C">
        <w:t xml:space="preserve"> Validation of the assumption requires that in </w:t>
      </w:r>
      <w:r>
        <w:t>Model II</w:t>
      </w:r>
      <w:r w:rsidR="007D694C">
        <w:t xml:space="preserve">, </w:t>
      </w:r>
      <w:r>
        <w:t xml:space="preserve">the adjusted “monthly </w:t>
      </w:r>
      <w:r w:rsidRPr="00A2687F">
        <w:rPr>
          <w:i/>
          <w:iCs/>
        </w:rPr>
        <w:t>m</w:t>
      </w:r>
      <w:r>
        <w:t xml:space="preserve">” and adjusted “monthly </w:t>
      </w:r>
      <w:r w:rsidRPr="00A2687F">
        <w:rPr>
          <w:i/>
          <w:iCs/>
        </w:rPr>
        <w:t>d</w:t>
      </w:r>
      <w:r>
        <w:t xml:space="preserve">” covary positively, continuously, and proportionally with each other over the 22 years even when their actual </w:t>
      </w:r>
      <w:r w:rsidRPr="00B35A67">
        <w:rPr>
          <w:i/>
          <w:iCs/>
        </w:rPr>
        <w:t>m</w:t>
      </w:r>
      <w:r>
        <w:t xml:space="preserve"> may be increasing or decreasing significantly (</w:t>
      </w:r>
      <w:r w:rsidRPr="00CE6C81">
        <w:t>Fig</w:t>
      </w:r>
      <w:r>
        <w:t>ure</w:t>
      </w:r>
      <w:r w:rsidRPr="00CE6C81">
        <w:t xml:space="preserve"> 1</w:t>
      </w:r>
      <w:r>
        <w:t>).</w:t>
      </w:r>
    </w:p>
    <w:p w14:paraId="26DADBCA" w14:textId="77777777" w:rsidR="0092306F" w:rsidRDefault="0092306F" w:rsidP="0092306F">
      <w:pPr>
        <w:spacing w:line="480" w:lineRule="auto"/>
      </w:pPr>
    </w:p>
    <w:p w14:paraId="352E9951" w14:textId="19B58F1A" w:rsidR="0092306F" w:rsidRDefault="0092306F" w:rsidP="0092306F">
      <w:pPr>
        <w:spacing w:line="480" w:lineRule="auto"/>
      </w:pPr>
      <w:r>
        <w:t xml:space="preserve">Consistent with the prediction, there was generally a continuous positive proportional relationship of about 6% between the adjusted “monthly </w:t>
      </w:r>
      <w:r w:rsidRPr="008D7DBC">
        <w:rPr>
          <w:i/>
          <w:iCs/>
        </w:rPr>
        <w:t>m</w:t>
      </w:r>
      <w:r>
        <w:t xml:space="preserve">” and the adjusted “monthly </w:t>
      </w:r>
      <w:r w:rsidRPr="008D7DBC">
        <w:rPr>
          <w:i/>
          <w:iCs/>
        </w:rPr>
        <w:t>d</w:t>
      </w:r>
      <w:r>
        <w:t>” in all subgroups (Figure S</w:t>
      </w:r>
      <w:r w:rsidR="007D694C">
        <w:t>1</w:t>
      </w:r>
      <w:r>
        <w:t xml:space="preserve">). Model II 22-year means for </w:t>
      </w:r>
      <w:r w:rsidR="007D694C">
        <w:t>both a</w:t>
      </w:r>
      <w:r>
        <w:t xml:space="preserve">djusted “monthly </w:t>
      </w:r>
      <w:r w:rsidRPr="00601F6D">
        <w:rPr>
          <w:i/>
          <w:iCs/>
        </w:rPr>
        <w:t>m</w:t>
      </w:r>
      <w:r>
        <w:t xml:space="preserve">” and adjusted “monthly </w:t>
      </w:r>
      <w:r w:rsidRPr="00601F6D">
        <w:rPr>
          <w:i/>
          <w:iCs/>
        </w:rPr>
        <w:t>d</w:t>
      </w:r>
      <w:r>
        <w:t>” were identical with</w:t>
      </w:r>
      <w:r w:rsidR="007D694C">
        <w:t xml:space="preserve"> those of the original</w:t>
      </w:r>
      <w:r>
        <w:t xml:space="preserve">. In addition, </w:t>
      </w:r>
      <w:r w:rsidR="007D694C">
        <w:t>all</w:t>
      </w:r>
      <w:r>
        <w:t xml:space="preserve"> AIC values were </w:t>
      </w:r>
      <w:r w:rsidR="007D694C">
        <w:t>reduce</w:t>
      </w:r>
      <w:r w:rsidR="003B41E5">
        <w:t>d,</w:t>
      </w:r>
      <w:r w:rsidR="007D694C">
        <w:t xml:space="preserve"> and all </w:t>
      </w:r>
      <w:r w:rsidR="007D694C" w:rsidRPr="007D694C">
        <w:rPr>
          <w:i/>
          <w:iCs/>
        </w:rPr>
        <w:t>r</w:t>
      </w:r>
      <w:r w:rsidR="007D694C">
        <w:t xml:space="preserve"> values were increased </w:t>
      </w:r>
      <w:r>
        <w:t>in Model I</w:t>
      </w:r>
      <w:r w:rsidR="007D694C">
        <w:t>I.</w:t>
      </w:r>
      <w:r>
        <w:t xml:space="preserve"> Thus, Model II validated the inference that </w:t>
      </w:r>
      <w:r w:rsidRPr="0044340E">
        <w:rPr>
          <w:i/>
          <w:iCs/>
        </w:rPr>
        <w:t>m</w:t>
      </w:r>
      <w:r>
        <w:t xml:space="preserve"> and </w:t>
      </w:r>
      <w:r w:rsidRPr="0044340E">
        <w:rPr>
          <w:i/>
          <w:iCs/>
        </w:rPr>
        <w:t xml:space="preserve">d </w:t>
      </w:r>
      <w:r>
        <w:t>covar</w:t>
      </w:r>
      <w:r w:rsidR="007D694C">
        <w:t>ied</w:t>
      </w:r>
      <w:r>
        <w:t xml:space="preserve"> continuously</w:t>
      </w:r>
      <w:r w:rsidR="007D694C">
        <w:t xml:space="preserve"> in a manner that was mostly </w:t>
      </w:r>
      <w:r>
        <w:t>positive and proportional</w:t>
      </w:r>
      <w:r w:rsidR="007D694C">
        <w:t xml:space="preserve"> </w:t>
      </w:r>
      <w:r>
        <w:t xml:space="preserve">with one another over </w:t>
      </w:r>
      <w:r w:rsidR="007D694C">
        <w:t>22 years</w:t>
      </w:r>
      <w:r>
        <w:t xml:space="preserve"> and t</w:t>
      </w:r>
      <w:r w:rsidR="007D694C">
        <w:t xml:space="preserve">hus continued to display SCN </w:t>
      </w:r>
      <w:r w:rsidR="007D694C" w:rsidRPr="007D694C">
        <w:rPr>
          <w:i/>
          <w:iCs/>
        </w:rPr>
        <w:t>tau</w:t>
      </w:r>
      <w:r w:rsidR="007D694C">
        <w:t xml:space="preserve"> regulation even during the </w:t>
      </w:r>
      <w:r>
        <w:t>linear and quadratic trends in</w:t>
      </w:r>
      <w:r w:rsidRPr="00CE6C81">
        <w:t xml:space="preserve"> </w:t>
      </w:r>
      <w:r>
        <w:t>Figure 1</w:t>
      </w:r>
      <w:r w:rsidR="007D694C">
        <w:t>.</w:t>
      </w:r>
    </w:p>
    <w:p w14:paraId="57BC9676" w14:textId="77777777" w:rsidR="0092306F" w:rsidRDefault="0092306F" w:rsidP="0092306F">
      <w:pPr>
        <w:spacing w:line="480" w:lineRule="auto"/>
      </w:pPr>
    </w:p>
    <w:p w14:paraId="0502C225" w14:textId="41AC3AA3" w:rsidR="0092306F" w:rsidRDefault="00CD1126" w:rsidP="0092306F">
      <w:pPr>
        <w:spacing w:line="480" w:lineRule="auto"/>
        <w:rPr>
          <w:b/>
          <w:bCs/>
        </w:rPr>
      </w:pPr>
      <w:r>
        <w:rPr>
          <w:b/>
          <w:bCs/>
          <w:noProof/>
          <w14:ligatures w14:val="standardContextual"/>
        </w:rPr>
        <w:lastRenderedPageBreak/>
        <w:drawing>
          <wp:inline distT="0" distB="0" distL="0" distR="0" wp14:anchorId="07525563" wp14:editId="7BBB8B71">
            <wp:extent cx="5236845" cy="8229600"/>
            <wp:effectExtent l="0" t="0" r="0" b="0"/>
            <wp:docPr id="569327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27664" name="Picture 569327664"/>
                    <pic:cNvPicPr/>
                  </pic:nvPicPr>
                  <pic:blipFill>
                    <a:blip r:embed="rId7"/>
                    <a:stretch>
                      <a:fillRect/>
                    </a:stretch>
                  </pic:blipFill>
                  <pic:spPr>
                    <a:xfrm>
                      <a:off x="0" y="0"/>
                      <a:ext cx="5236845" cy="8229600"/>
                    </a:xfrm>
                    <a:prstGeom prst="rect">
                      <a:avLst/>
                    </a:prstGeom>
                  </pic:spPr>
                </pic:pic>
              </a:graphicData>
            </a:graphic>
          </wp:inline>
        </w:drawing>
      </w:r>
    </w:p>
    <w:p w14:paraId="1632F7CD" w14:textId="77777777" w:rsidR="00FE59A6" w:rsidRDefault="00FE59A6" w:rsidP="0092306F">
      <w:pPr>
        <w:spacing w:line="480" w:lineRule="auto"/>
        <w:rPr>
          <w:b/>
          <w:bCs/>
        </w:rPr>
      </w:pPr>
    </w:p>
    <w:p w14:paraId="55DEC25B" w14:textId="69059506" w:rsidR="0092306F" w:rsidRPr="000C10EA" w:rsidRDefault="0092306F" w:rsidP="0092306F">
      <w:pPr>
        <w:spacing w:line="480" w:lineRule="auto"/>
      </w:pPr>
      <w:r w:rsidRPr="00B53085">
        <w:rPr>
          <w:b/>
          <w:bCs/>
        </w:rPr>
        <w:t>Figure S</w:t>
      </w:r>
      <w:r>
        <w:rPr>
          <w:b/>
          <w:bCs/>
        </w:rPr>
        <w:t>1</w:t>
      </w:r>
      <w:r w:rsidRPr="00B53085">
        <w:rPr>
          <w:b/>
          <w:bCs/>
        </w:rPr>
        <w:t xml:space="preserve">. Long-term proportional regulation of </w:t>
      </w:r>
      <w:r w:rsidRPr="00B53085">
        <w:rPr>
          <w:b/>
          <w:bCs/>
          <w:i/>
          <w:iCs/>
        </w:rPr>
        <w:t>m</w:t>
      </w:r>
      <w:r w:rsidRPr="00B53085">
        <w:rPr>
          <w:b/>
          <w:bCs/>
        </w:rPr>
        <w:t xml:space="preserve"> and </w:t>
      </w:r>
      <w:r w:rsidRPr="00B53085">
        <w:rPr>
          <w:b/>
          <w:bCs/>
          <w:i/>
          <w:iCs/>
        </w:rPr>
        <w:t>d</w:t>
      </w:r>
      <w:r w:rsidRPr="00B53085">
        <w:rPr>
          <w:b/>
          <w:bCs/>
        </w:rPr>
        <w:t xml:space="preserve"> together. </w:t>
      </w:r>
      <w:r>
        <w:t xml:space="preserve">The 7 subgroups “instantaneous” </w:t>
      </w:r>
      <w:r w:rsidRPr="0013624D">
        <w:rPr>
          <w:i/>
          <w:iCs/>
        </w:rPr>
        <w:t>d</w:t>
      </w:r>
      <w:r>
        <w:t xml:space="preserve"> and </w:t>
      </w:r>
      <w:r w:rsidRPr="0013624D">
        <w:rPr>
          <w:i/>
          <w:iCs/>
        </w:rPr>
        <w:t>m</w:t>
      </w:r>
      <w:r>
        <w:t xml:space="preserve"> were modeled as above. </w:t>
      </w:r>
      <w:r w:rsidRPr="0013624D">
        <w:rPr>
          <w:i/>
          <w:iCs/>
        </w:rPr>
        <w:t>d</w:t>
      </w:r>
      <w:r>
        <w:t xml:space="preserve"> and </w:t>
      </w:r>
      <w:r w:rsidRPr="0013624D">
        <w:rPr>
          <w:i/>
          <w:iCs/>
        </w:rPr>
        <w:t>m</w:t>
      </w:r>
      <w:r>
        <w:t xml:space="preserve"> tend to maintain a relatively constant proportionality to one another of about 6% throughout the 22 years, except for American Indian/Alaskan Native </w:t>
      </w:r>
      <w:r w:rsidR="003B41E5">
        <w:t>M</w:t>
      </w:r>
      <w:r>
        <w:t xml:space="preserve">ales, whose unusually large </w:t>
      </w:r>
      <w:r w:rsidRPr="0013624D">
        <w:rPr>
          <w:i/>
          <w:iCs/>
        </w:rPr>
        <w:t>d</w:t>
      </w:r>
      <w:r>
        <w:t xml:space="preserve"> in relation to their </w:t>
      </w:r>
      <w:r w:rsidRPr="0013624D">
        <w:rPr>
          <w:i/>
          <w:iCs/>
        </w:rPr>
        <w:t>m</w:t>
      </w:r>
      <w:r>
        <w:t xml:space="preserve"> was increasing proportionally faster, especially towards the second half of the 22 years.</w:t>
      </w:r>
    </w:p>
    <w:p w14:paraId="1A6C6162" w14:textId="77777777" w:rsidR="00367B9B" w:rsidRDefault="00367B9B" w:rsidP="00E3444A">
      <w:pPr>
        <w:spacing w:line="480" w:lineRule="auto"/>
        <w:rPr>
          <w:b/>
          <w:bCs/>
        </w:rPr>
      </w:pPr>
    </w:p>
    <w:p w14:paraId="513BD204" w14:textId="77777777" w:rsidR="0092306F" w:rsidRDefault="0092306F" w:rsidP="00E3444A">
      <w:pPr>
        <w:spacing w:line="480" w:lineRule="auto"/>
        <w:rPr>
          <w:b/>
          <w:bCs/>
        </w:rPr>
      </w:pPr>
    </w:p>
    <w:p w14:paraId="71648DD0" w14:textId="5E8297FA" w:rsidR="00E3444A" w:rsidRPr="00F347FB" w:rsidRDefault="00740F1C" w:rsidP="00E3444A">
      <w:pPr>
        <w:spacing w:line="480" w:lineRule="auto"/>
      </w:pPr>
      <w:r>
        <w:rPr>
          <w:b/>
          <w:bCs/>
        </w:rPr>
        <w:t xml:space="preserve">Section </w:t>
      </w:r>
      <w:r w:rsidR="00E40706">
        <w:rPr>
          <w:b/>
          <w:bCs/>
        </w:rPr>
        <w:t>S</w:t>
      </w:r>
      <w:r w:rsidR="009C79EF">
        <w:rPr>
          <w:b/>
          <w:bCs/>
        </w:rPr>
        <w:t>3</w:t>
      </w:r>
      <w:r>
        <w:rPr>
          <w:b/>
          <w:bCs/>
        </w:rPr>
        <w:t xml:space="preserve">. </w:t>
      </w:r>
      <w:r w:rsidR="00E3444A" w:rsidRPr="003D72C2">
        <w:rPr>
          <w:b/>
          <w:bCs/>
        </w:rPr>
        <w:t xml:space="preserve">On </w:t>
      </w:r>
      <w:r w:rsidR="00820DE6">
        <w:rPr>
          <w:b/>
          <w:bCs/>
        </w:rPr>
        <w:t xml:space="preserve">the </w:t>
      </w:r>
      <w:r w:rsidR="00E3444A" w:rsidRPr="003D72C2">
        <w:rPr>
          <w:b/>
          <w:bCs/>
        </w:rPr>
        <w:t>ultradia</w:t>
      </w:r>
      <w:r w:rsidR="00E3444A">
        <w:rPr>
          <w:b/>
          <w:bCs/>
        </w:rPr>
        <w:t>n</w:t>
      </w:r>
      <w:r w:rsidR="00E3444A" w:rsidRPr="003D72C2">
        <w:rPr>
          <w:b/>
          <w:bCs/>
        </w:rPr>
        <w:t xml:space="preserve"> forced desynchron</w:t>
      </w:r>
      <w:r w:rsidR="00601936">
        <w:rPr>
          <w:b/>
          <w:bCs/>
        </w:rPr>
        <w:t xml:space="preserve">y </w:t>
      </w:r>
      <w:r w:rsidR="00E3444A" w:rsidRPr="003D72C2">
        <w:rPr>
          <w:b/>
          <w:bCs/>
        </w:rPr>
        <w:t>protoco</w:t>
      </w:r>
      <w:r w:rsidR="005C1617">
        <w:rPr>
          <w:b/>
          <w:bCs/>
        </w:rPr>
        <w:t>l</w:t>
      </w:r>
      <w:r w:rsidR="00E3444A">
        <w:rPr>
          <w:b/>
          <w:bCs/>
        </w:rPr>
        <w:t>.</w:t>
      </w:r>
      <w:r w:rsidR="00B57F0F">
        <w:rPr>
          <w:b/>
          <w:bCs/>
        </w:rPr>
        <w:t xml:space="preserve"> </w:t>
      </w:r>
      <w:r w:rsidR="00E3444A" w:rsidRPr="003D72C2">
        <w:t xml:space="preserve">The </w:t>
      </w:r>
      <w:r w:rsidR="005C1617">
        <w:t>u</w:t>
      </w:r>
      <w:r w:rsidR="00E3444A">
        <w:t xml:space="preserve">ltradian </w:t>
      </w:r>
      <w:r w:rsidR="00E3444A" w:rsidRPr="003D72C2">
        <w:t>sleep-wake forced desynchron</w:t>
      </w:r>
      <w:r w:rsidR="005C1617">
        <w:t>y</w:t>
      </w:r>
      <w:r w:rsidR="00E3444A" w:rsidRPr="003D72C2">
        <w:t xml:space="preserve"> protocol of the Eastman et al. group</w:t>
      </w:r>
      <w:r w:rsidR="00E3444A" w:rsidRPr="003D72C2">
        <w:fldChar w:fldCharType="begin">
          <w:fldData xml:space="preserve">PEVuZE5vdGU+PENpdGU+PEF1dGhvcj5FYXN0bWFuPC9BdXRob3I+PFllYXI+MjAxNzwvWWVhcj48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</w:fldData>
        </w:fldChar>
      </w:r>
      <w:r w:rsidR="00E3444A" w:rsidRPr="003D72C2">
        <w:instrText xml:space="preserve"> ADDIN EN.JS.CITE </w:instrText>
      </w:r>
      <w:r w:rsidR="00E3444A" w:rsidRPr="003D72C2">
        <w:fldChar w:fldCharType="separate"/>
      </w:r>
      <w:r w:rsidR="00741DFA" w:rsidRPr="00741DFA">
        <w:rPr>
          <w:noProof/>
          <w:vertAlign w:val="superscript"/>
        </w:rPr>
        <w:t>1</w:t>
      </w:r>
      <w:r w:rsidR="00E3444A" w:rsidRPr="003D72C2">
        <w:fldChar w:fldCharType="end"/>
      </w:r>
      <w:r w:rsidR="00E3444A" w:rsidRPr="003D72C2">
        <w:t xml:space="preserve"> </w:t>
      </w:r>
      <w:r w:rsidR="00E3444A">
        <w:t xml:space="preserve">consists of a 3 – 5 day experiment involving continuous repetitive “T-cycles” (total light-dark LD cycle length) </w:t>
      </w:r>
      <w:r w:rsidR="00E3444A" w:rsidRPr="003D72C2">
        <w:t xml:space="preserve">of 2.5 hours </w:t>
      </w:r>
      <w:r w:rsidR="00E3444A">
        <w:t xml:space="preserve">of </w:t>
      </w:r>
      <w:r w:rsidR="00E3444A" w:rsidRPr="003D72C2">
        <w:t>wake</w:t>
      </w:r>
      <w:r w:rsidR="00E3444A">
        <w:t>/dim light and</w:t>
      </w:r>
      <w:r w:rsidR="00E3444A" w:rsidRPr="003D72C2">
        <w:t xml:space="preserve"> 1.5 hours of sleep</w:t>
      </w:r>
      <w:r w:rsidR="00E3444A">
        <w:t>/dark, which</w:t>
      </w:r>
      <w:r w:rsidR="00E3444A" w:rsidRPr="003D72C2">
        <w:t xml:space="preserve"> not only induces </w:t>
      </w:r>
      <w:r w:rsidR="00E3444A">
        <w:t xml:space="preserve">somewhat </w:t>
      </w:r>
      <w:r w:rsidR="00E3444A" w:rsidRPr="003D72C2">
        <w:t xml:space="preserve">unnatural physiologic and psychologic stresses on subjects but is also </w:t>
      </w:r>
      <w:r w:rsidR="00E3444A">
        <w:t xml:space="preserve">much </w:t>
      </w:r>
      <w:r w:rsidR="00E3444A" w:rsidRPr="003D72C2">
        <w:t>less well validated to estimate absolute</w:t>
      </w:r>
      <w:r w:rsidR="00E3444A">
        <w:t xml:space="preserve"> intrinsic</w:t>
      </w:r>
      <w:r w:rsidR="00E3444A" w:rsidRPr="003D72C2">
        <w:t xml:space="preserve"> </w:t>
      </w:r>
      <w:r w:rsidR="00E3444A" w:rsidRPr="003D72C2">
        <w:rPr>
          <w:i/>
          <w:iCs/>
        </w:rPr>
        <w:t>tau</w:t>
      </w:r>
      <w:r w:rsidR="00E3444A" w:rsidRPr="003D72C2">
        <w:t xml:space="preserve"> values compared with the gold</w:t>
      </w:r>
      <w:r w:rsidR="000017AA">
        <w:t xml:space="preserve"> </w:t>
      </w:r>
      <w:r w:rsidR="00E3444A" w:rsidRPr="003D72C2">
        <w:t>standard forced desynchron</w:t>
      </w:r>
      <w:r w:rsidR="005C1617">
        <w:t>y</w:t>
      </w:r>
      <w:r w:rsidR="00E3444A" w:rsidRPr="003D72C2">
        <w:t xml:space="preserve"> protocols (T-cycles of 11, 20, 28, or 42.85 h</w:t>
      </w:r>
      <w:r w:rsidR="00E3444A">
        <w:t>ours</w:t>
      </w:r>
      <w:r w:rsidR="00E3444A" w:rsidRPr="003D72C2">
        <w:t xml:space="preserve"> for 2- to 4-weeks) from the Duffy et al. group</w:t>
      </w:r>
      <w:r w:rsidR="00E3444A" w:rsidRPr="003D72C2">
        <w:fldChar w:fldCharType="begin">
          <w:fldData xml:space="preserve">PEVuZE5vdGU+PENpdGU+PEF1dGhvcj5EdWZmeTwvQXV0aG9yPjxZZWFyPjIwMTE8L1llYXI+PFJl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</w:fldData>
        </w:fldChar>
      </w:r>
      <w:r w:rsidR="00E3444A" w:rsidRPr="003D72C2">
        <w:instrText xml:space="preserve"> ADDIN EN.JS.CITE </w:instrText>
      </w:r>
      <w:r w:rsidR="00E3444A" w:rsidRPr="003D72C2">
        <w:fldChar w:fldCharType="separate"/>
      </w:r>
      <w:r w:rsidR="00741DFA" w:rsidRPr="00741DFA">
        <w:rPr>
          <w:noProof/>
          <w:vertAlign w:val="superscript"/>
        </w:rPr>
        <w:t>2</w:t>
      </w:r>
      <w:r w:rsidR="00E3444A" w:rsidRPr="003D72C2">
        <w:fldChar w:fldCharType="end"/>
      </w:r>
      <w:r w:rsidR="005C1617">
        <w:t xml:space="preserve">. In the gold standard protocols, </w:t>
      </w:r>
      <w:r w:rsidR="00E3444A">
        <w:t xml:space="preserve">multiple highly correlated measures of the circadian rhythm waveform (e.g. core temperature, plasma melatonin and cortisol rhythms) have validated the assessment of circadian timing and </w:t>
      </w:r>
      <w:r w:rsidR="00E3444A" w:rsidRPr="007A2CE3">
        <w:rPr>
          <w:i/>
          <w:iCs/>
        </w:rPr>
        <w:t>tau</w:t>
      </w:r>
      <w:r w:rsidR="00E3444A">
        <w:t xml:space="preserve"> length</w:t>
      </w:r>
      <w:r w:rsidR="00E3444A" w:rsidRPr="003D72C2">
        <w:t xml:space="preserve">. </w:t>
      </w:r>
      <w:r w:rsidR="00E3444A">
        <w:t xml:space="preserve">Thus, for example, </w:t>
      </w:r>
      <w:r w:rsidR="00E3444A" w:rsidRPr="003D72C2">
        <w:t xml:space="preserve">upon </w:t>
      </w:r>
      <w:r w:rsidR="00E3444A">
        <w:t xml:space="preserve">initial </w:t>
      </w:r>
      <w:r w:rsidR="00E3444A" w:rsidRPr="003D72C2">
        <w:t>release into</w:t>
      </w:r>
      <w:r w:rsidR="00E3444A">
        <w:t xml:space="preserve"> any </w:t>
      </w:r>
      <w:r w:rsidR="00E3444A" w:rsidRPr="003D72C2">
        <w:t xml:space="preserve">forced desynchrony protocol, there are </w:t>
      </w:r>
      <w:r w:rsidR="005C1617">
        <w:t xml:space="preserve">inevitably </w:t>
      </w:r>
      <w:r w:rsidR="00E3444A" w:rsidRPr="003D72C2">
        <w:t xml:space="preserve">aftereffects from </w:t>
      </w:r>
      <w:r w:rsidR="005C1617">
        <w:t xml:space="preserve">the plastic effects of </w:t>
      </w:r>
      <w:r w:rsidR="00E3444A" w:rsidRPr="003D72C2">
        <w:t xml:space="preserve">prior </w:t>
      </w:r>
      <w:r w:rsidR="00E3444A">
        <w:t xml:space="preserve">LD </w:t>
      </w:r>
      <w:r w:rsidR="00E3444A" w:rsidRPr="003D72C2">
        <w:t>entrainment</w:t>
      </w:r>
      <w:r w:rsidR="00E3444A">
        <w:fldChar w:fldCharType="begin">
          <w:fldData xml:space="preserve">PEVuZE5vdGU+PENpdGU+PEF1dGhvcj5CdXJnZXNzPC9BdXRob3I+PFllYXI+MjAwODwvWWVhcj48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</w:fldData>
        </w:fldChar>
      </w:r>
      <w:r w:rsidR="00E3444A">
        <w:instrText xml:space="preserve"> ADDIN EN.JS.CITE </w:instrText>
      </w:r>
      <w:r w:rsidR="00E3444A">
        <w:fldChar w:fldCharType="separate"/>
      </w:r>
      <w:r w:rsidR="00741DFA" w:rsidRPr="00741DFA">
        <w:rPr>
          <w:noProof/>
          <w:vertAlign w:val="superscript"/>
        </w:rPr>
        <w:t>3</w:t>
      </w:r>
      <w:r w:rsidR="00E3444A">
        <w:fldChar w:fldCharType="end"/>
      </w:r>
      <w:r w:rsidR="00E3444A" w:rsidRPr="003D72C2">
        <w:t xml:space="preserve"> that confound </w:t>
      </w:r>
      <w:r w:rsidR="00E3444A">
        <w:t xml:space="preserve">such an early </w:t>
      </w:r>
      <w:r w:rsidR="00E3444A" w:rsidRPr="003D72C2">
        <w:t xml:space="preserve">assessment of </w:t>
      </w:r>
      <w:r w:rsidR="00E3444A" w:rsidRPr="003D72C2">
        <w:rPr>
          <w:i/>
          <w:iCs/>
        </w:rPr>
        <w:t>tau</w:t>
      </w:r>
      <w:r w:rsidR="00E3444A">
        <w:t xml:space="preserve"> that is based on </w:t>
      </w:r>
      <w:r w:rsidR="004B3578">
        <w:t xml:space="preserve">only </w:t>
      </w:r>
      <w:r w:rsidR="00E3444A">
        <w:t>3 – 5 days</w:t>
      </w:r>
      <w:r w:rsidR="005C1617">
        <w:t>. T</w:t>
      </w:r>
      <w:r w:rsidR="00E3444A">
        <w:t xml:space="preserve">heoretical </w:t>
      </w:r>
      <w:r w:rsidR="00E3444A" w:rsidRPr="003D72C2">
        <w:t xml:space="preserve">model simulations </w:t>
      </w:r>
      <w:r w:rsidR="00E3444A">
        <w:t>indicate</w:t>
      </w:r>
      <w:r w:rsidR="00E3444A" w:rsidRPr="003D72C2">
        <w:t xml:space="preserve"> that </w:t>
      </w:r>
      <w:r w:rsidR="00E3444A">
        <w:t xml:space="preserve">up to </w:t>
      </w:r>
      <w:r w:rsidR="00E3444A" w:rsidRPr="003D72C2">
        <w:t xml:space="preserve">20 </w:t>
      </w:r>
      <w:r w:rsidR="004B3578">
        <w:t xml:space="preserve">subjective </w:t>
      </w:r>
      <w:r w:rsidR="00E3444A" w:rsidRPr="003D72C2">
        <w:t>days</w:t>
      </w:r>
      <w:r w:rsidR="00E3444A">
        <w:t xml:space="preserve"> may be</w:t>
      </w:r>
      <w:r w:rsidR="00E3444A" w:rsidRPr="003D72C2">
        <w:t xml:space="preserve"> necessary for a relatively stable estimate of </w:t>
      </w:r>
      <w:r w:rsidR="00E3444A">
        <w:t xml:space="preserve">intrinsic </w:t>
      </w:r>
      <w:r w:rsidR="00E3444A" w:rsidRPr="003D72C2">
        <w:rPr>
          <w:i/>
          <w:iCs/>
        </w:rPr>
        <w:t>tau</w:t>
      </w:r>
      <w:r w:rsidR="00E3444A" w:rsidRPr="003D72C2">
        <w:fldChar w:fldCharType="begin">
          <w:fldData xml:space="preserve">PEVuZE5vdGU+PENpdGU+PEF1dGhvcj5LbGVybWFuPC9BdXRob3I+PFllYXI+MTk5NjwvWWVhcj48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</w:fldData>
        </w:fldChar>
      </w:r>
      <w:r w:rsidR="00E3444A" w:rsidRPr="003D72C2">
        <w:instrText xml:space="preserve"> ADDIN EN.JS.CITE </w:instrText>
      </w:r>
      <w:r w:rsidR="00E3444A" w:rsidRPr="003D72C2">
        <w:fldChar w:fldCharType="separate"/>
      </w:r>
      <w:r w:rsidR="00741DFA" w:rsidRPr="00741DFA">
        <w:rPr>
          <w:noProof/>
          <w:vertAlign w:val="superscript"/>
        </w:rPr>
        <w:t>4</w:t>
      </w:r>
      <w:r w:rsidR="00E3444A" w:rsidRPr="003D72C2">
        <w:fldChar w:fldCharType="end"/>
      </w:r>
      <w:r w:rsidR="00E3444A">
        <w:t>.</w:t>
      </w:r>
    </w:p>
    <w:p w14:paraId="39A146A5" w14:textId="77777777" w:rsidR="00E3444A" w:rsidRDefault="00E3444A" w:rsidP="00E3444A">
      <w:pPr>
        <w:spacing w:line="480" w:lineRule="auto"/>
      </w:pPr>
    </w:p>
    <w:p w14:paraId="4C65EAEB" w14:textId="16FFB987" w:rsidR="00F347FB" w:rsidRDefault="00F347FB" w:rsidP="00E3444A">
      <w:pPr>
        <w:spacing w:line="480" w:lineRule="auto"/>
      </w:pPr>
      <w:r>
        <w:lastRenderedPageBreak/>
        <w:t>C</w:t>
      </w:r>
      <w:r w:rsidR="005C1617">
        <w:t xml:space="preserve">onsistent with these considerations </w:t>
      </w:r>
      <w:r w:rsidR="004B3578">
        <w:t xml:space="preserve">is the fact that </w:t>
      </w:r>
      <w:r w:rsidR="00E3444A" w:rsidRPr="003D72C2">
        <w:t xml:space="preserve">the Eastman et al. </w:t>
      </w:r>
      <w:r w:rsidR="00E3444A" w:rsidRPr="003D72C2">
        <w:rPr>
          <w:i/>
          <w:iCs/>
        </w:rPr>
        <w:t>tau</w:t>
      </w:r>
      <w:r w:rsidR="00E3444A" w:rsidRPr="003D72C2">
        <w:t xml:space="preserve"> estimate for W</w:t>
      </w:r>
      <w:r w:rsidR="00BD6B94">
        <w:t xml:space="preserve">M </w:t>
      </w:r>
      <w:r w:rsidR="00E3444A">
        <w:t>=</w:t>
      </w:r>
      <w:r w:rsidR="00E3444A" w:rsidRPr="003D72C2">
        <w:t xml:space="preserve"> 24.41</w:t>
      </w:r>
      <w:r w:rsidR="00E3444A">
        <w:t xml:space="preserve"> (N = 15)</w:t>
      </w:r>
      <w:r w:rsidR="005C1617">
        <w:t xml:space="preserve"> </w:t>
      </w:r>
      <w:r w:rsidR="006F0449">
        <w:t xml:space="preserve">is </w:t>
      </w:r>
      <w:r w:rsidR="00D22331">
        <w:t>rather</w:t>
      </w:r>
      <w:r w:rsidR="004B3578">
        <w:t xml:space="preserve"> </w:t>
      </w:r>
      <w:r w:rsidR="00E3444A" w:rsidRPr="003D72C2">
        <w:t>at odds with the Duffy</w:t>
      </w:r>
      <w:r w:rsidR="00D22331">
        <w:t xml:space="preserve"> et al.</w:t>
      </w:r>
      <w:r w:rsidR="00E3444A" w:rsidRPr="003D72C2">
        <w:t xml:space="preserve"> gold</w:t>
      </w:r>
      <w:r w:rsidR="004214A4">
        <w:t xml:space="preserve"> </w:t>
      </w:r>
      <w:r w:rsidR="00E3444A" w:rsidRPr="003D72C2">
        <w:t>standard estim</w:t>
      </w:r>
      <w:r w:rsidR="005C1617">
        <w:t>ate</w:t>
      </w:r>
      <w:r w:rsidR="00E3444A" w:rsidRPr="003D72C2">
        <w:t xml:space="preserve"> </w:t>
      </w:r>
      <w:r w:rsidR="00E3444A">
        <w:t>=</w:t>
      </w:r>
      <w:r w:rsidR="00E3444A" w:rsidRPr="003D72C2">
        <w:t xml:space="preserve"> 24.19</w:t>
      </w:r>
      <w:r w:rsidR="00E3444A">
        <w:t xml:space="preserve"> (N = 105)</w:t>
      </w:r>
      <w:r w:rsidR="00E3444A" w:rsidRPr="003D72C2">
        <w:t>. Similarly, the Eastman</w:t>
      </w:r>
      <w:r w:rsidR="00D22331">
        <w:t xml:space="preserve"> et al.</w:t>
      </w:r>
      <w:r w:rsidR="00E3444A" w:rsidRPr="003D72C2">
        <w:t xml:space="preserve"> </w:t>
      </w:r>
      <w:r w:rsidR="00E3444A" w:rsidRPr="003D72C2">
        <w:rPr>
          <w:i/>
          <w:iCs/>
        </w:rPr>
        <w:t>tau</w:t>
      </w:r>
      <w:r w:rsidR="00E3444A" w:rsidRPr="003D72C2">
        <w:t xml:space="preserve"> estimate for W</w:t>
      </w:r>
      <w:r w:rsidR="00BD6B94">
        <w:t>F</w:t>
      </w:r>
      <w:r w:rsidR="00E3444A" w:rsidRPr="003D72C2">
        <w:t xml:space="preserve"> </w:t>
      </w:r>
      <w:r w:rsidR="00E3444A">
        <w:t>=</w:t>
      </w:r>
      <w:r w:rsidR="00E3444A" w:rsidRPr="003D72C2">
        <w:t xml:space="preserve"> 24.24</w:t>
      </w:r>
      <w:r w:rsidR="00E3444A">
        <w:t xml:space="preserve"> (N = 16)</w:t>
      </w:r>
      <w:r w:rsidR="00E3444A" w:rsidRPr="003D72C2">
        <w:t xml:space="preserve"> </w:t>
      </w:r>
      <w:r w:rsidR="00D22331">
        <w:t>is</w:t>
      </w:r>
      <w:r w:rsidR="00E3444A" w:rsidRPr="003D72C2">
        <w:t xml:space="preserve"> </w:t>
      </w:r>
      <w:r w:rsidR="00E3444A">
        <w:t xml:space="preserve">also </w:t>
      </w:r>
      <w:r w:rsidR="00D22331">
        <w:t>rather</w:t>
      </w:r>
      <w:r w:rsidR="00E3444A">
        <w:t xml:space="preserve"> </w:t>
      </w:r>
      <w:r w:rsidR="00E3444A" w:rsidRPr="003D72C2">
        <w:t xml:space="preserve">at odds with the Duffy </w:t>
      </w:r>
      <w:r w:rsidR="00D22331">
        <w:t xml:space="preserve">et al. </w:t>
      </w:r>
      <w:r w:rsidR="00E3444A" w:rsidRPr="003D72C2">
        <w:t xml:space="preserve">estimate </w:t>
      </w:r>
      <w:r w:rsidR="00E3444A">
        <w:t xml:space="preserve">= </w:t>
      </w:r>
      <w:r w:rsidR="00E3444A" w:rsidRPr="003D72C2">
        <w:t>24.09</w:t>
      </w:r>
      <w:r w:rsidR="00E3444A">
        <w:t xml:space="preserve"> (N = 52). On the other hand, </w:t>
      </w:r>
      <w:r w:rsidR="00E3444A" w:rsidRPr="003D72C2">
        <w:t>the Eastman</w:t>
      </w:r>
      <w:r w:rsidR="00D22331">
        <w:t xml:space="preserve"> et al.</w:t>
      </w:r>
      <w:r w:rsidR="00E3444A" w:rsidRPr="003D72C2">
        <w:t xml:space="preserve"> estimates for the shorter </w:t>
      </w:r>
      <w:r w:rsidR="00E3444A" w:rsidRPr="003D72C2">
        <w:rPr>
          <w:i/>
          <w:iCs/>
        </w:rPr>
        <w:t>tau</w:t>
      </w:r>
      <w:r w:rsidR="00E3444A" w:rsidRPr="003D72C2">
        <w:t xml:space="preserve"> of B</w:t>
      </w:r>
      <w:r w:rsidR="00BD6B94">
        <w:t>M</w:t>
      </w:r>
      <w:r w:rsidR="00E3444A" w:rsidRPr="003D72C2">
        <w:t xml:space="preserve"> (24.07</w:t>
      </w:r>
      <w:r w:rsidR="00E3444A">
        <w:t>, N = 16</w:t>
      </w:r>
      <w:r w:rsidR="00E3444A" w:rsidRPr="003D72C2">
        <w:t xml:space="preserve">) and </w:t>
      </w:r>
      <w:r w:rsidR="00BD6B94">
        <w:t>BF</w:t>
      </w:r>
      <w:r w:rsidR="00E3444A" w:rsidRPr="003D72C2">
        <w:t xml:space="preserve"> (24.07</w:t>
      </w:r>
      <w:r w:rsidR="00E3444A">
        <w:t>, N = 16</w:t>
      </w:r>
      <w:r w:rsidR="00E3444A" w:rsidRPr="003D72C2">
        <w:t>)</w:t>
      </w:r>
      <w:r w:rsidR="00D22331">
        <w:t xml:space="preserve"> </w:t>
      </w:r>
      <w:r w:rsidR="007517A0">
        <w:t>are</w:t>
      </w:r>
      <w:r w:rsidR="00D22331">
        <w:t xml:space="preserve"> closer to</w:t>
      </w:r>
      <w:r w:rsidR="00E3444A">
        <w:t xml:space="preserve"> the extrapolated </w:t>
      </w:r>
      <w:r w:rsidR="00E3444A" w:rsidRPr="001051AB">
        <w:rPr>
          <w:i/>
          <w:iCs/>
        </w:rPr>
        <w:t>tau</w:t>
      </w:r>
      <w:r w:rsidR="00E3444A">
        <w:t xml:space="preserve"> from the </w:t>
      </w:r>
      <w:r w:rsidR="004B3578">
        <w:t>present s</w:t>
      </w:r>
      <w:r w:rsidR="00E3444A">
        <w:t>uicide data (</w:t>
      </w:r>
      <w:r w:rsidR="00E3444A" w:rsidRPr="00CE6C81">
        <w:t xml:space="preserve">Fig </w:t>
      </w:r>
      <w:r w:rsidR="00B061B8" w:rsidRPr="00CE6C81">
        <w:t>S</w:t>
      </w:r>
      <w:r w:rsidR="00D22331">
        <w:t>3</w:t>
      </w:r>
      <w:r w:rsidR="00E3444A">
        <w:t>)</w:t>
      </w:r>
      <w:r w:rsidR="00E3444A" w:rsidRPr="003D72C2">
        <w:t>, which involve tens of thousands of B</w:t>
      </w:r>
      <w:r w:rsidR="00BD6B94">
        <w:t>M</w:t>
      </w:r>
      <w:r w:rsidR="00E3444A" w:rsidRPr="003D72C2">
        <w:t xml:space="preserve"> and </w:t>
      </w:r>
      <w:r w:rsidR="00BD6B94">
        <w:t>BF</w:t>
      </w:r>
      <w:r w:rsidR="00E3444A" w:rsidRPr="003D72C2">
        <w:t xml:space="preserve"> suicide victims, </w:t>
      </w:r>
      <w:r w:rsidR="00E3444A">
        <w:t xml:space="preserve">and which </w:t>
      </w:r>
      <w:r w:rsidR="00E3444A" w:rsidRPr="003D72C2">
        <w:t>suggest that B</w:t>
      </w:r>
      <w:r w:rsidR="00BD6B94">
        <w:t>M</w:t>
      </w:r>
      <w:r w:rsidR="00E3444A" w:rsidRPr="003D72C2">
        <w:t xml:space="preserve"> </w:t>
      </w:r>
      <w:r w:rsidR="00E3444A" w:rsidRPr="003D72C2">
        <w:rPr>
          <w:i/>
          <w:iCs/>
        </w:rPr>
        <w:t>tau</w:t>
      </w:r>
      <w:r w:rsidR="00E3444A" w:rsidRPr="003D72C2">
        <w:t xml:space="preserve"> may be closer to 24.11</w:t>
      </w:r>
      <w:r w:rsidR="00E3444A">
        <w:t>2</w:t>
      </w:r>
      <w:r w:rsidR="00E3444A" w:rsidRPr="003D72C2">
        <w:t xml:space="preserve"> and B</w:t>
      </w:r>
      <w:r w:rsidR="00BD6B94">
        <w:t>F</w:t>
      </w:r>
      <w:r w:rsidR="00E3444A" w:rsidRPr="003D72C2">
        <w:t xml:space="preserve"> </w:t>
      </w:r>
      <w:r w:rsidR="00E3444A" w:rsidRPr="003D72C2">
        <w:rPr>
          <w:i/>
          <w:iCs/>
        </w:rPr>
        <w:t>tau</w:t>
      </w:r>
      <w:r w:rsidR="00E3444A" w:rsidRPr="003D72C2">
        <w:t xml:space="preserve"> may indeed be 24.0</w:t>
      </w:r>
      <w:r w:rsidR="00E3444A">
        <w:t>6</w:t>
      </w:r>
      <w:r w:rsidR="00CB714B">
        <w:t>5</w:t>
      </w:r>
      <w:r w:rsidR="00E3444A">
        <w:t xml:space="preserve">. Possibly the Eastman ultradian protocol yields more accurate </w:t>
      </w:r>
      <w:r w:rsidR="00E3444A" w:rsidRPr="00BB1C1A">
        <w:rPr>
          <w:i/>
          <w:iCs/>
        </w:rPr>
        <w:t>tau</w:t>
      </w:r>
      <w:r w:rsidR="00E3444A">
        <w:t xml:space="preserve"> estimates at shorter </w:t>
      </w:r>
      <w:r w:rsidR="00E3444A" w:rsidRPr="00BB1C1A">
        <w:rPr>
          <w:i/>
          <w:iCs/>
        </w:rPr>
        <w:t>tau</w:t>
      </w:r>
      <w:r w:rsidR="00E3444A">
        <w:t xml:space="preserve">. </w:t>
      </w:r>
      <w:r w:rsidR="00BD6B94">
        <w:t>I</w:t>
      </w:r>
      <w:r w:rsidR="00E3444A">
        <w:t xml:space="preserve">n any case, one major finding of the Eastman et al. studies is the </w:t>
      </w:r>
      <w:r w:rsidR="004B3578">
        <w:t xml:space="preserve">that </w:t>
      </w:r>
      <w:r w:rsidR="00E3444A">
        <w:t xml:space="preserve">rank order of </w:t>
      </w:r>
      <w:r w:rsidR="00E3444A" w:rsidRPr="00D706C9">
        <w:rPr>
          <w:i/>
          <w:iCs/>
        </w:rPr>
        <w:t>tau</w:t>
      </w:r>
      <w:r w:rsidR="00E3444A">
        <w:t xml:space="preserve"> by Race (Black </w:t>
      </w:r>
      <w:r w:rsidR="00E3444A" w:rsidRPr="00D706C9">
        <w:rPr>
          <w:i/>
          <w:iCs/>
        </w:rPr>
        <w:t>tau</w:t>
      </w:r>
      <w:r w:rsidR="00E3444A">
        <w:t xml:space="preserve"> &lt; White </w:t>
      </w:r>
      <w:r w:rsidR="00E3444A" w:rsidRPr="00D706C9">
        <w:rPr>
          <w:i/>
          <w:iCs/>
        </w:rPr>
        <w:t>tau</w:t>
      </w:r>
      <w:r w:rsidR="00E3444A">
        <w:t>)</w:t>
      </w:r>
      <w:r w:rsidR="004B3578">
        <w:t xml:space="preserve"> </w:t>
      </w:r>
      <w:r w:rsidR="00E3444A">
        <w:t>appears, as it were, to have been validated by the suicide data</w:t>
      </w:r>
      <w:r w:rsidR="007148E3">
        <w:t xml:space="preserve"> (Figures S</w:t>
      </w:r>
      <w:r w:rsidR="00D22331">
        <w:t>2</w:t>
      </w:r>
      <w:r w:rsidR="007148E3">
        <w:t>, S</w:t>
      </w:r>
      <w:r w:rsidR="00D22331">
        <w:t>3</w:t>
      </w:r>
      <w:r w:rsidR="007148E3">
        <w:t>).</w:t>
      </w:r>
    </w:p>
    <w:p w14:paraId="00FE5C9C" w14:textId="77777777" w:rsidR="007148E3" w:rsidRDefault="007148E3" w:rsidP="00E3444A">
      <w:pPr>
        <w:spacing w:line="480" w:lineRule="auto"/>
      </w:pPr>
    </w:p>
    <w:p w14:paraId="1F525AE8" w14:textId="59F614A9" w:rsidR="007148E3" w:rsidRDefault="00CD1126" w:rsidP="00E3444A">
      <w:pPr>
        <w:spacing w:line="480" w:lineRule="auto"/>
      </w:pPr>
      <w:r>
        <w:rPr>
          <w:noProof/>
          <w14:ligatures w14:val="standardContextual"/>
        </w:rPr>
        <w:drawing>
          <wp:inline distT="0" distB="0" distL="0" distR="0" wp14:anchorId="50838324" wp14:editId="51E8323B">
            <wp:extent cx="5943600" cy="3343275"/>
            <wp:effectExtent l="0" t="0" r="0" b="0"/>
            <wp:docPr id="405449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49783" name="Picture 405449783"/>
                    <pic:cNvPicPr/>
                  </pic:nvPicPr>
                  <pic:blipFill>
                    <a:blip r:embed="rId8"/>
                    <a:stretch>
                      <a:fillRect/>
                    </a:stretch>
                  </pic:blipFill>
                  <pic:spPr>
                    <a:xfrm>
                      <a:off x="0" y="0"/>
                      <a:ext cx="5943600" cy="3343275"/>
                    </a:xfrm>
                    <a:prstGeom prst="rect">
                      <a:avLst/>
                    </a:prstGeom>
                  </pic:spPr>
                </pic:pic>
              </a:graphicData>
            </a:graphic>
          </wp:inline>
        </w:drawing>
      </w:r>
    </w:p>
    <w:p w14:paraId="2D275E5B" w14:textId="77777777" w:rsidR="00FE59A6" w:rsidRDefault="00FE59A6" w:rsidP="007148E3">
      <w:pPr>
        <w:spacing w:line="480" w:lineRule="auto"/>
        <w:rPr>
          <w:b/>
          <w:bCs/>
        </w:rPr>
      </w:pPr>
    </w:p>
    <w:p w14:paraId="2F55A10F" w14:textId="2E69D544" w:rsidR="007148E3" w:rsidRPr="006F10FE" w:rsidRDefault="007148E3" w:rsidP="007148E3">
      <w:pPr>
        <w:spacing w:line="480" w:lineRule="auto"/>
      </w:pPr>
      <w:r w:rsidRPr="007148E3">
        <w:rPr>
          <w:b/>
          <w:bCs/>
        </w:rPr>
        <w:lastRenderedPageBreak/>
        <w:t>Figure S</w:t>
      </w:r>
      <w:r w:rsidR="0092306F">
        <w:rPr>
          <w:b/>
          <w:bCs/>
        </w:rPr>
        <w:t>2</w:t>
      </w:r>
      <w:r w:rsidRPr="007148E3">
        <w:rPr>
          <w:b/>
          <w:bCs/>
        </w:rPr>
        <w:t>. The</w:t>
      </w:r>
      <w:r w:rsidR="00C50DB6">
        <w:rPr>
          <w:b/>
          <w:bCs/>
        </w:rPr>
        <w:t xml:space="preserve"> </w:t>
      </w:r>
      <w:proofErr w:type="spellStart"/>
      <w:proofErr w:type="gramStart"/>
      <w:r w:rsidRPr="007148E3">
        <w:rPr>
          <w:b/>
          <w:bCs/>
        </w:rPr>
        <w:t>Race:Sex</w:t>
      </w:r>
      <w:proofErr w:type="spellEnd"/>
      <w:proofErr w:type="gramEnd"/>
      <w:r w:rsidRPr="007148E3">
        <w:rPr>
          <w:b/>
          <w:bCs/>
        </w:rPr>
        <w:t xml:space="preserve"> gradient</w:t>
      </w:r>
      <w:r w:rsidR="00C50DB6">
        <w:rPr>
          <w:b/>
          <w:bCs/>
        </w:rPr>
        <w:t xml:space="preserve"> in SCN </w:t>
      </w:r>
      <w:r w:rsidR="00C50DB6" w:rsidRPr="00C50DB6">
        <w:rPr>
          <w:b/>
          <w:bCs/>
          <w:i/>
          <w:iCs/>
        </w:rPr>
        <w:t>tau</w:t>
      </w:r>
      <w:r w:rsidRPr="007148E3">
        <w:rPr>
          <w:b/>
          <w:bCs/>
        </w:rPr>
        <w:t>.</w:t>
      </w:r>
      <w:r w:rsidR="006F10FE">
        <w:rPr>
          <w:b/>
          <w:bCs/>
        </w:rPr>
        <w:t xml:space="preserve"> </w:t>
      </w:r>
      <w:r w:rsidR="006F10FE">
        <w:t>The Males and Females of each respective Race have the same colors for visual clarity</w:t>
      </w:r>
      <w:r w:rsidR="00D22331">
        <w:t xml:space="preserve"> of the effects of Race</w:t>
      </w:r>
      <w:r w:rsidR="006F10FE">
        <w:t xml:space="preserve">. Subgroups percentages for each of the </w:t>
      </w:r>
      <w:r w:rsidR="00D22331">
        <w:t>three</w:t>
      </w:r>
      <w:r w:rsidR="006F10FE">
        <w:t xml:space="preserve"> categories were calculated by dividing their </w:t>
      </w:r>
      <w:r w:rsidR="00D22331">
        <w:t xml:space="preserve">suicide </w:t>
      </w:r>
      <w:r w:rsidR="006F10FE">
        <w:t xml:space="preserve">risks by the maximum risk of the subgroup in each respective category: 1) mean annual suicide risk </w:t>
      </w:r>
      <w:r w:rsidR="006F10FE" w:rsidRPr="006F10FE">
        <w:rPr>
          <w:i/>
          <w:iCs/>
        </w:rPr>
        <w:t>m</w:t>
      </w:r>
      <w:r w:rsidR="006F10FE">
        <w:t xml:space="preserve">, 2) photoperiod amplitude of suicide risk </w:t>
      </w:r>
      <w:r w:rsidR="006F10FE" w:rsidRPr="006F10FE">
        <w:rPr>
          <w:i/>
          <w:iCs/>
        </w:rPr>
        <w:t>d</w:t>
      </w:r>
      <w:r w:rsidR="006F10FE">
        <w:t xml:space="preserve">, and 3) Sunspot Amplitude of suicide risk </w:t>
      </w:r>
      <w:r w:rsidR="006F10FE" w:rsidRPr="006F10FE">
        <w:rPr>
          <w:i/>
          <w:iCs/>
        </w:rPr>
        <w:t>SA</w:t>
      </w:r>
      <w:r w:rsidR="006F10FE">
        <w:t xml:space="preserve">. </w:t>
      </w:r>
      <w:r w:rsidR="00C50DB6">
        <w:t xml:space="preserve">For each Race, </w:t>
      </w:r>
      <w:r w:rsidR="00D22331">
        <w:t>M</w:t>
      </w:r>
      <w:r w:rsidR="00C50DB6">
        <w:t xml:space="preserve">ales have higher risks in each category than their </w:t>
      </w:r>
      <w:r w:rsidR="00D22331">
        <w:t>F</w:t>
      </w:r>
      <w:r w:rsidR="00C50DB6">
        <w:t xml:space="preserve">emale counterparts, and the rank ordering of </w:t>
      </w:r>
      <w:r w:rsidR="00D22331">
        <w:t xml:space="preserve">suicide </w:t>
      </w:r>
      <w:r w:rsidR="00C50DB6">
        <w:t xml:space="preserve">risk by Race tends to be preserved. </w:t>
      </w:r>
      <w:r w:rsidR="003B6622">
        <w:t>W</w:t>
      </w:r>
      <w:r w:rsidR="00D22331">
        <w:t>M</w:t>
      </w:r>
      <w:r w:rsidR="003B6622">
        <w:t xml:space="preserve"> and A</w:t>
      </w:r>
      <w:r w:rsidR="00D22331">
        <w:t>IANM</w:t>
      </w:r>
      <w:r w:rsidR="003B6622">
        <w:t xml:space="preserve"> show a marked </w:t>
      </w:r>
      <w:r w:rsidR="00265952">
        <w:t xml:space="preserve">flip-flop </w:t>
      </w:r>
      <w:r w:rsidR="003B6622">
        <w:t>in th</w:t>
      </w:r>
      <w:r w:rsidR="00265952">
        <w:t xml:space="preserve">eir </w:t>
      </w:r>
      <w:r w:rsidR="003B6622">
        <w:t xml:space="preserve">photoperiod and sunspot amplitudes. </w:t>
      </w:r>
      <w:r w:rsidR="00C50DB6">
        <w:t xml:space="preserve">These data are consistent with </w:t>
      </w:r>
      <w:r w:rsidR="003B6622">
        <w:t>a</w:t>
      </w:r>
      <w:r w:rsidR="00C50DB6">
        <w:t xml:space="preserve"> </w:t>
      </w:r>
      <w:proofErr w:type="spellStart"/>
      <w:proofErr w:type="gramStart"/>
      <w:r w:rsidR="00C50DB6">
        <w:t>Race:Sex</w:t>
      </w:r>
      <w:proofErr w:type="spellEnd"/>
      <w:proofErr w:type="gramEnd"/>
      <w:r w:rsidR="00C50DB6">
        <w:t xml:space="preserve"> gradient in SCN </w:t>
      </w:r>
      <w:r w:rsidR="00C50DB6" w:rsidRPr="00C50DB6">
        <w:rPr>
          <w:i/>
          <w:iCs/>
        </w:rPr>
        <w:t>tau</w:t>
      </w:r>
      <w:r w:rsidR="00C50DB6">
        <w:t xml:space="preserve"> </w:t>
      </w:r>
      <w:r w:rsidR="003B6622">
        <w:t xml:space="preserve">that 1) is maintained across </w:t>
      </w:r>
      <w:r w:rsidR="003B6622" w:rsidRPr="003B6622">
        <w:rPr>
          <w:i/>
          <w:iCs/>
        </w:rPr>
        <w:t>m</w:t>
      </w:r>
      <w:r w:rsidR="003B6622">
        <w:t xml:space="preserve"> and </w:t>
      </w:r>
      <w:r w:rsidR="003B6622" w:rsidRPr="003B6622">
        <w:rPr>
          <w:i/>
          <w:iCs/>
        </w:rPr>
        <w:t>d</w:t>
      </w:r>
      <w:r w:rsidR="003B6622">
        <w:t>, and 2) w</w:t>
      </w:r>
      <w:r w:rsidR="00C50DB6">
        <w:t>as first described by Eastman</w:t>
      </w:r>
      <w:r w:rsidR="003B6622">
        <w:t>.</w:t>
      </w:r>
    </w:p>
    <w:p w14:paraId="64A24CBD" w14:textId="77777777" w:rsidR="007148E3" w:rsidRDefault="007148E3" w:rsidP="00E3444A">
      <w:pPr>
        <w:spacing w:line="480" w:lineRule="auto"/>
      </w:pPr>
    </w:p>
    <w:p w14:paraId="316692BB" w14:textId="7C127641" w:rsidR="005302C0" w:rsidRDefault="00CD1126" w:rsidP="00E3444A">
      <w:pPr>
        <w:spacing w:line="480" w:lineRule="auto"/>
        <w:rPr>
          <w:noProof/>
          <w14:ligatures w14:val="standardContextual"/>
        </w:rPr>
      </w:pPr>
      <w:r>
        <w:rPr>
          <w:noProof/>
          <w14:ligatures w14:val="standardContextual"/>
        </w:rPr>
        <w:drawing>
          <wp:inline distT="0" distB="0" distL="0" distR="0" wp14:anchorId="6B4F84A9" wp14:editId="5E9F9FE5">
            <wp:extent cx="5943600" cy="3343275"/>
            <wp:effectExtent l="0" t="0" r="0" b="0"/>
            <wp:docPr id="649300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0359" name="Picture 649300359"/>
                    <pic:cNvPicPr/>
                  </pic:nvPicPr>
                  <pic:blipFill>
                    <a:blip r:embed="rId9"/>
                    <a:stretch>
                      <a:fillRect/>
                    </a:stretch>
                  </pic:blipFill>
                  <pic:spPr>
                    <a:xfrm>
                      <a:off x="0" y="0"/>
                      <a:ext cx="5943600" cy="3343275"/>
                    </a:xfrm>
                    <a:prstGeom prst="rect">
                      <a:avLst/>
                    </a:prstGeom>
                  </pic:spPr>
                </pic:pic>
              </a:graphicData>
            </a:graphic>
          </wp:inline>
        </w:drawing>
      </w:r>
    </w:p>
    <w:p w14:paraId="219BCC4C" w14:textId="77777777" w:rsidR="00FE59A6" w:rsidRDefault="00FE59A6" w:rsidP="00E3444A">
      <w:pPr>
        <w:spacing w:line="480" w:lineRule="auto"/>
      </w:pPr>
    </w:p>
    <w:p w14:paraId="0334A971" w14:textId="165676E7" w:rsidR="00BB4953" w:rsidRDefault="00910410" w:rsidP="005302C0">
      <w:pPr>
        <w:spacing w:line="480" w:lineRule="auto"/>
      </w:pPr>
      <w:r w:rsidRPr="00B53085">
        <w:rPr>
          <w:b/>
          <w:bCs/>
        </w:rPr>
        <w:t>Figure S</w:t>
      </w:r>
      <w:r w:rsidR="0092306F">
        <w:rPr>
          <w:b/>
          <w:bCs/>
        </w:rPr>
        <w:t>3</w:t>
      </w:r>
      <w:r w:rsidRPr="00B53085">
        <w:rPr>
          <w:b/>
          <w:bCs/>
        </w:rPr>
        <w:t xml:space="preserve">. </w:t>
      </w:r>
      <w:r>
        <w:rPr>
          <w:b/>
          <w:bCs/>
        </w:rPr>
        <w:t>The e</w:t>
      </w:r>
      <w:r w:rsidRPr="00B53085">
        <w:rPr>
          <w:b/>
          <w:bCs/>
        </w:rPr>
        <w:t xml:space="preserve">xtrapolated </w:t>
      </w:r>
      <w:r w:rsidRPr="00B53085">
        <w:rPr>
          <w:b/>
          <w:bCs/>
          <w:i/>
          <w:iCs/>
        </w:rPr>
        <w:t>tau</w:t>
      </w:r>
      <w:r w:rsidRPr="00B53085">
        <w:rPr>
          <w:b/>
          <w:bCs/>
        </w:rPr>
        <w:t xml:space="preserve"> values for the subgroups with “missing” </w:t>
      </w:r>
      <w:r w:rsidRPr="00B53085">
        <w:rPr>
          <w:b/>
          <w:bCs/>
          <w:i/>
          <w:iCs/>
        </w:rPr>
        <w:t>tau</w:t>
      </w:r>
      <w:r w:rsidRPr="00B53085">
        <w:rPr>
          <w:b/>
          <w:bCs/>
        </w:rPr>
        <w:t xml:space="preserve"> values. </w:t>
      </w:r>
      <w:r w:rsidRPr="00B53085">
        <w:t xml:space="preserve">Under the assumption that </w:t>
      </w:r>
      <w:r w:rsidRPr="00B53085">
        <w:rPr>
          <w:i/>
          <w:iCs/>
        </w:rPr>
        <w:t>m</w:t>
      </w:r>
      <w:r w:rsidRPr="00B53085">
        <w:t xml:space="preserve"> scales exactly linearly with </w:t>
      </w:r>
      <w:r w:rsidRPr="00B53085">
        <w:rPr>
          <w:i/>
          <w:iCs/>
        </w:rPr>
        <w:t>tau</w:t>
      </w:r>
      <w:r w:rsidRPr="00B53085">
        <w:t xml:space="preserve">, the </w:t>
      </w:r>
      <w:r w:rsidRPr="00B53085">
        <w:rPr>
          <w:i/>
          <w:iCs/>
        </w:rPr>
        <w:t>tau</w:t>
      </w:r>
      <w:r w:rsidRPr="00B53085">
        <w:t xml:space="preserve"> for the subgroups with “missing” </w:t>
      </w:r>
      <w:r w:rsidRPr="00B53085">
        <w:rPr>
          <w:i/>
          <w:iCs/>
        </w:rPr>
        <w:lastRenderedPageBreak/>
        <w:t>tau</w:t>
      </w:r>
      <w:r w:rsidRPr="00B53085">
        <w:t xml:space="preserve"> were extrapolated from their </w:t>
      </w:r>
      <w:r w:rsidRPr="00B53085">
        <w:rPr>
          <w:i/>
          <w:iCs/>
        </w:rPr>
        <w:t>m</w:t>
      </w:r>
      <w:r w:rsidRPr="00B53085">
        <w:t xml:space="preserve"> values by plotting these subgroup’s </w:t>
      </w:r>
      <w:r w:rsidRPr="00B53085">
        <w:rPr>
          <w:i/>
          <w:iCs/>
        </w:rPr>
        <w:t>m</w:t>
      </w:r>
      <w:r w:rsidRPr="00B53085">
        <w:t xml:space="preserve"> according to the Duffy et al. slope in Fig</w:t>
      </w:r>
      <w:r>
        <w:t>ure</w:t>
      </w:r>
      <w:r w:rsidRPr="00B53085">
        <w:t xml:space="preserve"> </w:t>
      </w:r>
      <w:r>
        <w:t>7</w:t>
      </w:r>
      <w:r w:rsidRPr="00B53085">
        <w:t xml:space="preserve"> for White </w:t>
      </w:r>
      <w:r w:rsidR="005C4CA9">
        <w:t>M</w:t>
      </w:r>
      <w:r w:rsidRPr="00B53085">
        <w:t xml:space="preserve">ales and </w:t>
      </w:r>
      <w:r w:rsidR="005C4CA9">
        <w:t>F</w:t>
      </w:r>
      <w:r w:rsidRPr="00B53085">
        <w:t>emales.</w:t>
      </w:r>
      <w:r w:rsidR="00D57BCA">
        <w:t xml:space="preserve"> Extrapolated </w:t>
      </w:r>
      <w:r w:rsidR="00D57BCA" w:rsidRPr="00D57BCA">
        <w:rPr>
          <w:i/>
          <w:iCs/>
        </w:rPr>
        <w:t>tau</w:t>
      </w:r>
      <w:r w:rsidR="00D57BCA">
        <w:t xml:space="preserve"> values were BM = 24.112, BF = 24.06</w:t>
      </w:r>
      <w:r w:rsidR="006A2E89">
        <w:t>5</w:t>
      </w:r>
      <w:r w:rsidR="00D57BCA">
        <w:t>, APIM</w:t>
      </w:r>
      <w:r w:rsidR="006A2E89">
        <w:t xml:space="preserve"> = 24.104</w:t>
      </w:r>
      <w:r w:rsidR="00D57BCA">
        <w:t>, APIF</w:t>
      </w:r>
      <w:r w:rsidR="006A2E89">
        <w:t xml:space="preserve"> = 24.073</w:t>
      </w:r>
      <w:r w:rsidR="00D57BCA">
        <w:t xml:space="preserve">, </w:t>
      </w:r>
      <w:r w:rsidR="006A2E89">
        <w:t xml:space="preserve">and </w:t>
      </w:r>
      <w:r w:rsidR="00D57BCA">
        <w:t>AIANM</w:t>
      </w:r>
      <w:r w:rsidR="006A2E89">
        <w:t xml:space="preserve"> = 24.158</w:t>
      </w:r>
      <w:r w:rsidR="00D57BCA">
        <w:t xml:space="preserve">. </w:t>
      </w:r>
    </w:p>
    <w:p w14:paraId="7D269B7B" w14:textId="77777777" w:rsidR="00B57F0F" w:rsidRDefault="00B57F0F" w:rsidP="005302C0">
      <w:pPr>
        <w:spacing w:line="480" w:lineRule="auto"/>
      </w:pPr>
    </w:p>
    <w:p w14:paraId="57D81D36" w14:textId="49E9F173" w:rsidR="00B57F0F" w:rsidRPr="00B53085" w:rsidRDefault="00B57F0F" w:rsidP="005302C0">
      <w:pPr>
        <w:spacing w:line="480" w:lineRule="auto"/>
      </w:pPr>
      <w:r w:rsidRPr="00B57F0F">
        <w:rPr>
          <w:b/>
          <w:bCs/>
        </w:rPr>
        <w:t xml:space="preserve">Section S4. Is there any evidence that </w:t>
      </w:r>
      <w:r w:rsidRPr="00FD2696">
        <w:rPr>
          <w:b/>
          <w:bCs/>
          <w:i/>
          <w:iCs/>
        </w:rPr>
        <w:t>tau</w:t>
      </w:r>
      <w:r w:rsidRPr="00B57F0F">
        <w:rPr>
          <w:b/>
          <w:bCs/>
        </w:rPr>
        <w:t xml:space="preserve"> can vary positively with daylength in </w:t>
      </w:r>
      <w:r w:rsidR="002B01C5">
        <w:rPr>
          <w:b/>
          <w:bCs/>
        </w:rPr>
        <w:t>the natural solar</w:t>
      </w:r>
      <w:r w:rsidRPr="00B57F0F">
        <w:rPr>
          <w:b/>
          <w:bCs/>
        </w:rPr>
        <w:t xml:space="preserve"> LD photoperiod?</w:t>
      </w:r>
      <w:r w:rsidRPr="00B57F0F">
        <w:t xml:space="preserve"> </w:t>
      </w:r>
      <w:r w:rsidR="002B01C5">
        <w:t xml:space="preserve">With regard to 1) the </w:t>
      </w:r>
      <w:r w:rsidR="002B01C5" w:rsidRPr="00892AAC">
        <w:rPr>
          <w:i/>
          <w:iCs/>
        </w:rPr>
        <w:t>relative</w:t>
      </w:r>
      <w:r w:rsidR="002B01C5">
        <w:t xml:space="preserve"> incremental changes in </w:t>
      </w:r>
      <w:r w:rsidR="002B01C5" w:rsidRPr="005C1617">
        <w:rPr>
          <w:i/>
          <w:iCs/>
        </w:rPr>
        <w:t>tau</w:t>
      </w:r>
      <w:r w:rsidR="002B01C5">
        <w:t xml:space="preserve"> in the changing natural solar photoperiod, and hence, 2) the plasticity of </w:t>
      </w:r>
      <w:r w:rsidR="002B01C5" w:rsidRPr="00892AAC">
        <w:rPr>
          <w:i/>
          <w:iCs/>
        </w:rPr>
        <w:t>tau</w:t>
      </w:r>
      <w:r w:rsidR="002B01C5">
        <w:t xml:space="preserve">, Eastman’s ultradian protocol appears to have yielded another important finding regarding the late-spring seasonal </w:t>
      </w:r>
      <w:proofErr w:type="spellStart"/>
      <w:r w:rsidR="002B01C5">
        <w:t>acrophase</w:t>
      </w:r>
      <w:proofErr w:type="spellEnd"/>
      <w:r w:rsidR="002B01C5">
        <w:t xml:space="preserve"> of </w:t>
      </w:r>
      <w:r w:rsidR="002B01C5" w:rsidRPr="002F3A72">
        <w:rPr>
          <w:i/>
          <w:iCs/>
        </w:rPr>
        <w:t>tau</w:t>
      </w:r>
      <w:r w:rsidR="002B01C5">
        <w:t xml:space="preserve"> that is consistent with the role of </w:t>
      </w:r>
      <w:r w:rsidR="002B01C5" w:rsidRPr="002E2C82">
        <w:rPr>
          <w:i/>
          <w:iCs/>
        </w:rPr>
        <w:t>tau</w:t>
      </w:r>
      <w:r w:rsidR="002B01C5">
        <w:t xml:space="preserve"> in the peak seasonality of suicide. </w:t>
      </w:r>
      <w:r>
        <w:t>Pittendrigh and Daan’s surprising and paradoxical finding</w:t>
      </w:r>
      <w:r>
        <w:fldChar w:fldCharType="begin">
          <w:fldData xml:space="preserve">PEVuZE5vdGU+PENpdGU+PEF1dGhvcj5QaXR0ZW5kcmlnaDwvQXV0aG9yPjxZZWFyPjE5NzZhPC9Z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</w:fldData>
        </w:fldChar>
      </w:r>
      <w:r>
        <w:instrText xml:space="preserve"> ADDIN EN.JS.CITE </w:instrText>
      </w:r>
      <w:r>
        <w:fldChar w:fldCharType="separate"/>
      </w:r>
      <w:r w:rsidR="00741DFA" w:rsidRPr="00741DFA">
        <w:rPr>
          <w:noProof/>
          <w:vertAlign w:val="superscript"/>
        </w:rPr>
        <w:t>5</w:t>
      </w:r>
      <w:r>
        <w:fldChar w:fldCharType="end"/>
      </w:r>
      <w:r>
        <w:t xml:space="preserve"> that </w:t>
      </w:r>
      <w:r w:rsidRPr="00FD2696">
        <w:rPr>
          <w:i/>
          <w:iCs/>
        </w:rPr>
        <w:t>increases</w:t>
      </w:r>
      <w:r>
        <w:t xml:space="preserve"> in photoperiod (LD) </w:t>
      </w:r>
      <w:r w:rsidR="00FD2696" w:rsidRPr="00FD2696">
        <w:rPr>
          <w:i/>
          <w:iCs/>
        </w:rPr>
        <w:t>decreases</w:t>
      </w:r>
      <w:r>
        <w:t xml:space="preserve"> </w:t>
      </w:r>
      <w:r w:rsidRPr="00F923EA">
        <w:rPr>
          <w:i/>
          <w:iCs/>
        </w:rPr>
        <w:t>tau</w:t>
      </w:r>
      <w:r>
        <w:t xml:space="preserve"> in nocturnal rodents was seemingly contrary to Aschoff’s rule</w:t>
      </w:r>
      <w:r>
        <w:fldChar w:fldCharType="begin">
          <w:fldData xml:space="preserve">PEVuZE5vdGU+PENpdGU+PEF1dGhvcj5Bc2Nob2ZmPC9BdXRob3I+PFllYXI+MTk2MDwvWWVhcj48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=
</w:fldData>
        </w:fldChar>
      </w:r>
      <w:r>
        <w:instrText xml:space="preserve"> ADDIN EN.JS.CITE </w:instrText>
      </w:r>
      <w:r>
        <w:fldChar w:fldCharType="separate"/>
      </w:r>
      <w:r w:rsidR="00741DFA" w:rsidRPr="00741DFA">
        <w:rPr>
          <w:noProof/>
          <w:vertAlign w:val="superscript"/>
        </w:rPr>
        <w:t>6</w:t>
      </w:r>
      <w:r>
        <w:fldChar w:fldCharType="end"/>
      </w:r>
      <w:r w:rsidR="000F6BF9">
        <w:t>,</w:t>
      </w:r>
      <w:r w:rsidR="00FD2696">
        <w:t xml:space="preserve"> </w:t>
      </w:r>
      <w:r>
        <w:t xml:space="preserve">which states that increases in light intensity in constant light (LL) </w:t>
      </w:r>
      <w:r w:rsidR="00FD2696" w:rsidRPr="00FD2696">
        <w:rPr>
          <w:i/>
          <w:iCs/>
        </w:rPr>
        <w:t>increases</w:t>
      </w:r>
      <w:r>
        <w:t xml:space="preserve"> </w:t>
      </w:r>
      <w:r w:rsidRPr="003B54BD">
        <w:rPr>
          <w:i/>
          <w:iCs/>
        </w:rPr>
        <w:t>tau</w:t>
      </w:r>
      <w:r>
        <w:t xml:space="preserve"> in </w:t>
      </w:r>
      <w:r w:rsidR="00FD2696">
        <w:t>noct</w:t>
      </w:r>
      <w:r>
        <w:t>urnal organisms. Assuming Pittendrigh’s paradoxical ‘photoperiod LD rule</w:t>
      </w:r>
      <w:r w:rsidR="00FD2696">
        <w:t xml:space="preserve"> of </w:t>
      </w:r>
      <w:r w:rsidR="00FD2696" w:rsidRPr="00FD2696">
        <w:rPr>
          <w:i/>
          <w:iCs/>
        </w:rPr>
        <w:t>tau</w:t>
      </w:r>
      <w:r>
        <w:t xml:space="preserve">’ bears some theoretical symmetry with Aschoff’s </w:t>
      </w:r>
      <w:r w:rsidR="00FD2696">
        <w:t xml:space="preserve">‘constant light </w:t>
      </w:r>
      <w:r>
        <w:t>LL rule</w:t>
      </w:r>
      <w:r w:rsidR="00FD2696">
        <w:t xml:space="preserve"> of </w:t>
      </w:r>
      <w:r w:rsidR="00FD2696" w:rsidRPr="00FD2696">
        <w:rPr>
          <w:i/>
          <w:iCs/>
        </w:rPr>
        <w:t>tau</w:t>
      </w:r>
      <w:r>
        <w:t>,</w:t>
      </w:r>
      <w:r w:rsidR="00FD2696">
        <w:t>’ then</w:t>
      </w:r>
      <w:r>
        <w:t xml:space="preserve"> Pittendrigh’s paradoxical finding would predict that </w:t>
      </w:r>
      <w:r w:rsidRPr="00FD2696">
        <w:rPr>
          <w:i/>
          <w:iCs/>
        </w:rPr>
        <w:t>increases</w:t>
      </w:r>
      <w:r>
        <w:t xml:space="preserve"> in light intensity during LD </w:t>
      </w:r>
      <w:r w:rsidRPr="00FD2696">
        <w:rPr>
          <w:i/>
          <w:iCs/>
        </w:rPr>
        <w:t>increases</w:t>
      </w:r>
      <w:r>
        <w:t xml:space="preserve"> </w:t>
      </w:r>
      <w:r w:rsidRPr="0066168F">
        <w:rPr>
          <w:i/>
          <w:iCs/>
        </w:rPr>
        <w:t>tau</w:t>
      </w:r>
      <w:r>
        <w:t xml:space="preserve"> in diurnal humans. In</w:t>
      </w:r>
      <w:r w:rsidR="00FD2696">
        <w:t xml:space="preserve"> fact</w:t>
      </w:r>
      <w:r>
        <w:t>, this</w:t>
      </w:r>
      <w:r w:rsidR="00FD2696">
        <w:t xml:space="preserve"> prediction</w:t>
      </w:r>
      <w:r>
        <w:t xml:space="preserve"> </w:t>
      </w:r>
      <w:r w:rsidR="002B01C5">
        <w:t xml:space="preserve">was </w:t>
      </w:r>
      <w:r>
        <w:t xml:space="preserve">recently </w:t>
      </w:r>
      <w:r w:rsidR="002B01C5">
        <w:t xml:space="preserve">and clearly </w:t>
      </w:r>
      <w:r>
        <w:t>confirmed in a diurnal rodent species</w:t>
      </w:r>
      <w:r>
        <w:fldChar w:fldCharType="begin">
          <w:fldData xml:space="preserve">PEVuZE5vdGU+PENpdGU+PEF1dGhvcj5CYW5vLU90YWxvcmE8L0F1dGhvcj48WWVhcj4yMDIxPC9Z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IFVuaXRlZCBTdGF0ZXMgb2YgQW1lcmljYTwvZnVsbC10aXRsZT48YWJici0xPlByb2MuIE5hdGwu
IEFjYWQuIFNjaS4gVS4gUy4gQS48L2FiYnItMT48YWJici0yPlByb2MgTmF0bCBBY2FkIFNjaSBV
IFMgQTwvYWJici0yPjwvcGVyaW9kaWNhbD48cGFnZXM+ZTIxMDAwOTQxMTg8L3BhZ2VzPjx2b2x1
bWU+MTE4PC92b2x1bWU+PGRhdGVzPjx5ZWFyPjIwMjE8L3llYXI+PC9kYXRlcz48ZWxlY3Ryb25p
Yy1yZXNvdXJjZS1udW0+MTAuMTA3My9wbmFzLjIxMDAwOTQxMTg8L2VsZWN0cm9uaWMtcmVzb3Vy
Y2UtbnVtPjwvcmVjb3JkPjwvQ2l0ZT48L0VuZE5vdGU+
</w:fldData>
        </w:fldChar>
      </w:r>
      <w:r>
        <w:instrText xml:space="preserve"> ADDIN EN.JS.CITE </w:instrText>
      </w:r>
      <w:r>
        <w:fldChar w:fldCharType="separate"/>
      </w:r>
      <w:r w:rsidR="00741DFA" w:rsidRPr="00741DFA">
        <w:rPr>
          <w:noProof/>
          <w:vertAlign w:val="superscript"/>
        </w:rPr>
        <w:t>7</w:t>
      </w:r>
      <w:r>
        <w:fldChar w:fldCharType="end"/>
      </w:r>
      <w:r w:rsidR="000F6BF9">
        <w:t xml:space="preserve">. </w:t>
      </w:r>
      <w:r w:rsidR="002B01C5">
        <w:t>Although</w:t>
      </w:r>
      <w:r>
        <w:t xml:space="preserve"> Jewett and Kronauer</w:t>
      </w:r>
      <w:r>
        <w:fldChar w:fldCharType="begin">
          <w:fldData xml:space="preserve">PEVuZE5vdGU+PENpdGU+PEF1dGhvcj5KZXdldHQ8L0F1dGhvcj48WWVhcj4xOTk4PC9ZZWFyPjxS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=
</w:fldData>
        </w:fldChar>
      </w:r>
      <w:r>
        <w:instrText xml:space="preserve"> ADDIN EN.JS.CITE </w:instrText>
      </w:r>
      <w:r>
        <w:fldChar w:fldCharType="separate"/>
      </w:r>
      <w:r w:rsidR="00741DFA" w:rsidRPr="00741DFA">
        <w:rPr>
          <w:noProof/>
          <w:vertAlign w:val="superscript"/>
        </w:rPr>
        <w:t>8</w:t>
      </w:r>
      <w:r>
        <w:fldChar w:fldCharType="end"/>
      </w:r>
      <w:r>
        <w:t xml:space="preserve"> incorporated a </w:t>
      </w:r>
      <w:r w:rsidRPr="00530628">
        <w:rPr>
          <w:i/>
          <w:iCs/>
        </w:rPr>
        <w:t>tau</w:t>
      </w:r>
      <w:r>
        <w:t xml:space="preserve">-shortening effect of light intensity into their mathematical model of the light sensitivity of the SCN limit cycle oscillator in humans, </w:t>
      </w:r>
      <w:r w:rsidR="002B01C5">
        <w:t xml:space="preserve">this was </w:t>
      </w:r>
      <w:r>
        <w:t xml:space="preserve">based in part on the phase and amplitude responses of the SCN to bright light administered not only during the habitual light phase, but also during the habitual dark phase, thereby leaving </w:t>
      </w:r>
      <w:r w:rsidR="00FD2696">
        <w:t xml:space="preserve">unchallenged the inference that </w:t>
      </w:r>
      <w:r>
        <w:t>increas</w:t>
      </w:r>
      <w:r w:rsidR="003A080F">
        <w:t xml:space="preserve">es in </w:t>
      </w:r>
      <w:r>
        <w:t>light intensity</w:t>
      </w:r>
      <w:r w:rsidR="00FD2696">
        <w:t>/</w:t>
      </w:r>
      <w:r>
        <w:t>duration restricted to the l</w:t>
      </w:r>
      <w:r w:rsidR="003A080F">
        <w:t xml:space="preserve">ight phase in </w:t>
      </w:r>
      <w:r>
        <w:t>LD lengthen</w:t>
      </w:r>
      <w:r w:rsidR="00FD2696">
        <w:t>s</w:t>
      </w:r>
      <w:r>
        <w:t xml:space="preserve"> human </w:t>
      </w:r>
      <w:r w:rsidRPr="00906109">
        <w:rPr>
          <w:i/>
          <w:iCs/>
        </w:rPr>
        <w:t>tau</w:t>
      </w:r>
      <w:r>
        <w:t>.</w:t>
      </w:r>
    </w:p>
    <w:p w14:paraId="3CBB0F51" w14:textId="77777777" w:rsidR="00740F1C" w:rsidRPr="00C70810" w:rsidRDefault="00740F1C" w:rsidP="00E3444A">
      <w:pPr>
        <w:spacing w:line="480" w:lineRule="auto"/>
      </w:pPr>
    </w:p>
    <w:p w14:paraId="57F3B850" w14:textId="77777777" w:rsidR="001113D7" w:rsidRPr="001113D7" w:rsidRDefault="001113D7">
      <w:pPr>
        <w:rPr>
          <w:b/>
          <w:bCs/>
        </w:rPr>
      </w:pPr>
    </w:p>
    <w:p w14:paraId="6BF55A01" w14:textId="121EABE3" w:rsidR="001113D7" w:rsidRDefault="001113D7">
      <w:pPr>
        <w:rPr>
          <w:b/>
          <w:bCs/>
        </w:rPr>
      </w:pPr>
      <w:r w:rsidRPr="001113D7">
        <w:rPr>
          <w:b/>
          <w:bCs/>
        </w:rPr>
        <w:t>Supplementary References</w:t>
      </w:r>
    </w:p>
    <w:p w14:paraId="386D6DE5" w14:textId="77777777" w:rsidR="000F6BF9" w:rsidRDefault="000F6BF9" w:rsidP="000F6BF9">
      <w:pPr>
        <w:spacing w:line="480" w:lineRule="auto"/>
      </w:pPr>
    </w:p>
    <w:p w14:paraId="638C3462" w14:textId="77777777" w:rsidR="000F6BF9" w:rsidRDefault="000F6BF9" w:rsidP="00741DFA">
      <w:pPr>
        <w:spacing w:line="480" w:lineRule="auto"/>
        <w:ind w:left="360" w:hanging="360"/>
      </w:pPr>
    </w:p>
    <w:sdt>
      <w:sdtPr>
        <w:tag w:val="EndNote.ReferenceList"/>
        <w:id w:val="-1111584341"/>
        <w:placeholder>
          <w:docPart w:val="DefaultPlaceholder_-1854013440"/>
        </w:placeholder>
      </w:sdtPr>
      <w:sdtContent>
        <w:p w14:paraId="7339CB11" w14:textId="6EB666AF" w:rsidR="00741DFA" w:rsidRPr="00741DFA" w:rsidRDefault="00741DFA" w:rsidP="00741DFA">
          <w:pPr>
            <w:pStyle w:val="EndNoteBibliography"/>
            <w:spacing w:line="480" w:lineRule="auto"/>
            <w:ind w:left="720" w:hanging="720"/>
            <w:rPr>
              <w:noProof/>
            </w:rPr>
          </w:pPr>
          <w:r w:rsidRPr="00741DFA">
            <w:rPr>
              <w:noProof/>
            </w:rPr>
            <w:t>1</w:t>
          </w:r>
          <w:r w:rsidRPr="00741DFA">
            <w:rPr>
              <w:noProof/>
            </w:rPr>
            <w:tab/>
            <w:t xml:space="preserve">Eastman, C. I., Tomaka, V. A. &amp; Crowley, S. J. Sex and ancestry determine the free-running circadian period. </w:t>
          </w:r>
          <w:r w:rsidRPr="00741DFA">
            <w:rPr>
              <w:i/>
              <w:noProof/>
            </w:rPr>
            <w:t>J. Sleep Res.</w:t>
          </w:r>
          <w:r w:rsidRPr="00741DFA">
            <w:rPr>
              <w:noProof/>
            </w:rPr>
            <w:t xml:space="preserve"> </w:t>
          </w:r>
          <w:r w:rsidRPr="00741DFA">
            <w:rPr>
              <w:b/>
              <w:noProof/>
            </w:rPr>
            <w:t>26</w:t>
          </w:r>
          <w:r w:rsidRPr="00741DFA">
            <w:rPr>
              <w:noProof/>
            </w:rPr>
            <w:t xml:space="preserve">, 547-550 (2017). </w:t>
          </w:r>
          <w:hyperlink r:id="rId10" w:history="1">
            <w:r w:rsidRPr="00741DFA">
              <w:rPr>
                <w:rStyle w:val="Hyperlink"/>
                <w:noProof/>
              </w:rPr>
              <w:t>https://doi.org/</w:t>
            </w:r>
          </w:hyperlink>
          <w:r w:rsidRPr="00741DFA">
            <w:rPr>
              <w:noProof/>
            </w:rPr>
            <w:t xml:space="preserve"> 10.1111/jsr.12521</w:t>
          </w:r>
        </w:p>
        <w:p w14:paraId="2BA28F01" w14:textId="27C14D8F" w:rsidR="00741DFA" w:rsidRPr="00741DFA" w:rsidRDefault="00741DFA" w:rsidP="00741DFA">
          <w:pPr>
            <w:pStyle w:val="EndNoteBibliography"/>
            <w:spacing w:line="480" w:lineRule="auto"/>
            <w:ind w:left="720" w:hanging="720"/>
            <w:rPr>
              <w:noProof/>
            </w:rPr>
          </w:pPr>
          <w:r w:rsidRPr="00741DFA">
            <w:rPr>
              <w:noProof/>
            </w:rPr>
            <w:t>2</w:t>
          </w:r>
          <w:r w:rsidRPr="00741DFA">
            <w:rPr>
              <w:noProof/>
            </w:rPr>
            <w:tab/>
            <w:t>Duffy, J. F.</w:t>
          </w:r>
          <w:r w:rsidRPr="00741DFA">
            <w:rPr>
              <w:i/>
              <w:noProof/>
            </w:rPr>
            <w:t xml:space="preserve"> et al.</w:t>
          </w:r>
          <w:r w:rsidRPr="00741DFA">
            <w:rPr>
              <w:noProof/>
            </w:rPr>
            <w:t xml:space="preserve"> Sex difference in the near-24-hour intrinsic period of the human circadian timing system. </w:t>
          </w:r>
          <w:r w:rsidRPr="00741DFA">
            <w:rPr>
              <w:i/>
              <w:noProof/>
            </w:rPr>
            <w:t>Proc. Natl. Acad. Sci. U. S. A.</w:t>
          </w:r>
          <w:r w:rsidRPr="00741DFA">
            <w:rPr>
              <w:noProof/>
            </w:rPr>
            <w:t xml:space="preserve"> </w:t>
          </w:r>
          <w:r w:rsidRPr="00741DFA">
            <w:rPr>
              <w:b/>
              <w:noProof/>
            </w:rPr>
            <w:t>108</w:t>
          </w:r>
          <w:r w:rsidRPr="00741DFA">
            <w:rPr>
              <w:noProof/>
            </w:rPr>
            <w:t xml:space="preserve">, 115602-156608 (2011). </w:t>
          </w:r>
          <w:hyperlink r:id="rId11" w:history="1">
            <w:r w:rsidRPr="00741DFA">
              <w:rPr>
                <w:rStyle w:val="Hyperlink"/>
                <w:noProof/>
              </w:rPr>
              <w:t>https://doi.org/10.1073/pnas.1010666108</w:t>
            </w:r>
          </w:hyperlink>
        </w:p>
        <w:p w14:paraId="4EEF9E04" w14:textId="77777777" w:rsidR="00741DFA" w:rsidRPr="00741DFA" w:rsidRDefault="00741DFA" w:rsidP="00741DFA">
          <w:pPr>
            <w:pStyle w:val="EndNoteBibliography"/>
            <w:spacing w:line="480" w:lineRule="auto"/>
            <w:ind w:left="720" w:hanging="720"/>
            <w:rPr>
              <w:noProof/>
            </w:rPr>
          </w:pPr>
          <w:r w:rsidRPr="00741DFA">
            <w:rPr>
              <w:noProof/>
            </w:rPr>
            <w:t>3</w:t>
          </w:r>
          <w:r w:rsidRPr="00741DFA">
            <w:rPr>
              <w:noProof/>
            </w:rPr>
            <w:tab/>
            <w:t xml:space="preserve">Burgess, H. J. &amp; Eastman, C. I. Human tau in an ultradian light-dark cycle. </w:t>
          </w:r>
          <w:r w:rsidRPr="00741DFA">
            <w:rPr>
              <w:i/>
              <w:noProof/>
            </w:rPr>
            <w:t>J. Biol. Rhythms</w:t>
          </w:r>
          <w:r w:rsidRPr="00741DFA">
            <w:rPr>
              <w:noProof/>
            </w:rPr>
            <w:t xml:space="preserve"> </w:t>
          </w:r>
          <w:r w:rsidRPr="00741DFA">
            <w:rPr>
              <w:b/>
              <w:noProof/>
            </w:rPr>
            <w:t>23</w:t>
          </w:r>
          <w:r w:rsidRPr="00741DFA">
            <w:rPr>
              <w:noProof/>
            </w:rPr>
            <w:t xml:space="preserve">, 374-376 (2008). </w:t>
          </w:r>
        </w:p>
        <w:p w14:paraId="19652A70" w14:textId="3FEB91B9" w:rsidR="00741DFA" w:rsidRPr="00741DFA" w:rsidRDefault="00741DFA" w:rsidP="00741DFA">
          <w:pPr>
            <w:pStyle w:val="EndNoteBibliography"/>
            <w:spacing w:line="480" w:lineRule="auto"/>
            <w:ind w:left="720" w:hanging="720"/>
            <w:rPr>
              <w:noProof/>
            </w:rPr>
          </w:pPr>
          <w:r w:rsidRPr="00741DFA">
            <w:rPr>
              <w:noProof/>
            </w:rPr>
            <w:t>4</w:t>
          </w:r>
          <w:r w:rsidRPr="00741DFA">
            <w:rPr>
              <w:noProof/>
            </w:rPr>
            <w:tab/>
            <w:t xml:space="preserve">Klerman, E. B., Dijk, D. J., Kronauer, R. E. &amp; Czeisler, C. A. Simulations of light effects on the human circadian pacemaker: implications for assessment of intrinsic period. </w:t>
          </w:r>
          <w:r w:rsidRPr="00741DFA">
            <w:rPr>
              <w:i/>
              <w:noProof/>
            </w:rPr>
            <w:t>Am. J. Physiol.</w:t>
          </w:r>
          <w:r w:rsidRPr="00741DFA">
            <w:rPr>
              <w:noProof/>
            </w:rPr>
            <w:t xml:space="preserve"> </w:t>
          </w:r>
          <w:r w:rsidRPr="00741DFA">
            <w:rPr>
              <w:b/>
              <w:noProof/>
            </w:rPr>
            <w:t>270</w:t>
          </w:r>
          <w:r w:rsidRPr="00741DFA">
            <w:rPr>
              <w:noProof/>
            </w:rPr>
            <w:t xml:space="preserve">, R271-R282 (1996). </w:t>
          </w:r>
          <w:hyperlink r:id="rId12" w:history="1">
            <w:r w:rsidRPr="00741DFA">
              <w:rPr>
                <w:rStyle w:val="Hyperlink"/>
                <w:noProof/>
              </w:rPr>
              <w:t>https://doi.org/10.1152/ajpregu.1996.270.1.R271</w:t>
            </w:r>
          </w:hyperlink>
        </w:p>
        <w:p w14:paraId="4C47DB6E" w14:textId="269C1262" w:rsidR="00741DFA" w:rsidRPr="00741DFA" w:rsidRDefault="00741DFA" w:rsidP="00741DFA">
          <w:pPr>
            <w:pStyle w:val="EndNoteBibliography"/>
            <w:spacing w:line="480" w:lineRule="auto"/>
            <w:ind w:left="720" w:hanging="720"/>
            <w:rPr>
              <w:noProof/>
            </w:rPr>
          </w:pPr>
          <w:r w:rsidRPr="00741DFA">
            <w:rPr>
              <w:noProof/>
            </w:rPr>
            <w:t>5</w:t>
          </w:r>
          <w:r w:rsidRPr="00741DFA">
            <w:rPr>
              <w:noProof/>
            </w:rPr>
            <w:tab/>
            <w:t xml:space="preserve">Pittendrigh, C. S. &amp; Daan, S. A functional analysis of circadian pacemakers in nocturnal rodents. I. The stability and lability of spontaneous frequency. </w:t>
          </w:r>
          <w:r w:rsidRPr="00741DFA">
            <w:rPr>
              <w:i/>
              <w:noProof/>
            </w:rPr>
            <w:t>J. Comp. Physiol.</w:t>
          </w:r>
          <w:r w:rsidRPr="00741DFA">
            <w:rPr>
              <w:noProof/>
            </w:rPr>
            <w:t xml:space="preserve"> </w:t>
          </w:r>
          <w:r w:rsidRPr="00741DFA">
            <w:rPr>
              <w:b/>
              <w:noProof/>
            </w:rPr>
            <w:t>106</w:t>
          </w:r>
          <w:r w:rsidRPr="00741DFA">
            <w:rPr>
              <w:noProof/>
            </w:rPr>
            <w:t xml:space="preserve">, 223-252 (1976a). </w:t>
          </w:r>
          <w:hyperlink r:id="rId13" w:history="1">
            <w:r w:rsidRPr="00741DFA">
              <w:rPr>
                <w:rStyle w:val="Hyperlink"/>
                <w:noProof/>
              </w:rPr>
              <w:t>https://doi.org/10.1007/BF01417856</w:t>
            </w:r>
          </w:hyperlink>
        </w:p>
        <w:p w14:paraId="048C4065" w14:textId="71D5E221" w:rsidR="00741DFA" w:rsidRPr="00741DFA" w:rsidRDefault="00741DFA" w:rsidP="00741DFA">
          <w:pPr>
            <w:pStyle w:val="EndNoteBibliography"/>
            <w:spacing w:line="480" w:lineRule="auto"/>
            <w:ind w:left="720" w:hanging="720"/>
            <w:rPr>
              <w:noProof/>
            </w:rPr>
          </w:pPr>
          <w:r w:rsidRPr="00741DFA">
            <w:rPr>
              <w:noProof/>
            </w:rPr>
            <w:t>6</w:t>
          </w:r>
          <w:r w:rsidRPr="00741DFA">
            <w:rPr>
              <w:noProof/>
            </w:rPr>
            <w:tab/>
            <w:t xml:space="preserve">Aschoff, J. Exogenous and endogenous components in circadian rhythms. </w:t>
          </w:r>
          <w:r w:rsidRPr="00741DFA">
            <w:rPr>
              <w:i/>
              <w:noProof/>
            </w:rPr>
            <w:t>Cold Spring Harb. Symp. Quant. Biol.</w:t>
          </w:r>
          <w:r w:rsidRPr="00741DFA">
            <w:rPr>
              <w:noProof/>
            </w:rPr>
            <w:t xml:space="preserve"> </w:t>
          </w:r>
          <w:r w:rsidRPr="00741DFA">
            <w:rPr>
              <w:b/>
              <w:noProof/>
            </w:rPr>
            <w:t>25</w:t>
          </w:r>
          <w:r w:rsidRPr="00741DFA">
            <w:rPr>
              <w:noProof/>
            </w:rPr>
            <w:t xml:space="preserve">, 11-27 (1960). </w:t>
          </w:r>
          <w:hyperlink r:id="rId14" w:history="1">
            <w:r w:rsidRPr="00741DFA">
              <w:rPr>
                <w:rStyle w:val="Hyperlink"/>
                <w:noProof/>
              </w:rPr>
              <w:t>https://doi.org/10.1101/sqb.1960.025.01.004</w:t>
            </w:r>
          </w:hyperlink>
        </w:p>
        <w:p w14:paraId="6B48EA64" w14:textId="2E07D237" w:rsidR="00741DFA" w:rsidRPr="00741DFA" w:rsidRDefault="00741DFA" w:rsidP="00741DFA">
          <w:pPr>
            <w:pStyle w:val="EndNoteBibliography"/>
            <w:spacing w:line="480" w:lineRule="auto"/>
            <w:ind w:left="720" w:hanging="720"/>
            <w:rPr>
              <w:noProof/>
            </w:rPr>
          </w:pPr>
          <w:r w:rsidRPr="00741DFA">
            <w:rPr>
              <w:noProof/>
            </w:rPr>
            <w:t>7</w:t>
          </w:r>
          <w:r w:rsidRPr="00741DFA">
            <w:rPr>
              <w:noProof/>
            </w:rPr>
            <w:tab/>
            <w:t>Bano-Otalora, B.</w:t>
          </w:r>
          <w:r w:rsidRPr="00741DFA">
            <w:rPr>
              <w:i/>
              <w:noProof/>
            </w:rPr>
            <w:t xml:space="preserve"> et al.</w:t>
          </w:r>
          <w:r w:rsidRPr="00741DFA">
            <w:rPr>
              <w:noProof/>
            </w:rPr>
            <w:t xml:space="preserve"> Bright daytime light enhances circadian amplitude in a diurnal mammal. </w:t>
          </w:r>
          <w:r w:rsidRPr="00741DFA">
            <w:rPr>
              <w:i/>
              <w:noProof/>
            </w:rPr>
            <w:t>Proc. Natl. Acad. Sci. U. S. A.</w:t>
          </w:r>
          <w:r w:rsidRPr="00741DFA">
            <w:rPr>
              <w:noProof/>
            </w:rPr>
            <w:t xml:space="preserve"> </w:t>
          </w:r>
          <w:r w:rsidRPr="00741DFA">
            <w:rPr>
              <w:b/>
              <w:noProof/>
            </w:rPr>
            <w:t>118</w:t>
          </w:r>
          <w:r w:rsidRPr="00741DFA">
            <w:rPr>
              <w:noProof/>
            </w:rPr>
            <w:t xml:space="preserve">, e2100094118 (2021). </w:t>
          </w:r>
          <w:hyperlink r:id="rId15" w:history="1">
            <w:r w:rsidRPr="00741DFA">
              <w:rPr>
                <w:rStyle w:val="Hyperlink"/>
                <w:noProof/>
              </w:rPr>
              <w:t>https://doi.org/10.1073/pnas.2100094118</w:t>
            </w:r>
          </w:hyperlink>
        </w:p>
        <w:p w14:paraId="2849324B" w14:textId="1B1B23B7" w:rsidR="00741DFA" w:rsidRPr="00741DFA" w:rsidRDefault="00741DFA" w:rsidP="00741DFA">
          <w:pPr>
            <w:pStyle w:val="EndNoteBibliography"/>
            <w:spacing w:line="480" w:lineRule="auto"/>
            <w:ind w:left="720" w:hanging="720"/>
          </w:pPr>
          <w:r w:rsidRPr="00741DFA">
            <w:rPr>
              <w:noProof/>
            </w:rPr>
            <w:lastRenderedPageBreak/>
            <w:t>8</w:t>
          </w:r>
          <w:r w:rsidRPr="00741DFA">
            <w:rPr>
              <w:noProof/>
            </w:rPr>
            <w:tab/>
            <w:t xml:space="preserve">Jewett, M. E. &amp; Kronauer, R. E. Refinement of a limit cycle oscillator model of the effects of light on the human circadian pacemaker. </w:t>
          </w:r>
          <w:r w:rsidRPr="00741DFA">
            <w:rPr>
              <w:i/>
              <w:noProof/>
            </w:rPr>
            <w:t>J. Theor. Biol.</w:t>
          </w:r>
          <w:r w:rsidRPr="00741DFA">
            <w:rPr>
              <w:noProof/>
            </w:rPr>
            <w:t xml:space="preserve"> </w:t>
          </w:r>
          <w:r w:rsidRPr="00741DFA">
            <w:rPr>
              <w:b/>
              <w:noProof/>
            </w:rPr>
            <w:t>192</w:t>
          </w:r>
          <w:r w:rsidRPr="00741DFA">
            <w:rPr>
              <w:noProof/>
            </w:rPr>
            <w:t xml:space="preserve">, 455-465 (1998). </w:t>
          </w:r>
        </w:p>
      </w:sdtContent>
    </w:sdt>
    <w:p w14:paraId="14ACAF61" w14:textId="3DB372D5" w:rsidR="00FE59A6" w:rsidRDefault="00FE59A6" w:rsidP="00741DFA">
      <w:pPr>
        <w:spacing w:line="480" w:lineRule="auto"/>
        <w:ind w:left="360" w:hanging="360"/>
      </w:pPr>
    </w:p>
    <w:sectPr w:rsidR="00FE59A6" w:rsidSect="00950CAA">
      <w:footerReference w:type="even" r:id="rId16"/>
      <w:footerReference w:type="defaul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0247" w14:textId="77777777" w:rsidR="006028C9" w:rsidRDefault="006028C9" w:rsidP="00950CAA">
      <w:r>
        <w:separator/>
      </w:r>
    </w:p>
  </w:endnote>
  <w:endnote w:type="continuationSeparator" w:id="0">
    <w:p w14:paraId="1B916EAF" w14:textId="77777777" w:rsidR="006028C9" w:rsidRDefault="006028C9" w:rsidP="0095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31118"/>
      <w:docPartObj>
        <w:docPartGallery w:val="Page Numbers (Bottom of Page)"/>
        <w:docPartUnique/>
      </w:docPartObj>
    </w:sdtPr>
    <w:sdtContent>
      <w:p w14:paraId="25FC688C" w14:textId="3C0DFCAC" w:rsidR="00950CAA" w:rsidRDefault="00950CAA" w:rsidP="00C65B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B26C95" w14:textId="77777777" w:rsidR="00950CAA" w:rsidRDefault="00950CAA" w:rsidP="00950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647368"/>
      <w:docPartObj>
        <w:docPartGallery w:val="Page Numbers (Bottom of Page)"/>
        <w:docPartUnique/>
      </w:docPartObj>
    </w:sdtPr>
    <w:sdtContent>
      <w:p w14:paraId="7E2E9135" w14:textId="707F7065" w:rsidR="00950CAA" w:rsidRDefault="00950CAA" w:rsidP="00C65B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E09E89" w14:textId="77777777" w:rsidR="00950CAA" w:rsidRDefault="00950CAA" w:rsidP="00950C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89DD" w14:textId="77777777" w:rsidR="006028C9" w:rsidRDefault="006028C9" w:rsidP="00950CAA">
      <w:r>
        <w:separator/>
      </w:r>
    </w:p>
  </w:footnote>
  <w:footnote w:type="continuationSeparator" w:id="0">
    <w:p w14:paraId="5E2E0D47" w14:textId="77777777" w:rsidR="006028C9" w:rsidRDefault="006028C9" w:rsidP="00950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2rsfdwrfxsr2efftipesttxs2a99twf2ef&quot;&gt;Follow-up study&lt;record-ids&gt;&lt;item&gt;487&lt;/item&gt;&lt;item&gt;507&lt;/item&gt;&lt;item&gt;551&lt;/item&gt;&lt;item&gt;645&lt;/item&gt;&lt;item&gt;728&lt;/item&gt;&lt;item&gt;782&lt;/item&gt;&lt;item&gt;946&lt;/item&gt;&lt;item&gt;968&lt;/item&gt;&lt;/record-ids&gt;&lt;/item&gt;&lt;/Libraries&gt;"/>
  </w:docVars>
  <w:rsids>
    <w:rsidRoot w:val="00E3444A"/>
    <w:rsid w:val="000017AA"/>
    <w:rsid w:val="00010901"/>
    <w:rsid w:val="000136D4"/>
    <w:rsid w:val="00016C6E"/>
    <w:rsid w:val="00024C80"/>
    <w:rsid w:val="0002541A"/>
    <w:rsid w:val="00037294"/>
    <w:rsid w:val="000411A9"/>
    <w:rsid w:val="0004304B"/>
    <w:rsid w:val="00051CA5"/>
    <w:rsid w:val="000525DD"/>
    <w:rsid w:val="000529AE"/>
    <w:rsid w:val="00066651"/>
    <w:rsid w:val="00067434"/>
    <w:rsid w:val="0008497C"/>
    <w:rsid w:val="0008683E"/>
    <w:rsid w:val="00091EE1"/>
    <w:rsid w:val="00093631"/>
    <w:rsid w:val="000C2C6D"/>
    <w:rsid w:val="000D5973"/>
    <w:rsid w:val="000D70DD"/>
    <w:rsid w:val="000F1AA0"/>
    <w:rsid w:val="000F359C"/>
    <w:rsid w:val="000F5B02"/>
    <w:rsid w:val="000F6BF9"/>
    <w:rsid w:val="000F7676"/>
    <w:rsid w:val="001113D7"/>
    <w:rsid w:val="001300E0"/>
    <w:rsid w:val="00131871"/>
    <w:rsid w:val="00134B94"/>
    <w:rsid w:val="0013624D"/>
    <w:rsid w:val="00156F62"/>
    <w:rsid w:val="00161756"/>
    <w:rsid w:val="00164E95"/>
    <w:rsid w:val="0018391E"/>
    <w:rsid w:val="001977D8"/>
    <w:rsid w:val="001B2723"/>
    <w:rsid w:val="001C1274"/>
    <w:rsid w:val="001C5719"/>
    <w:rsid w:val="001C5974"/>
    <w:rsid w:val="001D7C88"/>
    <w:rsid w:val="001E2F2B"/>
    <w:rsid w:val="001E486A"/>
    <w:rsid w:val="001F4AED"/>
    <w:rsid w:val="001F74D5"/>
    <w:rsid w:val="00201896"/>
    <w:rsid w:val="002048BF"/>
    <w:rsid w:val="00205046"/>
    <w:rsid w:val="00210B5F"/>
    <w:rsid w:val="00250669"/>
    <w:rsid w:val="002623FA"/>
    <w:rsid w:val="00262EC9"/>
    <w:rsid w:val="00265952"/>
    <w:rsid w:val="002662E5"/>
    <w:rsid w:val="00281E7D"/>
    <w:rsid w:val="00285B3F"/>
    <w:rsid w:val="0029125B"/>
    <w:rsid w:val="00296F92"/>
    <w:rsid w:val="002975FB"/>
    <w:rsid w:val="002B01C5"/>
    <w:rsid w:val="002C539C"/>
    <w:rsid w:val="002D6DD4"/>
    <w:rsid w:val="00300FB5"/>
    <w:rsid w:val="00326A9B"/>
    <w:rsid w:val="00341CCD"/>
    <w:rsid w:val="0035705A"/>
    <w:rsid w:val="003614BD"/>
    <w:rsid w:val="00364643"/>
    <w:rsid w:val="00367B9B"/>
    <w:rsid w:val="0037028B"/>
    <w:rsid w:val="00371805"/>
    <w:rsid w:val="00383D6B"/>
    <w:rsid w:val="00397290"/>
    <w:rsid w:val="003A080F"/>
    <w:rsid w:val="003A597F"/>
    <w:rsid w:val="003B41E5"/>
    <w:rsid w:val="003B6622"/>
    <w:rsid w:val="003B7B68"/>
    <w:rsid w:val="003C3D6F"/>
    <w:rsid w:val="003D7A43"/>
    <w:rsid w:val="003F5413"/>
    <w:rsid w:val="004036EC"/>
    <w:rsid w:val="00411A38"/>
    <w:rsid w:val="004214A4"/>
    <w:rsid w:val="004241E0"/>
    <w:rsid w:val="004419B2"/>
    <w:rsid w:val="0044340E"/>
    <w:rsid w:val="00452A6D"/>
    <w:rsid w:val="00463FD5"/>
    <w:rsid w:val="00480831"/>
    <w:rsid w:val="004A4D48"/>
    <w:rsid w:val="004B3578"/>
    <w:rsid w:val="004C4D7E"/>
    <w:rsid w:val="004E19C3"/>
    <w:rsid w:val="004F72FE"/>
    <w:rsid w:val="00510F16"/>
    <w:rsid w:val="00514ACD"/>
    <w:rsid w:val="005302C0"/>
    <w:rsid w:val="005457F9"/>
    <w:rsid w:val="005506A4"/>
    <w:rsid w:val="00574C7F"/>
    <w:rsid w:val="00575680"/>
    <w:rsid w:val="00583206"/>
    <w:rsid w:val="00585C58"/>
    <w:rsid w:val="005B1FE1"/>
    <w:rsid w:val="005C09F0"/>
    <w:rsid w:val="005C1617"/>
    <w:rsid w:val="005C1A03"/>
    <w:rsid w:val="005C4CA9"/>
    <w:rsid w:val="005C63A9"/>
    <w:rsid w:val="005D1D30"/>
    <w:rsid w:val="005D4833"/>
    <w:rsid w:val="005E0044"/>
    <w:rsid w:val="005E26CF"/>
    <w:rsid w:val="005E271D"/>
    <w:rsid w:val="005E70AE"/>
    <w:rsid w:val="005F60BB"/>
    <w:rsid w:val="005F7FF1"/>
    <w:rsid w:val="00600623"/>
    <w:rsid w:val="00601936"/>
    <w:rsid w:val="00601F6D"/>
    <w:rsid w:val="006028C9"/>
    <w:rsid w:val="0061335A"/>
    <w:rsid w:val="00624743"/>
    <w:rsid w:val="00637535"/>
    <w:rsid w:val="00641959"/>
    <w:rsid w:val="00642F2C"/>
    <w:rsid w:val="006460ED"/>
    <w:rsid w:val="00672B15"/>
    <w:rsid w:val="006A2238"/>
    <w:rsid w:val="006A2E89"/>
    <w:rsid w:val="006B359E"/>
    <w:rsid w:val="006B4471"/>
    <w:rsid w:val="006B482C"/>
    <w:rsid w:val="006C0A55"/>
    <w:rsid w:val="006C1232"/>
    <w:rsid w:val="006D3CF5"/>
    <w:rsid w:val="006D5316"/>
    <w:rsid w:val="006F0449"/>
    <w:rsid w:val="006F10FE"/>
    <w:rsid w:val="00706A38"/>
    <w:rsid w:val="00707F04"/>
    <w:rsid w:val="007148E3"/>
    <w:rsid w:val="00715241"/>
    <w:rsid w:val="00720245"/>
    <w:rsid w:val="0073429B"/>
    <w:rsid w:val="00737E02"/>
    <w:rsid w:val="00740F1C"/>
    <w:rsid w:val="00741DFA"/>
    <w:rsid w:val="00751139"/>
    <w:rsid w:val="007517A0"/>
    <w:rsid w:val="00752158"/>
    <w:rsid w:val="00755419"/>
    <w:rsid w:val="0076039D"/>
    <w:rsid w:val="007609A5"/>
    <w:rsid w:val="007611FB"/>
    <w:rsid w:val="0076147B"/>
    <w:rsid w:val="00762164"/>
    <w:rsid w:val="00762639"/>
    <w:rsid w:val="00780229"/>
    <w:rsid w:val="007A5993"/>
    <w:rsid w:val="007A75DB"/>
    <w:rsid w:val="007C308D"/>
    <w:rsid w:val="007C3DF0"/>
    <w:rsid w:val="007D21D3"/>
    <w:rsid w:val="007D694C"/>
    <w:rsid w:val="007E0B41"/>
    <w:rsid w:val="007E1061"/>
    <w:rsid w:val="00807034"/>
    <w:rsid w:val="0082037E"/>
    <w:rsid w:val="00820CB4"/>
    <w:rsid w:val="00820DE6"/>
    <w:rsid w:val="00840FA1"/>
    <w:rsid w:val="008423EC"/>
    <w:rsid w:val="008424ED"/>
    <w:rsid w:val="00845470"/>
    <w:rsid w:val="00851749"/>
    <w:rsid w:val="00852741"/>
    <w:rsid w:val="00861CCE"/>
    <w:rsid w:val="008675F1"/>
    <w:rsid w:val="00886B78"/>
    <w:rsid w:val="00887FD9"/>
    <w:rsid w:val="00892AAC"/>
    <w:rsid w:val="008A417F"/>
    <w:rsid w:val="008A440C"/>
    <w:rsid w:val="008B70DD"/>
    <w:rsid w:val="008B7242"/>
    <w:rsid w:val="008D07DD"/>
    <w:rsid w:val="008D20FF"/>
    <w:rsid w:val="008D7DBC"/>
    <w:rsid w:val="008F3BEB"/>
    <w:rsid w:val="008F7842"/>
    <w:rsid w:val="009023CD"/>
    <w:rsid w:val="00910410"/>
    <w:rsid w:val="00911F8F"/>
    <w:rsid w:val="0092306F"/>
    <w:rsid w:val="00950CAA"/>
    <w:rsid w:val="00964317"/>
    <w:rsid w:val="00965048"/>
    <w:rsid w:val="0097746A"/>
    <w:rsid w:val="00991D3B"/>
    <w:rsid w:val="0099436C"/>
    <w:rsid w:val="009A02A4"/>
    <w:rsid w:val="009C42C6"/>
    <w:rsid w:val="009C79EF"/>
    <w:rsid w:val="009D672B"/>
    <w:rsid w:val="009E3AEE"/>
    <w:rsid w:val="009F186F"/>
    <w:rsid w:val="009F37A4"/>
    <w:rsid w:val="00A13D40"/>
    <w:rsid w:val="00A20A0E"/>
    <w:rsid w:val="00A24FA5"/>
    <w:rsid w:val="00A2687F"/>
    <w:rsid w:val="00A54162"/>
    <w:rsid w:val="00A56A69"/>
    <w:rsid w:val="00A56FD2"/>
    <w:rsid w:val="00A60989"/>
    <w:rsid w:val="00A6223E"/>
    <w:rsid w:val="00A83591"/>
    <w:rsid w:val="00A8679B"/>
    <w:rsid w:val="00AB1EF0"/>
    <w:rsid w:val="00AB5FC6"/>
    <w:rsid w:val="00AC408C"/>
    <w:rsid w:val="00AD0591"/>
    <w:rsid w:val="00AD16BA"/>
    <w:rsid w:val="00AD4DCE"/>
    <w:rsid w:val="00AD55CC"/>
    <w:rsid w:val="00AF090E"/>
    <w:rsid w:val="00AF4E8B"/>
    <w:rsid w:val="00AF73D2"/>
    <w:rsid w:val="00B0336F"/>
    <w:rsid w:val="00B061B8"/>
    <w:rsid w:val="00B14396"/>
    <w:rsid w:val="00B1538A"/>
    <w:rsid w:val="00B2788B"/>
    <w:rsid w:val="00B35A67"/>
    <w:rsid w:val="00B549A9"/>
    <w:rsid w:val="00B553FB"/>
    <w:rsid w:val="00B57F0F"/>
    <w:rsid w:val="00B66D9D"/>
    <w:rsid w:val="00B82EC6"/>
    <w:rsid w:val="00B86DEB"/>
    <w:rsid w:val="00B94C85"/>
    <w:rsid w:val="00BB03B9"/>
    <w:rsid w:val="00BB2E06"/>
    <w:rsid w:val="00BB4953"/>
    <w:rsid w:val="00BD4287"/>
    <w:rsid w:val="00BD6B94"/>
    <w:rsid w:val="00BD7BD8"/>
    <w:rsid w:val="00BF3577"/>
    <w:rsid w:val="00BF54B3"/>
    <w:rsid w:val="00BF61FB"/>
    <w:rsid w:val="00C026FA"/>
    <w:rsid w:val="00C06726"/>
    <w:rsid w:val="00C334F9"/>
    <w:rsid w:val="00C41C5F"/>
    <w:rsid w:val="00C50DB6"/>
    <w:rsid w:val="00C51C82"/>
    <w:rsid w:val="00C54B4E"/>
    <w:rsid w:val="00C82BB4"/>
    <w:rsid w:val="00C87EC9"/>
    <w:rsid w:val="00CA530F"/>
    <w:rsid w:val="00CB6CD5"/>
    <w:rsid w:val="00CB714B"/>
    <w:rsid w:val="00CC0D15"/>
    <w:rsid w:val="00CD1126"/>
    <w:rsid w:val="00CE6C81"/>
    <w:rsid w:val="00CF6FDA"/>
    <w:rsid w:val="00D00E85"/>
    <w:rsid w:val="00D01B1C"/>
    <w:rsid w:val="00D111F4"/>
    <w:rsid w:val="00D17293"/>
    <w:rsid w:val="00D22331"/>
    <w:rsid w:val="00D22D75"/>
    <w:rsid w:val="00D25B78"/>
    <w:rsid w:val="00D45090"/>
    <w:rsid w:val="00D46D09"/>
    <w:rsid w:val="00D57BCA"/>
    <w:rsid w:val="00D72CF7"/>
    <w:rsid w:val="00D75B0E"/>
    <w:rsid w:val="00D81F21"/>
    <w:rsid w:val="00D83CDC"/>
    <w:rsid w:val="00D9039D"/>
    <w:rsid w:val="00D92D33"/>
    <w:rsid w:val="00D97158"/>
    <w:rsid w:val="00DC2A48"/>
    <w:rsid w:val="00DC4D5C"/>
    <w:rsid w:val="00DC75A5"/>
    <w:rsid w:val="00DD66CF"/>
    <w:rsid w:val="00DE1109"/>
    <w:rsid w:val="00E127B3"/>
    <w:rsid w:val="00E22630"/>
    <w:rsid w:val="00E24B66"/>
    <w:rsid w:val="00E24EF6"/>
    <w:rsid w:val="00E26E51"/>
    <w:rsid w:val="00E3103D"/>
    <w:rsid w:val="00E3444A"/>
    <w:rsid w:val="00E40706"/>
    <w:rsid w:val="00E40738"/>
    <w:rsid w:val="00E41463"/>
    <w:rsid w:val="00E568F7"/>
    <w:rsid w:val="00E56D90"/>
    <w:rsid w:val="00E775D9"/>
    <w:rsid w:val="00E819F2"/>
    <w:rsid w:val="00E901BF"/>
    <w:rsid w:val="00E913F6"/>
    <w:rsid w:val="00E94960"/>
    <w:rsid w:val="00EB6CD6"/>
    <w:rsid w:val="00EC76D9"/>
    <w:rsid w:val="00EE2241"/>
    <w:rsid w:val="00EE51C9"/>
    <w:rsid w:val="00EF6309"/>
    <w:rsid w:val="00EF7BE2"/>
    <w:rsid w:val="00F0102D"/>
    <w:rsid w:val="00F05AC7"/>
    <w:rsid w:val="00F12C37"/>
    <w:rsid w:val="00F1598E"/>
    <w:rsid w:val="00F26418"/>
    <w:rsid w:val="00F347FB"/>
    <w:rsid w:val="00F43732"/>
    <w:rsid w:val="00F5734C"/>
    <w:rsid w:val="00F71C71"/>
    <w:rsid w:val="00F81850"/>
    <w:rsid w:val="00F90C23"/>
    <w:rsid w:val="00FA2398"/>
    <w:rsid w:val="00FA4138"/>
    <w:rsid w:val="00FD2696"/>
    <w:rsid w:val="00FE59A6"/>
    <w:rsid w:val="00FF17A1"/>
    <w:rsid w:val="00FF3FC0"/>
    <w:rsid w:val="00FF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C5E82"/>
  <w15:chartTrackingRefBased/>
  <w15:docId w15:val="{6F8AFA0F-0EFB-F14E-9D81-BF680D22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4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344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44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44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444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3444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3444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3444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3444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3444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4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4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44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44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44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44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44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44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4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44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444A"/>
    <w:pPr>
      <w:spacing w:before="160" w:after="160" w:line="278" w:lineRule="auto"/>
      <w:jc w:val="center"/>
    </w:pPr>
    <w:rPr>
      <w:rFonts w:ascii="Calibri" w:eastAsiaTheme="minorHAnsi" w:hAnsi="Calibri"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E3444A"/>
    <w:rPr>
      <w:i/>
      <w:iCs/>
      <w:color w:val="404040" w:themeColor="text1" w:themeTint="BF"/>
    </w:rPr>
  </w:style>
  <w:style w:type="paragraph" w:styleId="ListParagraph">
    <w:name w:val="List Paragraph"/>
    <w:basedOn w:val="Normal"/>
    <w:uiPriority w:val="34"/>
    <w:qFormat/>
    <w:rsid w:val="00E3444A"/>
    <w:pPr>
      <w:spacing w:after="160" w:line="278" w:lineRule="auto"/>
      <w:ind w:left="720"/>
      <w:contextualSpacing/>
    </w:pPr>
    <w:rPr>
      <w:rFonts w:ascii="Calibri" w:eastAsiaTheme="minorHAnsi" w:hAnsi="Calibri" w:cs="Times New Roman (Body CS)"/>
      <w:kern w:val="2"/>
      <w14:ligatures w14:val="standardContextual"/>
    </w:rPr>
  </w:style>
  <w:style w:type="character" w:styleId="IntenseEmphasis">
    <w:name w:val="Intense Emphasis"/>
    <w:basedOn w:val="DefaultParagraphFont"/>
    <w:uiPriority w:val="21"/>
    <w:qFormat/>
    <w:rsid w:val="00E3444A"/>
    <w:rPr>
      <w:i/>
      <w:iCs/>
      <w:color w:val="0F4761" w:themeColor="accent1" w:themeShade="BF"/>
    </w:rPr>
  </w:style>
  <w:style w:type="paragraph" w:styleId="IntenseQuote">
    <w:name w:val="Intense Quote"/>
    <w:basedOn w:val="Normal"/>
    <w:next w:val="Normal"/>
    <w:link w:val="IntenseQuoteChar"/>
    <w:uiPriority w:val="30"/>
    <w:qFormat/>
    <w:rsid w:val="00E344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eastAsiaTheme="minorHAnsi" w:hAnsi="Calibri"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3444A"/>
    <w:rPr>
      <w:i/>
      <w:iCs/>
      <w:color w:val="0F4761" w:themeColor="accent1" w:themeShade="BF"/>
    </w:rPr>
  </w:style>
  <w:style w:type="character" w:styleId="IntenseReference">
    <w:name w:val="Intense Reference"/>
    <w:basedOn w:val="DefaultParagraphFont"/>
    <w:uiPriority w:val="32"/>
    <w:qFormat/>
    <w:rsid w:val="00E3444A"/>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113D7"/>
    <w:pPr>
      <w:jc w:val="center"/>
    </w:pPr>
  </w:style>
  <w:style w:type="character" w:customStyle="1" w:styleId="EndNoteBibliographyTitleChar">
    <w:name w:val="EndNote Bibliography Title Char"/>
    <w:basedOn w:val="DefaultParagraphFont"/>
    <w:link w:val="EndNoteBibliographyTitle"/>
    <w:rsid w:val="001113D7"/>
    <w:rPr>
      <w:rFonts w:ascii="Times New Roman" w:eastAsia="Times New Roman" w:hAnsi="Times New Roman" w:cs="Times New Roman"/>
      <w:kern w:val="0"/>
      <w14:ligatures w14:val="none"/>
    </w:rPr>
  </w:style>
  <w:style w:type="paragraph" w:customStyle="1" w:styleId="EndNoteBibliography">
    <w:name w:val="EndNote Bibliography"/>
    <w:basedOn w:val="Normal"/>
    <w:link w:val="EndNoteBibliographyChar"/>
    <w:rsid w:val="001113D7"/>
  </w:style>
  <w:style w:type="character" w:customStyle="1" w:styleId="EndNoteBibliographyChar">
    <w:name w:val="EndNote Bibliography Char"/>
    <w:basedOn w:val="DefaultParagraphFont"/>
    <w:link w:val="EndNoteBibliography"/>
    <w:rsid w:val="001113D7"/>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1113D7"/>
    <w:rPr>
      <w:color w:val="666666"/>
    </w:rPr>
  </w:style>
  <w:style w:type="character" w:styleId="Hyperlink">
    <w:name w:val="Hyperlink"/>
    <w:basedOn w:val="DefaultParagraphFont"/>
    <w:uiPriority w:val="99"/>
    <w:unhideWhenUsed/>
    <w:rsid w:val="001113D7"/>
    <w:rPr>
      <w:color w:val="467886" w:themeColor="hyperlink"/>
      <w:u w:val="single"/>
    </w:rPr>
  </w:style>
  <w:style w:type="character" w:styleId="UnresolvedMention">
    <w:name w:val="Unresolved Mention"/>
    <w:basedOn w:val="DefaultParagraphFont"/>
    <w:uiPriority w:val="99"/>
    <w:semiHidden/>
    <w:unhideWhenUsed/>
    <w:rsid w:val="001113D7"/>
    <w:rPr>
      <w:color w:val="605E5C"/>
      <w:shd w:val="clear" w:color="auto" w:fill="E1DFDD"/>
    </w:rPr>
  </w:style>
  <w:style w:type="paragraph" w:styleId="Footer">
    <w:name w:val="footer"/>
    <w:basedOn w:val="Normal"/>
    <w:link w:val="FooterChar"/>
    <w:uiPriority w:val="99"/>
    <w:unhideWhenUsed/>
    <w:rsid w:val="00950CAA"/>
    <w:pPr>
      <w:tabs>
        <w:tab w:val="center" w:pos="4680"/>
        <w:tab w:val="right" w:pos="9360"/>
      </w:tabs>
    </w:pPr>
  </w:style>
  <w:style w:type="character" w:customStyle="1" w:styleId="FooterChar">
    <w:name w:val="Footer Char"/>
    <w:basedOn w:val="DefaultParagraphFont"/>
    <w:link w:val="Footer"/>
    <w:uiPriority w:val="99"/>
    <w:rsid w:val="00950CA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50CAA"/>
  </w:style>
  <w:style w:type="character" w:styleId="LineNumber">
    <w:name w:val="line number"/>
    <w:basedOn w:val="DefaultParagraphFont"/>
    <w:uiPriority w:val="99"/>
    <w:semiHidden/>
    <w:unhideWhenUsed/>
    <w:rsid w:val="0095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07/BF014178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1152/ajpregu.1996.270.1.R27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73/pnas.1010666108" TargetMode="External"/><Relationship Id="rId5" Type="http://schemas.openxmlformats.org/officeDocument/2006/relationships/footnotes" Target="footnotes.xml"/><Relationship Id="rId15" Type="http://schemas.openxmlformats.org/officeDocument/2006/relationships/hyperlink" Target="https://doi.org/10.1073/pnas.2100094118" TargetMode="External"/><Relationship Id="rId10" Type="http://schemas.openxmlformats.org/officeDocument/2006/relationships/hyperlink" Target="https://doi.org/"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101/sqb.1960.025.01.0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7E272A-9C1A-874D-B050-F2DDF27BB418}"/>
      </w:docPartPr>
      <w:docPartBody>
        <w:p w:rsidR="00814485" w:rsidRDefault="004D0B65">
          <w:r w:rsidRPr="00CD44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65"/>
    <w:rsid w:val="00040F7D"/>
    <w:rsid w:val="0004304B"/>
    <w:rsid w:val="00106E40"/>
    <w:rsid w:val="00197B50"/>
    <w:rsid w:val="001D7E39"/>
    <w:rsid w:val="001E2F2B"/>
    <w:rsid w:val="00240848"/>
    <w:rsid w:val="00281E7D"/>
    <w:rsid w:val="003E1B5A"/>
    <w:rsid w:val="003F3119"/>
    <w:rsid w:val="00415279"/>
    <w:rsid w:val="004A4D48"/>
    <w:rsid w:val="004D0B65"/>
    <w:rsid w:val="004D2AF2"/>
    <w:rsid w:val="00643827"/>
    <w:rsid w:val="0069576E"/>
    <w:rsid w:val="006A2238"/>
    <w:rsid w:val="006D3CF5"/>
    <w:rsid w:val="00720245"/>
    <w:rsid w:val="0076147B"/>
    <w:rsid w:val="0077660D"/>
    <w:rsid w:val="00797AD5"/>
    <w:rsid w:val="007B44DB"/>
    <w:rsid w:val="007B5568"/>
    <w:rsid w:val="00814485"/>
    <w:rsid w:val="009019E0"/>
    <w:rsid w:val="009C42C6"/>
    <w:rsid w:val="009D4D61"/>
    <w:rsid w:val="009E5BBC"/>
    <w:rsid w:val="00A60989"/>
    <w:rsid w:val="00A647E5"/>
    <w:rsid w:val="00AB5FC6"/>
    <w:rsid w:val="00B041BE"/>
    <w:rsid w:val="00B43BAD"/>
    <w:rsid w:val="00B64AC3"/>
    <w:rsid w:val="00BB2E06"/>
    <w:rsid w:val="00C15A7F"/>
    <w:rsid w:val="00C77688"/>
    <w:rsid w:val="00D6551E"/>
    <w:rsid w:val="00D8186A"/>
    <w:rsid w:val="00DB367E"/>
    <w:rsid w:val="00E3103D"/>
    <w:rsid w:val="00E3486C"/>
    <w:rsid w:val="00E775D9"/>
    <w:rsid w:val="00F1598E"/>
    <w:rsid w:val="00F9124D"/>
    <w:rsid w:val="00FB154C"/>
    <w:rsid w:val="00FC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B6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65EA-289B-CE4D-9BEA-C1CC7AD7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9</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Schwartz</dc:creator>
  <cp:keywords/>
  <dc:description/>
  <cp:lastModifiedBy>Paul Schwartz</cp:lastModifiedBy>
  <cp:revision>99</cp:revision>
  <dcterms:created xsi:type="dcterms:W3CDTF">2025-12-09T23:24:00Z</dcterms:created>
  <dcterms:modified xsi:type="dcterms:W3CDTF">2026-03-17T13:24:00Z</dcterms:modified>
</cp:coreProperties>
</file>