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78C93" w14:textId="5520AFD7" w:rsidR="00BC37B1" w:rsidRDefault="00BC37B1" w:rsidP="006701F8">
      <w:pPr>
        <w:pStyle w:val="Descripcin"/>
        <w:jc w:val="center"/>
        <w:rPr>
          <w:b/>
          <w:bCs/>
          <w:i w:val="0"/>
          <w:iCs w:val="0"/>
          <w:color w:val="auto"/>
          <w:sz w:val="26"/>
          <w:szCs w:val="26"/>
          <w:lang w:val="en-GB"/>
        </w:rPr>
      </w:pPr>
      <w:bookmarkStart w:id="0" w:name="_Ref220595323"/>
      <w:r>
        <w:rPr>
          <w:b/>
          <w:bCs/>
          <w:i w:val="0"/>
          <w:iCs w:val="0"/>
          <w:color w:val="auto"/>
          <w:sz w:val="26"/>
          <w:szCs w:val="26"/>
          <w:lang w:val="en-GB"/>
        </w:rPr>
        <w:t xml:space="preserve">Supplementary </w:t>
      </w:r>
      <w:r w:rsidR="006701F8">
        <w:rPr>
          <w:b/>
          <w:bCs/>
          <w:i w:val="0"/>
          <w:iCs w:val="0"/>
          <w:color w:val="auto"/>
          <w:sz w:val="26"/>
          <w:szCs w:val="26"/>
          <w:lang w:val="en-GB"/>
        </w:rPr>
        <w:t>information for</w:t>
      </w:r>
    </w:p>
    <w:p w14:paraId="07E9FA1B" w14:textId="1E7C5D9A" w:rsidR="0090751A" w:rsidRDefault="00BA7017" w:rsidP="008D0D67">
      <w:pPr>
        <w:rPr>
          <w:lang w:val="en-GB"/>
        </w:rPr>
      </w:pPr>
      <w:r w:rsidRPr="00BA7017">
        <w:rPr>
          <w:b/>
          <w:bCs/>
          <w:lang w:val="en-GB"/>
        </w:rPr>
        <w:t>Sustainable development trade-offs shape the acceptability of climate mitigation scenarios</w:t>
      </w:r>
    </w:p>
    <w:p w14:paraId="68413E82" w14:textId="77777777" w:rsidR="0090751A" w:rsidRDefault="0090751A" w:rsidP="008D0D67">
      <w:pPr>
        <w:rPr>
          <w:lang w:val="en-GB"/>
        </w:rPr>
      </w:pPr>
    </w:p>
    <w:p w14:paraId="0D4E25C3" w14:textId="595AB54C" w:rsidR="008D0D67" w:rsidRPr="008D0D67" w:rsidRDefault="008D0D67" w:rsidP="008D0D67">
      <w:pPr>
        <w:rPr>
          <w:lang w:val="en-GB"/>
        </w:rPr>
      </w:pPr>
      <w:r w:rsidRPr="008D0D67">
        <w:rPr>
          <w:lang w:val="en-GB"/>
        </w:rPr>
        <w:t>This file includes:</w:t>
      </w:r>
    </w:p>
    <w:p w14:paraId="6F5B715D" w14:textId="10BBF9C8" w:rsidR="008D0D67" w:rsidRPr="008D0D67" w:rsidRDefault="008D0D67" w:rsidP="008D0D67">
      <w:pPr>
        <w:rPr>
          <w:lang w:val="en-GB"/>
        </w:rPr>
      </w:pPr>
      <w:r w:rsidRPr="008D0D67">
        <w:rPr>
          <w:lang w:val="en-GB"/>
        </w:rPr>
        <w:t>Supplementary Notes</w:t>
      </w:r>
    </w:p>
    <w:p w14:paraId="676153E0" w14:textId="7D44BA54" w:rsidR="000D5178" w:rsidRPr="008D0D67" w:rsidRDefault="008D0D67" w:rsidP="000D5178">
      <w:pPr>
        <w:rPr>
          <w:lang w:val="en-GB"/>
        </w:rPr>
      </w:pPr>
      <w:r w:rsidRPr="008D0D67">
        <w:rPr>
          <w:lang w:val="en-GB"/>
        </w:rPr>
        <w:t>Supplementary Figures</w:t>
      </w:r>
    </w:p>
    <w:p w14:paraId="5CF1E3EF" w14:textId="60EB32AF" w:rsidR="008D0D67" w:rsidRDefault="008D0D67" w:rsidP="008D0D67">
      <w:pPr>
        <w:rPr>
          <w:lang w:val="en-GB"/>
        </w:rPr>
      </w:pPr>
      <w:r w:rsidRPr="008D0D67">
        <w:rPr>
          <w:lang w:val="en-GB"/>
        </w:rPr>
        <w:t>References</w:t>
      </w:r>
    </w:p>
    <w:p w14:paraId="4111A230" w14:textId="77777777" w:rsidR="008D0D67" w:rsidRDefault="008D0D67" w:rsidP="008D0D67">
      <w:pPr>
        <w:rPr>
          <w:lang w:val="en-GB"/>
        </w:rPr>
      </w:pPr>
    </w:p>
    <w:p w14:paraId="3C0F5AEE" w14:textId="4A8A920C" w:rsidR="008D0D67" w:rsidRPr="008D0D67" w:rsidRDefault="008D0D67" w:rsidP="008D0D67">
      <w:pPr>
        <w:rPr>
          <w:lang w:val="en-GB"/>
        </w:rPr>
      </w:pPr>
      <w:r w:rsidRPr="008D0D67">
        <w:rPr>
          <w:lang w:val="en-GB"/>
        </w:rPr>
        <w:t>Other Supplementary Material for this manuscript includes:</w:t>
      </w:r>
    </w:p>
    <w:p w14:paraId="67E73CF6" w14:textId="1BC5DD00" w:rsidR="008D0D67" w:rsidRDefault="008D0D67" w:rsidP="008D0D67">
      <w:pPr>
        <w:rPr>
          <w:lang w:val="en-GB"/>
        </w:rPr>
      </w:pPr>
      <w:r>
        <w:rPr>
          <w:lang w:val="en-GB"/>
        </w:rPr>
        <w:t>Original data used to create the figures</w:t>
      </w:r>
    </w:p>
    <w:p w14:paraId="30C1BA58" w14:textId="77777777" w:rsidR="00A11ADB" w:rsidRDefault="008D0D67" w:rsidP="00A11ADB">
      <w:pPr>
        <w:rPr>
          <w:lang w:val="en-GB"/>
        </w:rPr>
      </w:pPr>
      <w:r>
        <w:rPr>
          <w:lang w:val="en-GB"/>
        </w:rPr>
        <w:br w:type="page"/>
      </w:r>
    </w:p>
    <w:p w14:paraId="612E365E" w14:textId="02C5F58B" w:rsidR="00A11ADB" w:rsidRDefault="00A11ADB" w:rsidP="00A11ADB">
      <w:pPr>
        <w:jc w:val="center"/>
        <w:rPr>
          <w:lang w:val="en-GB"/>
        </w:rPr>
      </w:pPr>
      <w:r w:rsidRPr="009A0875">
        <w:rPr>
          <w:b/>
          <w:bCs/>
          <w:lang w:val="en-GB"/>
        </w:rPr>
        <w:lastRenderedPageBreak/>
        <w:t>Supplementary Notes</w:t>
      </w:r>
    </w:p>
    <w:p w14:paraId="753233E3" w14:textId="7F698838" w:rsidR="008D0D67" w:rsidRDefault="008D0D67" w:rsidP="00A11ADB">
      <w:pPr>
        <w:rPr>
          <w:b/>
          <w:bCs/>
          <w:lang w:val="en-GB"/>
        </w:rPr>
      </w:pPr>
    </w:p>
    <w:p w14:paraId="7F745ACD" w14:textId="2A086FD2" w:rsidR="009A0875" w:rsidRDefault="009A0875" w:rsidP="009A0875">
      <w:pPr>
        <w:jc w:val="center"/>
        <w:rPr>
          <w:b/>
          <w:bCs/>
          <w:lang w:val="en-GB"/>
        </w:rPr>
      </w:pPr>
      <w:r>
        <w:rPr>
          <w:b/>
          <w:bCs/>
          <w:lang w:val="en-GB"/>
        </w:rPr>
        <w:br w:type="page"/>
      </w:r>
    </w:p>
    <w:bookmarkEnd w:id="0"/>
    <w:p w14:paraId="01EDD742" w14:textId="3B2EE451" w:rsidR="007021C0" w:rsidRPr="00973049" w:rsidRDefault="009A0875" w:rsidP="007021C0">
      <w:pPr>
        <w:rPr>
          <w:b/>
          <w:bCs/>
          <w:sz w:val="24"/>
          <w:szCs w:val="24"/>
          <w:lang w:val="en-GB"/>
        </w:rPr>
      </w:pPr>
      <w:r>
        <w:rPr>
          <w:b/>
          <w:bCs/>
          <w:sz w:val="24"/>
          <w:szCs w:val="24"/>
          <w:lang w:val="en-GB"/>
        </w:rPr>
        <w:lastRenderedPageBreak/>
        <w:t xml:space="preserve">Supplementary Note 1. </w:t>
      </w:r>
      <w:r w:rsidR="007021C0">
        <w:rPr>
          <w:b/>
          <w:bCs/>
          <w:sz w:val="24"/>
          <w:szCs w:val="24"/>
          <w:lang w:val="en-GB"/>
        </w:rPr>
        <w:t>Narratives</w:t>
      </w:r>
      <w:r w:rsidR="007021C0" w:rsidRPr="00973049">
        <w:rPr>
          <w:b/>
          <w:bCs/>
          <w:sz w:val="24"/>
          <w:szCs w:val="24"/>
          <w:lang w:val="en-GB"/>
        </w:rPr>
        <w:t>, scenarios and paths</w:t>
      </w:r>
    </w:p>
    <w:p w14:paraId="125039D1" w14:textId="672744D6" w:rsidR="007D3452" w:rsidRDefault="007021C0" w:rsidP="007021C0">
      <w:pPr>
        <w:pStyle w:val="Prrafodelista"/>
        <w:spacing w:after="120" w:line="278" w:lineRule="auto"/>
        <w:ind w:left="0"/>
        <w:jc w:val="both"/>
        <w:rPr>
          <w:rFonts w:cs="Tahoma"/>
          <w:lang w:val="en-GB"/>
        </w:rPr>
      </w:pPr>
      <w:r w:rsidRPr="00973049">
        <w:rPr>
          <w:rFonts w:cs="Tahoma"/>
          <w:lang w:val="en-GB"/>
        </w:rPr>
        <w:t>Scenarios essentially offer a structured exploration of potential future developments, built upon a defined set of assumptions. By envisioning diverse futures and evaluating their consequences under different actions, scenarios provide insights into strategic decision-making</w:t>
      </w:r>
      <w:r w:rsidR="004D075C">
        <w:rPr>
          <w:rFonts w:cs="Tahoma"/>
          <w:lang w:val="en-GB"/>
        </w:rPr>
        <w:fldChar w:fldCharType="begin"/>
      </w:r>
      <w:r w:rsidR="006F35B5">
        <w:rPr>
          <w:rFonts w:cs="Tahoma"/>
          <w:lang w:val="en-GB"/>
        </w:rPr>
        <w:instrText xml:space="preserve"> ADDIN ZOTERO_ITEM CSL_CITATION {"citationID":"dK4Tg15r","properties":{"formattedCitation":"\\super 1,2\\nosupersub{}","plainCitation":"1,2","noteIndex":0},"citationItems":[{"id":324,"uris":["http://zotero.org/users/11518810/items/2E878W7W"],"itemData":{"id":324,"type":"report","collection-title":"IIASA Interim Report","number":"IR‑05‑028","page":"63","publisher":"International Institute for Applied Systems Analysis (IIASA)","publisher-place":"Laxenburg, Austria","title":"Global Hydrogen and Electricity Storylines","URL":"https://pure.iiasa.ac.at/id/eprint/7807/1/IR-05-028.pdf?utm_source=chatgpt.com","author":[{"family":"Nakicenovic","given":"Nebojsa"},{"family":"Kimura","given":"Osamu"},{"family":"Ajanovic","given":"Amela"}],"accessed":{"date-parts":[["2026",2,11]]},"issued":{"date-parts":[["2005"]]}}},{"id":343,"uris":["http://zotero.org/users/11518810/items/2HNSKBDN"],"itemData":{"id":343,"type":"report","abstract":"The Synthesis Report (SYR) is a stand-alone synthesis of the most policy-relevant evidence from the scientific, technical, and socio-economic literature assessed in the Sixth Assessment Report (AR6) of the Intergovernmental Panel on Climate Change (IPCC). The SYR distils and integrates the main findings of the three reports of the Working Groups of the IPCC during the AR6, and the three AR6 Special Reports into a concise document. It consists of a Summary for Policymakers and a longer report.","DOI":"10.59327/IPCC/AR6-9789291691647","note":"edition: First","publisher":"Intergovernmental Panel on Climate Change (IPCC)","source":"DOI.org (Crossref)","title":"IPCC, 2023: Climate Change 2023: Synthesis Report. Contribution of Working Groups I, II and III to the Sixth Assessment Report of the Intergovernmental Panel on Climate Change [Core Writing Team, H. Lee and J. Romero (eds.)]. IPCC, Geneva, Switzerland.","title-short":"IPCC, 2023","URL":"https://www.ipcc.ch/report/ar6/syr/","contributor":[{"family":"Lee","given":"Hoesung"}],"author":[{"family":"Calvin","given":"Katherine"},{"family":"Dasgupta","given":"Dipak"},{"family":"Krinner","given":"Gerhard"},{"family":"Mukherji","given":"Aditi"},{"family":"Thorne","given":"Peter W."},{"family":"Trisos","given":"Christopher"},{"family":"Romero","given":"José"},{"family":"Aldunce","given":"Paulina"},{"family":"Barrett","given":"Ko"},{"family":"Blanco","given":"Gabriel"},{"family":"Cheung","given":"William W.L."},{"family":"Connors","given":"Sarah"},{"family":"Denton","given":"Fatima"},{"family":"Diongue-Niang","given":"Aïda"},{"family":"Dodman","given":"David"},{"family":"Garschagen","given":"Matthias"},{"family":"Geden","given":"Oliver"},{"family":"Hayward","given":"Bronwyn"},{"family":"Jones","given":"Christopher"},{"family":"Jotzo","given":"Frank"},{"family":"Krug","given":"Thelma"},{"family":"Lasco","given":"Rodel"},{"family":"Lee","given":"Yune-Yi"},{"family":"Masson-Delmotte","given":"Valérie"},{"family":"Meinshausen","given":"Malte"},{"family":"Mintenbeck","given":"Katja"},{"family":"Mokssit","given":"Abdalah"},{"family":"Otto","given":"Friederike E.L."},{"family":"Pathak","given":"Minal"},{"family":"Pirani","given":"Anna"},{"family":"Poloczanska","given":"Elvira"},{"family":"Pörtner","given":"Hans-Otto"},{"family":"Revi","given":"Aromar"},{"family":"Roberts","given":"Debra C."},{"family":"Roy","given":"Joyashree"},{"family":"Ruane","given":"Alex C."},{"family":"Skea","given":"Jim"},{"family":"Shukla","given":"Priyadarshi R."},{"family":"Slade","given":"Raphael"},{"family":"Slangen","given":"Aimée"},{"family":"Sokona","given":"Youba"},{"family":"Sörensson","given":"Anna A."},{"family":"Tignor","given":"Melinda"},{"family":"Van Vuuren","given":"Detlef"},{"family":"Wei","given":"Yi-Ming"},{"family":"Winkler","given":"Harald"},{"family":"Zhai","given":"Panmao"},{"family":"Zommers","given":"Zinta"},{"family":"Hourcade","given":"Jean-Charles"},{"family":"Johnson","given":"Francis X."},{"family":"Pachauri","given":"Shonali"},{"family":"Simpson","given":"Nicholas P."},{"family":"Singh","given":"Chandni"},{"family":"Thomas","given":"Adelle"},{"family":"Totin","given":"Edmond"},{"family":"Arias","given":"Paola"},{"family":"Bustamante","given":"Mercedes"},{"family":"Elgizouli","given":"Ismail"},{"family":"Flato","given":"Gregory"},{"family":"Howden","given":"Mark"},{"family":"Méndez-Vallejo","given":"Carlos"},{"family":"Pereira","given":"Joy Jacqueline"},{"family":"Pichs-Madruga","given":"Ramón"},{"family":"Rose","given":"Steven K."},{"family":"Saheb","given":"Yamina"},{"family":"Sánchez Rodríguez","given":"Roberto"},{"family":"Ürge-Vorsatz","given":"Diana"},{"family":"Xiao","given":"Cunde"},{"family":"Yassaa","given":"Noureddine"},{"family":"Alegría","given":"Andrés"},{"family":"Armour","given":"Kyle"},{"family":"Bednar-Friedl","given":"Birgit"},{"family":"Blok","given":"Kornelis"},{"family":"Cissé","given":"Guéladio"},{"family":"Dentener","given":"Frank"},{"family":"Eriksen","given":"Siri"},{"family":"Fischer","given":"Erich"},{"family":"Garner","given":"Gregory"},{"family":"Guivarch","given":"Céline"},{"family":"Haasnoot","given":"Marjolijn"},{"family":"Hansen","given":"Gerrit"},{"family":"Hauser","given":"Mathias"},{"family":"Hawkins","given":"Ed"},{"family":"Hermans","given":"Tim"},{"family":"Kopp","given":"Robert"},{"family":"Leprince-Ringuet","given":"Noëmie"},{"family":"Lewis","given":"Jared"},{"family":"Ley","given":"Debora"},{"family":"Ludden","given":"Chloé"},{"family":"Niamir","given":"Leila"},{"family":"Nicholls","given":"Zebedee"},{"family":"Some","given":"Shreya"},{"family":"Szopa","given":"Sophie"},{"family":"Trewin","given":"Blair"},{"family":"Van Der Wijst","given":"Kaj-Ivar"},{"family":"Winter","given":"Gundula"},{"family":"Witting","given":"Maximilian"},{"family":"Birt","given":"Arlene"},{"family":"Ha","given":"Meeyoung"},{"family":"Romero","given":"José"},{"family":"Kim","given":"Jinmi"},{"family":"Haites","given":"Erik F."},{"family":"Jung","given":"Yonghun"},{"family":"Stavins","given":"Robert"},{"family":"Birt","given":"Arlene"},{"family":"Ha","given":"Meeyoung"},{"family":"Orendain","given":"Dan Jezreel A."},{"family":"Ignon","given":"Lance"},{"family":"Park","given":"Semin"},{"family":"Park","given":"Youngin"},{"family":"Reisinger","given":"Andy"},{"family":"Cammaramo","given":"Diego"},{"family":"Fischlin","given":"Andreas"},{"family":"Fuglestvedt","given":"Jan S."},{"family":"Hansen","given":"Gerrit"},{"family":"Ludden","given":"Chloé"},{"family":"Masson-Delmotte","given":"Valérie"},{"family":"Matthews","given":"J.B. Robin"},{"family":"Mintenbeck","given":"Katja"},{"family":"Pirani","given":"Anna"},{"family":"Poloczanska","given":"Elvira"},{"family":"Leprince-Ringuet","given":"Noëmie"},{"family":"Péan","given":"Clotilde"}],"accessed":{"date-parts":[["2026",2,11]]},"issued":{"date-parts":[["2023",7,25]]}}}],"schema":"https://github.com/citation-style-language/schema/raw/master/csl-citation.json"} </w:instrText>
      </w:r>
      <w:r w:rsidR="004D075C">
        <w:rPr>
          <w:rFonts w:cs="Tahoma"/>
          <w:lang w:val="en-GB"/>
        </w:rPr>
        <w:fldChar w:fldCharType="separate"/>
      </w:r>
      <w:r w:rsidR="004D075C" w:rsidRPr="00CA129F">
        <w:rPr>
          <w:rFonts w:cs="Times New Roman"/>
          <w:szCs w:val="24"/>
          <w:vertAlign w:val="superscript"/>
          <w:lang w:val="en-GB"/>
        </w:rPr>
        <w:t>1,2</w:t>
      </w:r>
      <w:r w:rsidR="004D075C">
        <w:rPr>
          <w:rFonts w:cs="Tahoma"/>
          <w:lang w:val="en-GB"/>
        </w:rPr>
        <w:fldChar w:fldCharType="end"/>
      </w:r>
      <w:r w:rsidRPr="00973049">
        <w:rPr>
          <w:rFonts w:cs="Tahoma"/>
          <w:lang w:val="en-GB"/>
        </w:rPr>
        <w:t xml:space="preserve">. Although scenarios typically use quantitative methods to assess future trajectories, they are often preceded by qualitative </w:t>
      </w:r>
      <w:r>
        <w:rPr>
          <w:rFonts w:cs="Tahoma"/>
          <w:lang w:val="en-GB"/>
        </w:rPr>
        <w:t>narratives</w:t>
      </w:r>
      <w:r w:rsidRPr="00973049">
        <w:rPr>
          <w:rFonts w:cs="Tahoma"/>
          <w:lang w:val="en-GB"/>
        </w:rPr>
        <w:t xml:space="preserve"> that capture these numeric projections in words. Narrative elements are essential to provide a general context to paths</w:t>
      </w:r>
      <w:r w:rsidR="004D075C">
        <w:rPr>
          <w:rFonts w:cs="Tahoma"/>
          <w:lang w:val="en-GB"/>
        </w:rPr>
        <w:fldChar w:fldCharType="begin"/>
      </w:r>
      <w:r w:rsidR="006F35B5">
        <w:rPr>
          <w:rFonts w:cs="Tahoma"/>
          <w:lang w:val="en-GB"/>
        </w:rPr>
        <w:instrText xml:space="preserve"> ADDIN ZOTERO_ITEM CSL_CITATION {"citationID":"sJc2Aq20","properties":{"formattedCitation":"\\super 3\\nosupersub{}","plainCitation":"3","noteIndex":0},"citationItems":[{"id":"WBObXc7a/77Y98GGU","uris":["http://zotero.org/users/11961904/items/LHDDMAVT"],"itemData":{"id":"4adROxzK/qfxy3n76","type":"article-journal","container-title":"Global Environmental Change","DOI":"10.1016/j.gloenvcha.2011.08.002","ISSN":"09593780","issue":"1","journalAbbreviation":"Global Environmental Change","language":"en","license":"https://www.elsevier.com/tdm/userlicense/1.0/","page":"21-35","source":"DOI.org (Crossref)","title":"A proposal for a new scenario framework to support research and assessment in different climate research communities","volume":"22","author":[{"family":"Van Vuuren","given":"Detlef P."},{"family":"Riahi","given":"Keywan"},{"family":"Moss","given":"Richard"},{"family":"Edmonds","given":"Jae"},{"family":"Thomson","given":"Allison"},{"family":"Nakicenovic","given":"Nebojsa"},{"family":"Kram","given":"Tom"},{"family":"Berkhout","given":"Frans"},{"family":"Swart","given":"Rob"},{"family":"Janetos","given":"Anthony"},{"family":"Rose","given":"Steven K."},{"family":"Arnell","given":"Nigel"}],"issued":{"date-parts":[["2012",2]]}}}],"schema":"https://github.com/citation-style-language/schema/raw/master/csl-citation.json"} </w:instrText>
      </w:r>
      <w:r w:rsidR="004D075C">
        <w:rPr>
          <w:rFonts w:cs="Tahoma"/>
          <w:lang w:val="en-GB"/>
        </w:rPr>
        <w:fldChar w:fldCharType="separate"/>
      </w:r>
      <w:r w:rsidR="004D075C" w:rsidRPr="004D075C">
        <w:rPr>
          <w:rFonts w:cs="Times New Roman"/>
          <w:szCs w:val="24"/>
          <w:vertAlign w:val="superscript"/>
          <w:lang w:val="en-GB"/>
        </w:rPr>
        <w:t>3</w:t>
      </w:r>
      <w:r w:rsidR="004D075C">
        <w:rPr>
          <w:rFonts w:cs="Tahoma"/>
          <w:lang w:val="en-GB"/>
        </w:rPr>
        <w:fldChar w:fldCharType="end"/>
      </w:r>
      <w:r w:rsidRPr="00973049">
        <w:rPr>
          <w:rFonts w:cs="Tahoma"/>
          <w:lang w:val="en-GB"/>
        </w:rPr>
        <w:t>.</w:t>
      </w:r>
    </w:p>
    <w:p w14:paraId="288D2931" w14:textId="77777777" w:rsidR="007D3452" w:rsidRDefault="007D3452" w:rsidP="007021C0">
      <w:pPr>
        <w:pStyle w:val="Prrafodelista"/>
        <w:spacing w:after="120" w:line="278" w:lineRule="auto"/>
        <w:ind w:left="0"/>
        <w:jc w:val="both"/>
        <w:rPr>
          <w:rFonts w:cs="Tahoma"/>
          <w:lang w:val="en-GB"/>
        </w:rPr>
      </w:pPr>
    </w:p>
    <w:p w14:paraId="341EC589" w14:textId="73662C8A" w:rsidR="007021C0" w:rsidRPr="00973049" w:rsidRDefault="00467C8F" w:rsidP="007021C0">
      <w:pPr>
        <w:pStyle w:val="Prrafodelista"/>
        <w:spacing w:after="120" w:line="278" w:lineRule="auto"/>
        <w:ind w:left="0"/>
        <w:jc w:val="both"/>
        <w:rPr>
          <w:rFonts w:cs="Times New Roman"/>
          <w:lang w:val="en-GB"/>
        </w:rPr>
      </w:pPr>
      <w:r w:rsidRPr="00973049">
        <w:rPr>
          <w:rFonts w:cs="Times New Roman"/>
          <w:lang w:val="en-GB"/>
        </w:rPr>
        <w:t xml:space="preserve">The workflow of the scenario creation is summarized in the steps shown in </w:t>
      </w:r>
      <w:r>
        <w:rPr>
          <w:rFonts w:cs="Times New Roman"/>
          <w:lang w:val="en-GB"/>
        </w:rPr>
        <w:fldChar w:fldCharType="begin"/>
      </w:r>
      <w:r>
        <w:rPr>
          <w:rFonts w:cs="Times New Roman"/>
          <w:lang w:val="en-GB"/>
        </w:rPr>
        <w:instrText xml:space="preserve"> REF _Ref221533813 \h  \* MERGEFORMAT </w:instrText>
      </w:r>
      <w:r>
        <w:rPr>
          <w:rFonts w:cs="Times New Roman"/>
          <w:lang w:val="en-GB"/>
        </w:rPr>
      </w:r>
      <w:r>
        <w:rPr>
          <w:rFonts w:cs="Times New Roman"/>
          <w:lang w:val="en-GB"/>
        </w:rPr>
        <w:fldChar w:fldCharType="separate"/>
      </w:r>
      <w:r>
        <w:rPr>
          <w:rFonts w:cs="Times New Roman"/>
          <w:lang w:val="en-GB"/>
        </w:rPr>
        <w:t>f</w:t>
      </w:r>
      <w:r w:rsidRPr="0063109C">
        <w:rPr>
          <w:rFonts w:cs="Times New Roman"/>
          <w:lang w:val="en-GB"/>
        </w:rPr>
        <w:t>igure S1</w:t>
      </w:r>
      <w:r>
        <w:rPr>
          <w:rFonts w:cs="Times New Roman"/>
          <w:lang w:val="en-GB"/>
        </w:rPr>
        <w:fldChar w:fldCharType="end"/>
      </w:r>
      <w:r w:rsidRPr="0063109C">
        <w:rPr>
          <w:rFonts w:cs="Times New Roman"/>
          <w:lang w:val="en-GB"/>
        </w:rPr>
        <w:t xml:space="preserve">. </w:t>
      </w:r>
      <w:r w:rsidR="0063109C">
        <w:rPr>
          <w:rFonts w:cs="Times New Roman"/>
          <w:lang w:val="en-GB"/>
        </w:rPr>
        <w:t xml:space="preserve">We </w:t>
      </w:r>
      <w:r w:rsidR="007021C0" w:rsidRPr="00973049">
        <w:rPr>
          <w:rFonts w:cs="Times New Roman"/>
          <w:lang w:val="en-GB"/>
        </w:rPr>
        <w:t>conceptualized and quantified four climate mitigation pathways with a common target of 1.83 ºC by 2050 (SD = 0.001 ºC). This shared climate target is obtained in the paths with the moderate levels of population and minimum EROI for solar and wind, and without activating the climate change impacts (see</w:t>
      </w:r>
      <w:r w:rsidR="007D3452">
        <w:rPr>
          <w:rFonts w:cs="Times New Roman"/>
          <w:lang w:val="en-GB"/>
        </w:rPr>
        <w:t xml:space="preserve"> </w:t>
      </w:r>
      <w:r w:rsidR="007D3452">
        <w:rPr>
          <w:rFonts w:cs="Times New Roman"/>
          <w:lang w:val="en-GB"/>
        </w:rPr>
        <w:fldChar w:fldCharType="begin"/>
      </w:r>
      <w:r w:rsidR="007D3452">
        <w:rPr>
          <w:rFonts w:cs="Times New Roman"/>
          <w:lang w:val="en-GB"/>
        </w:rPr>
        <w:instrText xml:space="preserve"> REF _Ref221534124 \h  \* MERGEFORMAT </w:instrText>
      </w:r>
      <w:r w:rsidR="007D3452">
        <w:rPr>
          <w:rFonts w:cs="Times New Roman"/>
          <w:lang w:val="en-GB"/>
        </w:rPr>
      </w:r>
      <w:r w:rsidR="007D3452">
        <w:rPr>
          <w:rFonts w:cs="Times New Roman"/>
          <w:lang w:val="en-GB"/>
        </w:rPr>
        <w:fldChar w:fldCharType="separate"/>
      </w:r>
      <w:r w:rsidR="007D3452">
        <w:rPr>
          <w:rFonts w:cs="Times New Roman"/>
          <w:lang w:val="en-GB"/>
        </w:rPr>
        <w:t>t</w:t>
      </w:r>
      <w:r w:rsidR="007D3452" w:rsidRPr="007D3452">
        <w:rPr>
          <w:rFonts w:cs="Times New Roman"/>
          <w:lang w:val="en-GB"/>
        </w:rPr>
        <w:t>able S2</w:t>
      </w:r>
      <w:r w:rsidR="007D3452">
        <w:rPr>
          <w:rFonts w:cs="Times New Roman"/>
          <w:lang w:val="en-GB"/>
        </w:rPr>
        <w:fldChar w:fldCharType="end"/>
      </w:r>
      <w:r w:rsidR="007021C0" w:rsidRPr="00973049">
        <w:rPr>
          <w:rFonts w:cs="Times New Roman"/>
          <w:lang w:val="en-GB"/>
        </w:rPr>
        <w:t>). Three pathways assume exponential carbon tax growth, reaching 300 $2015/</w:t>
      </w:r>
      <w:proofErr w:type="spellStart"/>
      <w:r w:rsidR="007021C0" w:rsidRPr="00973049">
        <w:rPr>
          <w:rFonts w:cs="Times New Roman"/>
          <w:lang w:val="en-GB"/>
        </w:rPr>
        <w:t>tCO₂eq</w:t>
      </w:r>
      <w:proofErr w:type="spellEnd"/>
      <w:r w:rsidR="007021C0" w:rsidRPr="00973049">
        <w:rPr>
          <w:rFonts w:cs="Times New Roman"/>
          <w:lang w:val="en-GB"/>
        </w:rPr>
        <w:t xml:space="preserve"> by 2050, consistent with historical trends and estimates for a 1.5 ºC trajectory. Additional international efforts beyond 2050 remain necessary according to WILIAM. The 1.83 ºC outcome is </w:t>
      </w:r>
      <w:r w:rsidR="00AD3B26">
        <w:rPr>
          <w:rFonts w:cs="Times New Roman"/>
          <w:lang w:val="en-GB"/>
        </w:rPr>
        <w:t xml:space="preserve">delivered by </w:t>
      </w:r>
      <w:r w:rsidR="007021C0" w:rsidRPr="00973049">
        <w:rPr>
          <w:rFonts w:cs="Times New Roman"/>
          <w:lang w:val="en-GB"/>
        </w:rPr>
        <w:t xml:space="preserve">the most </w:t>
      </w:r>
      <w:r w:rsidR="00AD3B26">
        <w:rPr>
          <w:rFonts w:cs="Times New Roman"/>
          <w:lang w:val="en-GB"/>
        </w:rPr>
        <w:t xml:space="preserve">limiting </w:t>
      </w:r>
      <w:r w:rsidR="007021C0" w:rsidRPr="00973049">
        <w:rPr>
          <w:rFonts w:cs="Times New Roman"/>
          <w:lang w:val="en-GB"/>
        </w:rPr>
        <w:t xml:space="preserve">mitigation scenario </w:t>
      </w:r>
      <w:r w:rsidR="00AD3B26" w:rsidRPr="00973049">
        <w:rPr>
          <w:rFonts w:cs="Times New Roman"/>
          <w:lang w:val="en-GB"/>
        </w:rPr>
        <w:t>(</w:t>
      </w:r>
      <w:r w:rsidR="00F27D31">
        <w:rPr>
          <w:rFonts w:cs="Times New Roman"/>
          <w:lang w:val="en-GB"/>
        </w:rPr>
        <w:t>S1-TLD</w:t>
      </w:r>
      <w:r w:rsidR="00AD3B26" w:rsidRPr="00973049">
        <w:rPr>
          <w:rFonts w:cs="Times New Roman"/>
          <w:lang w:val="en-GB"/>
        </w:rPr>
        <w:t>)</w:t>
      </w:r>
      <w:r w:rsidR="00AD3B26">
        <w:rPr>
          <w:rFonts w:cs="Times New Roman"/>
          <w:lang w:val="en-GB"/>
        </w:rPr>
        <w:t xml:space="preserve"> </w:t>
      </w:r>
      <w:r w:rsidR="007021C0" w:rsidRPr="00973049">
        <w:rPr>
          <w:rFonts w:cs="Times New Roman"/>
          <w:lang w:val="en-GB"/>
        </w:rPr>
        <w:t>when testing policies in the model. This exercise is intended to illustrate how SDG interactions are affected by the general context rather than to propose a definitive 1.5 ºC pathway. Such a scenario requires closer alignment with empirical political and technological data, and refined projection methodologies.</w:t>
      </w:r>
    </w:p>
    <w:p w14:paraId="1B8CE2CD" w14:textId="77777777" w:rsidR="007021C0" w:rsidRPr="00973049" w:rsidRDefault="007021C0" w:rsidP="007021C0">
      <w:pPr>
        <w:pStyle w:val="Prrafodelista"/>
        <w:spacing w:after="120" w:line="278" w:lineRule="auto"/>
        <w:ind w:left="0"/>
        <w:jc w:val="both"/>
        <w:rPr>
          <w:rFonts w:cs="Times New Roman"/>
          <w:lang w:val="en-GB"/>
        </w:rPr>
      </w:pPr>
    </w:p>
    <w:p w14:paraId="0C25BDDE" w14:textId="523C4DE4" w:rsidR="007021C0" w:rsidRPr="00467C8F" w:rsidRDefault="007D3452" w:rsidP="007021C0">
      <w:pPr>
        <w:pStyle w:val="Prrafodelista"/>
        <w:spacing w:after="120" w:line="278" w:lineRule="auto"/>
        <w:ind w:left="0"/>
        <w:jc w:val="both"/>
        <w:rPr>
          <w:rFonts w:cs="Times New Roman"/>
          <w:lang w:val="en-GB"/>
        </w:rPr>
      </w:pPr>
      <w:r>
        <w:rPr>
          <w:rFonts w:cs="Times New Roman"/>
          <w:lang w:val="en-GB"/>
        </w:rPr>
        <w:fldChar w:fldCharType="begin"/>
      </w:r>
      <w:r>
        <w:rPr>
          <w:rFonts w:cs="Times New Roman"/>
          <w:lang w:val="en-GB"/>
        </w:rPr>
        <w:instrText xml:space="preserve"> REF _Ref221534278 \h  \* MERGEFORMAT </w:instrText>
      </w:r>
      <w:r>
        <w:rPr>
          <w:rFonts w:cs="Times New Roman"/>
          <w:lang w:val="en-GB"/>
        </w:rPr>
      </w:r>
      <w:r>
        <w:rPr>
          <w:rFonts w:cs="Times New Roman"/>
          <w:lang w:val="en-GB"/>
        </w:rPr>
        <w:fldChar w:fldCharType="separate"/>
      </w:r>
      <w:r w:rsidRPr="007D3452">
        <w:rPr>
          <w:rFonts w:cs="Times New Roman"/>
          <w:lang w:val="en-GB"/>
        </w:rPr>
        <w:t>Figure S2</w:t>
      </w:r>
      <w:r>
        <w:rPr>
          <w:rFonts w:cs="Times New Roman"/>
          <w:lang w:val="en-GB"/>
        </w:rPr>
        <w:fldChar w:fldCharType="end"/>
      </w:r>
      <w:r>
        <w:rPr>
          <w:rFonts w:cs="Times New Roman"/>
          <w:lang w:val="en-GB"/>
        </w:rPr>
        <w:t xml:space="preserve"> </w:t>
      </w:r>
      <w:r w:rsidR="007021C0" w:rsidRPr="00973049">
        <w:rPr>
          <w:rFonts w:cs="Times New Roman"/>
          <w:lang w:val="en-GB"/>
        </w:rPr>
        <w:t>shows a conceptual position of these scenarios based on their dependence on demand-side social and supply-side technological solutions. Three are based on existing literature on three topics: technological changes in the supply side of systems, reductions in the demand side due to lifestyle changes, and the promotion of measures aiming to restore natural carbon sinks. The four is a middle-of-the-road scenario combining lower intense policies of the previous three. Three scenarios are grounded in existing literature, focusing respectively on technological changes on the supply side, demand reductions driven by lifestyle changes, and measures to restore natural carbon sinks. A fourth, middle-of-the-road scenario, combines the less stringent policies of the preceding three. The attributes defining the level of change are summarized in</w:t>
      </w:r>
      <w:r w:rsidR="0063109C">
        <w:rPr>
          <w:rFonts w:cs="Times New Roman"/>
          <w:lang w:val="en-GB"/>
        </w:rPr>
        <w:t xml:space="preserve"> </w:t>
      </w:r>
      <w:r w:rsidR="0063109C">
        <w:rPr>
          <w:rFonts w:cs="Times New Roman"/>
          <w:lang w:val="en-GB"/>
        </w:rPr>
        <w:fldChar w:fldCharType="begin"/>
      </w:r>
      <w:r w:rsidR="0063109C">
        <w:rPr>
          <w:rFonts w:cs="Times New Roman"/>
          <w:lang w:val="en-GB"/>
        </w:rPr>
        <w:instrText xml:space="preserve"> REF _Ref221533999 \h  \* MERGEFORMAT </w:instrText>
      </w:r>
      <w:r w:rsidR="0063109C">
        <w:rPr>
          <w:rFonts w:cs="Times New Roman"/>
          <w:lang w:val="en-GB"/>
        </w:rPr>
      </w:r>
      <w:r w:rsidR="0063109C">
        <w:rPr>
          <w:rFonts w:cs="Times New Roman"/>
          <w:lang w:val="en-GB"/>
        </w:rPr>
        <w:fldChar w:fldCharType="separate"/>
      </w:r>
      <w:r w:rsidR="0063109C">
        <w:rPr>
          <w:rFonts w:cs="Times New Roman"/>
          <w:lang w:val="en-GB"/>
        </w:rPr>
        <w:t>t</w:t>
      </w:r>
      <w:r w:rsidR="0063109C" w:rsidRPr="0063109C">
        <w:rPr>
          <w:rFonts w:cs="Times New Roman"/>
          <w:lang w:val="en-GB"/>
        </w:rPr>
        <w:t>able S1</w:t>
      </w:r>
      <w:r w:rsidR="0063109C">
        <w:rPr>
          <w:rFonts w:cs="Times New Roman"/>
          <w:lang w:val="en-GB"/>
        </w:rPr>
        <w:fldChar w:fldCharType="end"/>
      </w:r>
      <w:r w:rsidR="007021C0" w:rsidRPr="00973049">
        <w:rPr>
          <w:rFonts w:cs="Times New Roman"/>
          <w:lang w:val="en-GB"/>
        </w:rPr>
        <w:t>. The specific policies applied in WILIAM to reproduce these attributes is shown in</w:t>
      </w:r>
      <w:r w:rsidR="00467C8F">
        <w:rPr>
          <w:rFonts w:cs="Times New Roman"/>
          <w:lang w:val="en-GB"/>
        </w:rPr>
        <w:t xml:space="preserve"> </w:t>
      </w:r>
      <w:r w:rsidR="00467C8F">
        <w:rPr>
          <w:rFonts w:cs="Times New Roman"/>
          <w:lang w:val="en-GB"/>
        </w:rPr>
        <w:fldChar w:fldCharType="begin"/>
      </w:r>
      <w:r w:rsidR="00467C8F">
        <w:rPr>
          <w:rFonts w:cs="Times New Roman"/>
          <w:lang w:val="en-GB"/>
        </w:rPr>
        <w:instrText xml:space="preserve"> REF _Ref221534124 \h  \* MERGEFORMAT </w:instrText>
      </w:r>
      <w:r w:rsidR="00467C8F">
        <w:rPr>
          <w:rFonts w:cs="Times New Roman"/>
          <w:lang w:val="en-GB"/>
        </w:rPr>
      </w:r>
      <w:r w:rsidR="00467C8F">
        <w:rPr>
          <w:rFonts w:cs="Times New Roman"/>
          <w:lang w:val="en-GB"/>
        </w:rPr>
        <w:fldChar w:fldCharType="separate"/>
      </w:r>
      <w:r w:rsidR="00467C8F" w:rsidRPr="00467C8F">
        <w:rPr>
          <w:rFonts w:cs="Times New Roman"/>
          <w:lang w:val="en-GB"/>
        </w:rPr>
        <w:t>table S2</w:t>
      </w:r>
      <w:r w:rsidR="00467C8F">
        <w:rPr>
          <w:rFonts w:cs="Times New Roman"/>
          <w:lang w:val="en-GB"/>
        </w:rPr>
        <w:fldChar w:fldCharType="end"/>
      </w:r>
      <w:r w:rsidR="007021C0" w:rsidRPr="00973049">
        <w:rPr>
          <w:rFonts w:cs="Times New Roman"/>
          <w:lang w:val="en-GB"/>
        </w:rPr>
        <w:t>. Finally, the final numeric values that WILIAM assume can be found in the scenario_parameters.xlsx of the Zenodo repository</w:t>
      </w:r>
      <w:r w:rsidR="00CA129F">
        <w:rPr>
          <w:rFonts w:cs="Times New Roman"/>
          <w:lang w:val="en-GB"/>
        </w:rPr>
        <w:t xml:space="preserve"> (</w:t>
      </w:r>
      <w:r w:rsidR="00960D31">
        <w:fldChar w:fldCharType="begin"/>
      </w:r>
      <w:r w:rsidR="00960D31" w:rsidRPr="00BA7017">
        <w:rPr>
          <w:lang w:val="en-GB"/>
        </w:rPr>
        <w:instrText xml:space="preserve"> HYPERLINK "https://doi.org/10.5281/zenodo.19066849" </w:instrText>
      </w:r>
      <w:r w:rsidR="00960D31">
        <w:fldChar w:fldCharType="separate"/>
      </w:r>
      <w:r w:rsidR="00CA129F" w:rsidRPr="008D3673">
        <w:rPr>
          <w:rStyle w:val="Hipervnculo"/>
          <w:rFonts w:cs="Times New Roman"/>
          <w:lang w:val="en-GB"/>
        </w:rPr>
        <w:t>https://doi.org/10.5281/zenodo.19066849</w:t>
      </w:r>
      <w:r w:rsidR="00960D31">
        <w:rPr>
          <w:rStyle w:val="Hipervnculo"/>
          <w:rFonts w:cs="Times New Roman"/>
          <w:lang w:val="en-GB"/>
        </w:rPr>
        <w:fldChar w:fldCharType="end"/>
      </w:r>
      <w:r w:rsidR="00CA129F">
        <w:rPr>
          <w:rFonts w:cs="Times New Roman"/>
          <w:lang w:val="en-GB"/>
        </w:rPr>
        <w:t>)</w:t>
      </w:r>
      <w:r w:rsidR="007021C0" w:rsidRPr="00973049">
        <w:rPr>
          <w:rFonts w:cs="Times New Roman"/>
          <w:lang w:val="en-GB"/>
        </w:rPr>
        <w:t>.</w:t>
      </w:r>
      <w:r w:rsidR="00467C8F">
        <w:rPr>
          <w:rFonts w:cs="Times New Roman"/>
          <w:lang w:val="en-GB"/>
        </w:rPr>
        <w:t xml:space="preserve"> </w:t>
      </w:r>
      <w:r w:rsidR="007021C0" w:rsidRPr="00467C8F">
        <w:rPr>
          <w:rFonts w:cs="Times New Roman"/>
          <w:lang w:val="en-GB"/>
        </w:rPr>
        <w:t>The scenarios reflect the following characteristics:</w:t>
      </w:r>
    </w:p>
    <w:p w14:paraId="1EF1A134" w14:textId="77777777" w:rsidR="007021C0" w:rsidRPr="00973049" w:rsidRDefault="007021C0" w:rsidP="007021C0">
      <w:pPr>
        <w:pStyle w:val="Prrafodelista"/>
        <w:widowControl w:val="0"/>
        <w:numPr>
          <w:ilvl w:val="0"/>
          <w:numId w:val="19"/>
        </w:numPr>
        <w:autoSpaceDE w:val="0"/>
        <w:autoSpaceDN w:val="0"/>
        <w:spacing w:before="120" w:after="120" w:line="278" w:lineRule="auto"/>
        <w:jc w:val="both"/>
        <w:rPr>
          <w:rFonts w:cs="Times New Roman"/>
          <w:lang w:val="en-GB"/>
        </w:rPr>
      </w:pPr>
      <w:r w:rsidRPr="00973049">
        <w:rPr>
          <w:rFonts w:cs="Times New Roman"/>
          <w:lang w:val="en-GB"/>
        </w:rPr>
        <w:t>Provide a range of potential futures addressing socio-economic challenges.</w:t>
      </w:r>
    </w:p>
    <w:p w14:paraId="36C1FA2B" w14:textId="248DFE6B" w:rsidR="007021C0" w:rsidRPr="00973049" w:rsidRDefault="007021C0" w:rsidP="007021C0">
      <w:pPr>
        <w:pStyle w:val="Prrafodelista"/>
        <w:widowControl w:val="0"/>
        <w:numPr>
          <w:ilvl w:val="0"/>
          <w:numId w:val="19"/>
        </w:numPr>
        <w:autoSpaceDE w:val="0"/>
        <w:autoSpaceDN w:val="0"/>
        <w:spacing w:before="120" w:after="120" w:line="278" w:lineRule="auto"/>
        <w:jc w:val="both"/>
        <w:rPr>
          <w:rFonts w:cs="Times New Roman"/>
          <w:lang w:val="en-GB"/>
        </w:rPr>
      </w:pPr>
      <w:r w:rsidRPr="00973049">
        <w:rPr>
          <w:rFonts w:cs="Times New Roman"/>
          <w:lang w:val="en-GB"/>
        </w:rPr>
        <w:t>Incorporate various scenario assumptions related to key systems: energy (both demand and supply), technological advancements, land-use changes</w:t>
      </w:r>
      <w:r w:rsidR="006F35B5">
        <w:rPr>
          <w:rFonts w:cs="Times New Roman"/>
          <w:lang w:val="en-GB"/>
        </w:rPr>
        <w:fldChar w:fldCharType="begin"/>
      </w:r>
      <w:r w:rsidR="006F35B5">
        <w:rPr>
          <w:rFonts w:cs="Times New Roman"/>
          <w:lang w:val="en-GB"/>
        </w:rPr>
        <w:instrText xml:space="preserve"> ADDIN ZOTERO_ITEM CSL_CITATION {"citationID":"irbDvF1b","properties":{"formattedCitation":"\\super 3,4\\nosupersub{}","plainCitation":"3,4","noteIndex":0},"citationItems":[{"id":"WBObXc7a/77Y98GGU","uris":["http://zotero.org/users/11961904/items/LHDDMAVT"],"itemData":{"id":"WBObXc7a/77Y98GGU","type":"article-journal","container-title":"Global Environmental Change","DOI":"10.1016/j.gloenvcha.2011.08.002","ISSN":"09593780","issue":"1","journalAbbreviation":"Global Environmental Change","language":"en","license":"https://www.elsevier.com/tdm/userlicense/1.0/","page":"21-35","source":"DOI.org (Crossref)","title":"A proposal for a new scenario framework to support research and assessment in different climate research communities","volume":"22","author":[{"family":"Van Vuuren","given":"Detlef P."},{"family":"Riahi","given":"Keywan"},{"family":"Moss","given":"Richard"},{"family":"Edmonds","given":"Jae"},{"family":"Thomson","given":"Allison"},{"family":"Nakicenovic","given":"Nebojsa"},{"family":"Kram","given":"Tom"},{"family":"Berkhout","given":"Frans"},{"family":"Swart","given":"Rob"},{"family":"Janetos","given":"Anthony"},{"family":"Rose","given":"Steven K."},{"family":"Arnell","given":"Nigel"}],"issued":{"date-parts":[["2012",2]]}}},{"id":218,"uris":["http://zotero.org/groups/6298575/items/NEVHTASQ"],"itemData":{"id":218,"type":"article-journal","abstract":"This paper presents the overview of the Shared Socioeconomic Pathways (SSPs) and their energy, land use, and emissions implications. The SSPs are part of a new scenario framework, established by the climate change research community in order to facilitate the integrated analysis of future climate impacts, vulnerabilities, adaptation, and mitigation. The pathways were developed over the last years as a joint community effort and describe plausible major global developments that together would lead in the future to different challenges for mitigation and adaptation to climate change. The SSPs are based on five narratives describing alternative socio-economic developments, including sustainable development, regional rivalry, inequality, fossil-fueled development, and middle-of-the-road development. The long-term demographic and economic projections of the SSPs depict a wide uncertainty range consistent with the scenario literature. A multi-model approach was used for the elaboration of the energy, land-use and the emissions trajectories of SSP-based scenarios. The baseline scenarios lead to global energy consumption of 400–1200 EJ in 2100, and feature vastly different land-use dynamics, ranging from a possible reduction in cropland area up to a massive expansion by more than 700 million hectares by 2100. The associated annual CO2 emissions of the baseline scenarios range from about 25 GtCO2 to more than 120 GtCO2 per year by 2100. With respect to mitigation, we find that associated costs strongly depend on three factors: (1) the policy assumptions, (2) the socio-economic narrative, and (3) the stringency of the target. The carbon price for reaching the target of 2.6W/m2 that is consistent with a temperature change limit of 2°C, differs in our analysis thus by about a factor of three across the SSP marker scenarios. Moreover, many models could not reach this target from the SSPs with high mitigation challenges. While the SSPs were designed to represent different mitigation and adaptation challenges, the resulting narratives and quantifications span a wide range of different futures broadly representative of the current literature. This allows their subsequent use and development in new assessments and research projects. Critical next steps for the community scenario process will, among others, involve regional and sectoral extensions, further elaboration of the adaptation and impacts dimension, as well as employing the SSP scenarios with the new generation of earth system models as part of the 6th climate model intercomparison project (CMIP6).","container-title":"Global Environmental Change","DOI":"10.1016/j.gloenvcha.2016.05.009","ISSN":"0959-3780","journalAbbreviation":"Global Environmental Change","page":"153-168","title":"The Shared Socioeconomic Pathways and their energy, land use, and greenhouse gas emissions implications: An overview","volume":"42","author":[{"family":"Riahi","given":"Keywan"},{"family":"Vuuren","given":"Detlef P.","non-dropping-particle":"van"},{"family":"Kriegler","given":"Elmar"},{"family":"Edmonds","given":"Jae"},{"family":"O’Neill","given":"Brian C."},{"family":"Fujimori","given":"Shinichiro"},{"family":"Bauer","given":"Nico"},{"family":"Calvin","given":"Katherine"},{"family":"Dellink","given":"Rob"},{"family":"Fricko","given":"Oliver"},{"family":"Lutz","given":"Wolfgang"},{"family":"Popp","given":"Alexander"},{"family":"Cuaresma","given":"Jesus Crespo"},{"family":"KC","given":"Samir"},{"family":"Leimbach","given":"Marian"},{"family":"Jiang","given":"Leiwen"},{"family":"Kram","given":"Tom"},{"family":"Rao","given":"Shilpa"},{"family":"Emmerling","given":"Johannes"},{"family":"Ebi","given":"Kristie"},{"family":"Hasegawa","given":"Tomoko"},{"family":"Havlik","given":"Petr"},{"family":"Humpenöder","given":"Florian"},{"family":"Da Silva","given":"Lara Aleluia"},{"family":"Smith","given":"Steve"},{"family":"Stehfest","given":"Elke"},{"family":"Bosetti","given":"Valentina"},{"family":"Eom","given":"Jiyong"},{"family":"Gernaat","given":"David"},{"family":"Masui","given":"Toshihiko"},{"family":"Rogelj","given":"Joeri"},{"family":"Strefler","given":"Jessica"},{"family":"Drouet","given":"Laurent"},{"family":"Krey","given":"Volker"},{"family":"Luderer","given":"Gunnar"},{"family":"Harmsen","given":"Mathijs"},{"family":"Takahashi","given":"Kiyoshi"},{"family":"Baumstark","given":"Lavinia"},{"family":"Doelman","given":"Jonathan C."},{"family":"Kainuma","given":"Mikiko"},{"family":"Klimont","given":"Zbigniew"},{"family":"Marangoni","given":"Giacomo"},{"family":"Lotze-Campen","given":"Hermann"},{"family":"Obersteiner","given":"Michael"},{"family":"Tabeau","given":"Andrzej"},{"family":"Tavoni","given":"Massimo"}],"issued":{"date-parts":[["2017",1,1]]}}}],"schema":"https://github.com/citation-style-language/schema/raw/master/csl-citation.json"} </w:instrText>
      </w:r>
      <w:r w:rsidR="006F35B5">
        <w:rPr>
          <w:rFonts w:cs="Times New Roman"/>
          <w:lang w:val="en-GB"/>
        </w:rPr>
        <w:fldChar w:fldCharType="separate"/>
      </w:r>
      <w:r w:rsidR="006F35B5" w:rsidRPr="006F35B5">
        <w:rPr>
          <w:rFonts w:cs="Times New Roman"/>
          <w:szCs w:val="24"/>
          <w:vertAlign w:val="superscript"/>
        </w:rPr>
        <w:t>3,4</w:t>
      </w:r>
      <w:r w:rsidR="006F35B5">
        <w:rPr>
          <w:rFonts w:cs="Times New Roman"/>
          <w:lang w:val="en-GB"/>
        </w:rPr>
        <w:fldChar w:fldCharType="end"/>
      </w:r>
      <w:r w:rsidRPr="00DE04F4">
        <w:rPr>
          <w:rFonts w:cs="Times New Roman"/>
        </w:rPr>
        <w:fldChar w:fldCharType="begin"/>
      </w:r>
      <w:r w:rsidR="006F35B5">
        <w:rPr>
          <w:rFonts w:cs="Times New Roman"/>
          <w:lang w:val="en-GB"/>
        </w:rPr>
        <w:instrText xml:space="preserve"> ADDIN ZOTERO_ITEM CSL_CITATION {"citationID":"CqNpInYL","properties":{"formattedCitation":"(Van Vuuren et al. 2012)","plainCitation":"(Van Vuuren et al. 2012)","dontUpdate":true,"noteIndex":0},"citationItems":[{"id":"WBObXc7a/77Y98GGU","uris":["http://zotero.org/users/11961904/items/LHDDMAVT"],"itemData":{"id":6,"type":"article-journal","container-title":"Global Environmental Change","DOI":"10.1016/j.gloenvcha.2011.08.002","ISSN":"09593780","issue":"1","journalAbbreviation":"Global Environmental Change","language":"en","license":"https://www.elsevier.com/tdm/userlicense/1.0/","page":"21-35","source":"DOI.org (Crossref)","title":"A proposal for a new scenario framework to support research and assessment in different climate research communities","volume":"22","author":[{"family":"Van Vuuren","given":"Detlef P."},{"family":"Riahi","given":"Keywan"},{"family":"Moss","given":"Richard"},{"family":"Edmonds","given":"Jae"},{"family":"Thomson","given":"Allison"},{"family":"Nakicenovic","given":"Nebojsa"},{"family":"Kram","given":"Tom"},{"family":"Berkhout","given":"Frans"},{"family":"Swart","given":"Rob"},{"family":"Janetos","given":"Anthony"},{"family":"Rose","given":"Steven K."},{"family":"Arnell","given":"Nigel"}],"issued":{"date-parts":[["2012",2]]}}}],"schema":"https://github.com/citation-style-language/schema/raw/master/csl-citation.json"} </w:instrText>
      </w:r>
      <w:r w:rsidR="00960D31">
        <w:rPr>
          <w:rFonts w:cs="Times New Roman"/>
        </w:rPr>
        <w:fldChar w:fldCharType="separate"/>
      </w:r>
      <w:r w:rsidRPr="00DE04F4">
        <w:rPr>
          <w:rFonts w:cs="Times New Roman"/>
        </w:rPr>
        <w:fldChar w:fldCharType="end"/>
      </w:r>
      <w:r w:rsidRPr="00973049">
        <w:rPr>
          <w:rFonts w:cs="Times New Roman"/>
          <w:lang w:val="en-GB"/>
        </w:rPr>
        <w:t>, and behavioural shifts (e.g., lifestyle).</w:t>
      </w:r>
    </w:p>
    <w:p w14:paraId="4AA718E4" w14:textId="77777777" w:rsidR="007021C0" w:rsidRPr="00973049" w:rsidRDefault="007021C0" w:rsidP="007021C0">
      <w:pPr>
        <w:pStyle w:val="Prrafodelista"/>
        <w:widowControl w:val="0"/>
        <w:numPr>
          <w:ilvl w:val="0"/>
          <w:numId w:val="19"/>
        </w:numPr>
        <w:autoSpaceDE w:val="0"/>
        <w:autoSpaceDN w:val="0"/>
        <w:spacing w:before="120" w:after="120" w:line="278" w:lineRule="auto"/>
        <w:jc w:val="both"/>
        <w:rPr>
          <w:rFonts w:cs="Times New Roman"/>
          <w:lang w:val="en-GB"/>
        </w:rPr>
      </w:pPr>
      <w:r w:rsidRPr="00973049">
        <w:rPr>
          <w:rFonts w:cs="Times New Roman"/>
          <w:lang w:val="en-GB"/>
        </w:rPr>
        <w:t>Demonstrate significance in terms of mitigation, sharing a common goal of decarbonisation scenarios.</w:t>
      </w:r>
    </w:p>
    <w:p w14:paraId="0772B16F" w14:textId="77777777" w:rsidR="007021C0" w:rsidRPr="00973049" w:rsidRDefault="007021C0" w:rsidP="007021C0">
      <w:pPr>
        <w:pStyle w:val="Prrafodelista"/>
        <w:widowControl w:val="0"/>
        <w:numPr>
          <w:ilvl w:val="0"/>
          <w:numId w:val="19"/>
        </w:numPr>
        <w:autoSpaceDE w:val="0"/>
        <w:autoSpaceDN w:val="0"/>
        <w:spacing w:before="120" w:after="120" w:line="278" w:lineRule="auto"/>
        <w:jc w:val="both"/>
        <w:rPr>
          <w:rFonts w:cs="Times New Roman"/>
          <w:lang w:val="en-GB"/>
        </w:rPr>
      </w:pPr>
      <w:r w:rsidRPr="00973049">
        <w:rPr>
          <w:rFonts w:cs="Times New Roman"/>
          <w:lang w:val="en-GB"/>
        </w:rPr>
        <w:t xml:space="preserve">Consider a sustainable perspective aligned with global sustainable development in the </w:t>
      </w:r>
      <w:r>
        <w:rPr>
          <w:rFonts w:cs="Times New Roman"/>
          <w:lang w:val="en-GB"/>
        </w:rPr>
        <w:t>narrative</w:t>
      </w:r>
      <w:r w:rsidRPr="00973049">
        <w:rPr>
          <w:rFonts w:cs="Times New Roman"/>
          <w:lang w:val="en-GB"/>
        </w:rPr>
        <w:t>, offering “more truly” sustainable goals beyond the reference scenario.</w:t>
      </w:r>
    </w:p>
    <w:p w14:paraId="560D9131" w14:textId="77777777" w:rsidR="007021C0" w:rsidRPr="00973049" w:rsidRDefault="007021C0" w:rsidP="007021C0">
      <w:pPr>
        <w:pStyle w:val="Prrafodelista"/>
        <w:widowControl w:val="0"/>
        <w:numPr>
          <w:ilvl w:val="0"/>
          <w:numId w:val="19"/>
        </w:numPr>
        <w:autoSpaceDE w:val="0"/>
        <w:autoSpaceDN w:val="0"/>
        <w:spacing w:before="120" w:after="120" w:line="278" w:lineRule="auto"/>
        <w:jc w:val="both"/>
        <w:rPr>
          <w:rFonts w:cs="Times New Roman"/>
          <w:lang w:val="en-GB"/>
        </w:rPr>
      </w:pPr>
      <w:r w:rsidRPr="00973049">
        <w:rPr>
          <w:rFonts w:cs="Times New Roman"/>
          <w:lang w:val="en-GB"/>
        </w:rPr>
        <w:t xml:space="preserve">Promotion of an energy transition towards energy efficiency and dominant presence of renewable energies. </w:t>
      </w:r>
    </w:p>
    <w:p w14:paraId="6187E289" w14:textId="77777777" w:rsidR="007021C0" w:rsidRPr="00973049" w:rsidRDefault="007021C0" w:rsidP="007021C0">
      <w:pPr>
        <w:pStyle w:val="Prrafodelista"/>
        <w:widowControl w:val="0"/>
        <w:numPr>
          <w:ilvl w:val="0"/>
          <w:numId w:val="19"/>
        </w:numPr>
        <w:autoSpaceDE w:val="0"/>
        <w:autoSpaceDN w:val="0"/>
        <w:spacing w:before="120" w:after="120" w:line="278" w:lineRule="auto"/>
        <w:jc w:val="both"/>
        <w:rPr>
          <w:rFonts w:cs="Times New Roman"/>
          <w:lang w:val="en-GB"/>
        </w:rPr>
      </w:pPr>
      <w:r w:rsidRPr="00973049">
        <w:rPr>
          <w:rFonts w:cs="Times New Roman"/>
          <w:lang w:val="en-GB"/>
        </w:rPr>
        <w:t>Consider a sustainable perspective aligned with global sustainable development in the narrative, offering “more truly” sustainable paths beyond the reference scenario.</w:t>
      </w:r>
    </w:p>
    <w:p w14:paraId="350A8487" w14:textId="77777777" w:rsidR="007021C0" w:rsidRPr="00973049" w:rsidRDefault="007021C0" w:rsidP="007021C0">
      <w:pPr>
        <w:pStyle w:val="Prrafodelista"/>
        <w:spacing w:before="120" w:after="120" w:line="278" w:lineRule="auto"/>
        <w:ind w:left="0"/>
        <w:jc w:val="both"/>
        <w:rPr>
          <w:rFonts w:cs="Times New Roman"/>
          <w:lang w:val="en-GB"/>
        </w:rPr>
      </w:pPr>
    </w:p>
    <w:p w14:paraId="6F8AF1F4" w14:textId="77777777" w:rsidR="007021C0" w:rsidRPr="00973049" w:rsidRDefault="007021C0" w:rsidP="007021C0">
      <w:pPr>
        <w:pStyle w:val="Prrafodelista"/>
        <w:spacing w:before="120" w:after="120" w:line="278" w:lineRule="auto"/>
        <w:ind w:left="0"/>
        <w:jc w:val="both"/>
        <w:rPr>
          <w:rFonts w:cs="Times New Roman"/>
          <w:lang w:val="en-GB"/>
        </w:rPr>
      </w:pPr>
    </w:p>
    <w:p w14:paraId="57C4EF30" w14:textId="77777777" w:rsidR="0063109C" w:rsidRDefault="007021C0" w:rsidP="0063109C">
      <w:pPr>
        <w:pStyle w:val="Prrafodelista"/>
        <w:keepNext/>
        <w:spacing w:before="120" w:after="120" w:line="278" w:lineRule="auto"/>
        <w:ind w:left="0"/>
        <w:jc w:val="center"/>
      </w:pPr>
      <w:r w:rsidRPr="00DE04F4">
        <w:rPr>
          <w:rFonts w:cs="Times New Roman"/>
          <w:noProof/>
        </w:rPr>
        <w:lastRenderedPageBreak/>
        <w:drawing>
          <wp:inline distT="0" distB="0" distL="0" distR="0" wp14:anchorId="31100EC0" wp14:editId="50129A2A">
            <wp:extent cx="5373710" cy="1979415"/>
            <wp:effectExtent l="0" t="0" r="0" b="0"/>
            <wp:docPr id="4236337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3710" cy="1979415"/>
                    </a:xfrm>
                    <a:prstGeom prst="rect">
                      <a:avLst/>
                    </a:prstGeom>
                  </pic:spPr>
                </pic:pic>
              </a:graphicData>
            </a:graphic>
          </wp:inline>
        </w:drawing>
      </w:r>
    </w:p>
    <w:p w14:paraId="4A00CDC7" w14:textId="732F8184" w:rsidR="007021C0" w:rsidRPr="00973049" w:rsidRDefault="0063109C" w:rsidP="007021C0">
      <w:pPr>
        <w:pStyle w:val="Descripcin"/>
        <w:jc w:val="center"/>
        <w:rPr>
          <w:rFonts w:cs="Times New Roman"/>
          <w:sz w:val="20"/>
          <w:szCs w:val="20"/>
          <w:lang w:val="en-GB"/>
        </w:rPr>
      </w:pPr>
      <w:bookmarkStart w:id="1" w:name="_Ref221533813"/>
      <w:r w:rsidRPr="0063109C">
        <w:rPr>
          <w:rFonts w:cs="Times New Roman"/>
          <w:i w:val="0"/>
          <w:iCs w:val="0"/>
          <w:color w:val="auto"/>
          <w:sz w:val="20"/>
          <w:szCs w:val="20"/>
          <w:lang w:val="en-GB"/>
        </w:rPr>
        <w:t xml:space="preserve">Figure S </w:t>
      </w:r>
      <w:r w:rsidRPr="0063109C">
        <w:rPr>
          <w:rFonts w:cs="Times New Roman"/>
          <w:i w:val="0"/>
          <w:iCs w:val="0"/>
          <w:color w:val="auto"/>
          <w:sz w:val="20"/>
          <w:szCs w:val="20"/>
          <w:lang w:val="en-GB"/>
        </w:rPr>
        <w:fldChar w:fldCharType="begin"/>
      </w:r>
      <w:r w:rsidRPr="0063109C">
        <w:rPr>
          <w:rFonts w:cs="Times New Roman"/>
          <w:i w:val="0"/>
          <w:iCs w:val="0"/>
          <w:color w:val="auto"/>
          <w:sz w:val="20"/>
          <w:szCs w:val="20"/>
          <w:lang w:val="en-GB"/>
        </w:rPr>
        <w:instrText xml:space="preserve"> SEQ Figure_S \* ARABIC </w:instrText>
      </w:r>
      <w:r w:rsidRPr="0063109C">
        <w:rPr>
          <w:rFonts w:cs="Times New Roman"/>
          <w:i w:val="0"/>
          <w:iCs w:val="0"/>
          <w:color w:val="auto"/>
          <w:sz w:val="20"/>
          <w:szCs w:val="20"/>
          <w:lang w:val="en-GB"/>
        </w:rPr>
        <w:fldChar w:fldCharType="separate"/>
      </w:r>
      <w:r w:rsidR="00173FA6">
        <w:rPr>
          <w:rFonts w:cs="Times New Roman"/>
          <w:i w:val="0"/>
          <w:iCs w:val="0"/>
          <w:noProof/>
          <w:color w:val="auto"/>
          <w:sz w:val="20"/>
          <w:szCs w:val="20"/>
          <w:lang w:val="en-GB"/>
        </w:rPr>
        <w:t>1</w:t>
      </w:r>
      <w:r w:rsidRPr="0063109C">
        <w:rPr>
          <w:rFonts w:cs="Times New Roman"/>
          <w:i w:val="0"/>
          <w:iCs w:val="0"/>
          <w:color w:val="auto"/>
          <w:sz w:val="20"/>
          <w:szCs w:val="20"/>
          <w:lang w:val="en-GB"/>
        </w:rPr>
        <w:fldChar w:fldCharType="end"/>
      </w:r>
      <w:bookmarkEnd w:id="1"/>
      <w:r w:rsidRPr="0063109C">
        <w:rPr>
          <w:rFonts w:cs="Times New Roman"/>
          <w:i w:val="0"/>
          <w:iCs w:val="0"/>
          <w:color w:val="auto"/>
          <w:sz w:val="20"/>
          <w:szCs w:val="20"/>
          <w:lang w:val="en-GB"/>
        </w:rPr>
        <w:t>.</w:t>
      </w:r>
      <w:r w:rsidR="007021C0" w:rsidRPr="00973049">
        <w:rPr>
          <w:rFonts w:cs="Times New Roman"/>
          <w:i w:val="0"/>
          <w:iCs w:val="0"/>
          <w:color w:val="auto"/>
          <w:sz w:val="20"/>
          <w:szCs w:val="20"/>
          <w:lang w:val="en-GB"/>
        </w:rPr>
        <w:t xml:space="preserve"> Steps to build a mitigation scenario, according to Van Vuuren et al.</w:t>
      </w:r>
      <w:r w:rsidR="006F35B5">
        <w:rPr>
          <w:rFonts w:cs="Times New Roman"/>
          <w:i w:val="0"/>
          <w:iCs w:val="0"/>
          <w:color w:val="auto"/>
          <w:sz w:val="20"/>
          <w:szCs w:val="20"/>
          <w:lang w:val="en-GB"/>
        </w:rPr>
        <w:fldChar w:fldCharType="begin"/>
      </w:r>
      <w:r w:rsidR="006F35B5">
        <w:rPr>
          <w:rFonts w:cs="Times New Roman"/>
          <w:i w:val="0"/>
          <w:iCs w:val="0"/>
          <w:color w:val="auto"/>
          <w:sz w:val="20"/>
          <w:szCs w:val="20"/>
          <w:lang w:val="en-GB"/>
        </w:rPr>
        <w:instrText xml:space="preserve"> ADDIN ZOTERO_ITEM CSL_CITATION {"citationID":"fN3GhLfU","properties":{"formattedCitation":"\\super 3\\nosupersub{}","plainCitation":"3","noteIndex":0},"citationItems":[{"id":"WBObXc7a/77Y98GGU","uris":["http://zotero.org/users/11961904/items/LHDDMAVT"],"itemData":{"id":"WBObXc7a/77Y98GGU","type":"article-journal","container-title":"Global Environmental Change","DOI":"10.1016/j.gloenvcha.2011.08.002","ISSN":"09593780","issue":"1","journalAbbreviation":"Global Environmental Change","language":"en","license":"https://www.elsevier.com/tdm/userlicense/1.0/","page":"21-35","source":"DOI.org (Crossref)","title":"A proposal for a new scenario framework to support research and assessment in different climate research communities","volume":"22","author":[{"family":"Van Vuuren","given":"Detlef P."},{"family":"Riahi","given":"Keywan"},{"family":"Moss","given":"Richard"},{"family":"Edmonds","given":"Jae"},{"family":"Thomson","given":"Allison"},{"family":"Nakicenovic","given":"Nebojsa"},{"family":"Kram","given":"Tom"},{"family":"Berkhout","given":"Frans"},{"family":"Swart","given":"Rob"},{"family":"Janetos","given":"Anthony"},{"family":"Rose","given":"Steven K."},{"family":"Arnell","given":"Nigel"}],"issued":{"date-parts":[["2012",2]]}}}],"schema":"https://github.com/citation-style-language/schema/raw/master/csl-citation.json"} </w:instrText>
      </w:r>
      <w:r w:rsidR="006F35B5">
        <w:rPr>
          <w:rFonts w:cs="Times New Roman"/>
          <w:i w:val="0"/>
          <w:iCs w:val="0"/>
          <w:color w:val="auto"/>
          <w:sz w:val="20"/>
          <w:szCs w:val="20"/>
          <w:lang w:val="en-GB"/>
        </w:rPr>
        <w:fldChar w:fldCharType="separate"/>
      </w:r>
      <w:r w:rsidR="006F35B5" w:rsidRPr="00CA129F">
        <w:rPr>
          <w:rFonts w:cs="Times New Roman"/>
          <w:sz w:val="20"/>
          <w:szCs w:val="24"/>
          <w:vertAlign w:val="superscript"/>
          <w:lang w:val="en-GB"/>
        </w:rPr>
        <w:t>3</w:t>
      </w:r>
      <w:r w:rsidR="006F35B5">
        <w:rPr>
          <w:rFonts w:cs="Times New Roman"/>
          <w:i w:val="0"/>
          <w:iCs w:val="0"/>
          <w:color w:val="auto"/>
          <w:sz w:val="20"/>
          <w:szCs w:val="20"/>
          <w:lang w:val="en-GB"/>
        </w:rPr>
        <w:fldChar w:fldCharType="end"/>
      </w:r>
      <w:r w:rsidR="007021C0" w:rsidRPr="00973049">
        <w:rPr>
          <w:rFonts w:cs="Times New Roman"/>
          <w:i w:val="0"/>
          <w:iCs w:val="0"/>
          <w:color w:val="auto"/>
          <w:sz w:val="20"/>
          <w:szCs w:val="20"/>
          <w:vertAlign w:val="superscript"/>
          <w:lang w:val="en-GB"/>
        </w:rPr>
        <w:t xml:space="preserve"> </w:t>
      </w:r>
      <w:r w:rsidR="007021C0" w:rsidRPr="00973049">
        <w:rPr>
          <w:rFonts w:cs="Times New Roman"/>
          <w:i w:val="0"/>
          <w:iCs w:val="0"/>
          <w:color w:val="auto"/>
          <w:sz w:val="20"/>
          <w:szCs w:val="20"/>
          <w:lang w:val="en-GB"/>
        </w:rPr>
        <w:t>.</w:t>
      </w:r>
    </w:p>
    <w:p w14:paraId="1BE319F8" w14:textId="77777777" w:rsidR="007021C0" w:rsidRPr="00973049" w:rsidRDefault="007021C0" w:rsidP="007021C0">
      <w:pPr>
        <w:pStyle w:val="Prrafodelista"/>
        <w:spacing w:after="120" w:line="278" w:lineRule="auto"/>
        <w:ind w:left="0"/>
        <w:jc w:val="both"/>
        <w:rPr>
          <w:rFonts w:cs="Times New Roman"/>
          <w:color w:val="196B24" w:themeColor="accent3"/>
          <w:lang w:val="en-GB"/>
        </w:rPr>
      </w:pPr>
    </w:p>
    <w:p w14:paraId="72680E4A" w14:textId="77777777" w:rsidR="007021C0" w:rsidRPr="00973049" w:rsidRDefault="007021C0" w:rsidP="007021C0">
      <w:pPr>
        <w:spacing w:after="0"/>
        <w:contextualSpacing/>
        <w:jc w:val="both"/>
        <w:rPr>
          <w:rFonts w:eastAsia="Times New Roman" w:cs="Times New Roman"/>
          <w:lang w:val="en-GB" w:eastAsia="de-AT"/>
        </w:rPr>
      </w:pPr>
      <w:r>
        <w:rPr>
          <w:rFonts w:eastAsia="Times New Roman" w:cs="Times New Roman"/>
          <w:b/>
          <w:bCs/>
          <w:lang w:val="en-GB" w:eastAsia="de-AT"/>
        </w:rPr>
        <w:t>Narrative</w:t>
      </w:r>
      <w:r w:rsidRPr="00973049">
        <w:rPr>
          <w:rFonts w:eastAsia="Times New Roman" w:cs="Times New Roman"/>
          <w:b/>
          <w:bCs/>
          <w:lang w:val="en-GB" w:eastAsia="de-AT"/>
        </w:rPr>
        <w:t xml:space="preserve"> 1: Technology-led decarbonization (TLD)</w:t>
      </w:r>
      <w:r w:rsidRPr="00973049">
        <w:rPr>
          <w:rFonts w:eastAsia="Times New Roman" w:cs="Times New Roman"/>
          <w:lang w:val="en-GB" w:eastAsia="de-AT"/>
        </w:rPr>
        <w:t>. Decarbonization of society relies primarily on technological solutions such as the vast expansion of renewable energy, the electrification of transport, alternative production processes in carbon-intense sectors such as steel and cement, a deep retrofitting of the building stock, and a general technology-driven decarbonization across all value chains, including agriculture. This is achieved through massive public and private technology and infrastructure investments and deregulation to speed up technology deployment. By mid-century, fossil fuels are phased out of the power system through explicit bans, accelerating renewable deployment and integration as the backbone of decarbonization. Revenues from carbon pricing are recycled primarily to finance the energy transition, with public policy placing strong emphasis on retrofitting existing infrastructure and advancing large-scale electrification. Emerging technologies—including electrolysers, carbon capture and storage, and floating offshore wind—reach technological maturity and assume a central role in system transformation. On the land side, energy crops and forest biomass are prioritized alongside improved mineral recycling, linking land-use strategies with energy and material transitions. Agriculture will be further industrialized globally. Private and public consumption follow current trends.</w:t>
      </w:r>
    </w:p>
    <w:p w14:paraId="1CF92CDD" w14:textId="77777777" w:rsidR="007021C0" w:rsidRPr="00973049" w:rsidRDefault="007021C0" w:rsidP="007021C0">
      <w:pPr>
        <w:spacing w:after="0"/>
        <w:contextualSpacing/>
        <w:jc w:val="both"/>
        <w:rPr>
          <w:rFonts w:eastAsia="Times New Roman" w:cs="Times New Roman"/>
          <w:lang w:val="en-GB" w:eastAsia="de-AT"/>
        </w:rPr>
      </w:pPr>
    </w:p>
    <w:p w14:paraId="1E3AD70E" w14:textId="77777777" w:rsidR="007021C0" w:rsidRPr="00973049" w:rsidRDefault="007021C0" w:rsidP="007021C0">
      <w:pPr>
        <w:spacing w:after="0"/>
        <w:rPr>
          <w:rFonts w:eastAsia="Times New Roman" w:cs="Times New Roman"/>
          <w:lang w:val="en-GB" w:eastAsia="de-AT"/>
        </w:rPr>
      </w:pPr>
      <w:r>
        <w:rPr>
          <w:rFonts w:eastAsia="Times New Roman" w:cs="Times New Roman"/>
          <w:b/>
          <w:bCs/>
          <w:lang w:val="en-GB" w:eastAsia="de-AT"/>
        </w:rPr>
        <w:t>Narrative</w:t>
      </w:r>
      <w:r w:rsidRPr="00973049">
        <w:rPr>
          <w:rFonts w:eastAsia="Times New Roman" w:cs="Times New Roman"/>
          <w:b/>
          <w:bCs/>
          <w:lang w:val="en-GB" w:eastAsia="de-AT"/>
        </w:rPr>
        <w:t xml:space="preserve"> 2: Demand-side reduction (DSR)</w:t>
      </w:r>
      <w:r w:rsidRPr="00973049">
        <w:rPr>
          <w:rFonts w:eastAsia="Times New Roman" w:cs="Times New Roman"/>
          <w:lang w:val="en-GB" w:eastAsia="de-AT"/>
        </w:rPr>
        <w:t>. Decarbonization of society relies primarily on lowering consumption by scaling back demand and adopting low-carbon ways of living. This change is motivated by increasing health and environmental concerns, and incentivized through a combination of soft (e.g. educational campaigns) and hard (e.g. fiscal measures and pricing, restrictive regulatory measures) policies but also through public investments into the necessary infrastructure and investment to facilitate people’s choice for the sustainable substitutes/options</w:t>
      </w:r>
      <w:r>
        <w:rPr>
          <w:rFonts w:eastAsia="Times New Roman" w:cs="Times New Roman"/>
          <w:lang w:val="en-GB" w:eastAsia="de-AT"/>
        </w:rPr>
        <w:t xml:space="preserve"> (e.g., public transport networks and services, repurposing of public spaces)</w:t>
      </w:r>
      <w:r w:rsidRPr="00973049">
        <w:rPr>
          <w:rFonts w:eastAsia="Times New Roman" w:cs="Times New Roman"/>
          <w:lang w:val="en-GB" w:eastAsia="de-AT"/>
        </w:rPr>
        <w:t xml:space="preserve">. By mid-century, growing demand in consumer goods, transport, meat consumption, floor space etc. will have either slowed significantly or will have started to decline. With declining production and risks of rising unemployment, governments expand their role in redistributing expenditures, directing increased resources toward public services, education, and social protection. Revenues from carbon pricing are re-invested in social welfare and debt reduction. Collective ownership and the sharing economy proliferate in all spheres of life such as housing, consumer goods, community energy, mobility. Mobility systems undergo substantial change, witnessing a shift towards non-motorized travel and public transport and, effectively, a ban of short-haul flights. Per-capita transport demand declines across all modes. The </w:t>
      </w:r>
      <w:proofErr w:type="spellStart"/>
      <w:r w:rsidRPr="00973049">
        <w:rPr>
          <w:rFonts w:eastAsia="Times New Roman" w:cs="Times New Roman"/>
          <w:lang w:val="en-GB" w:eastAsia="de-AT"/>
        </w:rPr>
        <w:t>relocalization</w:t>
      </w:r>
      <w:proofErr w:type="spellEnd"/>
      <w:r w:rsidRPr="00973049">
        <w:rPr>
          <w:rFonts w:eastAsia="Times New Roman" w:cs="Times New Roman"/>
          <w:lang w:val="en-GB" w:eastAsia="de-AT"/>
        </w:rPr>
        <w:t xml:space="preserve"> of agriculture fosters short supply-chains and local economic development. Food waste on the producer and consumer side will drop drastically. </w:t>
      </w:r>
    </w:p>
    <w:p w14:paraId="5258F379" w14:textId="77777777" w:rsidR="007021C0" w:rsidRPr="00973049" w:rsidRDefault="007021C0" w:rsidP="007021C0">
      <w:pPr>
        <w:spacing w:after="0"/>
        <w:rPr>
          <w:rFonts w:eastAsia="Times New Roman" w:cs="Times New Roman"/>
          <w:lang w:val="en-GB" w:eastAsia="de-AT"/>
        </w:rPr>
      </w:pPr>
    </w:p>
    <w:p w14:paraId="39815C6C" w14:textId="7E53C511" w:rsidR="007021C0" w:rsidRPr="00973049" w:rsidRDefault="007021C0" w:rsidP="007021C0">
      <w:pPr>
        <w:spacing w:after="120"/>
        <w:contextualSpacing/>
        <w:jc w:val="both"/>
        <w:rPr>
          <w:rFonts w:eastAsia="Times New Roman" w:cs="Times New Roman"/>
          <w:lang w:val="en-GB" w:eastAsia="de-AT"/>
        </w:rPr>
      </w:pPr>
      <w:r>
        <w:rPr>
          <w:rFonts w:eastAsia="Times New Roman" w:cs="Times New Roman"/>
          <w:b/>
          <w:bCs/>
          <w:lang w:val="en-GB" w:eastAsia="de-AT"/>
        </w:rPr>
        <w:lastRenderedPageBreak/>
        <w:t>Narrative</w:t>
      </w:r>
      <w:r w:rsidRPr="00973049">
        <w:rPr>
          <w:rFonts w:eastAsia="Times New Roman" w:cs="Times New Roman"/>
          <w:b/>
          <w:bCs/>
          <w:lang w:val="en-GB" w:eastAsia="de-AT"/>
        </w:rPr>
        <w:t xml:space="preserve"> 3: Promotion of natural carbon sinks (NCS)</w:t>
      </w:r>
      <w:r w:rsidRPr="00973049">
        <w:rPr>
          <w:rFonts w:eastAsia="Times New Roman" w:cs="Times New Roman"/>
          <w:lang w:val="en-GB" w:eastAsia="de-AT"/>
        </w:rPr>
        <w:t xml:space="preserve">. Decarbonization of society relies primarily on potentiating the use of natural carbon sinks through afforestation and forest protection and the widespread adoption of regenerative agricultural practices. By mid-century, forested areas have expanded globally and agriculture has incorporated mature agroecological management across cropland, grassland and manure systems. These approaches are framed not only as carbon sequestration measures, but also as strategies to enhance the adaptive capacity and resilience of agricultural production under changing climatic conditions, increased soil health, biodiversity preservation, and long-term productivity, thereby reinforcing both mitigation and adaptation objectives. Revenues from carbon pricing mechanisms are increasingly ring-fenced for supporting land-use transformation, financing incentives for farmers, and scaling agroecological innovations. At the same time, public investment in environmental protection expands steadily, </w:t>
      </w:r>
      <w:r w:rsidR="0063109C" w:rsidRPr="00973049">
        <w:rPr>
          <w:rFonts w:eastAsia="Times New Roman" w:cs="Times New Roman"/>
          <w:lang w:val="en-GB" w:eastAsia="de-AT"/>
        </w:rPr>
        <w:t>signalling</w:t>
      </w:r>
      <w:r w:rsidRPr="00973049">
        <w:rPr>
          <w:rFonts w:eastAsia="Times New Roman" w:cs="Times New Roman"/>
          <w:lang w:val="en-GB" w:eastAsia="de-AT"/>
        </w:rPr>
        <w:t xml:space="preserve"> a broader societal commitment to sustainability. Together, these measures create a policy landscape where natural carbon sinks are strengthened, agricultural resilience is enhanced, and environmental stewardship becomes embedded in economic and political systems.</w:t>
      </w:r>
    </w:p>
    <w:p w14:paraId="32C3718E" w14:textId="77777777" w:rsidR="007021C0" w:rsidRPr="00973049" w:rsidRDefault="007021C0" w:rsidP="007021C0">
      <w:pPr>
        <w:spacing w:after="120"/>
        <w:contextualSpacing/>
        <w:jc w:val="both"/>
        <w:rPr>
          <w:rFonts w:eastAsia="Times New Roman" w:cs="Times New Roman"/>
          <w:lang w:val="en-GB" w:eastAsia="de-AT"/>
        </w:rPr>
      </w:pPr>
      <w:r w:rsidRPr="00973049">
        <w:rPr>
          <w:rFonts w:eastAsia="Times New Roman" w:cs="Times New Roman"/>
          <w:lang w:val="en-GB" w:eastAsia="de-AT"/>
        </w:rPr>
        <w:t> </w:t>
      </w:r>
    </w:p>
    <w:p w14:paraId="0EE811A8" w14:textId="77777777" w:rsidR="007021C0" w:rsidRPr="00973049" w:rsidRDefault="007021C0" w:rsidP="007021C0">
      <w:pPr>
        <w:spacing w:after="120"/>
        <w:contextualSpacing/>
        <w:jc w:val="both"/>
        <w:rPr>
          <w:rFonts w:eastAsia="Times New Roman" w:cs="Times New Roman"/>
          <w:lang w:val="en-GB" w:eastAsia="de-AT"/>
        </w:rPr>
      </w:pPr>
      <w:r>
        <w:rPr>
          <w:rFonts w:eastAsia="Times New Roman" w:cs="Times New Roman"/>
          <w:b/>
          <w:bCs/>
          <w:lang w:val="en-GB" w:eastAsia="de-AT"/>
        </w:rPr>
        <w:t>Narrative</w:t>
      </w:r>
      <w:r w:rsidRPr="00973049">
        <w:rPr>
          <w:rFonts w:eastAsia="Times New Roman" w:cs="Times New Roman"/>
          <w:b/>
          <w:bCs/>
          <w:lang w:val="en-GB" w:eastAsia="de-AT"/>
        </w:rPr>
        <w:t xml:space="preserve"> 4: Mixed strategy scenario (MSS)</w:t>
      </w:r>
      <w:r w:rsidRPr="00973049">
        <w:rPr>
          <w:rFonts w:eastAsia="Times New Roman" w:cs="Times New Roman"/>
          <w:lang w:val="en-GB" w:eastAsia="de-AT"/>
        </w:rPr>
        <w:t>. The world follows a middle way, with decarbonization relying on a blend of all the aforementioned policies (scenarios 1-3) to balance efforts across social agents and sectors. This mixed strategy is inherently adaptive and context-specific, seeking to harness the strengths of each approach while mitigating their individual social, economic, and technical risks. By mid-century, this mixed strategy has crystallized into a multi-faceted framework. Public-private investments have diversified the renewable energy grid to provide relative decarbonization of the industry and power system. This includes a more modest penetration of the strategic green hydrogen for hard-to-abate industries, a moderate electrification of transport and heating proceeds supported by smart grids and energy storage solutions. Recognizing that efficiency gains can be offset by rising consumption, demand-side reduction in transport, housing, consumer goods and a moderate dietary change is a second important pillar of the transition. Policy does not outright ban consumption but actively shapes it through "choice editing". Concurrently, the promotion of natural carbon sinks is elevated from a niche agricultural practice to a relevant national security strategy. Governments fund large-scale afforestation restoration projects and incentivize farmers to adopt regenerative agroecological practices. A moderately increased carbon price offers additional revenues to governments, which are reinvested across all areas of public expenditures.</w:t>
      </w:r>
    </w:p>
    <w:p w14:paraId="77FA0EED" w14:textId="77777777" w:rsidR="007021C0" w:rsidRPr="00973049" w:rsidRDefault="007021C0" w:rsidP="007021C0">
      <w:pPr>
        <w:spacing w:after="120"/>
        <w:contextualSpacing/>
        <w:jc w:val="both"/>
        <w:rPr>
          <w:rFonts w:eastAsia="Times New Roman" w:cs="Times New Roman"/>
          <w:lang w:val="en-GB" w:eastAsia="de-AT"/>
        </w:rPr>
      </w:pPr>
    </w:p>
    <w:p w14:paraId="635B83E8" w14:textId="77777777" w:rsidR="007D3452" w:rsidRDefault="007021C0" w:rsidP="007D3452">
      <w:pPr>
        <w:pStyle w:val="Prrafodelista"/>
        <w:keepNext/>
        <w:spacing w:after="120" w:line="278" w:lineRule="auto"/>
        <w:ind w:left="0"/>
        <w:jc w:val="both"/>
      </w:pPr>
      <w:r>
        <w:rPr>
          <w:noProof/>
        </w:rPr>
        <w:lastRenderedPageBreak/>
        <w:drawing>
          <wp:inline distT="0" distB="0" distL="0" distR="0" wp14:anchorId="74B122DC" wp14:editId="4A933773">
            <wp:extent cx="5400040" cy="2868594"/>
            <wp:effectExtent l="0" t="0" r="0" b="8255"/>
            <wp:docPr id="284267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2868594"/>
                    </a:xfrm>
                    <a:prstGeom prst="rect">
                      <a:avLst/>
                    </a:prstGeom>
                    <a:noFill/>
                  </pic:spPr>
                </pic:pic>
              </a:graphicData>
            </a:graphic>
          </wp:inline>
        </w:drawing>
      </w:r>
    </w:p>
    <w:p w14:paraId="4F1BA371" w14:textId="6B9EB678" w:rsidR="007021C0" w:rsidRPr="007D3452" w:rsidRDefault="007D3452" w:rsidP="007D3452">
      <w:pPr>
        <w:pStyle w:val="Descripcin"/>
        <w:jc w:val="center"/>
        <w:rPr>
          <w:b/>
          <w:bCs/>
          <w:lang w:val="en-GB"/>
        </w:rPr>
      </w:pPr>
      <w:bookmarkStart w:id="2" w:name="_Ref221534278"/>
      <w:r w:rsidRPr="007D3452">
        <w:rPr>
          <w:b/>
          <w:bCs/>
          <w:i w:val="0"/>
          <w:iCs w:val="0"/>
          <w:color w:val="auto"/>
          <w:sz w:val="20"/>
          <w:szCs w:val="20"/>
          <w:lang w:val="en-GB"/>
        </w:rPr>
        <w:t>Figure S</w:t>
      </w:r>
      <w:r w:rsidRPr="007D3452">
        <w:rPr>
          <w:b/>
          <w:bCs/>
          <w:i w:val="0"/>
          <w:iCs w:val="0"/>
          <w:color w:val="auto"/>
          <w:sz w:val="20"/>
          <w:szCs w:val="20"/>
          <w:lang w:val="en-GB"/>
        </w:rPr>
        <w:fldChar w:fldCharType="begin"/>
      </w:r>
      <w:r w:rsidRPr="007D3452">
        <w:rPr>
          <w:b/>
          <w:bCs/>
          <w:i w:val="0"/>
          <w:iCs w:val="0"/>
          <w:color w:val="auto"/>
          <w:sz w:val="20"/>
          <w:szCs w:val="20"/>
          <w:lang w:val="en-GB"/>
        </w:rPr>
        <w:instrText xml:space="preserve"> SEQ Figure_S \* ARABIC </w:instrText>
      </w:r>
      <w:r w:rsidRPr="007D3452">
        <w:rPr>
          <w:b/>
          <w:bCs/>
          <w:i w:val="0"/>
          <w:iCs w:val="0"/>
          <w:color w:val="auto"/>
          <w:sz w:val="20"/>
          <w:szCs w:val="20"/>
          <w:lang w:val="en-GB"/>
        </w:rPr>
        <w:fldChar w:fldCharType="separate"/>
      </w:r>
      <w:r w:rsidR="00173FA6">
        <w:rPr>
          <w:b/>
          <w:bCs/>
          <w:i w:val="0"/>
          <w:iCs w:val="0"/>
          <w:noProof/>
          <w:color w:val="auto"/>
          <w:sz w:val="20"/>
          <w:szCs w:val="20"/>
          <w:lang w:val="en-GB"/>
        </w:rPr>
        <w:t>2</w:t>
      </w:r>
      <w:r w:rsidRPr="007D3452">
        <w:rPr>
          <w:b/>
          <w:bCs/>
          <w:i w:val="0"/>
          <w:iCs w:val="0"/>
          <w:color w:val="auto"/>
          <w:sz w:val="20"/>
          <w:szCs w:val="20"/>
          <w:lang w:val="en-GB"/>
        </w:rPr>
        <w:fldChar w:fldCharType="end"/>
      </w:r>
      <w:bookmarkEnd w:id="2"/>
      <w:r w:rsidRPr="007D3452">
        <w:rPr>
          <w:b/>
          <w:bCs/>
          <w:i w:val="0"/>
          <w:iCs w:val="0"/>
          <w:color w:val="auto"/>
          <w:sz w:val="20"/>
          <w:szCs w:val="20"/>
          <w:lang w:val="en-GB"/>
        </w:rPr>
        <w:t>. Conceptual map of scenarios according to the reliance on demand-side social policies and reliance on supply-side technological solutions.</w:t>
      </w:r>
    </w:p>
    <w:p w14:paraId="016FE2DE" w14:textId="77777777" w:rsidR="007021C0" w:rsidRPr="007D3452" w:rsidRDefault="007021C0" w:rsidP="007021C0">
      <w:pPr>
        <w:rPr>
          <w:b/>
          <w:bCs/>
          <w:lang w:val="en-GB"/>
        </w:rPr>
      </w:pPr>
    </w:p>
    <w:p w14:paraId="3C5F09BC" w14:textId="432DB66C" w:rsidR="007021C0" w:rsidRPr="00973049" w:rsidRDefault="007021C0" w:rsidP="007021C0">
      <w:pPr>
        <w:spacing w:before="120" w:after="120" w:line="278" w:lineRule="auto"/>
        <w:jc w:val="both"/>
        <w:rPr>
          <w:rFonts w:eastAsia="Tahoma" w:cs="Times New Roman"/>
          <w:lang w:val="en-GB"/>
        </w:rPr>
      </w:pPr>
      <w:r w:rsidRPr="00973049">
        <w:rPr>
          <w:rFonts w:cs="Times New Roman"/>
          <w:lang w:val="en-GB"/>
        </w:rPr>
        <w:t xml:space="preserve">For the stochastic multicriteria acceptability analysis (SMAA) </w:t>
      </w:r>
      <w:r w:rsidR="006D4842">
        <w:rPr>
          <w:rFonts w:cs="Times New Roman"/>
          <w:lang w:val="en-GB"/>
        </w:rPr>
        <w:t>sensitivity</w:t>
      </w:r>
      <w:r w:rsidRPr="00973049">
        <w:rPr>
          <w:rFonts w:cs="Times New Roman"/>
          <w:lang w:val="en-GB"/>
        </w:rPr>
        <w:t xml:space="preserve"> ranges need to be produced for mapping decisions to outcomes. The next hypotheses have been used to generate these </w:t>
      </w:r>
      <w:r w:rsidR="006D4842">
        <w:rPr>
          <w:rFonts w:cs="Times New Roman"/>
          <w:lang w:val="en-GB"/>
        </w:rPr>
        <w:t>sensitivities</w:t>
      </w:r>
      <w:r w:rsidRPr="00973049">
        <w:rPr>
          <w:rFonts w:cs="Times New Roman"/>
          <w:lang w:val="en-GB"/>
        </w:rPr>
        <w:t xml:space="preserve"> in the three mitigation scenarios:</w:t>
      </w:r>
    </w:p>
    <w:p w14:paraId="250535C9" w14:textId="07989FAF" w:rsidR="007021C0" w:rsidRPr="00973049" w:rsidRDefault="007021C0" w:rsidP="007021C0">
      <w:pPr>
        <w:pStyle w:val="Prrafodelista"/>
        <w:numPr>
          <w:ilvl w:val="0"/>
          <w:numId w:val="18"/>
        </w:numPr>
        <w:spacing w:before="120" w:after="120" w:line="278" w:lineRule="auto"/>
        <w:jc w:val="both"/>
        <w:rPr>
          <w:rFonts w:eastAsia="Tahoma" w:cs="Times New Roman"/>
          <w:lang w:val="en-GB"/>
        </w:rPr>
      </w:pPr>
      <w:r w:rsidRPr="00973049">
        <w:rPr>
          <w:rFonts w:eastAsia="Tahoma" w:cs="Times New Roman"/>
          <w:lang w:val="en-GB"/>
        </w:rPr>
        <w:t>Energy Returned on Energy Invested (</w:t>
      </w:r>
      <w:r w:rsidRPr="00973049">
        <w:rPr>
          <w:rFonts w:eastAsia="Tahoma" w:cs="Times New Roman"/>
          <w:b/>
          <w:bCs/>
          <w:lang w:val="en-GB"/>
        </w:rPr>
        <w:t>EROI</w:t>
      </w:r>
      <w:r w:rsidRPr="00973049">
        <w:rPr>
          <w:rFonts w:eastAsia="Tahoma" w:cs="Times New Roman"/>
          <w:lang w:val="en-GB"/>
        </w:rPr>
        <w:t>)</w:t>
      </w:r>
      <w:r w:rsidRPr="00973049">
        <w:rPr>
          <w:rFonts w:eastAsia="Tahoma" w:cs="Times New Roman"/>
          <w:i/>
          <w:iCs/>
          <w:lang w:val="en-GB"/>
        </w:rPr>
        <w:t xml:space="preserve">. </w:t>
      </w:r>
      <w:r w:rsidRPr="00973049">
        <w:rPr>
          <w:rFonts w:eastAsia="Tahoma" w:cs="Times New Roman"/>
          <w:lang w:val="en-GB"/>
        </w:rPr>
        <w:t>The minimum EROI (</w:t>
      </w:r>
      <w:proofErr w:type="spellStart"/>
      <w:r w:rsidRPr="00973049">
        <w:rPr>
          <w:rFonts w:eastAsia="Tahoma" w:cs="Times New Roman"/>
          <w:lang w:val="en-GB"/>
        </w:rPr>
        <w:t>EROImin</w:t>
      </w:r>
      <w:proofErr w:type="spellEnd"/>
      <w:r w:rsidRPr="00973049">
        <w:rPr>
          <w:rFonts w:eastAsia="Tahoma" w:cs="Times New Roman"/>
          <w:lang w:val="en-GB"/>
        </w:rPr>
        <w:t xml:space="preserve">) is the minimum ratio of the energy delivered from a process divided by the energy required to get it over its lifetime, indicating the net energy available for the society. The </w:t>
      </w:r>
      <w:r w:rsidR="006D4842">
        <w:rPr>
          <w:rFonts w:eastAsia="Tahoma" w:cs="Times New Roman"/>
          <w:lang w:val="en-GB"/>
        </w:rPr>
        <w:t>sensitivities</w:t>
      </w:r>
      <w:r w:rsidRPr="00973049">
        <w:rPr>
          <w:rFonts w:eastAsia="Tahoma" w:cs="Times New Roman"/>
          <w:lang w:val="en-GB"/>
        </w:rPr>
        <w:t xml:space="preserve"> around the estimation of the </w:t>
      </w:r>
      <w:proofErr w:type="spellStart"/>
      <w:r w:rsidRPr="00973049">
        <w:rPr>
          <w:rFonts w:eastAsia="Tahoma" w:cs="Times New Roman"/>
          <w:lang w:val="en-GB"/>
        </w:rPr>
        <w:t>EROImin</w:t>
      </w:r>
      <w:proofErr w:type="spellEnd"/>
      <w:r w:rsidRPr="00973049">
        <w:rPr>
          <w:rFonts w:eastAsia="Tahoma" w:cs="Times New Roman"/>
          <w:lang w:val="en-GB"/>
        </w:rPr>
        <w:t xml:space="preserve"> is large, as the reduced availability of discretionary energy, as intermediary operations become less efficient, is a gradual non-linear process with increasing and cascade consequences over time. The values used are based on different works</w:t>
      </w:r>
      <w:r w:rsidR="004D075C">
        <w:rPr>
          <w:rFonts w:eastAsia="Tahoma" w:cs="Times New Roman"/>
          <w:lang w:val="en-GB"/>
        </w:rPr>
        <w:fldChar w:fldCharType="begin"/>
      </w:r>
      <w:r w:rsidR="006F35B5">
        <w:rPr>
          <w:rFonts w:eastAsia="Tahoma" w:cs="Times New Roman"/>
          <w:lang w:val="en-GB"/>
        </w:rPr>
        <w:instrText xml:space="preserve"> ADDIN ZOTERO_ITEM CSL_CITATION {"citationID":"yvjw8XEC","properties":{"formattedCitation":"\\super 5,6\\nosupersub{}","plainCitation":"5,6","noteIndex":0},"citationItems":[{"id":345,"uris":["http://zotero.org/users/11518810/items/F6VGR8W3"],"itemData":{"id":345,"type":"article-journal","container-title":"Ecological Economics","DOI":"10.1016/j.ecolecon.2014.12.001","ISSN":"09218009","journalAbbreviation":"Ecological Economics","language":"en","page":"106-118","source":"DOI.org (Crossref)","title":"Renewable electricity producing technologies and metal depletion: A sensitivity analysis using the EROI","title-short":"Renewable electricity producing technologies and metal depletion","volume":"110","author":[{"family":"Fizaine","given":"Florian"},{"family":"Court","given":"Victor"}],"issued":{"date-parts":[["2015",2]]}}},{"id":347,"uris":["http://zotero.org/users/11518810/items/GR4JMQMQ"],"itemData":{"id":347,"type":"report","number":"UK‑DFID 59717","publisher":"State University of New York, College of Environmental Science and Forestry (SUNY‑ESF) / Next Generation Energy Initiative (NGEI) — prepared for UK Department for International Development (DFID)","publisher-place":"Syracuse, NY, USA","title":"EROI of Global Energy Resources: Preliminary Status and Trends","URL":"https://www.inist.org/library/2012-11-02.Lambert%20etal.EROI%20of%20Global%20Energy%20Resources.DFID-59717.pdf","author":[{"family":"Lambert","given":"Jessica G."},{"family":"Hall","given":"Charles A. S."},{"family":"Balogh","given":"Steve"},{"family":"Poisson","given":"Alex"},{"family":"Gupta","given":"Ajay"}],"issued":{"date-parts":[["2012",11,2]]}}}],"schema":"https://github.com/citation-style-language/schema/raw/master/csl-citation.json"} </w:instrText>
      </w:r>
      <w:r w:rsidR="004D075C">
        <w:rPr>
          <w:rFonts w:eastAsia="Tahoma" w:cs="Times New Roman"/>
          <w:lang w:val="en-GB"/>
        </w:rPr>
        <w:fldChar w:fldCharType="separate"/>
      </w:r>
      <w:r w:rsidR="006F35B5" w:rsidRPr="006F35B5">
        <w:rPr>
          <w:rFonts w:cs="Times New Roman"/>
          <w:szCs w:val="24"/>
          <w:vertAlign w:val="superscript"/>
          <w:lang w:val="en-GB"/>
        </w:rPr>
        <w:t>5,6</w:t>
      </w:r>
      <w:r w:rsidR="004D075C">
        <w:rPr>
          <w:rFonts w:eastAsia="Tahoma" w:cs="Times New Roman"/>
          <w:lang w:val="en-GB"/>
        </w:rPr>
        <w:fldChar w:fldCharType="end"/>
      </w:r>
      <w:r w:rsidR="004D075C">
        <w:rPr>
          <w:rFonts w:eastAsia="Tahoma" w:cs="Times New Roman"/>
          <w:lang w:val="en-GB"/>
        </w:rPr>
        <w:t xml:space="preserve"> </w:t>
      </w:r>
      <w:r w:rsidRPr="00973049">
        <w:rPr>
          <w:rFonts w:eastAsia="Tahoma" w:cs="Times New Roman"/>
          <w:lang w:val="en-GB"/>
        </w:rPr>
        <w:t>which have suggested a minimum static EROI of the system of 10-15:1. Brandt et al.</w:t>
      </w:r>
      <w:r w:rsidR="00F27D31">
        <w:rPr>
          <w:rFonts w:eastAsia="Tahoma" w:cs="Times New Roman"/>
          <w:lang w:val="en-GB"/>
        </w:rPr>
        <w:fldChar w:fldCharType="begin"/>
      </w:r>
      <w:r w:rsidR="006F35B5">
        <w:rPr>
          <w:rFonts w:eastAsia="Tahoma" w:cs="Times New Roman"/>
          <w:lang w:val="en-GB"/>
        </w:rPr>
        <w:instrText xml:space="preserve"> ADDIN ZOTERO_ITEM CSL_CITATION {"citationID":"ERIF2nOw","properties":{"formattedCitation":"\\super 7\\nosupersub{}","plainCitation":"7","noteIndex":0},"citationItems":[{"id":348,"uris":["http://zotero.org/users/11518810/items/46NKSSZ7"],"itemData":{"id":348,"type":"article-journal","container-title":"BioPhysical Economics and Resource Quality","DOI":"10.1007/s41247-017-0019-y","ISSN":"2366-0112, 2366-0120","issue":"1","journalAbbreviation":"Biophys Econ Resour Qual","language":"en","page":"2","source":"DOI.org (Crossref)","title":"How Does Energy Resource Depletion Affect Prosperity? Mathematics of a Minimum Energy Return on Investment (EROI)","title-short":"How Does Energy Resource Depletion Affect Prosperity?","volume":"2","author":[{"family":"Brandt","given":"Adam R."}],"issued":{"date-parts":[["2017",3]]}}}],"schema":"https://github.com/citation-style-language/schema/raw/master/csl-citation.json"} </w:instrText>
      </w:r>
      <w:r w:rsidR="00F27D31">
        <w:rPr>
          <w:rFonts w:eastAsia="Tahoma" w:cs="Times New Roman"/>
          <w:lang w:val="en-GB"/>
        </w:rPr>
        <w:fldChar w:fldCharType="separate"/>
      </w:r>
      <w:r w:rsidR="006F35B5" w:rsidRPr="006F35B5">
        <w:rPr>
          <w:rFonts w:cs="Times New Roman"/>
          <w:szCs w:val="24"/>
          <w:vertAlign w:val="superscript"/>
          <w:lang w:val="en-GB"/>
        </w:rPr>
        <w:t>7</w:t>
      </w:r>
      <w:r w:rsidR="00F27D31">
        <w:rPr>
          <w:rFonts w:eastAsia="Tahoma" w:cs="Times New Roman"/>
          <w:lang w:val="en-GB"/>
        </w:rPr>
        <w:fldChar w:fldCharType="end"/>
      </w:r>
      <w:r w:rsidRPr="00973049">
        <w:rPr>
          <w:rFonts w:eastAsia="Tahoma" w:cs="Times New Roman"/>
          <w:lang w:val="en-GB"/>
        </w:rPr>
        <w:t xml:space="preserve"> found that if the EROI is considered less than 5:1, the social system starts to face serious problems. We have included three values, i.e., 5, 8 and 12, to cover this </w:t>
      </w:r>
      <w:r w:rsidR="006D4842">
        <w:rPr>
          <w:rFonts w:eastAsia="Tahoma" w:cs="Times New Roman"/>
          <w:lang w:val="en-GB"/>
        </w:rPr>
        <w:t>sensitivity</w:t>
      </w:r>
      <w:r w:rsidRPr="00973049">
        <w:rPr>
          <w:rFonts w:eastAsia="Tahoma" w:cs="Times New Roman"/>
          <w:lang w:val="en-GB"/>
        </w:rPr>
        <w:t xml:space="preserve"> variable in the critical renewable technologies of an energy transition.</w:t>
      </w:r>
    </w:p>
    <w:p w14:paraId="53ED1FB5" w14:textId="73060B24" w:rsidR="007021C0" w:rsidRPr="00973049" w:rsidRDefault="007021C0" w:rsidP="007021C0">
      <w:pPr>
        <w:pStyle w:val="Prrafodelista"/>
        <w:numPr>
          <w:ilvl w:val="0"/>
          <w:numId w:val="17"/>
        </w:numPr>
        <w:spacing w:before="120" w:after="120" w:line="278" w:lineRule="auto"/>
        <w:jc w:val="both"/>
        <w:rPr>
          <w:rFonts w:eastAsia="Tahoma" w:cs="Times New Roman"/>
          <w:lang w:val="en-GB"/>
        </w:rPr>
      </w:pPr>
      <w:r w:rsidRPr="00973049">
        <w:rPr>
          <w:rFonts w:eastAsia="Tahoma" w:cs="Times New Roman"/>
          <w:b/>
          <w:bCs/>
          <w:lang w:val="en-GB"/>
        </w:rPr>
        <w:t>Population</w:t>
      </w:r>
      <w:r w:rsidRPr="00973049">
        <w:rPr>
          <w:rFonts w:eastAsia="Tahoma" w:cs="Times New Roman"/>
          <w:lang w:val="en-GB"/>
        </w:rPr>
        <w:t>. Given the United Nations statistics</w:t>
      </w:r>
      <w:r w:rsidR="00F27D31">
        <w:rPr>
          <w:rFonts w:eastAsia="Tahoma" w:cs="Times New Roman"/>
          <w:lang w:val="en-GB"/>
        </w:rPr>
        <w:fldChar w:fldCharType="begin"/>
      </w:r>
      <w:r w:rsidR="006F35B5">
        <w:rPr>
          <w:rFonts w:eastAsia="Tahoma" w:cs="Times New Roman"/>
          <w:lang w:val="en-GB"/>
        </w:rPr>
        <w:instrText xml:space="preserve"> ADDIN ZOTERO_ITEM CSL_CITATION {"citationID":"tOhfW3ZX","properties":{"formattedCitation":"\\super 8\\nosupersub{}","plainCitation":"8","noteIndex":0},"citationItems":[{"id":350,"uris":["http://zotero.org/users/11518810/items/XHSJG4S4"],"itemData":{"id":350,"type":"dataset","title":"UNdata – United Nations Statistics Database","URL":"https://data.un.org/","author":[{"literal":"United Nations Statistics Division (UNSD), Department of Economic and Social Affairs, United Nations"}],"accessed":{"date-parts":[["2026",2,11]]}}}],"schema":"https://github.com/citation-style-language/schema/raw/master/csl-citation.json"} </w:instrText>
      </w:r>
      <w:r w:rsidR="00F27D31">
        <w:rPr>
          <w:rFonts w:eastAsia="Tahoma" w:cs="Times New Roman"/>
          <w:lang w:val="en-GB"/>
        </w:rPr>
        <w:fldChar w:fldCharType="separate"/>
      </w:r>
      <w:r w:rsidR="006F35B5" w:rsidRPr="006F35B5">
        <w:rPr>
          <w:rFonts w:cs="Times New Roman"/>
          <w:szCs w:val="24"/>
          <w:vertAlign w:val="superscript"/>
          <w:lang w:val="en-GB"/>
        </w:rPr>
        <w:t>8</w:t>
      </w:r>
      <w:r w:rsidR="00F27D31">
        <w:rPr>
          <w:rFonts w:eastAsia="Tahoma" w:cs="Times New Roman"/>
          <w:lang w:val="en-GB"/>
        </w:rPr>
        <w:fldChar w:fldCharType="end"/>
      </w:r>
      <w:r w:rsidRPr="00973049">
        <w:rPr>
          <w:rFonts w:eastAsia="Tahoma" w:cs="Times New Roman"/>
          <w:lang w:val="en-GB"/>
        </w:rPr>
        <w:t xml:space="preserve"> from 2005 to 2020, the minimum and maximum population size is determined by the minimum and maximum fertility rates and life expectancies at birth by region, respectively. We include it to vary the load in consumption of goods and services to the system, which extract and process materials and energy according to the required levels that population and the economy demand.</w:t>
      </w:r>
    </w:p>
    <w:p w14:paraId="4AE64BBA" w14:textId="09324282" w:rsidR="007021C0" w:rsidRDefault="007021C0" w:rsidP="007021C0">
      <w:pPr>
        <w:pStyle w:val="Prrafodelista"/>
        <w:numPr>
          <w:ilvl w:val="0"/>
          <w:numId w:val="17"/>
        </w:numPr>
        <w:spacing w:before="240" w:after="120" w:line="278" w:lineRule="auto"/>
        <w:jc w:val="both"/>
        <w:rPr>
          <w:rFonts w:eastAsia="Tahoma" w:cs="Times New Roman"/>
          <w:lang w:val="en-GB"/>
        </w:rPr>
        <w:sectPr w:rsidR="007021C0" w:rsidSect="00407B46">
          <w:footerReference w:type="default" r:id="rId10"/>
          <w:pgSz w:w="11906" w:h="16838"/>
          <w:pgMar w:top="1417" w:right="1701" w:bottom="1417" w:left="1701" w:header="708" w:footer="708" w:gutter="0"/>
          <w:cols w:space="708"/>
          <w:docGrid w:linePitch="360"/>
        </w:sectPr>
      </w:pPr>
      <w:r w:rsidRPr="00973049">
        <w:rPr>
          <w:rFonts w:eastAsia="Tahoma" w:cs="Times New Roman"/>
          <w:b/>
          <w:bCs/>
          <w:lang w:val="en-GB"/>
        </w:rPr>
        <w:t>Climate change impacts</w:t>
      </w:r>
      <w:r w:rsidRPr="00973049">
        <w:rPr>
          <w:rFonts w:eastAsia="Tahoma" w:cs="Times New Roman"/>
          <w:lang w:val="en-GB"/>
        </w:rPr>
        <w:t>. Since climate change impacts is a relatively novelty in the field of IAMs, we impose two levels of climate change impacts, including or not negative damage to mortality rates, capital stock (heatwaves, wildfires, droughts) and labour productivity (heat stress and vector-borne diseases)</w:t>
      </w:r>
      <w:r>
        <w:rPr>
          <w:rFonts w:eastAsia="Tahoma" w:cs="Times New Roman"/>
          <w:lang w:val="en-GB"/>
        </w:rPr>
        <w:t>.</w:t>
      </w:r>
    </w:p>
    <w:p w14:paraId="17944424" w14:textId="558B5006" w:rsidR="0063109C" w:rsidRPr="00467C8F" w:rsidRDefault="0063109C" w:rsidP="0063109C">
      <w:pPr>
        <w:pStyle w:val="Descripcin"/>
        <w:keepNext/>
        <w:jc w:val="center"/>
        <w:rPr>
          <w:b/>
          <w:bCs/>
          <w:i w:val="0"/>
          <w:iCs w:val="0"/>
          <w:color w:val="auto"/>
          <w:sz w:val="20"/>
          <w:szCs w:val="20"/>
          <w:lang w:val="en-GB"/>
        </w:rPr>
      </w:pPr>
      <w:bookmarkStart w:id="3" w:name="_Ref221533999"/>
      <w:r w:rsidRPr="00467C8F">
        <w:rPr>
          <w:b/>
          <w:bCs/>
          <w:i w:val="0"/>
          <w:iCs w:val="0"/>
          <w:color w:val="auto"/>
          <w:sz w:val="20"/>
          <w:szCs w:val="20"/>
          <w:lang w:val="en-GB"/>
        </w:rPr>
        <w:lastRenderedPageBreak/>
        <w:t>Table S</w:t>
      </w:r>
      <w:r w:rsidRPr="00467C8F">
        <w:rPr>
          <w:b/>
          <w:bCs/>
          <w:i w:val="0"/>
          <w:iCs w:val="0"/>
          <w:color w:val="auto"/>
          <w:sz w:val="20"/>
          <w:szCs w:val="20"/>
          <w:lang w:val="en-GB"/>
        </w:rPr>
        <w:fldChar w:fldCharType="begin"/>
      </w:r>
      <w:r w:rsidRPr="00467C8F">
        <w:rPr>
          <w:b/>
          <w:bCs/>
          <w:i w:val="0"/>
          <w:iCs w:val="0"/>
          <w:color w:val="auto"/>
          <w:sz w:val="20"/>
          <w:szCs w:val="20"/>
          <w:lang w:val="en-GB"/>
        </w:rPr>
        <w:instrText xml:space="preserve"> SEQ Table_S \* ARABIC </w:instrText>
      </w:r>
      <w:r w:rsidRPr="00467C8F">
        <w:rPr>
          <w:b/>
          <w:bCs/>
          <w:i w:val="0"/>
          <w:iCs w:val="0"/>
          <w:color w:val="auto"/>
          <w:sz w:val="20"/>
          <w:szCs w:val="20"/>
          <w:lang w:val="en-GB"/>
        </w:rPr>
        <w:fldChar w:fldCharType="separate"/>
      </w:r>
      <w:r w:rsidR="00C26182">
        <w:rPr>
          <w:b/>
          <w:bCs/>
          <w:i w:val="0"/>
          <w:iCs w:val="0"/>
          <w:noProof/>
          <w:color w:val="auto"/>
          <w:sz w:val="20"/>
          <w:szCs w:val="20"/>
          <w:lang w:val="en-GB"/>
        </w:rPr>
        <w:t>1</w:t>
      </w:r>
      <w:r w:rsidRPr="00467C8F">
        <w:rPr>
          <w:b/>
          <w:bCs/>
          <w:i w:val="0"/>
          <w:iCs w:val="0"/>
          <w:color w:val="auto"/>
          <w:sz w:val="20"/>
          <w:szCs w:val="20"/>
          <w:lang w:val="en-GB"/>
        </w:rPr>
        <w:fldChar w:fldCharType="end"/>
      </w:r>
      <w:bookmarkEnd w:id="3"/>
      <w:r w:rsidRPr="00467C8F">
        <w:rPr>
          <w:b/>
          <w:bCs/>
          <w:i w:val="0"/>
          <w:iCs w:val="0"/>
          <w:color w:val="auto"/>
          <w:sz w:val="20"/>
          <w:szCs w:val="20"/>
          <w:lang w:val="en-GB"/>
        </w:rPr>
        <w:t>. Qualitative attribute table for the narratives implemented in this study.</w:t>
      </w:r>
    </w:p>
    <w:tbl>
      <w:tblPr>
        <w:tblW w:w="5000" w:type="pct"/>
        <w:tblCellMar>
          <w:top w:w="15" w:type="dxa"/>
          <w:bottom w:w="15" w:type="dxa"/>
        </w:tblCellMar>
        <w:tblLook w:val="04A0" w:firstRow="1" w:lastRow="0" w:firstColumn="1" w:lastColumn="0" w:noHBand="0" w:noVBand="1"/>
      </w:tblPr>
      <w:tblGrid>
        <w:gridCol w:w="3488"/>
        <w:gridCol w:w="2474"/>
        <w:gridCol w:w="2474"/>
        <w:gridCol w:w="2474"/>
        <w:gridCol w:w="3084"/>
      </w:tblGrid>
      <w:tr w:rsidR="007021C0" w:rsidRPr="00CD6678" w14:paraId="4682B616" w14:textId="77777777" w:rsidTr="0063109C">
        <w:trPr>
          <w:trHeight w:val="480"/>
        </w:trPr>
        <w:tc>
          <w:tcPr>
            <w:tcW w:w="1246" w:type="pct"/>
            <w:tcBorders>
              <w:top w:val="single" w:sz="8" w:space="0" w:color="23478F"/>
              <w:left w:val="single" w:sz="8" w:space="0" w:color="23478F"/>
              <w:bottom w:val="single" w:sz="8" w:space="0" w:color="23478F"/>
              <w:right w:val="single" w:sz="8" w:space="0" w:color="23478F"/>
            </w:tcBorders>
            <w:shd w:val="clear" w:color="000000" w:fill="23478F"/>
            <w:vAlign w:val="center"/>
            <w:hideMark/>
          </w:tcPr>
          <w:p w14:paraId="5782739A" w14:textId="77777777" w:rsidR="007021C0" w:rsidRPr="00CD6678" w:rsidRDefault="007021C0" w:rsidP="001335E8">
            <w:pPr>
              <w:spacing w:after="0" w:line="240" w:lineRule="auto"/>
              <w:jc w:val="center"/>
              <w:rPr>
                <w:rFonts w:ascii="Arial" w:eastAsia="Times New Roman" w:hAnsi="Arial" w:cs="Arial"/>
                <w:b/>
                <w:bCs/>
                <w:color w:val="FFFFFF"/>
                <w:kern w:val="0"/>
                <w:sz w:val="18"/>
                <w:szCs w:val="18"/>
                <w:lang w:eastAsia="en-GB"/>
                <w14:ligatures w14:val="none"/>
              </w:rPr>
            </w:pPr>
            <w:proofErr w:type="spellStart"/>
            <w:r w:rsidRPr="00CD6678">
              <w:rPr>
                <w:rFonts w:ascii="Arial" w:eastAsia="Times New Roman" w:hAnsi="Arial" w:cs="Arial"/>
                <w:b/>
                <w:bCs/>
                <w:color w:val="FFFFFF"/>
                <w:kern w:val="0"/>
                <w:sz w:val="18"/>
                <w:szCs w:val="18"/>
                <w:lang w:eastAsia="en-GB"/>
                <w14:ligatures w14:val="none"/>
              </w:rPr>
              <w:t>Attributes</w:t>
            </w:r>
            <w:proofErr w:type="spellEnd"/>
          </w:p>
        </w:tc>
        <w:tc>
          <w:tcPr>
            <w:tcW w:w="884" w:type="pct"/>
            <w:tcBorders>
              <w:top w:val="single" w:sz="8" w:space="0" w:color="23478F"/>
              <w:left w:val="nil"/>
              <w:bottom w:val="nil"/>
              <w:right w:val="single" w:sz="8" w:space="0" w:color="23478F"/>
            </w:tcBorders>
            <w:shd w:val="clear" w:color="000000" w:fill="23478F"/>
            <w:vAlign w:val="center"/>
            <w:hideMark/>
          </w:tcPr>
          <w:p w14:paraId="4299BF33" w14:textId="77777777" w:rsidR="007021C0" w:rsidRPr="00CD6678" w:rsidRDefault="007021C0" w:rsidP="001335E8">
            <w:pPr>
              <w:spacing w:after="0" w:line="240" w:lineRule="auto"/>
              <w:jc w:val="center"/>
              <w:rPr>
                <w:rFonts w:ascii="Arial" w:eastAsia="Times New Roman" w:hAnsi="Arial" w:cs="Arial"/>
                <w:b/>
                <w:bCs/>
                <w:color w:val="FFFFFF"/>
                <w:kern w:val="0"/>
                <w:sz w:val="18"/>
                <w:szCs w:val="18"/>
                <w:lang w:eastAsia="en-GB"/>
                <w14:ligatures w14:val="none"/>
              </w:rPr>
            </w:pPr>
            <w:r>
              <w:rPr>
                <w:rFonts w:ascii="Arial" w:eastAsia="Times New Roman" w:hAnsi="Arial" w:cs="Arial"/>
                <w:b/>
                <w:bCs/>
                <w:color w:val="FFFFFF"/>
                <w:kern w:val="0"/>
                <w:sz w:val="18"/>
                <w:szCs w:val="18"/>
                <w:lang w:eastAsia="en-GB"/>
                <w14:ligatures w14:val="none"/>
              </w:rPr>
              <w:t>Narrative</w:t>
            </w:r>
            <w:r w:rsidRPr="00CD6678">
              <w:rPr>
                <w:rFonts w:ascii="Arial" w:eastAsia="Times New Roman" w:hAnsi="Arial" w:cs="Arial"/>
                <w:b/>
                <w:bCs/>
                <w:color w:val="FFFFFF"/>
                <w:kern w:val="0"/>
                <w:sz w:val="18"/>
                <w:szCs w:val="18"/>
                <w:lang w:eastAsia="en-GB"/>
                <w14:ligatures w14:val="none"/>
              </w:rPr>
              <w:t xml:space="preserve"> 1 - </w:t>
            </w:r>
            <w:proofErr w:type="spellStart"/>
            <w:r w:rsidRPr="00CD6678">
              <w:rPr>
                <w:rFonts w:ascii="Arial" w:eastAsia="Times New Roman" w:hAnsi="Arial" w:cs="Arial"/>
                <w:b/>
                <w:bCs/>
                <w:color w:val="FFFFFF"/>
                <w:kern w:val="0"/>
                <w:sz w:val="18"/>
                <w:szCs w:val="18"/>
                <w:lang w:eastAsia="en-GB"/>
                <w14:ligatures w14:val="none"/>
              </w:rPr>
              <w:t>technology</w:t>
            </w:r>
            <w:proofErr w:type="spellEnd"/>
            <w:r w:rsidRPr="00CD6678">
              <w:rPr>
                <w:rFonts w:ascii="Arial" w:eastAsia="Times New Roman" w:hAnsi="Arial" w:cs="Arial"/>
                <w:b/>
                <w:bCs/>
                <w:color w:val="FFFFFF"/>
                <w:kern w:val="0"/>
                <w:sz w:val="18"/>
                <w:szCs w:val="18"/>
                <w:lang w:eastAsia="en-GB"/>
                <w14:ligatures w14:val="none"/>
              </w:rPr>
              <w:t xml:space="preserve">-led </w:t>
            </w:r>
            <w:proofErr w:type="spellStart"/>
            <w:r w:rsidRPr="00CD6678">
              <w:rPr>
                <w:rFonts w:ascii="Arial" w:eastAsia="Times New Roman" w:hAnsi="Arial" w:cs="Arial"/>
                <w:b/>
                <w:bCs/>
                <w:color w:val="FFFFFF"/>
                <w:kern w:val="0"/>
                <w:sz w:val="18"/>
                <w:szCs w:val="18"/>
                <w:lang w:eastAsia="en-GB"/>
                <w14:ligatures w14:val="none"/>
              </w:rPr>
              <w:t>decarbonisation</w:t>
            </w:r>
            <w:proofErr w:type="spellEnd"/>
          </w:p>
        </w:tc>
        <w:tc>
          <w:tcPr>
            <w:tcW w:w="884" w:type="pct"/>
            <w:tcBorders>
              <w:top w:val="single" w:sz="8" w:space="0" w:color="23478F"/>
              <w:left w:val="nil"/>
              <w:bottom w:val="nil"/>
              <w:right w:val="single" w:sz="8" w:space="0" w:color="23478F"/>
            </w:tcBorders>
            <w:shd w:val="clear" w:color="000000" w:fill="23478F"/>
            <w:vAlign w:val="center"/>
            <w:hideMark/>
          </w:tcPr>
          <w:p w14:paraId="1F48E2B8" w14:textId="77777777" w:rsidR="007021C0" w:rsidRPr="00CD6678" w:rsidRDefault="007021C0" w:rsidP="001335E8">
            <w:pPr>
              <w:spacing w:after="0" w:line="240" w:lineRule="auto"/>
              <w:jc w:val="center"/>
              <w:rPr>
                <w:rFonts w:ascii="Arial" w:eastAsia="Times New Roman" w:hAnsi="Arial" w:cs="Arial"/>
                <w:b/>
                <w:bCs/>
                <w:color w:val="FFFFFF"/>
                <w:kern w:val="0"/>
                <w:sz w:val="18"/>
                <w:szCs w:val="18"/>
                <w:lang w:eastAsia="en-GB"/>
                <w14:ligatures w14:val="none"/>
              </w:rPr>
            </w:pPr>
            <w:r>
              <w:rPr>
                <w:rFonts w:ascii="Arial" w:eastAsia="Times New Roman" w:hAnsi="Arial" w:cs="Arial"/>
                <w:b/>
                <w:bCs/>
                <w:color w:val="FFFFFF"/>
                <w:kern w:val="0"/>
                <w:sz w:val="18"/>
                <w:szCs w:val="18"/>
                <w:lang w:eastAsia="en-GB"/>
                <w14:ligatures w14:val="none"/>
              </w:rPr>
              <w:t>Narrative</w:t>
            </w:r>
            <w:r w:rsidRPr="00CD6678">
              <w:rPr>
                <w:rFonts w:ascii="Arial" w:eastAsia="Times New Roman" w:hAnsi="Arial" w:cs="Arial"/>
                <w:b/>
                <w:bCs/>
                <w:color w:val="FFFFFF"/>
                <w:kern w:val="0"/>
                <w:sz w:val="18"/>
                <w:szCs w:val="18"/>
                <w:lang w:eastAsia="en-GB"/>
                <w14:ligatures w14:val="none"/>
              </w:rPr>
              <w:t xml:space="preserve"> 2 - </w:t>
            </w:r>
            <w:proofErr w:type="spellStart"/>
            <w:r w:rsidRPr="00CD6678">
              <w:rPr>
                <w:rFonts w:ascii="Arial" w:eastAsia="Times New Roman" w:hAnsi="Arial" w:cs="Arial"/>
                <w:b/>
                <w:bCs/>
                <w:color w:val="FFFFFF"/>
                <w:kern w:val="0"/>
                <w:sz w:val="18"/>
                <w:szCs w:val="18"/>
                <w:lang w:eastAsia="en-GB"/>
                <w14:ligatures w14:val="none"/>
              </w:rPr>
              <w:t>reduction</w:t>
            </w:r>
            <w:proofErr w:type="spellEnd"/>
            <w:r w:rsidRPr="00CD6678">
              <w:rPr>
                <w:rFonts w:ascii="Arial" w:eastAsia="Times New Roman" w:hAnsi="Arial" w:cs="Arial"/>
                <w:b/>
                <w:bCs/>
                <w:color w:val="FFFFFF"/>
                <w:kern w:val="0"/>
                <w:sz w:val="18"/>
                <w:szCs w:val="18"/>
                <w:lang w:eastAsia="en-GB"/>
                <w14:ligatures w14:val="none"/>
              </w:rPr>
              <w:t xml:space="preserve"> in </w:t>
            </w:r>
            <w:proofErr w:type="spellStart"/>
            <w:r w:rsidRPr="00CD6678">
              <w:rPr>
                <w:rFonts w:ascii="Arial" w:eastAsia="Times New Roman" w:hAnsi="Arial" w:cs="Arial"/>
                <w:b/>
                <w:bCs/>
                <w:color w:val="FFFFFF"/>
                <w:kern w:val="0"/>
                <w:sz w:val="18"/>
                <w:szCs w:val="18"/>
                <w:lang w:eastAsia="en-GB"/>
                <w14:ligatures w14:val="none"/>
              </w:rPr>
              <w:t>consumption</w:t>
            </w:r>
            <w:proofErr w:type="spellEnd"/>
          </w:p>
        </w:tc>
        <w:tc>
          <w:tcPr>
            <w:tcW w:w="884" w:type="pct"/>
            <w:tcBorders>
              <w:top w:val="single" w:sz="8" w:space="0" w:color="23478F"/>
              <w:left w:val="nil"/>
              <w:bottom w:val="nil"/>
              <w:right w:val="single" w:sz="8" w:space="0" w:color="23478F"/>
            </w:tcBorders>
            <w:shd w:val="clear" w:color="000000" w:fill="23478F"/>
            <w:vAlign w:val="center"/>
            <w:hideMark/>
          </w:tcPr>
          <w:p w14:paraId="4A2E627E" w14:textId="77777777" w:rsidR="007021C0" w:rsidRPr="00CD6678" w:rsidRDefault="007021C0" w:rsidP="001335E8">
            <w:pPr>
              <w:spacing w:after="0" w:line="240" w:lineRule="auto"/>
              <w:jc w:val="center"/>
              <w:rPr>
                <w:rFonts w:ascii="Arial" w:eastAsia="Times New Roman" w:hAnsi="Arial" w:cs="Arial"/>
                <w:b/>
                <w:bCs/>
                <w:color w:val="FFFFFF"/>
                <w:kern w:val="0"/>
                <w:sz w:val="18"/>
                <w:szCs w:val="18"/>
                <w:lang w:eastAsia="en-GB"/>
                <w14:ligatures w14:val="none"/>
              </w:rPr>
            </w:pPr>
            <w:r>
              <w:rPr>
                <w:rFonts w:ascii="Arial" w:eastAsia="Times New Roman" w:hAnsi="Arial" w:cs="Arial"/>
                <w:b/>
                <w:bCs/>
                <w:color w:val="FFFFFF"/>
                <w:kern w:val="0"/>
                <w:sz w:val="18"/>
                <w:szCs w:val="18"/>
                <w:lang w:eastAsia="en-GB"/>
                <w14:ligatures w14:val="none"/>
              </w:rPr>
              <w:t>Narrative</w:t>
            </w:r>
            <w:r w:rsidRPr="00CD6678">
              <w:rPr>
                <w:rFonts w:ascii="Arial" w:eastAsia="Times New Roman" w:hAnsi="Arial" w:cs="Arial"/>
                <w:b/>
                <w:bCs/>
                <w:color w:val="FFFFFF"/>
                <w:kern w:val="0"/>
                <w:sz w:val="18"/>
                <w:szCs w:val="18"/>
                <w:lang w:eastAsia="en-GB"/>
                <w14:ligatures w14:val="none"/>
              </w:rPr>
              <w:t xml:space="preserve"> 3 - </w:t>
            </w:r>
            <w:proofErr w:type="spellStart"/>
            <w:r w:rsidRPr="00CD6678">
              <w:rPr>
                <w:rFonts w:ascii="Arial" w:eastAsia="Times New Roman" w:hAnsi="Arial" w:cs="Arial"/>
                <w:b/>
                <w:bCs/>
                <w:color w:val="FFFFFF"/>
                <w:kern w:val="0"/>
                <w:sz w:val="18"/>
                <w:szCs w:val="18"/>
                <w:lang w:eastAsia="en-GB"/>
                <w14:ligatures w14:val="none"/>
              </w:rPr>
              <w:t>increase</w:t>
            </w:r>
            <w:proofErr w:type="spellEnd"/>
            <w:r w:rsidRPr="00CD6678">
              <w:rPr>
                <w:rFonts w:ascii="Arial" w:eastAsia="Times New Roman" w:hAnsi="Arial" w:cs="Arial"/>
                <w:b/>
                <w:bCs/>
                <w:color w:val="FFFFFF"/>
                <w:kern w:val="0"/>
                <w:sz w:val="18"/>
                <w:szCs w:val="18"/>
                <w:lang w:eastAsia="en-GB"/>
                <w14:ligatures w14:val="none"/>
              </w:rPr>
              <w:t xml:space="preserve"> in </w:t>
            </w:r>
            <w:proofErr w:type="spellStart"/>
            <w:r w:rsidRPr="00CD6678">
              <w:rPr>
                <w:rFonts w:ascii="Arial" w:eastAsia="Times New Roman" w:hAnsi="Arial" w:cs="Arial"/>
                <w:b/>
                <w:bCs/>
                <w:color w:val="FFFFFF"/>
                <w:kern w:val="0"/>
                <w:sz w:val="18"/>
                <w:szCs w:val="18"/>
                <w:lang w:eastAsia="en-GB"/>
                <w14:ligatures w14:val="none"/>
              </w:rPr>
              <w:t>carbon</w:t>
            </w:r>
            <w:proofErr w:type="spellEnd"/>
            <w:r w:rsidRPr="00CD6678">
              <w:rPr>
                <w:rFonts w:ascii="Arial" w:eastAsia="Times New Roman" w:hAnsi="Arial" w:cs="Arial"/>
                <w:b/>
                <w:bCs/>
                <w:color w:val="FFFFFF"/>
                <w:kern w:val="0"/>
                <w:sz w:val="18"/>
                <w:szCs w:val="18"/>
                <w:lang w:eastAsia="en-GB"/>
                <w14:ligatures w14:val="none"/>
              </w:rPr>
              <w:t xml:space="preserve"> </w:t>
            </w:r>
            <w:proofErr w:type="spellStart"/>
            <w:r w:rsidRPr="00CD6678">
              <w:rPr>
                <w:rFonts w:ascii="Arial" w:eastAsia="Times New Roman" w:hAnsi="Arial" w:cs="Arial"/>
                <w:b/>
                <w:bCs/>
                <w:color w:val="FFFFFF"/>
                <w:kern w:val="0"/>
                <w:sz w:val="18"/>
                <w:szCs w:val="18"/>
                <w:lang w:eastAsia="en-GB"/>
                <w14:ligatures w14:val="none"/>
              </w:rPr>
              <w:t>sinks</w:t>
            </w:r>
            <w:proofErr w:type="spellEnd"/>
          </w:p>
        </w:tc>
        <w:tc>
          <w:tcPr>
            <w:tcW w:w="1102" w:type="pct"/>
            <w:tcBorders>
              <w:top w:val="nil"/>
              <w:left w:val="nil"/>
              <w:bottom w:val="nil"/>
              <w:right w:val="nil"/>
            </w:tcBorders>
            <w:shd w:val="clear" w:color="000000" w:fill="23478F"/>
            <w:vAlign w:val="center"/>
            <w:hideMark/>
          </w:tcPr>
          <w:p w14:paraId="708557B5" w14:textId="77777777" w:rsidR="007021C0" w:rsidRPr="00CD6678" w:rsidRDefault="007021C0" w:rsidP="001335E8">
            <w:pPr>
              <w:spacing w:after="0" w:line="240" w:lineRule="auto"/>
              <w:jc w:val="center"/>
              <w:rPr>
                <w:rFonts w:ascii="Arial" w:eastAsia="Times New Roman" w:hAnsi="Arial" w:cs="Arial"/>
                <w:b/>
                <w:bCs/>
                <w:color w:val="FFFFFF"/>
                <w:kern w:val="0"/>
                <w:sz w:val="18"/>
                <w:szCs w:val="18"/>
                <w:lang w:eastAsia="en-GB"/>
                <w14:ligatures w14:val="none"/>
              </w:rPr>
            </w:pPr>
            <w:r>
              <w:rPr>
                <w:rFonts w:ascii="Arial" w:eastAsia="Times New Roman" w:hAnsi="Arial" w:cs="Arial"/>
                <w:b/>
                <w:bCs/>
                <w:color w:val="FFFFFF"/>
                <w:kern w:val="0"/>
                <w:sz w:val="18"/>
                <w:szCs w:val="18"/>
                <w:lang w:eastAsia="en-GB"/>
                <w14:ligatures w14:val="none"/>
              </w:rPr>
              <w:t>Narrative</w:t>
            </w:r>
            <w:r w:rsidRPr="00CD6678">
              <w:rPr>
                <w:rFonts w:ascii="Arial" w:eastAsia="Times New Roman" w:hAnsi="Arial" w:cs="Arial"/>
                <w:b/>
                <w:bCs/>
                <w:color w:val="FFFFFF"/>
                <w:kern w:val="0"/>
                <w:sz w:val="18"/>
                <w:szCs w:val="18"/>
                <w:lang w:eastAsia="en-GB"/>
                <w14:ligatures w14:val="none"/>
              </w:rPr>
              <w:t xml:space="preserve"> 4 - </w:t>
            </w:r>
            <w:proofErr w:type="spellStart"/>
            <w:r w:rsidRPr="00CD6678">
              <w:rPr>
                <w:rFonts w:ascii="Arial" w:eastAsia="Times New Roman" w:hAnsi="Arial" w:cs="Arial"/>
                <w:b/>
                <w:bCs/>
                <w:color w:val="FFFFFF"/>
                <w:kern w:val="0"/>
                <w:sz w:val="18"/>
                <w:szCs w:val="18"/>
                <w:lang w:eastAsia="en-GB"/>
                <w14:ligatures w14:val="none"/>
              </w:rPr>
              <w:t>mixed</w:t>
            </w:r>
            <w:proofErr w:type="spellEnd"/>
            <w:r w:rsidRPr="00CD6678">
              <w:rPr>
                <w:rFonts w:ascii="Arial" w:eastAsia="Times New Roman" w:hAnsi="Arial" w:cs="Arial"/>
                <w:b/>
                <w:bCs/>
                <w:color w:val="FFFFFF"/>
                <w:kern w:val="0"/>
                <w:sz w:val="18"/>
                <w:szCs w:val="18"/>
                <w:lang w:eastAsia="en-GB"/>
                <w14:ligatures w14:val="none"/>
              </w:rPr>
              <w:t xml:space="preserve"> </w:t>
            </w:r>
            <w:proofErr w:type="spellStart"/>
            <w:r w:rsidRPr="00CD6678">
              <w:rPr>
                <w:rFonts w:ascii="Arial" w:eastAsia="Times New Roman" w:hAnsi="Arial" w:cs="Arial"/>
                <w:b/>
                <w:bCs/>
                <w:color w:val="FFFFFF"/>
                <w:kern w:val="0"/>
                <w:sz w:val="18"/>
                <w:szCs w:val="18"/>
                <w:lang w:eastAsia="en-GB"/>
                <w14:ligatures w14:val="none"/>
              </w:rPr>
              <w:t>strategy</w:t>
            </w:r>
            <w:proofErr w:type="spellEnd"/>
          </w:p>
        </w:tc>
      </w:tr>
      <w:tr w:rsidR="007021C0" w:rsidRPr="00CD6678" w14:paraId="72E5C0FC" w14:textId="77777777" w:rsidTr="001335E8">
        <w:trPr>
          <w:trHeight w:val="300"/>
        </w:trPr>
        <w:tc>
          <w:tcPr>
            <w:tcW w:w="1246" w:type="pct"/>
            <w:tcBorders>
              <w:top w:val="nil"/>
              <w:left w:val="single" w:sz="8" w:space="0" w:color="23478F"/>
              <w:bottom w:val="nil"/>
              <w:right w:val="nil"/>
            </w:tcBorders>
            <w:shd w:val="clear" w:color="000000" w:fill="F8CBAD"/>
            <w:vAlign w:val="center"/>
            <w:hideMark/>
          </w:tcPr>
          <w:p w14:paraId="1F90433C" w14:textId="77777777" w:rsidR="007021C0" w:rsidRPr="00CD6678" w:rsidRDefault="007021C0" w:rsidP="001335E8">
            <w:pPr>
              <w:spacing w:after="0" w:line="240" w:lineRule="auto"/>
              <w:jc w:val="center"/>
              <w:rPr>
                <w:rFonts w:ascii="Arial" w:eastAsia="Times New Roman" w:hAnsi="Arial" w:cs="Arial"/>
                <w:b/>
                <w:bCs/>
                <w:color w:val="000000"/>
                <w:kern w:val="0"/>
                <w:sz w:val="18"/>
                <w:szCs w:val="18"/>
                <w:lang w:eastAsia="en-GB"/>
                <w14:ligatures w14:val="none"/>
              </w:rPr>
            </w:pPr>
            <w:proofErr w:type="spellStart"/>
            <w:r w:rsidRPr="00CD6678">
              <w:rPr>
                <w:rFonts w:ascii="Arial" w:eastAsia="Times New Roman" w:hAnsi="Arial" w:cs="Arial"/>
                <w:b/>
                <w:bCs/>
                <w:color w:val="000000"/>
                <w:kern w:val="0"/>
                <w:sz w:val="18"/>
                <w:szCs w:val="18"/>
                <w:lang w:eastAsia="en-GB"/>
                <w14:ligatures w14:val="none"/>
              </w:rPr>
              <w:t>Climate</w:t>
            </w:r>
            <w:proofErr w:type="spellEnd"/>
            <w:r w:rsidRPr="00CD6678">
              <w:rPr>
                <w:rFonts w:ascii="Arial" w:eastAsia="Times New Roman" w:hAnsi="Arial" w:cs="Arial"/>
                <w:b/>
                <w:bCs/>
                <w:color w:val="000000"/>
                <w:kern w:val="0"/>
                <w:sz w:val="18"/>
                <w:szCs w:val="18"/>
                <w:lang w:eastAsia="en-GB"/>
                <w14:ligatures w14:val="none"/>
              </w:rPr>
              <w:t xml:space="preserve"> target </w:t>
            </w:r>
            <w:proofErr w:type="spellStart"/>
            <w:r w:rsidRPr="00CD6678">
              <w:rPr>
                <w:rFonts w:ascii="Arial" w:eastAsia="Times New Roman" w:hAnsi="Arial" w:cs="Arial"/>
                <w:b/>
                <w:bCs/>
                <w:color w:val="000000"/>
                <w:kern w:val="0"/>
                <w:sz w:val="18"/>
                <w:szCs w:val="18"/>
                <w:lang w:eastAsia="en-GB"/>
                <w14:ligatures w14:val="none"/>
              </w:rPr>
              <w:t>by</w:t>
            </w:r>
            <w:proofErr w:type="spellEnd"/>
            <w:r w:rsidRPr="00CD6678">
              <w:rPr>
                <w:rFonts w:ascii="Arial" w:eastAsia="Times New Roman" w:hAnsi="Arial" w:cs="Arial"/>
                <w:b/>
                <w:bCs/>
                <w:color w:val="000000"/>
                <w:kern w:val="0"/>
                <w:sz w:val="18"/>
                <w:szCs w:val="18"/>
                <w:lang w:eastAsia="en-GB"/>
                <w14:ligatures w14:val="none"/>
              </w:rPr>
              <w:t xml:space="preserve"> 2050</w:t>
            </w:r>
          </w:p>
        </w:tc>
        <w:tc>
          <w:tcPr>
            <w:tcW w:w="3754" w:type="pct"/>
            <w:gridSpan w:val="4"/>
            <w:tcBorders>
              <w:top w:val="single" w:sz="4" w:space="0" w:color="000000"/>
              <w:left w:val="single" w:sz="4" w:space="0" w:color="000000"/>
              <w:bottom w:val="single" w:sz="4" w:space="0" w:color="000000"/>
              <w:right w:val="nil"/>
            </w:tcBorders>
            <w:shd w:val="clear" w:color="000000" w:fill="F8CBAD"/>
            <w:vAlign w:val="center"/>
            <w:hideMark/>
          </w:tcPr>
          <w:p w14:paraId="7C701515" w14:textId="77777777" w:rsidR="007021C0" w:rsidRPr="00CD6678" w:rsidRDefault="007021C0" w:rsidP="001335E8">
            <w:pPr>
              <w:spacing w:after="0" w:line="240" w:lineRule="auto"/>
              <w:jc w:val="center"/>
              <w:rPr>
                <w:rFonts w:ascii="Arial" w:eastAsia="Times New Roman" w:hAnsi="Arial" w:cs="Arial"/>
                <w:b/>
                <w:bCs/>
                <w:color w:val="000000"/>
                <w:kern w:val="0"/>
                <w:sz w:val="18"/>
                <w:szCs w:val="18"/>
                <w:lang w:eastAsia="en-GB"/>
                <w14:ligatures w14:val="none"/>
              </w:rPr>
            </w:pPr>
            <w:proofErr w:type="spellStart"/>
            <w:r w:rsidRPr="00CD6678">
              <w:rPr>
                <w:rFonts w:ascii="Arial" w:eastAsia="Times New Roman" w:hAnsi="Arial" w:cs="Arial"/>
                <w:b/>
                <w:bCs/>
                <w:color w:val="000000"/>
                <w:kern w:val="0"/>
                <w:sz w:val="18"/>
                <w:szCs w:val="18"/>
                <w:lang w:eastAsia="en-GB"/>
                <w14:ligatures w14:val="none"/>
              </w:rPr>
              <w:t>Common</w:t>
            </w:r>
            <w:proofErr w:type="spellEnd"/>
            <w:r w:rsidRPr="00CD6678">
              <w:rPr>
                <w:rFonts w:ascii="Arial" w:eastAsia="Times New Roman" w:hAnsi="Arial" w:cs="Arial"/>
                <w:b/>
                <w:bCs/>
                <w:color w:val="000000"/>
                <w:kern w:val="0"/>
                <w:sz w:val="18"/>
                <w:szCs w:val="18"/>
                <w:lang w:eastAsia="en-GB"/>
                <w14:ligatures w14:val="none"/>
              </w:rPr>
              <w:t xml:space="preserve"> global </w:t>
            </w:r>
            <w:proofErr w:type="spellStart"/>
            <w:r w:rsidRPr="00CD6678">
              <w:rPr>
                <w:rFonts w:ascii="Arial" w:eastAsia="Times New Roman" w:hAnsi="Arial" w:cs="Arial"/>
                <w:b/>
                <w:bCs/>
                <w:color w:val="000000"/>
                <w:kern w:val="0"/>
                <w:sz w:val="18"/>
                <w:szCs w:val="18"/>
                <w:lang w:eastAsia="en-GB"/>
                <w14:ligatures w14:val="none"/>
              </w:rPr>
              <w:t>temperature</w:t>
            </w:r>
            <w:proofErr w:type="spellEnd"/>
            <w:r w:rsidRPr="00CD6678">
              <w:rPr>
                <w:rFonts w:ascii="Arial" w:eastAsia="Times New Roman" w:hAnsi="Arial" w:cs="Arial"/>
                <w:b/>
                <w:bCs/>
                <w:color w:val="000000"/>
                <w:kern w:val="0"/>
                <w:sz w:val="18"/>
                <w:szCs w:val="18"/>
                <w:lang w:eastAsia="en-GB"/>
                <w14:ligatures w14:val="none"/>
              </w:rPr>
              <w:t xml:space="preserve"> </w:t>
            </w:r>
            <w:proofErr w:type="spellStart"/>
            <w:r w:rsidRPr="00CD6678">
              <w:rPr>
                <w:rFonts w:ascii="Arial" w:eastAsia="Times New Roman" w:hAnsi="Arial" w:cs="Arial"/>
                <w:b/>
                <w:bCs/>
                <w:color w:val="000000"/>
                <w:kern w:val="0"/>
                <w:sz w:val="18"/>
                <w:szCs w:val="18"/>
                <w:lang w:eastAsia="en-GB"/>
                <w14:ligatures w14:val="none"/>
              </w:rPr>
              <w:t>change</w:t>
            </w:r>
            <w:proofErr w:type="spellEnd"/>
          </w:p>
        </w:tc>
      </w:tr>
      <w:tr w:rsidR="007021C0" w:rsidRPr="00CD6678" w14:paraId="18828797" w14:textId="77777777" w:rsidTr="001335E8">
        <w:trPr>
          <w:trHeight w:val="285"/>
        </w:trPr>
        <w:tc>
          <w:tcPr>
            <w:tcW w:w="5000" w:type="pct"/>
            <w:gridSpan w:val="5"/>
            <w:tcBorders>
              <w:top w:val="nil"/>
              <w:left w:val="single" w:sz="8" w:space="0" w:color="23478F"/>
              <w:bottom w:val="nil"/>
              <w:right w:val="nil"/>
            </w:tcBorders>
            <w:shd w:val="clear" w:color="000000" w:fill="6B90DB"/>
            <w:vAlign w:val="center"/>
            <w:hideMark/>
          </w:tcPr>
          <w:p w14:paraId="73297536" w14:textId="77777777" w:rsidR="007021C0" w:rsidRPr="00CD6678" w:rsidRDefault="007021C0" w:rsidP="001335E8">
            <w:pPr>
              <w:spacing w:after="0" w:line="240" w:lineRule="auto"/>
              <w:jc w:val="center"/>
              <w:rPr>
                <w:rFonts w:ascii="Arial" w:eastAsia="Times New Roman" w:hAnsi="Arial" w:cs="Arial"/>
                <w:b/>
                <w:bCs/>
                <w:color w:val="000000"/>
                <w:kern w:val="0"/>
                <w:sz w:val="18"/>
                <w:szCs w:val="18"/>
                <w:lang w:eastAsia="en-GB"/>
                <w14:ligatures w14:val="none"/>
              </w:rPr>
            </w:pPr>
            <w:proofErr w:type="spellStart"/>
            <w:r w:rsidRPr="00CD6678">
              <w:rPr>
                <w:rFonts w:ascii="Arial" w:eastAsia="Times New Roman" w:hAnsi="Arial" w:cs="Arial"/>
                <w:b/>
                <w:bCs/>
                <w:color w:val="000000"/>
                <w:kern w:val="0"/>
                <w:sz w:val="18"/>
                <w:szCs w:val="18"/>
                <w:lang w:eastAsia="en-GB"/>
                <w14:ligatures w14:val="none"/>
              </w:rPr>
              <w:t>Demography</w:t>
            </w:r>
            <w:proofErr w:type="spellEnd"/>
          </w:p>
        </w:tc>
      </w:tr>
      <w:tr w:rsidR="007021C0" w:rsidRPr="00BA7017" w14:paraId="1CEAA2F5" w14:textId="77777777" w:rsidTr="001335E8">
        <w:trPr>
          <w:trHeight w:val="300"/>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62985FC7"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Population</w:t>
            </w:r>
            <w:proofErr w:type="spellEnd"/>
          </w:p>
        </w:tc>
        <w:tc>
          <w:tcPr>
            <w:tcW w:w="3754" w:type="pct"/>
            <w:gridSpan w:val="4"/>
            <w:tcBorders>
              <w:top w:val="nil"/>
              <w:left w:val="single" w:sz="8" w:space="0" w:color="23478F"/>
              <w:bottom w:val="nil"/>
              <w:right w:val="nil"/>
            </w:tcBorders>
            <w:shd w:val="clear" w:color="000000" w:fill="E6E7E8"/>
            <w:vAlign w:val="center"/>
            <w:hideMark/>
          </w:tcPr>
          <w:p w14:paraId="0A9F50C7"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Continuation of past trends in fertility, mortality and migration  (8865 million people worldwide in 2050)</w:t>
            </w:r>
          </w:p>
        </w:tc>
      </w:tr>
      <w:tr w:rsidR="007021C0" w:rsidRPr="00CD6678" w14:paraId="21FA624F" w14:textId="77777777" w:rsidTr="001335E8">
        <w:trPr>
          <w:trHeight w:val="285"/>
        </w:trPr>
        <w:tc>
          <w:tcPr>
            <w:tcW w:w="5000" w:type="pct"/>
            <w:gridSpan w:val="5"/>
            <w:tcBorders>
              <w:top w:val="single" w:sz="8" w:space="0" w:color="44546A"/>
              <w:left w:val="single" w:sz="8" w:space="0" w:color="44546A"/>
              <w:bottom w:val="single" w:sz="4" w:space="0" w:color="4472C4"/>
              <w:right w:val="nil"/>
            </w:tcBorders>
            <w:shd w:val="clear" w:color="000000" w:fill="6B90DB"/>
            <w:vAlign w:val="center"/>
            <w:hideMark/>
          </w:tcPr>
          <w:p w14:paraId="707A6179" w14:textId="77777777" w:rsidR="007021C0" w:rsidRPr="00CD6678" w:rsidRDefault="007021C0" w:rsidP="001335E8">
            <w:pPr>
              <w:spacing w:after="0" w:line="240" w:lineRule="auto"/>
              <w:jc w:val="center"/>
              <w:rPr>
                <w:rFonts w:ascii="Arial" w:eastAsia="Times New Roman" w:hAnsi="Arial" w:cs="Arial"/>
                <w:b/>
                <w:bCs/>
                <w:color w:val="000000"/>
                <w:kern w:val="0"/>
                <w:sz w:val="18"/>
                <w:szCs w:val="18"/>
                <w:lang w:eastAsia="en-GB"/>
                <w14:ligatures w14:val="none"/>
              </w:rPr>
            </w:pPr>
            <w:proofErr w:type="spellStart"/>
            <w:r w:rsidRPr="00CD6678">
              <w:rPr>
                <w:rFonts w:ascii="Arial" w:eastAsia="Times New Roman" w:hAnsi="Arial" w:cs="Arial"/>
                <w:b/>
                <w:bCs/>
                <w:color w:val="000000"/>
                <w:kern w:val="0"/>
                <w:sz w:val="18"/>
                <w:szCs w:val="18"/>
                <w:lang w:eastAsia="en-GB"/>
                <w14:ligatures w14:val="none"/>
              </w:rPr>
              <w:t>Economy</w:t>
            </w:r>
            <w:proofErr w:type="spellEnd"/>
          </w:p>
        </w:tc>
      </w:tr>
      <w:tr w:rsidR="007021C0" w:rsidRPr="00CD6678" w14:paraId="00B82C63" w14:textId="77777777" w:rsidTr="0063109C">
        <w:trPr>
          <w:trHeight w:val="450"/>
        </w:trPr>
        <w:tc>
          <w:tcPr>
            <w:tcW w:w="1246" w:type="pct"/>
            <w:tcBorders>
              <w:top w:val="nil"/>
              <w:left w:val="single" w:sz="8" w:space="0" w:color="44546A"/>
              <w:bottom w:val="single" w:sz="8" w:space="0" w:color="44546A"/>
              <w:right w:val="single" w:sz="8" w:space="0" w:color="23478F"/>
            </w:tcBorders>
            <w:shd w:val="clear" w:color="000000" w:fill="6B90DB"/>
            <w:vAlign w:val="center"/>
            <w:hideMark/>
          </w:tcPr>
          <w:p w14:paraId="1D9A3436"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Carbon</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tax</w:t>
            </w:r>
            <w:proofErr w:type="spellEnd"/>
            <w:r w:rsidRPr="00CD6678">
              <w:rPr>
                <w:rFonts w:ascii="Arial" w:eastAsia="Times New Roman" w:hAnsi="Arial" w:cs="Arial"/>
                <w:color w:val="000000"/>
                <w:kern w:val="0"/>
                <w:sz w:val="18"/>
                <w:szCs w:val="18"/>
                <w:lang w:eastAsia="en-GB"/>
                <w14:ligatures w14:val="none"/>
              </w:rPr>
              <w:t xml:space="preserve"> in 2050</w:t>
            </w:r>
          </w:p>
        </w:tc>
        <w:tc>
          <w:tcPr>
            <w:tcW w:w="884" w:type="pct"/>
            <w:tcBorders>
              <w:top w:val="nil"/>
              <w:left w:val="nil"/>
              <w:bottom w:val="single" w:sz="8" w:space="0" w:color="44546A"/>
              <w:right w:val="single" w:sz="8" w:space="0" w:color="23478F"/>
            </w:tcBorders>
            <w:shd w:val="clear" w:color="000000" w:fill="C6EFCE"/>
            <w:vAlign w:val="center"/>
            <w:hideMark/>
          </w:tcPr>
          <w:p w14:paraId="3FD1C858" w14:textId="77777777" w:rsidR="007021C0" w:rsidRPr="00CD6678" w:rsidRDefault="007021C0" w:rsidP="001335E8">
            <w:pPr>
              <w:spacing w:after="0" w:line="240" w:lineRule="auto"/>
              <w:jc w:val="center"/>
              <w:rPr>
                <w:rFonts w:ascii="Arial" w:eastAsia="Times New Roman" w:hAnsi="Arial" w:cs="Arial"/>
                <w:color w:val="006100"/>
                <w:kern w:val="0"/>
                <w:sz w:val="18"/>
                <w:szCs w:val="18"/>
                <w:lang w:eastAsia="en-GB"/>
                <w14:ligatures w14:val="none"/>
              </w:rPr>
            </w:pPr>
            <w:r w:rsidRPr="00CD6678">
              <w:rPr>
                <w:rFonts w:ascii="Arial" w:eastAsia="Times New Roman" w:hAnsi="Arial" w:cs="Arial"/>
                <w:color w:val="006100"/>
                <w:kern w:val="0"/>
                <w:sz w:val="18"/>
                <w:szCs w:val="18"/>
                <w:lang w:eastAsia="en-GB"/>
                <w14:ligatures w14:val="none"/>
              </w:rPr>
              <w:t>High</w:t>
            </w:r>
          </w:p>
        </w:tc>
        <w:tc>
          <w:tcPr>
            <w:tcW w:w="884" w:type="pct"/>
            <w:tcBorders>
              <w:top w:val="nil"/>
              <w:left w:val="nil"/>
              <w:bottom w:val="single" w:sz="8" w:space="0" w:color="44546A"/>
              <w:right w:val="single" w:sz="8" w:space="0" w:color="23478F"/>
            </w:tcBorders>
            <w:shd w:val="clear" w:color="000000" w:fill="C6EFCE"/>
            <w:vAlign w:val="center"/>
            <w:hideMark/>
          </w:tcPr>
          <w:p w14:paraId="6DFFB1CE" w14:textId="77777777" w:rsidR="007021C0" w:rsidRPr="00CD6678" w:rsidRDefault="007021C0" w:rsidP="001335E8">
            <w:pPr>
              <w:spacing w:after="0" w:line="240" w:lineRule="auto"/>
              <w:jc w:val="center"/>
              <w:rPr>
                <w:rFonts w:ascii="Arial" w:eastAsia="Times New Roman" w:hAnsi="Arial" w:cs="Arial"/>
                <w:color w:val="006100"/>
                <w:kern w:val="0"/>
                <w:sz w:val="18"/>
                <w:szCs w:val="18"/>
                <w:lang w:eastAsia="en-GB"/>
                <w14:ligatures w14:val="none"/>
              </w:rPr>
            </w:pPr>
            <w:r w:rsidRPr="00CD6678">
              <w:rPr>
                <w:rFonts w:ascii="Arial" w:eastAsia="Times New Roman" w:hAnsi="Arial" w:cs="Arial"/>
                <w:color w:val="006100"/>
                <w:kern w:val="0"/>
                <w:sz w:val="18"/>
                <w:szCs w:val="18"/>
                <w:lang w:eastAsia="en-GB"/>
                <w14:ligatures w14:val="none"/>
              </w:rPr>
              <w:t>High</w:t>
            </w:r>
          </w:p>
        </w:tc>
        <w:tc>
          <w:tcPr>
            <w:tcW w:w="884" w:type="pct"/>
            <w:tcBorders>
              <w:top w:val="nil"/>
              <w:left w:val="nil"/>
              <w:bottom w:val="single" w:sz="8" w:space="0" w:color="44546A"/>
              <w:right w:val="nil"/>
            </w:tcBorders>
            <w:shd w:val="clear" w:color="000000" w:fill="C6EFCE"/>
            <w:vAlign w:val="center"/>
            <w:hideMark/>
          </w:tcPr>
          <w:p w14:paraId="055523E0" w14:textId="77777777" w:rsidR="007021C0" w:rsidRPr="00CD6678" w:rsidRDefault="007021C0" w:rsidP="001335E8">
            <w:pPr>
              <w:spacing w:after="0" w:line="240" w:lineRule="auto"/>
              <w:jc w:val="center"/>
              <w:rPr>
                <w:rFonts w:ascii="Arial" w:eastAsia="Times New Roman" w:hAnsi="Arial" w:cs="Arial"/>
                <w:color w:val="006100"/>
                <w:kern w:val="0"/>
                <w:sz w:val="18"/>
                <w:szCs w:val="18"/>
                <w:lang w:eastAsia="en-GB"/>
                <w14:ligatures w14:val="none"/>
              </w:rPr>
            </w:pPr>
            <w:r w:rsidRPr="00CD6678">
              <w:rPr>
                <w:rFonts w:ascii="Arial" w:eastAsia="Times New Roman" w:hAnsi="Arial" w:cs="Arial"/>
                <w:color w:val="006100"/>
                <w:kern w:val="0"/>
                <w:sz w:val="18"/>
                <w:szCs w:val="18"/>
                <w:lang w:eastAsia="en-GB"/>
                <w14:ligatures w14:val="none"/>
              </w:rPr>
              <w:t>High</w:t>
            </w:r>
          </w:p>
        </w:tc>
        <w:tc>
          <w:tcPr>
            <w:tcW w:w="1102" w:type="pct"/>
            <w:tcBorders>
              <w:top w:val="single" w:sz="8" w:space="0" w:color="44546A"/>
              <w:left w:val="single" w:sz="8" w:space="0" w:color="44546A"/>
              <w:bottom w:val="single" w:sz="8" w:space="0" w:color="44546A"/>
              <w:right w:val="single" w:sz="8" w:space="0" w:color="44546A"/>
            </w:tcBorders>
            <w:shd w:val="clear" w:color="000000" w:fill="FCE4D6"/>
            <w:noWrap/>
            <w:vAlign w:val="center"/>
            <w:hideMark/>
          </w:tcPr>
          <w:p w14:paraId="2E4DFB8D"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p>
        </w:tc>
      </w:tr>
      <w:tr w:rsidR="007021C0" w:rsidRPr="00BA7017" w14:paraId="5334B4AA" w14:textId="77777777" w:rsidTr="0063109C">
        <w:trPr>
          <w:trHeight w:val="1215"/>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348B957A"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Carbon</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revenues</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recycling</w:t>
            </w:r>
            <w:proofErr w:type="spellEnd"/>
          </w:p>
        </w:tc>
        <w:tc>
          <w:tcPr>
            <w:tcW w:w="884" w:type="pct"/>
            <w:tcBorders>
              <w:top w:val="nil"/>
              <w:left w:val="nil"/>
              <w:bottom w:val="single" w:sz="8" w:space="0" w:color="23478F"/>
              <w:right w:val="single" w:sz="8" w:space="0" w:color="23478F"/>
            </w:tcBorders>
            <w:shd w:val="clear" w:color="000000" w:fill="C6EFCE"/>
            <w:vAlign w:val="center"/>
            <w:hideMark/>
          </w:tcPr>
          <w:p w14:paraId="69F2360C"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Finance</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energy</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transition</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plans</w:t>
            </w:r>
            <w:proofErr w:type="spellEnd"/>
          </w:p>
        </w:tc>
        <w:tc>
          <w:tcPr>
            <w:tcW w:w="884" w:type="pct"/>
            <w:tcBorders>
              <w:top w:val="nil"/>
              <w:left w:val="nil"/>
              <w:bottom w:val="single" w:sz="8" w:space="0" w:color="23478F"/>
              <w:right w:val="single" w:sz="8" w:space="0" w:color="23478F"/>
            </w:tcBorders>
            <w:shd w:val="clear" w:color="000000" w:fill="C6EFCE"/>
            <w:vAlign w:val="center"/>
            <w:hideMark/>
          </w:tcPr>
          <w:p w14:paraId="0C104FB4"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Social </w:t>
            </w:r>
            <w:proofErr w:type="spellStart"/>
            <w:r w:rsidRPr="00CD6678">
              <w:rPr>
                <w:rFonts w:ascii="Arial" w:eastAsia="Times New Roman" w:hAnsi="Arial" w:cs="Arial"/>
                <w:color w:val="000000"/>
                <w:kern w:val="0"/>
                <w:sz w:val="18"/>
                <w:szCs w:val="18"/>
                <w:lang w:eastAsia="en-GB"/>
                <w14:ligatures w14:val="none"/>
              </w:rPr>
              <w:t>benefits</w:t>
            </w:r>
            <w:proofErr w:type="spellEnd"/>
            <w:r w:rsidRPr="00CD6678">
              <w:rPr>
                <w:rFonts w:ascii="Arial" w:eastAsia="Times New Roman" w:hAnsi="Arial" w:cs="Arial"/>
                <w:color w:val="000000"/>
                <w:kern w:val="0"/>
                <w:sz w:val="18"/>
                <w:szCs w:val="18"/>
                <w:lang w:eastAsia="en-GB"/>
                <w14:ligatures w14:val="none"/>
              </w:rPr>
              <w:t xml:space="preserve"> &amp; </w:t>
            </w:r>
            <w:proofErr w:type="spellStart"/>
            <w:r w:rsidRPr="00CD6678">
              <w:rPr>
                <w:rFonts w:ascii="Arial" w:eastAsia="Times New Roman" w:hAnsi="Arial" w:cs="Arial"/>
                <w:color w:val="000000"/>
                <w:kern w:val="0"/>
                <w:sz w:val="18"/>
                <w:szCs w:val="18"/>
                <w:lang w:eastAsia="en-GB"/>
                <w14:ligatures w14:val="none"/>
              </w:rPr>
              <w:t>Debt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reduction</w:t>
            </w:r>
            <w:proofErr w:type="spellEnd"/>
          </w:p>
        </w:tc>
        <w:tc>
          <w:tcPr>
            <w:tcW w:w="884" w:type="pct"/>
            <w:tcBorders>
              <w:top w:val="nil"/>
              <w:left w:val="nil"/>
              <w:bottom w:val="single" w:sz="8" w:space="0" w:color="23478F"/>
              <w:right w:val="nil"/>
            </w:tcBorders>
            <w:shd w:val="clear" w:color="000000" w:fill="C6EFCE"/>
            <w:vAlign w:val="center"/>
            <w:hideMark/>
          </w:tcPr>
          <w:p w14:paraId="68CE6662"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Purchase of private land protection and afforestation</w:t>
            </w:r>
          </w:p>
        </w:tc>
        <w:tc>
          <w:tcPr>
            <w:tcW w:w="1102" w:type="pct"/>
            <w:tcBorders>
              <w:top w:val="single" w:sz="8" w:space="0" w:color="44546A"/>
              <w:left w:val="single" w:sz="8" w:space="0" w:color="44546A"/>
              <w:bottom w:val="single" w:sz="8" w:space="0" w:color="44546A"/>
              <w:right w:val="single" w:sz="8" w:space="0" w:color="44546A"/>
            </w:tcBorders>
            <w:shd w:val="clear" w:color="000000" w:fill="FCE4D6"/>
            <w:vAlign w:val="center"/>
            <w:hideMark/>
          </w:tcPr>
          <w:p w14:paraId="513AAE11"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 xml:space="preserve">A balanced blend of the other </w:t>
            </w:r>
            <w:r>
              <w:rPr>
                <w:rFonts w:ascii="Arial" w:eastAsia="Times New Roman" w:hAnsi="Arial" w:cs="Arial"/>
                <w:color w:val="000000"/>
                <w:kern w:val="0"/>
                <w:sz w:val="18"/>
                <w:szCs w:val="18"/>
                <w:lang w:val="en-GB" w:eastAsia="en-GB"/>
                <w14:ligatures w14:val="none"/>
              </w:rPr>
              <w:t>narratives</w:t>
            </w:r>
          </w:p>
        </w:tc>
      </w:tr>
      <w:tr w:rsidR="007021C0" w:rsidRPr="00BA7017" w14:paraId="76787773" w14:textId="77777777" w:rsidTr="0063109C">
        <w:trPr>
          <w:trHeight w:val="1140"/>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2803CC94"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Government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expenditures</w:t>
            </w:r>
            <w:proofErr w:type="spellEnd"/>
          </w:p>
        </w:tc>
        <w:tc>
          <w:tcPr>
            <w:tcW w:w="884" w:type="pct"/>
            <w:tcBorders>
              <w:top w:val="nil"/>
              <w:left w:val="nil"/>
              <w:bottom w:val="single" w:sz="8" w:space="0" w:color="23478F"/>
              <w:right w:val="single" w:sz="8" w:space="0" w:color="23478F"/>
            </w:tcBorders>
            <w:shd w:val="clear" w:color="000000" w:fill="C6EFCE"/>
            <w:vAlign w:val="center"/>
            <w:hideMark/>
          </w:tcPr>
          <w:p w14:paraId="34CC160B"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High </w:t>
            </w:r>
            <w:proofErr w:type="spellStart"/>
            <w:r w:rsidRPr="00CD6678">
              <w:rPr>
                <w:rFonts w:ascii="Arial" w:eastAsia="Times New Roman" w:hAnsi="Arial" w:cs="Arial"/>
                <w:color w:val="000000"/>
                <w:kern w:val="0"/>
                <w:sz w:val="18"/>
                <w:szCs w:val="18"/>
                <w:lang w:eastAsia="en-GB"/>
                <w14:ligatures w14:val="none"/>
              </w:rPr>
              <w:t>investments</w:t>
            </w:r>
            <w:proofErr w:type="spellEnd"/>
          </w:p>
        </w:tc>
        <w:tc>
          <w:tcPr>
            <w:tcW w:w="884" w:type="pct"/>
            <w:tcBorders>
              <w:top w:val="nil"/>
              <w:left w:val="nil"/>
              <w:bottom w:val="single" w:sz="8" w:space="0" w:color="23478F"/>
              <w:right w:val="single" w:sz="8" w:space="0" w:color="23478F"/>
            </w:tcBorders>
            <w:shd w:val="clear" w:color="000000" w:fill="C6EFCE"/>
            <w:vAlign w:val="center"/>
            <w:hideMark/>
          </w:tcPr>
          <w:p w14:paraId="14767A64"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High social </w:t>
            </w:r>
            <w:proofErr w:type="spellStart"/>
            <w:r w:rsidRPr="00CD6678">
              <w:rPr>
                <w:rFonts w:ascii="Arial" w:eastAsia="Times New Roman" w:hAnsi="Arial" w:cs="Arial"/>
                <w:color w:val="000000"/>
                <w:kern w:val="0"/>
                <w:sz w:val="18"/>
                <w:szCs w:val="18"/>
                <w:lang w:eastAsia="en-GB"/>
                <w14:ligatures w14:val="none"/>
              </w:rPr>
              <w:t>benefits</w:t>
            </w:r>
            <w:proofErr w:type="spellEnd"/>
          </w:p>
        </w:tc>
        <w:tc>
          <w:tcPr>
            <w:tcW w:w="884" w:type="pct"/>
            <w:tcBorders>
              <w:top w:val="nil"/>
              <w:left w:val="nil"/>
              <w:bottom w:val="single" w:sz="8" w:space="0" w:color="23478F"/>
              <w:right w:val="nil"/>
            </w:tcBorders>
            <w:shd w:val="clear" w:color="000000" w:fill="C6EFCE"/>
            <w:vAlign w:val="center"/>
            <w:hideMark/>
          </w:tcPr>
          <w:p w14:paraId="2042125E"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High </w:t>
            </w:r>
            <w:proofErr w:type="spellStart"/>
            <w:r w:rsidRPr="00CD6678">
              <w:rPr>
                <w:rFonts w:ascii="Arial" w:eastAsia="Times New Roman" w:hAnsi="Arial" w:cs="Arial"/>
                <w:color w:val="000000"/>
                <w:kern w:val="0"/>
                <w:sz w:val="18"/>
                <w:szCs w:val="18"/>
                <w:lang w:eastAsia="en-GB"/>
                <w14:ligatures w14:val="none"/>
              </w:rPr>
              <w:t>consumption</w:t>
            </w:r>
            <w:proofErr w:type="spellEnd"/>
          </w:p>
        </w:tc>
        <w:tc>
          <w:tcPr>
            <w:tcW w:w="1102" w:type="pct"/>
            <w:tcBorders>
              <w:top w:val="single" w:sz="8" w:space="0" w:color="44546A"/>
              <w:left w:val="single" w:sz="8" w:space="0" w:color="44546A"/>
              <w:bottom w:val="single" w:sz="8" w:space="0" w:color="44546A"/>
              <w:right w:val="single" w:sz="8" w:space="0" w:color="44546A"/>
            </w:tcBorders>
            <w:shd w:val="clear" w:color="000000" w:fill="FCE4D6"/>
            <w:vAlign w:val="center"/>
            <w:hideMark/>
          </w:tcPr>
          <w:p w14:paraId="21C750EE"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 xml:space="preserve">A balanced blend of the other </w:t>
            </w:r>
            <w:r>
              <w:rPr>
                <w:rFonts w:ascii="Arial" w:eastAsia="Times New Roman" w:hAnsi="Arial" w:cs="Arial"/>
                <w:color w:val="000000"/>
                <w:kern w:val="0"/>
                <w:sz w:val="18"/>
                <w:szCs w:val="18"/>
                <w:lang w:val="en-GB" w:eastAsia="en-GB"/>
                <w14:ligatures w14:val="none"/>
              </w:rPr>
              <w:t>narratives</w:t>
            </w:r>
          </w:p>
        </w:tc>
      </w:tr>
      <w:tr w:rsidR="007021C0" w:rsidRPr="00BA7017" w14:paraId="0A84EFAC" w14:textId="77777777" w:rsidTr="0063109C">
        <w:trPr>
          <w:trHeight w:val="1140"/>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068B7170"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Government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consumption</w:t>
            </w:r>
            <w:proofErr w:type="spellEnd"/>
            <w:r w:rsidRPr="00CD6678">
              <w:rPr>
                <w:rFonts w:ascii="Arial" w:eastAsia="Times New Roman" w:hAnsi="Arial" w:cs="Arial"/>
                <w:color w:val="000000"/>
                <w:kern w:val="0"/>
                <w:sz w:val="18"/>
                <w:szCs w:val="18"/>
                <w:lang w:eastAsia="en-GB"/>
                <w14:ligatures w14:val="none"/>
              </w:rPr>
              <w:t xml:space="preserve"> &amp; </w:t>
            </w:r>
            <w:proofErr w:type="spellStart"/>
            <w:r w:rsidRPr="00CD6678">
              <w:rPr>
                <w:rFonts w:ascii="Arial" w:eastAsia="Times New Roman" w:hAnsi="Arial" w:cs="Arial"/>
                <w:color w:val="000000"/>
                <w:kern w:val="0"/>
                <w:sz w:val="18"/>
                <w:szCs w:val="18"/>
                <w:lang w:eastAsia="en-GB"/>
                <w14:ligatures w14:val="none"/>
              </w:rPr>
              <w:t>investments</w:t>
            </w:r>
            <w:proofErr w:type="spellEnd"/>
          </w:p>
        </w:tc>
        <w:tc>
          <w:tcPr>
            <w:tcW w:w="884" w:type="pct"/>
            <w:tcBorders>
              <w:top w:val="nil"/>
              <w:left w:val="nil"/>
              <w:bottom w:val="single" w:sz="8" w:space="0" w:color="23478F"/>
              <w:right w:val="single" w:sz="8" w:space="0" w:color="23478F"/>
            </w:tcBorders>
            <w:shd w:val="clear" w:color="000000" w:fill="C6EFCE"/>
            <w:vAlign w:val="center"/>
            <w:hideMark/>
          </w:tcPr>
          <w:p w14:paraId="2E8B9680"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High </w:t>
            </w:r>
            <w:proofErr w:type="spellStart"/>
            <w:r w:rsidRPr="00CD6678">
              <w:rPr>
                <w:rFonts w:ascii="Arial" w:eastAsia="Times New Roman" w:hAnsi="Arial" w:cs="Arial"/>
                <w:color w:val="000000"/>
                <w:kern w:val="0"/>
                <w:sz w:val="18"/>
                <w:szCs w:val="18"/>
                <w:lang w:eastAsia="en-GB"/>
                <w14:ligatures w14:val="none"/>
              </w:rPr>
              <w:t>for</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economic</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affairs</w:t>
            </w:r>
            <w:proofErr w:type="spellEnd"/>
          </w:p>
        </w:tc>
        <w:tc>
          <w:tcPr>
            <w:tcW w:w="884" w:type="pct"/>
            <w:tcBorders>
              <w:top w:val="nil"/>
              <w:left w:val="nil"/>
              <w:bottom w:val="single" w:sz="8" w:space="0" w:color="23478F"/>
              <w:right w:val="single" w:sz="8" w:space="0" w:color="23478F"/>
            </w:tcBorders>
            <w:shd w:val="clear" w:color="000000" w:fill="C6EFCE"/>
            <w:vAlign w:val="center"/>
            <w:hideMark/>
          </w:tcPr>
          <w:p w14:paraId="3C198AE9"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High for general public services, education, social protection</w:t>
            </w:r>
          </w:p>
        </w:tc>
        <w:tc>
          <w:tcPr>
            <w:tcW w:w="884" w:type="pct"/>
            <w:tcBorders>
              <w:top w:val="nil"/>
              <w:left w:val="nil"/>
              <w:bottom w:val="single" w:sz="8" w:space="0" w:color="23478F"/>
              <w:right w:val="nil"/>
            </w:tcBorders>
            <w:shd w:val="clear" w:color="000000" w:fill="C6EFCE"/>
            <w:vAlign w:val="center"/>
            <w:hideMark/>
          </w:tcPr>
          <w:p w14:paraId="3AF2E164"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High </w:t>
            </w:r>
            <w:proofErr w:type="spellStart"/>
            <w:r w:rsidRPr="00CD6678">
              <w:rPr>
                <w:rFonts w:ascii="Arial" w:eastAsia="Times New Roman" w:hAnsi="Arial" w:cs="Arial"/>
                <w:color w:val="000000"/>
                <w:kern w:val="0"/>
                <w:sz w:val="18"/>
                <w:szCs w:val="18"/>
                <w:lang w:eastAsia="en-GB"/>
                <w14:ligatures w14:val="none"/>
              </w:rPr>
              <w:t>for</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environmental</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protection</w:t>
            </w:r>
            <w:proofErr w:type="spellEnd"/>
          </w:p>
        </w:tc>
        <w:tc>
          <w:tcPr>
            <w:tcW w:w="1102" w:type="pct"/>
            <w:tcBorders>
              <w:top w:val="nil"/>
              <w:left w:val="single" w:sz="8" w:space="0" w:color="44546A"/>
              <w:bottom w:val="single" w:sz="8" w:space="0" w:color="44546A"/>
              <w:right w:val="single" w:sz="8" w:space="0" w:color="44546A"/>
            </w:tcBorders>
            <w:shd w:val="clear" w:color="000000" w:fill="FCE4D6"/>
            <w:vAlign w:val="center"/>
            <w:hideMark/>
          </w:tcPr>
          <w:p w14:paraId="12BD7D84"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 xml:space="preserve">A balanced blend of the other </w:t>
            </w:r>
            <w:r>
              <w:rPr>
                <w:rFonts w:ascii="Arial" w:eastAsia="Times New Roman" w:hAnsi="Arial" w:cs="Arial"/>
                <w:color w:val="000000"/>
                <w:kern w:val="0"/>
                <w:sz w:val="18"/>
                <w:szCs w:val="18"/>
                <w:lang w:val="en-GB" w:eastAsia="en-GB"/>
                <w14:ligatures w14:val="none"/>
              </w:rPr>
              <w:t>narratives</w:t>
            </w:r>
          </w:p>
        </w:tc>
      </w:tr>
      <w:tr w:rsidR="007021C0" w:rsidRPr="00CD6678" w14:paraId="662528D7" w14:textId="77777777" w:rsidTr="001335E8">
        <w:trPr>
          <w:trHeight w:val="315"/>
        </w:trPr>
        <w:tc>
          <w:tcPr>
            <w:tcW w:w="5000" w:type="pct"/>
            <w:gridSpan w:val="5"/>
            <w:tcBorders>
              <w:top w:val="nil"/>
              <w:left w:val="single" w:sz="8" w:space="0" w:color="23478F"/>
              <w:bottom w:val="nil"/>
              <w:right w:val="nil"/>
            </w:tcBorders>
            <w:shd w:val="clear" w:color="000000" w:fill="6B90DB"/>
            <w:vAlign w:val="center"/>
            <w:hideMark/>
          </w:tcPr>
          <w:p w14:paraId="28EB4E3C" w14:textId="77777777" w:rsidR="007021C0" w:rsidRPr="00CD6678" w:rsidRDefault="007021C0" w:rsidP="001335E8">
            <w:pPr>
              <w:spacing w:after="0" w:line="240" w:lineRule="auto"/>
              <w:jc w:val="center"/>
              <w:rPr>
                <w:rFonts w:ascii="Arial" w:eastAsia="Times New Roman" w:hAnsi="Arial" w:cs="Arial"/>
                <w:b/>
                <w:bCs/>
                <w:color w:val="000000"/>
                <w:kern w:val="0"/>
                <w:sz w:val="18"/>
                <w:szCs w:val="18"/>
                <w:lang w:eastAsia="en-GB"/>
                <w14:ligatures w14:val="none"/>
              </w:rPr>
            </w:pPr>
            <w:r w:rsidRPr="00CD6678">
              <w:rPr>
                <w:rFonts w:ascii="Arial" w:eastAsia="Times New Roman" w:hAnsi="Arial" w:cs="Arial"/>
                <w:b/>
                <w:bCs/>
                <w:color w:val="000000"/>
                <w:kern w:val="0"/>
                <w:sz w:val="18"/>
                <w:szCs w:val="18"/>
                <w:lang w:eastAsia="en-GB"/>
                <w14:ligatures w14:val="none"/>
              </w:rPr>
              <w:t>Energy/</w:t>
            </w:r>
            <w:proofErr w:type="spellStart"/>
            <w:r w:rsidRPr="00CD6678">
              <w:rPr>
                <w:rFonts w:ascii="Arial" w:eastAsia="Times New Roman" w:hAnsi="Arial" w:cs="Arial"/>
                <w:b/>
                <w:bCs/>
                <w:color w:val="000000"/>
                <w:kern w:val="0"/>
                <w:sz w:val="18"/>
                <w:szCs w:val="18"/>
                <w:lang w:eastAsia="en-GB"/>
                <w14:ligatures w14:val="none"/>
              </w:rPr>
              <w:t>Technology</w:t>
            </w:r>
            <w:proofErr w:type="spellEnd"/>
          </w:p>
        </w:tc>
      </w:tr>
      <w:tr w:rsidR="007021C0" w:rsidRPr="00CD6678" w14:paraId="2F07E348" w14:textId="77777777" w:rsidTr="0063109C">
        <w:trPr>
          <w:trHeight w:val="285"/>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3A9CA02A"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Share </w:t>
            </w:r>
            <w:proofErr w:type="spellStart"/>
            <w:r w:rsidRPr="00CD6678">
              <w:rPr>
                <w:rFonts w:ascii="Arial" w:eastAsia="Times New Roman" w:hAnsi="Arial" w:cs="Arial"/>
                <w:color w:val="000000"/>
                <w:kern w:val="0"/>
                <w:sz w:val="18"/>
                <w:szCs w:val="18"/>
                <w:lang w:eastAsia="en-GB"/>
                <w14:ligatures w14:val="none"/>
              </w:rPr>
              <w:t>of</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renewables</w:t>
            </w:r>
            <w:proofErr w:type="spellEnd"/>
          </w:p>
        </w:tc>
        <w:tc>
          <w:tcPr>
            <w:tcW w:w="884" w:type="pct"/>
            <w:tcBorders>
              <w:top w:val="nil"/>
              <w:left w:val="nil"/>
              <w:bottom w:val="single" w:sz="8" w:space="0" w:color="23478F"/>
              <w:right w:val="single" w:sz="8" w:space="0" w:color="23478F"/>
            </w:tcBorders>
            <w:shd w:val="clear" w:color="000000" w:fill="C6EFCE"/>
            <w:vAlign w:val="center"/>
            <w:hideMark/>
          </w:tcPr>
          <w:p w14:paraId="25B93FDB"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c>
          <w:tcPr>
            <w:tcW w:w="884" w:type="pct"/>
            <w:tcBorders>
              <w:top w:val="nil"/>
              <w:left w:val="nil"/>
              <w:bottom w:val="single" w:sz="8" w:space="0" w:color="23478F"/>
              <w:right w:val="single" w:sz="8" w:space="0" w:color="23478F"/>
            </w:tcBorders>
            <w:shd w:val="clear" w:color="000000" w:fill="E6E7E8"/>
            <w:vAlign w:val="center"/>
            <w:hideMark/>
          </w:tcPr>
          <w:p w14:paraId="4ED36ACE"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884" w:type="pct"/>
            <w:tcBorders>
              <w:top w:val="nil"/>
              <w:left w:val="nil"/>
              <w:bottom w:val="single" w:sz="8" w:space="0" w:color="23478F"/>
              <w:right w:val="single" w:sz="8" w:space="0" w:color="23478F"/>
            </w:tcBorders>
            <w:shd w:val="clear" w:color="000000" w:fill="E6E7E8"/>
            <w:vAlign w:val="center"/>
            <w:hideMark/>
          </w:tcPr>
          <w:p w14:paraId="1FB54E29"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1102" w:type="pct"/>
            <w:tcBorders>
              <w:top w:val="nil"/>
              <w:left w:val="nil"/>
              <w:bottom w:val="nil"/>
              <w:right w:val="nil"/>
            </w:tcBorders>
            <w:shd w:val="clear" w:color="000000" w:fill="FCE4D6"/>
            <w:vAlign w:val="center"/>
            <w:hideMark/>
          </w:tcPr>
          <w:p w14:paraId="09842EE6"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p>
        </w:tc>
      </w:tr>
      <w:tr w:rsidR="007021C0" w:rsidRPr="00CD6678" w14:paraId="600506A9" w14:textId="77777777" w:rsidTr="0063109C">
        <w:trPr>
          <w:trHeight w:val="1320"/>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5CA6FDB2"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Energy Efficiency Improvement in all production sectors</w:t>
            </w:r>
          </w:p>
        </w:tc>
        <w:tc>
          <w:tcPr>
            <w:tcW w:w="884" w:type="pct"/>
            <w:tcBorders>
              <w:top w:val="nil"/>
              <w:left w:val="nil"/>
              <w:bottom w:val="single" w:sz="8" w:space="0" w:color="23478F"/>
              <w:right w:val="single" w:sz="8" w:space="0" w:color="23478F"/>
            </w:tcBorders>
            <w:shd w:val="clear" w:color="000000" w:fill="C6EFCE"/>
            <w:vAlign w:val="center"/>
            <w:hideMark/>
          </w:tcPr>
          <w:p w14:paraId="0D5F8CE1"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c>
          <w:tcPr>
            <w:tcW w:w="884" w:type="pct"/>
            <w:tcBorders>
              <w:top w:val="nil"/>
              <w:left w:val="nil"/>
              <w:bottom w:val="single" w:sz="8" w:space="0" w:color="23478F"/>
              <w:right w:val="single" w:sz="8" w:space="0" w:color="23478F"/>
            </w:tcBorders>
            <w:shd w:val="clear" w:color="000000" w:fill="BFCFEF"/>
            <w:vAlign w:val="center"/>
            <w:hideMark/>
          </w:tcPr>
          <w:p w14:paraId="25AC46D7"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884" w:type="pct"/>
            <w:tcBorders>
              <w:top w:val="nil"/>
              <w:left w:val="nil"/>
              <w:bottom w:val="single" w:sz="8" w:space="0" w:color="23478F"/>
              <w:right w:val="single" w:sz="8" w:space="0" w:color="23478F"/>
            </w:tcBorders>
            <w:shd w:val="clear" w:color="000000" w:fill="BFCFEF"/>
            <w:vAlign w:val="center"/>
            <w:hideMark/>
          </w:tcPr>
          <w:p w14:paraId="5D267B4C"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1102" w:type="pct"/>
            <w:tcBorders>
              <w:top w:val="nil"/>
              <w:left w:val="nil"/>
              <w:bottom w:val="nil"/>
              <w:right w:val="nil"/>
            </w:tcBorders>
            <w:shd w:val="clear" w:color="000000" w:fill="FCE4D6"/>
            <w:vAlign w:val="center"/>
            <w:hideMark/>
          </w:tcPr>
          <w:p w14:paraId="2855009B"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p>
        </w:tc>
      </w:tr>
      <w:tr w:rsidR="007021C0" w:rsidRPr="00CD6678" w14:paraId="61D7C427" w14:textId="77777777" w:rsidTr="0063109C">
        <w:trPr>
          <w:trHeight w:val="1065"/>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3BDD5EC1"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lastRenderedPageBreak/>
              <w:t>Technology improvement in passenger transport</w:t>
            </w:r>
          </w:p>
        </w:tc>
        <w:tc>
          <w:tcPr>
            <w:tcW w:w="884" w:type="pct"/>
            <w:tcBorders>
              <w:top w:val="nil"/>
              <w:left w:val="nil"/>
              <w:bottom w:val="single" w:sz="8" w:space="0" w:color="23478F"/>
              <w:right w:val="single" w:sz="8" w:space="0" w:color="23478F"/>
            </w:tcBorders>
            <w:shd w:val="clear" w:color="000000" w:fill="C6EFCE"/>
            <w:vAlign w:val="center"/>
            <w:hideMark/>
          </w:tcPr>
          <w:p w14:paraId="3688F864"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c>
          <w:tcPr>
            <w:tcW w:w="884" w:type="pct"/>
            <w:tcBorders>
              <w:top w:val="nil"/>
              <w:left w:val="nil"/>
              <w:bottom w:val="single" w:sz="8" w:space="0" w:color="23478F"/>
              <w:right w:val="single" w:sz="8" w:space="0" w:color="23478F"/>
            </w:tcBorders>
            <w:shd w:val="clear" w:color="000000" w:fill="BFCFEF"/>
            <w:vAlign w:val="center"/>
            <w:hideMark/>
          </w:tcPr>
          <w:p w14:paraId="3FADEBD8"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884" w:type="pct"/>
            <w:tcBorders>
              <w:top w:val="nil"/>
              <w:left w:val="nil"/>
              <w:bottom w:val="single" w:sz="8" w:space="0" w:color="23478F"/>
              <w:right w:val="single" w:sz="8" w:space="0" w:color="23478F"/>
            </w:tcBorders>
            <w:shd w:val="clear" w:color="000000" w:fill="BFCFEF"/>
            <w:vAlign w:val="center"/>
            <w:hideMark/>
          </w:tcPr>
          <w:p w14:paraId="0E3D9D4E"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1102" w:type="pct"/>
            <w:tcBorders>
              <w:top w:val="nil"/>
              <w:left w:val="nil"/>
              <w:bottom w:val="nil"/>
              <w:right w:val="nil"/>
            </w:tcBorders>
            <w:shd w:val="clear" w:color="000000" w:fill="FCE4D6"/>
            <w:vAlign w:val="center"/>
            <w:hideMark/>
          </w:tcPr>
          <w:p w14:paraId="6CC87906"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p>
        </w:tc>
      </w:tr>
      <w:tr w:rsidR="007021C0" w:rsidRPr="00CD6678" w14:paraId="6B56A7D7" w14:textId="77777777" w:rsidTr="0063109C">
        <w:trPr>
          <w:trHeight w:val="675"/>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2D8CF871"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Electrification</w:t>
            </w:r>
            <w:proofErr w:type="spellEnd"/>
          </w:p>
        </w:tc>
        <w:tc>
          <w:tcPr>
            <w:tcW w:w="884" w:type="pct"/>
            <w:tcBorders>
              <w:top w:val="nil"/>
              <w:left w:val="nil"/>
              <w:bottom w:val="single" w:sz="8" w:space="0" w:color="23478F"/>
              <w:right w:val="single" w:sz="8" w:space="0" w:color="23478F"/>
            </w:tcBorders>
            <w:shd w:val="clear" w:color="000000" w:fill="C6EFCE"/>
            <w:vAlign w:val="center"/>
            <w:hideMark/>
          </w:tcPr>
          <w:p w14:paraId="1423CC96"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c>
          <w:tcPr>
            <w:tcW w:w="884" w:type="pct"/>
            <w:tcBorders>
              <w:top w:val="nil"/>
              <w:left w:val="nil"/>
              <w:bottom w:val="single" w:sz="8" w:space="0" w:color="23478F"/>
              <w:right w:val="single" w:sz="8" w:space="0" w:color="23478F"/>
            </w:tcBorders>
            <w:shd w:val="clear" w:color="000000" w:fill="BFCFEF"/>
            <w:vAlign w:val="center"/>
            <w:hideMark/>
          </w:tcPr>
          <w:p w14:paraId="3C6C5F8C"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884" w:type="pct"/>
            <w:tcBorders>
              <w:top w:val="nil"/>
              <w:left w:val="nil"/>
              <w:bottom w:val="single" w:sz="8" w:space="0" w:color="23478F"/>
              <w:right w:val="single" w:sz="8" w:space="0" w:color="23478F"/>
            </w:tcBorders>
            <w:shd w:val="clear" w:color="000000" w:fill="BFCFEF"/>
            <w:vAlign w:val="center"/>
            <w:hideMark/>
          </w:tcPr>
          <w:p w14:paraId="249A5B86"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1102" w:type="pct"/>
            <w:tcBorders>
              <w:top w:val="nil"/>
              <w:left w:val="nil"/>
              <w:bottom w:val="nil"/>
              <w:right w:val="nil"/>
            </w:tcBorders>
            <w:shd w:val="clear" w:color="000000" w:fill="FCE4D6"/>
            <w:vAlign w:val="center"/>
            <w:hideMark/>
          </w:tcPr>
          <w:p w14:paraId="50B5D91A"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p>
        </w:tc>
      </w:tr>
      <w:tr w:rsidR="007021C0" w:rsidRPr="00CD6678" w14:paraId="3BC4E343" w14:textId="77777777" w:rsidTr="0063109C">
        <w:trPr>
          <w:trHeight w:val="1590"/>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7671C46F"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Hydrogen</w:t>
            </w:r>
            <w:proofErr w:type="spellEnd"/>
          </w:p>
        </w:tc>
        <w:tc>
          <w:tcPr>
            <w:tcW w:w="884" w:type="pct"/>
            <w:tcBorders>
              <w:top w:val="nil"/>
              <w:left w:val="nil"/>
              <w:bottom w:val="single" w:sz="8" w:space="0" w:color="23478F"/>
              <w:right w:val="single" w:sz="8" w:space="0" w:color="23478F"/>
            </w:tcBorders>
            <w:shd w:val="clear" w:color="000000" w:fill="C6EFCE"/>
            <w:vAlign w:val="center"/>
            <w:hideMark/>
          </w:tcPr>
          <w:p w14:paraId="0589D4BB"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c>
          <w:tcPr>
            <w:tcW w:w="884" w:type="pct"/>
            <w:tcBorders>
              <w:top w:val="nil"/>
              <w:left w:val="nil"/>
              <w:bottom w:val="single" w:sz="8" w:space="0" w:color="23478F"/>
              <w:right w:val="single" w:sz="8" w:space="0" w:color="23478F"/>
            </w:tcBorders>
            <w:shd w:val="clear" w:color="000000" w:fill="BFCFEF"/>
            <w:vAlign w:val="center"/>
            <w:hideMark/>
          </w:tcPr>
          <w:p w14:paraId="13B2CDE6"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884" w:type="pct"/>
            <w:tcBorders>
              <w:top w:val="nil"/>
              <w:left w:val="nil"/>
              <w:bottom w:val="single" w:sz="8" w:space="0" w:color="23478F"/>
              <w:right w:val="single" w:sz="8" w:space="0" w:color="23478F"/>
            </w:tcBorders>
            <w:shd w:val="clear" w:color="000000" w:fill="BFCFEF"/>
            <w:vAlign w:val="center"/>
            <w:hideMark/>
          </w:tcPr>
          <w:p w14:paraId="4D919A5D"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1102" w:type="pct"/>
            <w:tcBorders>
              <w:top w:val="nil"/>
              <w:left w:val="nil"/>
              <w:bottom w:val="nil"/>
              <w:right w:val="nil"/>
            </w:tcBorders>
            <w:shd w:val="clear" w:color="000000" w:fill="FCE4D6"/>
            <w:vAlign w:val="center"/>
            <w:hideMark/>
          </w:tcPr>
          <w:p w14:paraId="65DBC942"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p>
        </w:tc>
      </w:tr>
      <w:tr w:rsidR="007021C0" w:rsidRPr="00CD6678" w14:paraId="3F484B6D" w14:textId="77777777" w:rsidTr="0063109C">
        <w:trPr>
          <w:trHeight w:val="450"/>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0B4F459A"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Use </w:t>
            </w:r>
            <w:proofErr w:type="spellStart"/>
            <w:r w:rsidRPr="00CD6678">
              <w:rPr>
                <w:rFonts w:ascii="Arial" w:eastAsia="Times New Roman" w:hAnsi="Arial" w:cs="Arial"/>
                <w:color w:val="000000"/>
                <w:kern w:val="0"/>
                <w:sz w:val="18"/>
                <w:szCs w:val="18"/>
                <w:lang w:eastAsia="en-GB"/>
                <w14:ligatures w14:val="none"/>
              </w:rPr>
              <w:t>of</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immature</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technologies</w:t>
            </w:r>
            <w:proofErr w:type="spellEnd"/>
          </w:p>
        </w:tc>
        <w:tc>
          <w:tcPr>
            <w:tcW w:w="884" w:type="pct"/>
            <w:tcBorders>
              <w:top w:val="nil"/>
              <w:left w:val="nil"/>
              <w:bottom w:val="single" w:sz="8" w:space="0" w:color="23478F"/>
              <w:right w:val="single" w:sz="8" w:space="0" w:color="23478F"/>
            </w:tcBorders>
            <w:shd w:val="clear" w:color="000000" w:fill="C6EFCE"/>
            <w:vAlign w:val="center"/>
            <w:hideMark/>
          </w:tcPr>
          <w:p w14:paraId="7B2DEAA0"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Electrolysers, CCS, oceanic, wind offshore floating</w:t>
            </w:r>
          </w:p>
        </w:tc>
        <w:tc>
          <w:tcPr>
            <w:tcW w:w="884" w:type="pct"/>
            <w:tcBorders>
              <w:top w:val="nil"/>
              <w:left w:val="nil"/>
              <w:bottom w:val="single" w:sz="8" w:space="0" w:color="23478F"/>
              <w:right w:val="single" w:sz="8" w:space="0" w:color="23478F"/>
            </w:tcBorders>
            <w:shd w:val="clear" w:color="000000" w:fill="BFCFEF"/>
            <w:vAlign w:val="center"/>
            <w:hideMark/>
          </w:tcPr>
          <w:p w14:paraId="2B8EF97B"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Only</w:t>
            </w:r>
            <w:proofErr w:type="spellEnd"/>
            <w:r w:rsidRPr="00CD6678">
              <w:rPr>
                <w:rFonts w:ascii="Arial" w:eastAsia="Times New Roman" w:hAnsi="Arial" w:cs="Arial"/>
                <w:color w:val="000000"/>
                <w:kern w:val="0"/>
                <w:sz w:val="18"/>
                <w:szCs w:val="18"/>
                <w:lang w:eastAsia="en-GB"/>
                <w14:ligatures w14:val="none"/>
              </w:rPr>
              <w:t xml:space="preserve"> electrolysers</w:t>
            </w:r>
          </w:p>
        </w:tc>
        <w:tc>
          <w:tcPr>
            <w:tcW w:w="884" w:type="pct"/>
            <w:tcBorders>
              <w:top w:val="nil"/>
              <w:left w:val="nil"/>
              <w:bottom w:val="single" w:sz="8" w:space="0" w:color="23478F"/>
              <w:right w:val="single" w:sz="8" w:space="0" w:color="23478F"/>
            </w:tcBorders>
            <w:shd w:val="clear" w:color="000000" w:fill="BFCFEF"/>
            <w:vAlign w:val="center"/>
            <w:hideMark/>
          </w:tcPr>
          <w:p w14:paraId="2705B92E"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Only</w:t>
            </w:r>
            <w:proofErr w:type="spellEnd"/>
            <w:r w:rsidRPr="00CD6678">
              <w:rPr>
                <w:rFonts w:ascii="Arial" w:eastAsia="Times New Roman" w:hAnsi="Arial" w:cs="Arial"/>
                <w:color w:val="000000"/>
                <w:kern w:val="0"/>
                <w:sz w:val="18"/>
                <w:szCs w:val="18"/>
                <w:lang w:eastAsia="en-GB"/>
                <w14:ligatures w14:val="none"/>
              </w:rPr>
              <w:t xml:space="preserve"> electrolysers</w:t>
            </w:r>
          </w:p>
        </w:tc>
        <w:tc>
          <w:tcPr>
            <w:tcW w:w="1102" w:type="pct"/>
            <w:tcBorders>
              <w:top w:val="nil"/>
              <w:left w:val="nil"/>
              <w:bottom w:val="nil"/>
              <w:right w:val="nil"/>
            </w:tcBorders>
            <w:shd w:val="clear" w:color="000000" w:fill="FCE4D6"/>
            <w:vAlign w:val="center"/>
            <w:hideMark/>
          </w:tcPr>
          <w:p w14:paraId="219DD6DB"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Only</w:t>
            </w:r>
            <w:proofErr w:type="spellEnd"/>
            <w:r w:rsidRPr="00CD6678">
              <w:rPr>
                <w:rFonts w:ascii="Arial" w:eastAsia="Times New Roman" w:hAnsi="Arial" w:cs="Arial"/>
                <w:color w:val="000000"/>
                <w:kern w:val="0"/>
                <w:sz w:val="18"/>
                <w:szCs w:val="18"/>
                <w:lang w:eastAsia="en-GB"/>
                <w14:ligatures w14:val="none"/>
              </w:rPr>
              <w:t xml:space="preserve"> electrolysers</w:t>
            </w:r>
          </w:p>
        </w:tc>
      </w:tr>
      <w:tr w:rsidR="007021C0" w:rsidRPr="00CD6678" w14:paraId="6919F56C" w14:textId="77777777" w:rsidTr="0063109C">
        <w:trPr>
          <w:trHeight w:val="900"/>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53827375"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Ban fossil fuels in the power system</w:t>
            </w:r>
          </w:p>
        </w:tc>
        <w:tc>
          <w:tcPr>
            <w:tcW w:w="884" w:type="pct"/>
            <w:tcBorders>
              <w:top w:val="nil"/>
              <w:left w:val="nil"/>
              <w:bottom w:val="single" w:sz="8" w:space="0" w:color="23478F"/>
              <w:right w:val="single" w:sz="8" w:space="0" w:color="23478F"/>
            </w:tcBorders>
            <w:shd w:val="clear" w:color="000000" w:fill="C6EFCE"/>
            <w:vAlign w:val="center"/>
            <w:hideMark/>
          </w:tcPr>
          <w:p w14:paraId="4E9427B2"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Yes</w:t>
            </w:r>
          </w:p>
        </w:tc>
        <w:tc>
          <w:tcPr>
            <w:tcW w:w="884" w:type="pct"/>
            <w:tcBorders>
              <w:top w:val="nil"/>
              <w:left w:val="nil"/>
              <w:bottom w:val="single" w:sz="8" w:space="0" w:color="23478F"/>
              <w:right w:val="single" w:sz="8" w:space="0" w:color="23478F"/>
            </w:tcBorders>
            <w:shd w:val="clear" w:color="000000" w:fill="BFCFEF"/>
            <w:vAlign w:val="center"/>
            <w:hideMark/>
          </w:tcPr>
          <w:p w14:paraId="24C3A97D"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No</w:t>
            </w:r>
          </w:p>
        </w:tc>
        <w:tc>
          <w:tcPr>
            <w:tcW w:w="884" w:type="pct"/>
            <w:tcBorders>
              <w:top w:val="nil"/>
              <w:left w:val="nil"/>
              <w:bottom w:val="single" w:sz="8" w:space="0" w:color="23478F"/>
              <w:right w:val="single" w:sz="8" w:space="0" w:color="23478F"/>
            </w:tcBorders>
            <w:shd w:val="clear" w:color="000000" w:fill="BFCFEF"/>
            <w:vAlign w:val="center"/>
            <w:hideMark/>
          </w:tcPr>
          <w:p w14:paraId="0149E161"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No</w:t>
            </w:r>
          </w:p>
        </w:tc>
        <w:tc>
          <w:tcPr>
            <w:tcW w:w="1102" w:type="pct"/>
            <w:tcBorders>
              <w:top w:val="nil"/>
              <w:left w:val="nil"/>
              <w:bottom w:val="nil"/>
              <w:right w:val="nil"/>
            </w:tcBorders>
            <w:shd w:val="clear" w:color="000000" w:fill="FCE4D6"/>
            <w:vAlign w:val="center"/>
            <w:hideMark/>
          </w:tcPr>
          <w:p w14:paraId="0A57E5DD"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Yes</w:t>
            </w:r>
          </w:p>
        </w:tc>
      </w:tr>
      <w:tr w:rsidR="007021C0" w:rsidRPr="00CD6678" w14:paraId="367DD440" w14:textId="77777777" w:rsidTr="0063109C">
        <w:trPr>
          <w:trHeight w:val="645"/>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23E92709"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proofErr w:type="spellStart"/>
            <w:r w:rsidRPr="00973049">
              <w:rPr>
                <w:rFonts w:ascii="Arial" w:eastAsia="Times New Roman" w:hAnsi="Arial" w:cs="Arial"/>
                <w:color w:val="000000"/>
                <w:kern w:val="0"/>
                <w:sz w:val="18"/>
                <w:szCs w:val="18"/>
                <w:lang w:val="en-GB" w:eastAsia="en-GB"/>
                <w14:ligatures w14:val="none"/>
              </w:rPr>
              <w:t>Innvestment</w:t>
            </w:r>
            <w:proofErr w:type="spellEnd"/>
            <w:r w:rsidRPr="00973049">
              <w:rPr>
                <w:rFonts w:ascii="Arial" w:eastAsia="Times New Roman" w:hAnsi="Arial" w:cs="Arial"/>
                <w:color w:val="000000"/>
                <w:kern w:val="0"/>
                <w:sz w:val="18"/>
                <w:szCs w:val="18"/>
                <w:lang w:val="en-GB" w:eastAsia="en-GB"/>
                <w14:ligatures w14:val="none"/>
              </w:rPr>
              <w:t xml:space="preserve"> costs for newly installed energy capacities</w:t>
            </w:r>
          </w:p>
        </w:tc>
        <w:tc>
          <w:tcPr>
            <w:tcW w:w="884" w:type="pct"/>
            <w:tcBorders>
              <w:top w:val="nil"/>
              <w:left w:val="nil"/>
              <w:bottom w:val="single" w:sz="8" w:space="0" w:color="23478F"/>
              <w:right w:val="single" w:sz="8" w:space="0" w:color="23478F"/>
            </w:tcBorders>
            <w:shd w:val="clear" w:color="000000" w:fill="C6EFCE"/>
            <w:vAlign w:val="center"/>
            <w:hideMark/>
          </w:tcPr>
          <w:p w14:paraId="428B4A8D"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c>
          <w:tcPr>
            <w:tcW w:w="884" w:type="pct"/>
            <w:tcBorders>
              <w:top w:val="nil"/>
              <w:left w:val="nil"/>
              <w:bottom w:val="single" w:sz="8" w:space="0" w:color="23478F"/>
              <w:right w:val="single" w:sz="8" w:space="0" w:color="23478F"/>
            </w:tcBorders>
            <w:shd w:val="clear" w:color="000000" w:fill="BFCFEF"/>
            <w:vAlign w:val="center"/>
            <w:hideMark/>
          </w:tcPr>
          <w:p w14:paraId="74B7EB98"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884" w:type="pct"/>
            <w:tcBorders>
              <w:top w:val="nil"/>
              <w:left w:val="nil"/>
              <w:bottom w:val="single" w:sz="8" w:space="0" w:color="23478F"/>
              <w:right w:val="single" w:sz="8" w:space="0" w:color="23478F"/>
            </w:tcBorders>
            <w:shd w:val="clear" w:color="000000" w:fill="BFCFEF"/>
            <w:vAlign w:val="center"/>
            <w:hideMark/>
          </w:tcPr>
          <w:p w14:paraId="4ED62765"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1102" w:type="pct"/>
            <w:tcBorders>
              <w:top w:val="nil"/>
              <w:left w:val="nil"/>
              <w:bottom w:val="nil"/>
              <w:right w:val="nil"/>
            </w:tcBorders>
            <w:shd w:val="clear" w:color="000000" w:fill="FCE4D6"/>
            <w:vAlign w:val="center"/>
            <w:hideMark/>
          </w:tcPr>
          <w:p w14:paraId="08B22D3B"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p>
        </w:tc>
      </w:tr>
      <w:tr w:rsidR="007021C0" w:rsidRPr="00CD6678" w14:paraId="5F67B9B7" w14:textId="77777777" w:rsidTr="0063109C">
        <w:trPr>
          <w:trHeight w:val="675"/>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14446E59"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Improvement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recycling</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rates</w:t>
            </w:r>
            <w:proofErr w:type="spellEnd"/>
          </w:p>
        </w:tc>
        <w:tc>
          <w:tcPr>
            <w:tcW w:w="884" w:type="pct"/>
            <w:tcBorders>
              <w:top w:val="nil"/>
              <w:left w:val="nil"/>
              <w:bottom w:val="single" w:sz="8" w:space="0" w:color="23478F"/>
              <w:right w:val="single" w:sz="8" w:space="0" w:color="23478F"/>
            </w:tcBorders>
            <w:shd w:val="clear" w:color="000000" w:fill="C6EFCE"/>
            <w:vAlign w:val="center"/>
            <w:hideMark/>
          </w:tcPr>
          <w:p w14:paraId="204A10AB"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c>
          <w:tcPr>
            <w:tcW w:w="884" w:type="pct"/>
            <w:tcBorders>
              <w:top w:val="nil"/>
              <w:left w:val="nil"/>
              <w:bottom w:val="single" w:sz="8" w:space="0" w:color="23478F"/>
              <w:right w:val="single" w:sz="8" w:space="0" w:color="23478F"/>
            </w:tcBorders>
            <w:shd w:val="clear" w:color="000000" w:fill="BFCFEF"/>
            <w:vAlign w:val="center"/>
            <w:hideMark/>
          </w:tcPr>
          <w:p w14:paraId="546E3CC6"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884" w:type="pct"/>
            <w:tcBorders>
              <w:top w:val="nil"/>
              <w:left w:val="nil"/>
              <w:bottom w:val="single" w:sz="8" w:space="0" w:color="23478F"/>
              <w:right w:val="single" w:sz="8" w:space="0" w:color="23478F"/>
            </w:tcBorders>
            <w:shd w:val="clear" w:color="000000" w:fill="BFCFEF"/>
            <w:vAlign w:val="center"/>
            <w:hideMark/>
          </w:tcPr>
          <w:p w14:paraId="241E4ACD"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1102" w:type="pct"/>
            <w:tcBorders>
              <w:top w:val="nil"/>
              <w:left w:val="nil"/>
              <w:bottom w:val="nil"/>
              <w:right w:val="nil"/>
            </w:tcBorders>
            <w:shd w:val="clear" w:color="000000" w:fill="FCE4D6"/>
            <w:vAlign w:val="center"/>
            <w:hideMark/>
          </w:tcPr>
          <w:p w14:paraId="39287044"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p>
        </w:tc>
      </w:tr>
      <w:tr w:rsidR="007021C0" w:rsidRPr="00CD6678" w14:paraId="7AAD1636" w14:textId="77777777" w:rsidTr="001335E8">
        <w:trPr>
          <w:trHeight w:val="285"/>
        </w:trPr>
        <w:tc>
          <w:tcPr>
            <w:tcW w:w="5000" w:type="pct"/>
            <w:gridSpan w:val="5"/>
            <w:tcBorders>
              <w:top w:val="nil"/>
              <w:left w:val="single" w:sz="8" w:space="0" w:color="23478F"/>
              <w:bottom w:val="nil"/>
              <w:right w:val="nil"/>
            </w:tcBorders>
            <w:shd w:val="clear" w:color="000000" w:fill="6B90DB"/>
            <w:vAlign w:val="center"/>
            <w:hideMark/>
          </w:tcPr>
          <w:p w14:paraId="294C9998" w14:textId="77777777" w:rsidR="007021C0" w:rsidRPr="00CD6678" w:rsidRDefault="007021C0" w:rsidP="001335E8">
            <w:pPr>
              <w:spacing w:after="0" w:line="240" w:lineRule="auto"/>
              <w:jc w:val="center"/>
              <w:rPr>
                <w:rFonts w:ascii="Arial" w:eastAsia="Times New Roman" w:hAnsi="Arial" w:cs="Arial"/>
                <w:b/>
                <w:bCs/>
                <w:color w:val="000000"/>
                <w:kern w:val="0"/>
                <w:sz w:val="18"/>
                <w:szCs w:val="18"/>
                <w:lang w:eastAsia="en-GB"/>
                <w14:ligatures w14:val="none"/>
              </w:rPr>
            </w:pPr>
            <w:proofErr w:type="spellStart"/>
            <w:r w:rsidRPr="00CD6678">
              <w:rPr>
                <w:rFonts w:ascii="Arial" w:eastAsia="Times New Roman" w:hAnsi="Arial" w:cs="Arial"/>
                <w:b/>
                <w:bCs/>
                <w:color w:val="000000"/>
                <w:kern w:val="0"/>
                <w:sz w:val="18"/>
                <w:szCs w:val="18"/>
                <w:lang w:eastAsia="en-GB"/>
                <w14:ligatures w14:val="none"/>
              </w:rPr>
              <w:t>Land</w:t>
            </w:r>
            <w:proofErr w:type="spellEnd"/>
            <w:r w:rsidRPr="00CD6678">
              <w:rPr>
                <w:rFonts w:ascii="Arial" w:eastAsia="Times New Roman" w:hAnsi="Arial" w:cs="Arial"/>
                <w:b/>
                <w:bCs/>
                <w:color w:val="000000"/>
                <w:kern w:val="0"/>
                <w:sz w:val="18"/>
                <w:szCs w:val="18"/>
                <w:lang w:eastAsia="en-GB"/>
                <w14:ligatures w14:val="none"/>
              </w:rPr>
              <w:t xml:space="preserve"> use/</w:t>
            </w:r>
            <w:proofErr w:type="spellStart"/>
            <w:r w:rsidRPr="00CD6678">
              <w:rPr>
                <w:rFonts w:ascii="Arial" w:eastAsia="Times New Roman" w:hAnsi="Arial" w:cs="Arial"/>
                <w:b/>
                <w:bCs/>
                <w:color w:val="000000"/>
                <w:kern w:val="0"/>
                <w:sz w:val="18"/>
                <w:szCs w:val="18"/>
                <w:lang w:eastAsia="en-GB"/>
                <w14:ligatures w14:val="none"/>
              </w:rPr>
              <w:t>agriculture</w:t>
            </w:r>
            <w:proofErr w:type="spellEnd"/>
            <w:r w:rsidRPr="00CD6678">
              <w:rPr>
                <w:rFonts w:ascii="Arial" w:eastAsia="Times New Roman" w:hAnsi="Arial" w:cs="Arial"/>
                <w:b/>
                <w:bCs/>
                <w:color w:val="000000"/>
                <w:kern w:val="0"/>
                <w:sz w:val="18"/>
                <w:szCs w:val="18"/>
                <w:lang w:eastAsia="en-GB"/>
                <w14:ligatures w14:val="none"/>
              </w:rPr>
              <w:t>/</w:t>
            </w:r>
            <w:proofErr w:type="spellStart"/>
            <w:r w:rsidRPr="00CD6678">
              <w:rPr>
                <w:rFonts w:ascii="Arial" w:eastAsia="Times New Roman" w:hAnsi="Arial" w:cs="Arial"/>
                <w:b/>
                <w:bCs/>
                <w:color w:val="000000"/>
                <w:kern w:val="0"/>
                <w:sz w:val="18"/>
                <w:szCs w:val="18"/>
                <w:lang w:eastAsia="en-GB"/>
                <w14:ligatures w14:val="none"/>
              </w:rPr>
              <w:t>forestry</w:t>
            </w:r>
            <w:proofErr w:type="spellEnd"/>
          </w:p>
        </w:tc>
      </w:tr>
      <w:tr w:rsidR="007021C0" w:rsidRPr="00CD6678" w14:paraId="1DA25570" w14:textId="77777777" w:rsidTr="0063109C">
        <w:trPr>
          <w:trHeight w:val="645"/>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5D3A0615"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Afforestation</w:t>
            </w:r>
            <w:proofErr w:type="spellEnd"/>
            <w:r w:rsidRPr="00CD6678">
              <w:rPr>
                <w:rFonts w:ascii="Arial" w:eastAsia="Times New Roman" w:hAnsi="Arial" w:cs="Arial"/>
                <w:color w:val="000000"/>
                <w:kern w:val="0"/>
                <w:sz w:val="18"/>
                <w:szCs w:val="18"/>
                <w:lang w:eastAsia="en-GB"/>
                <w14:ligatures w14:val="none"/>
              </w:rPr>
              <w:t xml:space="preserve">/New </w:t>
            </w:r>
            <w:proofErr w:type="spellStart"/>
            <w:r w:rsidRPr="00CD6678">
              <w:rPr>
                <w:rFonts w:ascii="Arial" w:eastAsia="Times New Roman" w:hAnsi="Arial" w:cs="Arial"/>
                <w:color w:val="000000"/>
                <w:kern w:val="0"/>
                <w:sz w:val="18"/>
                <w:szCs w:val="18"/>
                <w:lang w:eastAsia="en-GB"/>
                <w14:ligatures w14:val="none"/>
              </w:rPr>
              <w:t>plantations</w:t>
            </w:r>
            <w:proofErr w:type="spellEnd"/>
          </w:p>
        </w:tc>
        <w:tc>
          <w:tcPr>
            <w:tcW w:w="884" w:type="pct"/>
            <w:tcBorders>
              <w:top w:val="nil"/>
              <w:left w:val="nil"/>
              <w:bottom w:val="single" w:sz="8" w:space="0" w:color="23478F"/>
              <w:right w:val="single" w:sz="8" w:space="0" w:color="23478F"/>
            </w:tcBorders>
            <w:shd w:val="clear" w:color="000000" w:fill="BFCFEF"/>
            <w:vAlign w:val="center"/>
            <w:hideMark/>
          </w:tcPr>
          <w:p w14:paraId="16084632" w14:textId="77777777" w:rsidR="007021C0" w:rsidRPr="00CD6678" w:rsidRDefault="007021C0" w:rsidP="001335E8">
            <w:pPr>
              <w:spacing w:after="0" w:line="240" w:lineRule="auto"/>
              <w:jc w:val="center"/>
              <w:rPr>
                <w:rFonts w:ascii="Arial" w:eastAsia="Times New Roman" w:hAnsi="Arial" w:cs="Arial"/>
                <w:kern w:val="0"/>
                <w:sz w:val="18"/>
                <w:szCs w:val="18"/>
                <w:lang w:eastAsia="en-GB"/>
                <w14:ligatures w14:val="none"/>
              </w:rPr>
            </w:pPr>
            <w:r w:rsidRPr="00CD6678">
              <w:rPr>
                <w:rFonts w:ascii="Arial" w:eastAsia="Times New Roman" w:hAnsi="Arial" w:cs="Arial"/>
                <w:kern w:val="0"/>
                <w:sz w:val="18"/>
                <w:szCs w:val="18"/>
                <w:lang w:eastAsia="en-GB"/>
                <w14:ligatures w14:val="none"/>
              </w:rPr>
              <w:t>No</w:t>
            </w:r>
          </w:p>
        </w:tc>
        <w:tc>
          <w:tcPr>
            <w:tcW w:w="884" w:type="pct"/>
            <w:tcBorders>
              <w:top w:val="nil"/>
              <w:left w:val="nil"/>
              <w:bottom w:val="single" w:sz="8" w:space="0" w:color="23478F"/>
              <w:right w:val="single" w:sz="8" w:space="0" w:color="23478F"/>
            </w:tcBorders>
            <w:shd w:val="clear" w:color="000000" w:fill="BFCFEF"/>
            <w:vAlign w:val="center"/>
            <w:hideMark/>
          </w:tcPr>
          <w:p w14:paraId="5679BB96" w14:textId="77777777" w:rsidR="007021C0" w:rsidRPr="00CD6678" w:rsidRDefault="007021C0" w:rsidP="001335E8">
            <w:pPr>
              <w:spacing w:after="0" w:line="240" w:lineRule="auto"/>
              <w:jc w:val="center"/>
              <w:rPr>
                <w:rFonts w:ascii="Arial" w:eastAsia="Times New Roman" w:hAnsi="Arial" w:cs="Arial"/>
                <w:kern w:val="0"/>
                <w:sz w:val="18"/>
                <w:szCs w:val="18"/>
                <w:lang w:eastAsia="en-GB"/>
                <w14:ligatures w14:val="none"/>
              </w:rPr>
            </w:pPr>
            <w:r w:rsidRPr="00CD6678">
              <w:rPr>
                <w:rFonts w:ascii="Arial" w:eastAsia="Times New Roman" w:hAnsi="Arial" w:cs="Arial"/>
                <w:kern w:val="0"/>
                <w:sz w:val="18"/>
                <w:szCs w:val="18"/>
                <w:lang w:eastAsia="en-GB"/>
                <w14:ligatures w14:val="none"/>
              </w:rPr>
              <w:t>No</w:t>
            </w:r>
          </w:p>
        </w:tc>
        <w:tc>
          <w:tcPr>
            <w:tcW w:w="884" w:type="pct"/>
            <w:tcBorders>
              <w:top w:val="nil"/>
              <w:left w:val="nil"/>
              <w:bottom w:val="single" w:sz="8" w:space="0" w:color="23478F"/>
              <w:right w:val="single" w:sz="8" w:space="0" w:color="23478F"/>
            </w:tcBorders>
            <w:shd w:val="clear" w:color="000000" w:fill="C6EFCE"/>
            <w:vAlign w:val="center"/>
            <w:hideMark/>
          </w:tcPr>
          <w:p w14:paraId="171E5804"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c>
          <w:tcPr>
            <w:tcW w:w="1102" w:type="pct"/>
            <w:tcBorders>
              <w:top w:val="nil"/>
              <w:left w:val="nil"/>
              <w:bottom w:val="nil"/>
              <w:right w:val="nil"/>
            </w:tcBorders>
            <w:shd w:val="clear" w:color="000000" w:fill="FCE4D6"/>
            <w:vAlign w:val="center"/>
            <w:hideMark/>
          </w:tcPr>
          <w:p w14:paraId="022341DC"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p>
        </w:tc>
      </w:tr>
      <w:tr w:rsidR="007021C0" w:rsidRPr="00CD6678" w14:paraId="72127BC4" w14:textId="77777777" w:rsidTr="0063109C">
        <w:trPr>
          <w:trHeight w:val="435"/>
        </w:trPr>
        <w:tc>
          <w:tcPr>
            <w:tcW w:w="1246" w:type="pct"/>
            <w:tcBorders>
              <w:top w:val="nil"/>
              <w:left w:val="single" w:sz="8" w:space="0" w:color="23478F"/>
              <w:bottom w:val="single" w:sz="8" w:space="0" w:color="23478F"/>
              <w:right w:val="nil"/>
            </w:tcBorders>
            <w:shd w:val="clear" w:color="000000" w:fill="6B90DB"/>
            <w:vAlign w:val="center"/>
            <w:hideMark/>
          </w:tcPr>
          <w:p w14:paraId="77B46C39"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Protection of natural lands incl. primary forests</w:t>
            </w:r>
          </w:p>
        </w:tc>
        <w:tc>
          <w:tcPr>
            <w:tcW w:w="884" w:type="pct"/>
            <w:tcBorders>
              <w:top w:val="nil"/>
              <w:left w:val="nil"/>
              <w:bottom w:val="single" w:sz="8" w:space="0" w:color="23478F"/>
              <w:right w:val="single" w:sz="8" w:space="0" w:color="23478F"/>
            </w:tcBorders>
            <w:shd w:val="clear" w:color="000000" w:fill="BFCFEF"/>
            <w:vAlign w:val="center"/>
            <w:hideMark/>
          </w:tcPr>
          <w:p w14:paraId="5FA8C2F0" w14:textId="77777777" w:rsidR="007021C0" w:rsidRPr="00CD6678" w:rsidRDefault="007021C0" w:rsidP="001335E8">
            <w:pPr>
              <w:spacing w:after="0" w:line="240" w:lineRule="auto"/>
              <w:jc w:val="center"/>
              <w:rPr>
                <w:rFonts w:ascii="Arial" w:eastAsia="Times New Roman" w:hAnsi="Arial" w:cs="Arial"/>
                <w:kern w:val="0"/>
                <w:sz w:val="18"/>
                <w:szCs w:val="18"/>
                <w:lang w:eastAsia="en-GB"/>
                <w14:ligatures w14:val="none"/>
              </w:rPr>
            </w:pPr>
            <w:r w:rsidRPr="00CD6678">
              <w:rPr>
                <w:rFonts w:ascii="Arial" w:eastAsia="Times New Roman" w:hAnsi="Arial" w:cs="Arial"/>
                <w:kern w:val="0"/>
                <w:sz w:val="18"/>
                <w:szCs w:val="18"/>
                <w:lang w:eastAsia="en-GB"/>
                <w14:ligatures w14:val="none"/>
              </w:rPr>
              <w:t>No</w:t>
            </w:r>
          </w:p>
        </w:tc>
        <w:tc>
          <w:tcPr>
            <w:tcW w:w="884" w:type="pct"/>
            <w:tcBorders>
              <w:top w:val="nil"/>
              <w:left w:val="nil"/>
              <w:bottom w:val="single" w:sz="8" w:space="0" w:color="23478F"/>
              <w:right w:val="single" w:sz="8" w:space="0" w:color="23478F"/>
            </w:tcBorders>
            <w:shd w:val="clear" w:color="000000" w:fill="BFCFEF"/>
            <w:vAlign w:val="center"/>
            <w:hideMark/>
          </w:tcPr>
          <w:p w14:paraId="684B5152" w14:textId="77777777" w:rsidR="007021C0" w:rsidRPr="00CD6678" w:rsidRDefault="007021C0" w:rsidP="001335E8">
            <w:pPr>
              <w:spacing w:after="0" w:line="240" w:lineRule="auto"/>
              <w:jc w:val="center"/>
              <w:rPr>
                <w:rFonts w:ascii="Arial" w:eastAsia="Times New Roman" w:hAnsi="Arial" w:cs="Arial"/>
                <w:kern w:val="0"/>
                <w:sz w:val="18"/>
                <w:szCs w:val="18"/>
                <w:lang w:eastAsia="en-GB"/>
                <w14:ligatures w14:val="none"/>
              </w:rPr>
            </w:pPr>
            <w:r w:rsidRPr="00CD6678">
              <w:rPr>
                <w:rFonts w:ascii="Arial" w:eastAsia="Times New Roman" w:hAnsi="Arial" w:cs="Arial"/>
                <w:kern w:val="0"/>
                <w:sz w:val="18"/>
                <w:szCs w:val="18"/>
                <w:lang w:eastAsia="en-GB"/>
                <w14:ligatures w14:val="none"/>
              </w:rPr>
              <w:t>No</w:t>
            </w:r>
          </w:p>
        </w:tc>
        <w:tc>
          <w:tcPr>
            <w:tcW w:w="884" w:type="pct"/>
            <w:tcBorders>
              <w:top w:val="nil"/>
              <w:left w:val="nil"/>
              <w:bottom w:val="single" w:sz="8" w:space="0" w:color="23478F"/>
              <w:right w:val="single" w:sz="8" w:space="0" w:color="23478F"/>
            </w:tcBorders>
            <w:shd w:val="clear" w:color="000000" w:fill="C6EFCE"/>
            <w:vAlign w:val="center"/>
            <w:hideMark/>
          </w:tcPr>
          <w:p w14:paraId="2C7B925A"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c>
          <w:tcPr>
            <w:tcW w:w="1102" w:type="pct"/>
            <w:tcBorders>
              <w:top w:val="nil"/>
              <w:left w:val="nil"/>
              <w:bottom w:val="nil"/>
              <w:right w:val="nil"/>
            </w:tcBorders>
            <w:shd w:val="clear" w:color="000000" w:fill="FCE4D6"/>
            <w:vAlign w:val="center"/>
            <w:hideMark/>
          </w:tcPr>
          <w:p w14:paraId="1BAA5F30"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p>
        </w:tc>
      </w:tr>
      <w:tr w:rsidR="007021C0" w:rsidRPr="00CD6678" w14:paraId="27BDEE45" w14:textId="77777777" w:rsidTr="0063109C">
        <w:trPr>
          <w:trHeight w:val="435"/>
        </w:trPr>
        <w:tc>
          <w:tcPr>
            <w:tcW w:w="1246" w:type="pct"/>
            <w:tcBorders>
              <w:top w:val="nil"/>
              <w:left w:val="single" w:sz="8" w:space="0" w:color="23478F"/>
              <w:bottom w:val="single" w:sz="8" w:space="0" w:color="23478F"/>
              <w:right w:val="nil"/>
            </w:tcBorders>
            <w:shd w:val="clear" w:color="000000" w:fill="6B90DB"/>
            <w:vAlign w:val="center"/>
            <w:hideMark/>
          </w:tcPr>
          <w:p w14:paraId="4A230B68"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Agricultural</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management</w:t>
            </w:r>
            <w:proofErr w:type="spellEnd"/>
          </w:p>
        </w:tc>
        <w:tc>
          <w:tcPr>
            <w:tcW w:w="884" w:type="pct"/>
            <w:tcBorders>
              <w:top w:val="nil"/>
              <w:left w:val="nil"/>
              <w:bottom w:val="single" w:sz="8" w:space="0" w:color="23478F"/>
              <w:right w:val="single" w:sz="8" w:space="0" w:color="23478F"/>
            </w:tcBorders>
            <w:shd w:val="clear" w:color="000000" w:fill="E6E7E8"/>
            <w:vAlign w:val="center"/>
            <w:hideMark/>
          </w:tcPr>
          <w:p w14:paraId="3D7982B4"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Highly</w:t>
            </w:r>
            <w:proofErr w:type="spellEnd"/>
            <w:r w:rsidRPr="00CD6678">
              <w:rPr>
                <w:rFonts w:ascii="Arial" w:eastAsia="Times New Roman" w:hAnsi="Arial" w:cs="Arial"/>
                <w:color w:val="000000"/>
                <w:kern w:val="0"/>
                <w:sz w:val="18"/>
                <w:szCs w:val="18"/>
                <w:lang w:eastAsia="en-GB"/>
                <w14:ligatures w14:val="none"/>
              </w:rPr>
              <w:t xml:space="preserve"> industrial</w:t>
            </w:r>
          </w:p>
        </w:tc>
        <w:tc>
          <w:tcPr>
            <w:tcW w:w="884" w:type="pct"/>
            <w:tcBorders>
              <w:top w:val="nil"/>
              <w:left w:val="nil"/>
              <w:bottom w:val="single" w:sz="8" w:space="0" w:color="23478F"/>
              <w:right w:val="single" w:sz="8" w:space="0" w:color="23478F"/>
            </w:tcBorders>
            <w:shd w:val="clear" w:color="000000" w:fill="E6E7E8"/>
            <w:vAlign w:val="center"/>
            <w:hideMark/>
          </w:tcPr>
          <w:p w14:paraId="7997F8C5"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r w:rsidRPr="00CD6678">
              <w:rPr>
                <w:rFonts w:ascii="Arial" w:eastAsia="Times New Roman" w:hAnsi="Arial" w:cs="Arial"/>
                <w:color w:val="000000"/>
                <w:kern w:val="0"/>
                <w:sz w:val="18"/>
                <w:szCs w:val="18"/>
                <w:lang w:eastAsia="en-GB"/>
                <w14:ligatures w14:val="none"/>
              </w:rPr>
              <w:t xml:space="preserve"> industrial</w:t>
            </w:r>
          </w:p>
        </w:tc>
        <w:tc>
          <w:tcPr>
            <w:tcW w:w="884" w:type="pct"/>
            <w:tcBorders>
              <w:top w:val="nil"/>
              <w:left w:val="nil"/>
              <w:bottom w:val="single" w:sz="8" w:space="0" w:color="23478F"/>
              <w:right w:val="single" w:sz="8" w:space="0" w:color="23478F"/>
            </w:tcBorders>
            <w:shd w:val="clear" w:color="000000" w:fill="C6EFCE"/>
            <w:vAlign w:val="center"/>
            <w:hideMark/>
          </w:tcPr>
          <w:p w14:paraId="562FA569"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Highly</w:t>
            </w:r>
            <w:proofErr w:type="spellEnd"/>
            <w:r w:rsidRPr="00CD6678">
              <w:rPr>
                <w:rFonts w:ascii="Arial" w:eastAsia="Times New Roman" w:hAnsi="Arial" w:cs="Arial"/>
                <w:color w:val="000000"/>
                <w:kern w:val="0"/>
                <w:sz w:val="18"/>
                <w:szCs w:val="18"/>
                <w:lang w:eastAsia="en-GB"/>
                <w14:ligatures w14:val="none"/>
              </w:rPr>
              <w:t xml:space="preserve"> regenerative</w:t>
            </w:r>
          </w:p>
        </w:tc>
        <w:tc>
          <w:tcPr>
            <w:tcW w:w="1102" w:type="pct"/>
            <w:tcBorders>
              <w:top w:val="nil"/>
              <w:left w:val="nil"/>
              <w:bottom w:val="nil"/>
              <w:right w:val="nil"/>
            </w:tcBorders>
            <w:shd w:val="clear" w:color="000000" w:fill="FCE4D6"/>
            <w:vAlign w:val="center"/>
            <w:hideMark/>
          </w:tcPr>
          <w:p w14:paraId="7CE9931E"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r w:rsidRPr="00CD6678">
              <w:rPr>
                <w:rFonts w:ascii="Arial" w:eastAsia="Times New Roman" w:hAnsi="Arial" w:cs="Arial"/>
                <w:color w:val="000000"/>
                <w:kern w:val="0"/>
                <w:sz w:val="18"/>
                <w:szCs w:val="18"/>
                <w:lang w:eastAsia="en-GB"/>
                <w14:ligatures w14:val="none"/>
              </w:rPr>
              <w:t xml:space="preserve"> regenerative</w:t>
            </w:r>
          </w:p>
        </w:tc>
      </w:tr>
      <w:tr w:rsidR="007021C0" w:rsidRPr="00CD6678" w14:paraId="03AB71A0" w14:textId="77777777" w:rsidTr="0063109C">
        <w:trPr>
          <w:trHeight w:val="450"/>
        </w:trPr>
        <w:tc>
          <w:tcPr>
            <w:tcW w:w="1246" w:type="pct"/>
            <w:tcBorders>
              <w:top w:val="nil"/>
              <w:left w:val="single" w:sz="8" w:space="0" w:color="23478F"/>
              <w:bottom w:val="single" w:sz="8" w:space="0" w:color="23478F"/>
              <w:right w:val="nil"/>
            </w:tcBorders>
            <w:shd w:val="clear" w:color="000000" w:fill="6B90DB"/>
            <w:vAlign w:val="center"/>
            <w:hideMark/>
          </w:tcPr>
          <w:p w14:paraId="3C6A9705"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lastRenderedPageBreak/>
              <w:t>Grassland</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management</w:t>
            </w:r>
            <w:proofErr w:type="spellEnd"/>
          </w:p>
        </w:tc>
        <w:tc>
          <w:tcPr>
            <w:tcW w:w="884" w:type="pct"/>
            <w:tcBorders>
              <w:top w:val="nil"/>
              <w:left w:val="nil"/>
              <w:bottom w:val="single" w:sz="8" w:space="0" w:color="23478F"/>
              <w:right w:val="single" w:sz="8" w:space="0" w:color="23478F"/>
            </w:tcBorders>
            <w:shd w:val="clear" w:color="000000" w:fill="E6E7E8"/>
            <w:vAlign w:val="center"/>
            <w:hideMark/>
          </w:tcPr>
          <w:p w14:paraId="60307F5E"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Highly</w:t>
            </w:r>
            <w:proofErr w:type="spellEnd"/>
            <w:r w:rsidRPr="00CD6678">
              <w:rPr>
                <w:rFonts w:ascii="Arial" w:eastAsia="Times New Roman" w:hAnsi="Arial" w:cs="Arial"/>
                <w:color w:val="000000"/>
                <w:kern w:val="0"/>
                <w:sz w:val="18"/>
                <w:szCs w:val="18"/>
                <w:lang w:eastAsia="en-GB"/>
                <w14:ligatures w14:val="none"/>
              </w:rPr>
              <w:t xml:space="preserve"> industrial</w:t>
            </w:r>
          </w:p>
        </w:tc>
        <w:tc>
          <w:tcPr>
            <w:tcW w:w="884" w:type="pct"/>
            <w:tcBorders>
              <w:top w:val="nil"/>
              <w:left w:val="nil"/>
              <w:bottom w:val="single" w:sz="8" w:space="0" w:color="23478F"/>
              <w:right w:val="single" w:sz="8" w:space="0" w:color="23478F"/>
            </w:tcBorders>
            <w:shd w:val="clear" w:color="000000" w:fill="E6E7E8"/>
            <w:vAlign w:val="center"/>
            <w:hideMark/>
          </w:tcPr>
          <w:p w14:paraId="3F933036"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r w:rsidRPr="00CD6678">
              <w:rPr>
                <w:rFonts w:ascii="Arial" w:eastAsia="Times New Roman" w:hAnsi="Arial" w:cs="Arial"/>
                <w:color w:val="000000"/>
                <w:kern w:val="0"/>
                <w:sz w:val="18"/>
                <w:szCs w:val="18"/>
                <w:lang w:eastAsia="en-GB"/>
                <w14:ligatures w14:val="none"/>
              </w:rPr>
              <w:t xml:space="preserve"> industrial</w:t>
            </w:r>
          </w:p>
        </w:tc>
        <w:tc>
          <w:tcPr>
            <w:tcW w:w="884" w:type="pct"/>
            <w:tcBorders>
              <w:top w:val="nil"/>
              <w:left w:val="nil"/>
              <w:bottom w:val="single" w:sz="8" w:space="0" w:color="23478F"/>
              <w:right w:val="single" w:sz="8" w:space="0" w:color="23478F"/>
            </w:tcBorders>
            <w:shd w:val="clear" w:color="000000" w:fill="C6EFCE"/>
            <w:vAlign w:val="center"/>
            <w:hideMark/>
          </w:tcPr>
          <w:p w14:paraId="0CAD5326"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Highly</w:t>
            </w:r>
            <w:proofErr w:type="spellEnd"/>
            <w:r w:rsidRPr="00CD6678">
              <w:rPr>
                <w:rFonts w:ascii="Arial" w:eastAsia="Times New Roman" w:hAnsi="Arial" w:cs="Arial"/>
                <w:color w:val="000000"/>
                <w:kern w:val="0"/>
                <w:sz w:val="18"/>
                <w:szCs w:val="18"/>
                <w:lang w:eastAsia="en-GB"/>
                <w14:ligatures w14:val="none"/>
              </w:rPr>
              <w:t xml:space="preserve"> regenerative</w:t>
            </w:r>
          </w:p>
        </w:tc>
        <w:tc>
          <w:tcPr>
            <w:tcW w:w="1102" w:type="pct"/>
            <w:tcBorders>
              <w:top w:val="nil"/>
              <w:left w:val="nil"/>
              <w:bottom w:val="nil"/>
              <w:right w:val="nil"/>
            </w:tcBorders>
            <w:shd w:val="clear" w:color="000000" w:fill="FCE4D6"/>
            <w:vAlign w:val="center"/>
            <w:hideMark/>
          </w:tcPr>
          <w:p w14:paraId="705B8FE0"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r w:rsidRPr="00CD6678">
              <w:rPr>
                <w:rFonts w:ascii="Arial" w:eastAsia="Times New Roman" w:hAnsi="Arial" w:cs="Arial"/>
                <w:color w:val="000000"/>
                <w:kern w:val="0"/>
                <w:sz w:val="18"/>
                <w:szCs w:val="18"/>
                <w:lang w:eastAsia="en-GB"/>
                <w14:ligatures w14:val="none"/>
              </w:rPr>
              <w:t xml:space="preserve"> regenerative</w:t>
            </w:r>
          </w:p>
        </w:tc>
      </w:tr>
      <w:tr w:rsidR="007021C0" w:rsidRPr="00CD6678" w14:paraId="2179D970" w14:textId="77777777" w:rsidTr="0063109C">
        <w:trPr>
          <w:trHeight w:val="1710"/>
        </w:trPr>
        <w:tc>
          <w:tcPr>
            <w:tcW w:w="1246" w:type="pct"/>
            <w:tcBorders>
              <w:top w:val="nil"/>
              <w:left w:val="single" w:sz="8" w:space="0" w:color="23478F"/>
              <w:bottom w:val="single" w:sz="8" w:space="0" w:color="23478F"/>
              <w:right w:val="nil"/>
            </w:tcBorders>
            <w:shd w:val="clear" w:color="000000" w:fill="6B90DB"/>
            <w:vAlign w:val="center"/>
            <w:hideMark/>
          </w:tcPr>
          <w:p w14:paraId="6332B44E"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Manure</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management</w:t>
            </w:r>
            <w:proofErr w:type="spellEnd"/>
          </w:p>
        </w:tc>
        <w:tc>
          <w:tcPr>
            <w:tcW w:w="884" w:type="pct"/>
            <w:tcBorders>
              <w:top w:val="nil"/>
              <w:left w:val="nil"/>
              <w:bottom w:val="single" w:sz="8" w:space="0" w:color="23478F"/>
              <w:right w:val="single" w:sz="8" w:space="0" w:color="23478F"/>
            </w:tcBorders>
            <w:shd w:val="clear" w:color="000000" w:fill="E6E7E8"/>
            <w:vAlign w:val="center"/>
            <w:hideMark/>
          </w:tcPr>
          <w:p w14:paraId="2B3C027B"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No</w:t>
            </w:r>
          </w:p>
        </w:tc>
        <w:tc>
          <w:tcPr>
            <w:tcW w:w="884" w:type="pct"/>
            <w:tcBorders>
              <w:top w:val="nil"/>
              <w:left w:val="nil"/>
              <w:bottom w:val="single" w:sz="8" w:space="0" w:color="23478F"/>
              <w:right w:val="single" w:sz="8" w:space="0" w:color="23478F"/>
            </w:tcBorders>
            <w:shd w:val="clear" w:color="000000" w:fill="E6E7E8"/>
            <w:vAlign w:val="center"/>
            <w:hideMark/>
          </w:tcPr>
          <w:p w14:paraId="383802F9"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No</w:t>
            </w:r>
          </w:p>
        </w:tc>
        <w:tc>
          <w:tcPr>
            <w:tcW w:w="884" w:type="pct"/>
            <w:tcBorders>
              <w:top w:val="nil"/>
              <w:left w:val="nil"/>
              <w:bottom w:val="single" w:sz="8" w:space="0" w:color="23478F"/>
              <w:right w:val="single" w:sz="8" w:space="0" w:color="23478F"/>
            </w:tcBorders>
            <w:shd w:val="clear" w:color="000000" w:fill="C6EFCE"/>
            <w:vAlign w:val="center"/>
            <w:hideMark/>
          </w:tcPr>
          <w:p w14:paraId="57D6DF93"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Yes</w:t>
            </w:r>
          </w:p>
        </w:tc>
        <w:tc>
          <w:tcPr>
            <w:tcW w:w="1102" w:type="pct"/>
            <w:tcBorders>
              <w:top w:val="nil"/>
              <w:left w:val="nil"/>
              <w:bottom w:val="nil"/>
              <w:right w:val="nil"/>
            </w:tcBorders>
            <w:shd w:val="clear" w:color="000000" w:fill="FCE4D6"/>
            <w:vAlign w:val="center"/>
            <w:hideMark/>
          </w:tcPr>
          <w:p w14:paraId="694BF16D"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No</w:t>
            </w:r>
          </w:p>
        </w:tc>
      </w:tr>
      <w:tr w:rsidR="007021C0" w:rsidRPr="00CD6678" w14:paraId="7A8A447F" w14:textId="77777777" w:rsidTr="001335E8">
        <w:trPr>
          <w:trHeight w:val="285"/>
        </w:trPr>
        <w:tc>
          <w:tcPr>
            <w:tcW w:w="5000" w:type="pct"/>
            <w:gridSpan w:val="5"/>
            <w:tcBorders>
              <w:top w:val="nil"/>
              <w:left w:val="single" w:sz="8" w:space="0" w:color="23478F"/>
              <w:bottom w:val="nil"/>
              <w:right w:val="nil"/>
            </w:tcBorders>
            <w:shd w:val="clear" w:color="000000" w:fill="6B90DB"/>
            <w:vAlign w:val="center"/>
            <w:hideMark/>
          </w:tcPr>
          <w:p w14:paraId="5A97544F" w14:textId="77777777" w:rsidR="007021C0" w:rsidRPr="00CD6678" w:rsidRDefault="007021C0" w:rsidP="001335E8">
            <w:pPr>
              <w:spacing w:after="0" w:line="240" w:lineRule="auto"/>
              <w:jc w:val="center"/>
              <w:rPr>
                <w:rFonts w:ascii="Arial" w:eastAsia="Times New Roman" w:hAnsi="Arial" w:cs="Arial"/>
                <w:b/>
                <w:bCs/>
                <w:color w:val="000000"/>
                <w:kern w:val="0"/>
                <w:sz w:val="18"/>
                <w:szCs w:val="18"/>
                <w:lang w:eastAsia="en-GB"/>
                <w14:ligatures w14:val="none"/>
              </w:rPr>
            </w:pPr>
            <w:proofErr w:type="spellStart"/>
            <w:r w:rsidRPr="00CD6678">
              <w:rPr>
                <w:rFonts w:ascii="Arial" w:eastAsia="Times New Roman" w:hAnsi="Arial" w:cs="Arial"/>
                <w:b/>
                <w:bCs/>
                <w:color w:val="000000"/>
                <w:kern w:val="0"/>
                <w:sz w:val="18"/>
                <w:szCs w:val="18"/>
                <w:lang w:eastAsia="en-GB"/>
                <w14:ligatures w14:val="none"/>
              </w:rPr>
              <w:t>Society</w:t>
            </w:r>
            <w:proofErr w:type="spellEnd"/>
            <w:r w:rsidRPr="00CD6678">
              <w:rPr>
                <w:rFonts w:ascii="Arial" w:eastAsia="Times New Roman" w:hAnsi="Arial" w:cs="Arial"/>
                <w:b/>
                <w:bCs/>
                <w:color w:val="000000"/>
                <w:kern w:val="0"/>
                <w:sz w:val="18"/>
                <w:szCs w:val="18"/>
                <w:lang w:eastAsia="en-GB"/>
                <w14:ligatures w14:val="none"/>
              </w:rPr>
              <w:t>/</w:t>
            </w:r>
            <w:proofErr w:type="spellStart"/>
            <w:r w:rsidRPr="00CD6678">
              <w:rPr>
                <w:rFonts w:ascii="Arial" w:eastAsia="Times New Roman" w:hAnsi="Arial" w:cs="Arial"/>
                <w:b/>
                <w:bCs/>
                <w:color w:val="000000"/>
                <w:kern w:val="0"/>
                <w:sz w:val="18"/>
                <w:szCs w:val="18"/>
                <w:lang w:eastAsia="en-GB"/>
                <w14:ligatures w14:val="none"/>
              </w:rPr>
              <w:t>Lifestyle</w:t>
            </w:r>
            <w:proofErr w:type="spellEnd"/>
            <w:r w:rsidRPr="00CD6678">
              <w:rPr>
                <w:rFonts w:ascii="Arial" w:eastAsia="Times New Roman" w:hAnsi="Arial" w:cs="Arial"/>
                <w:b/>
                <w:bCs/>
                <w:color w:val="000000"/>
                <w:kern w:val="0"/>
                <w:sz w:val="18"/>
                <w:szCs w:val="18"/>
                <w:lang w:eastAsia="en-GB"/>
                <w14:ligatures w14:val="none"/>
              </w:rPr>
              <w:t xml:space="preserve"> </w:t>
            </w:r>
            <w:proofErr w:type="spellStart"/>
            <w:r w:rsidRPr="00CD6678">
              <w:rPr>
                <w:rFonts w:ascii="Arial" w:eastAsia="Times New Roman" w:hAnsi="Arial" w:cs="Arial"/>
                <w:b/>
                <w:bCs/>
                <w:color w:val="000000"/>
                <w:kern w:val="0"/>
                <w:sz w:val="18"/>
                <w:szCs w:val="18"/>
                <w:lang w:eastAsia="en-GB"/>
                <w14:ligatures w14:val="none"/>
              </w:rPr>
              <w:t>changes</w:t>
            </w:r>
            <w:proofErr w:type="spellEnd"/>
          </w:p>
        </w:tc>
      </w:tr>
      <w:tr w:rsidR="007021C0" w:rsidRPr="00CD6678" w14:paraId="209901FE" w14:textId="77777777" w:rsidTr="0063109C">
        <w:trPr>
          <w:trHeight w:val="465"/>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2572A843"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Consumption</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of</w:t>
            </w:r>
            <w:proofErr w:type="spellEnd"/>
            <w:r w:rsidRPr="00CD6678">
              <w:rPr>
                <w:rFonts w:ascii="Arial" w:eastAsia="Times New Roman" w:hAnsi="Arial" w:cs="Arial"/>
                <w:color w:val="000000"/>
                <w:kern w:val="0"/>
                <w:sz w:val="18"/>
                <w:szCs w:val="18"/>
                <w:lang w:eastAsia="en-GB"/>
                <w14:ligatures w14:val="none"/>
              </w:rPr>
              <w:t xml:space="preserve"> durable </w:t>
            </w:r>
            <w:proofErr w:type="spellStart"/>
            <w:r w:rsidRPr="00CD6678">
              <w:rPr>
                <w:rFonts w:ascii="Arial" w:eastAsia="Times New Roman" w:hAnsi="Arial" w:cs="Arial"/>
                <w:color w:val="000000"/>
                <w:kern w:val="0"/>
                <w:sz w:val="18"/>
                <w:szCs w:val="18"/>
                <w:lang w:eastAsia="en-GB"/>
                <w14:ligatures w14:val="none"/>
              </w:rPr>
              <w:t>goods</w:t>
            </w:r>
            <w:proofErr w:type="spellEnd"/>
          </w:p>
        </w:tc>
        <w:tc>
          <w:tcPr>
            <w:tcW w:w="884" w:type="pct"/>
            <w:tcBorders>
              <w:top w:val="nil"/>
              <w:left w:val="nil"/>
              <w:bottom w:val="single" w:sz="8" w:space="0" w:color="23478F"/>
              <w:right w:val="single" w:sz="8" w:space="0" w:color="23478F"/>
            </w:tcBorders>
            <w:shd w:val="clear" w:color="000000" w:fill="E6E7E8"/>
            <w:vAlign w:val="center"/>
            <w:hideMark/>
          </w:tcPr>
          <w:p w14:paraId="3AADCA03"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c>
          <w:tcPr>
            <w:tcW w:w="884" w:type="pct"/>
            <w:tcBorders>
              <w:top w:val="nil"/>
              <w:left w:val="nil"/>
              <w:bottom w:val="single" w:sz="8" w:space="0" w:color="23478F"/>
              <w:right w:val="single" w:sz="8" w:space="0" w:color="23478F"/>
            </w:tcBorders>
            <w:shd w:val="clear" w:color="000000" w:fill="C6EFCE"/>
            <w:vAlign w:val="center"/>
            <w:hideMark/>
          </w:tcPr>
          <w:p w14:paraId="382BAD5B"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884" w:type="pct"/>
            <w:tcBorders>
              <w:top w:val="nil"/>
              <w:left w:val="nil"/>
              <w:bottom w:val="single" w:sz="8" w:space="0" w:color="23478F"/>
              <w:right w:val="single" w:sz="8" w:space="0" w:color="23478F"/>
            </w:tcBorders>
            <w:shd w:val="clear" w:color="000000" w:fill="E6E7E8"/>
            <w:vAlign w:val="center"/>
            <w:hideMark/>
          </w:tcPr>
          <w:p w14:paraId="7EA654D8"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c>
          <w:tcPr>
            <w:tcW w:w="1102" w:type="pct"/>
            <w:tcBorders>
              <w:top w:val="nil"/>
              <w:left w:val="nil"/>
              <w:bottom w:val="nil"/>
              <w:right w:val="nil"/>
            </w:tcBorders>
            <w:shd w:val="clear" w:color="000000" w:fill="FCE4D6"/>
            <w:vAlign w:val="center"/>
            <w:hideMark/>
          </w:tcPr>
          <w:p w14:paraId="4E11EC09"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p>
        </w:tc>
      </w:tr>
      <w:tr w:rsidR="007021C0" w:rsidRPr="00CD6678" w14:paraId="4F0248E7" w14:textId="77777777" w:rsidTr="0063109C">
        <w:trPr>
          <w:trHeight w:val="690"/>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28EE3641"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Diet</w:t>
            </w:r>
            <w:proofErr w:type="spellEnd"/>
          </w:p>
        </w:tc>
        <w:tc>
          <w:tcPr>
            <w:tcW w:w="884" w:type="pct"/>
            <w:tcBorders>
              <w:top w:val="nil"/>
              <w:left w:val="nil"/>
              <w:bottom w:val="single" w:sz="8" w:space="0" w:color="23478F"/>
              <w:right w:val="single" w:sz="8" w:space="0" w:color="23478F"/>
            </w:tcBorders>
            <w:shd w:val="clear" w:color="000000" w:fill="E6E7E8"/>
            <w:vAlign w:val="center"/>
            <w:hideMark/>
          </w:tcPr>
          <w:p w14:paraId="55A4324E"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Current</w:t>
            </w:r>
            <w:proofErr w:type="spellEnd"/>
          </w:p>
        </w:tc>
        <w:tc>
          <w:tcPr>
            <w:tcW w:w="884" w:type="pct"/>
            <w:tcBorders>
              <w:top w:val="nil"/>
              <w:left w:val="nil"/>
              <w:bottom w:val="single" w:sz="8" w:space="0" w:color="23478F"/>
              <w:right w:val="single" w:sz="8" w:space="0" w:color="23478F"/>
            </w:tcBorders>
            <w:shd w:val="clear" w:color="000000" w:fill="C6EFCE"/>
            <w:vAlign w:val="center"/>
            <w:hideMark/>
          </w:tcPr>
          <w:p w14:paraId="172ABA3F"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c>
          <w:tcPr>
            <w:tcW w:w="884" w:type="pct"/>
            <w:tcBorders>
              <w:top w:val="nil"/>
              <w:left w:val="nil"/>
              <w:bottom w:val="single" w:sz="8" w:space="0" w:color="23478F"/>
              <w:right w:val="single" w:sz="8" w:space="0" w:color="23478F"/>
            </w:tcBorders>
            <w:shd w:val="clear" w:color="000000" w:fill="E6E7E8"/>
            <w:vAlign w:val="center"/>
            <w:hideMark/>
          </w:tcPr>
          <w:p w14:paraId="5D37C98B"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Current</w:t>
            </w:r>
            <w:proofErr w:type="spellEnd"/>
          </w:p>
        </w:tc>
        <w:tc>
          <w:tcPr>
            <w:tcW w:w="1102" w:type="pct"/>
            <w:tcBorders>
              <w:top w:val="nil"/>
              <w:left w:val="nil"/>
              <w:bottom w:val="nil"/>
              <w:right w:val="nil"/>
            </w:tcBorders>
            <w:shd w:val="clear" w:color="000000" w:fill="FCE4D6"/>
            <w:vAlign w:val="center"/>
            <w:hideMark/>
          </w:tcPr>
          <w:p w14:paraId="403BBE5A"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p>
        </w:tc>
      </w:tr>
      <w:tr w:rsidR="007021C0" w:rsidRPr="00CD6678" w14:paraId="72BA8D16" w14:textId="77777777" w:rsidTr="0063109C">
        <w:trPr>
          <w:trHeight w:val="450"/>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25B3A754"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Food</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waste</w:t>
            </w:r>
            <w:proofErr w:type="spellEnd"/>
          </w:p>
        </w:tc>
        <w:tc>
          <w:tcPr>
            <w:tcW w:w="884" w:type="pct"/>
            <w:tcBorders>
              <w:top w:val="nil"/>
              <w:left w:val="nil"/>
              <w:bottom w:val="single" w:sz="8" w:space="0" w:color="23478F"/>
              <w:right w:val="single" w:sz="8" w:space="0" w:color="23478F"/>
            </w:tcBorders>
            <w:shd w:val="clear" w:color="000000" w:fill="E6E7E8"/>
            <w:vAlign w:val="center"/>
            <w:hideMark/>
          </w:tcPr>
          <w:p w14:paraId="7826FA15"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c>
          <w:tcPr>
            <w:tcW w:w="884" w:type="pct"/>
            <w:tcBorders>
              <w:top w:val="nil"/>
              <w:left w:val="nil"/>
              <w:bottom w:val="single" w:sz="8" w:space="0" w:color="23478F"/>
              <w:right w:val="single" w:sz="8" w:space="0" w:color="23478F"/>
            </w:tcBorders>
            <w:shd w:val="clear" w:color="000000" w:fill="C6EFCE"/>
            <w:vAlign w:val="center"/>
            <w:hideMark/>
          </w:tcPr>
          <w:p w14:paraId="0A54FD28"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884" w:type="pct"/>
            <w:tcBorders>
              <w:top w:val="nil"/>
              <w:left w:val="nil"/>
              <w:bottom w:val="single" w:sz="8" w:space="0" w:color="23478F"/>
              <w:right w:val="single" w:sz="8" w:space="0" w:color="23478F"/>
            </w:tcBorders>
            <w:shd w:val="clear" w:color="000000" w:fill="E6E7E8"/>
            <w:vAlign w:val="center"/>
            <w:hideMark/>
          </w:tcPr>
          <w:p w14:paraId="79808F04"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c>
          <w:tcPr>
            <w:tcW w:w="1102" w:type="pct"/>
            <w:tcBorders>
              <w:top w:val="nil"/>
              <w:left w:val="nil"/>
              <w:bottom w:val="nil"/>
              <w:right w:val="nil"/>
            </w:tcBorders>
            <w:shd w:val="clear" w:color="000000" w:fill="E6E7E8"/>
            <w:vAlign w:val="center"/>
            <w:hideMark/>
          </w:tcPr>
          <w:p w14:paraId="53FB8217"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p>
        </w:tc>
      </w:tr>
      <w:tr w:rsidR="007021C0" w:rsidRPr="00CD6678" w14:paraId="49159005" w14:textId="77777777" w:rsidTr="0063109C">
        <w:trPr>
          <w:trHeight w:val="1500"/>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79C371EF"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Passenger </w:t>
            </w:r>
            <w:proofErr w:type="spellStart"/>
            <w:r w:rsidRPr="00CD6678">
              <w:rPr>
                <w:rFonts w:ascii="Arial" w:eastAsia="Times New Roman" w:hAnsi="Arial" w:cs="Arial"/>
                <w:color w:val="000000"/>
                <w:kern w:val="0"/>
                <w:sz w:val="18"/>
                <w:szCs w:val="18"/>
                <w:lang w:eastAsia="en-GB"/>
                <w14:ligatures w14:val="none"/>
              </w:rPr>
              <w:t>transport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demand</w:t>
            </w:r>
            <w:proofErr w:type="spellEnd"/>
          </w:p>
        </w:tc>
        <w:tc>
          <w:tcPr>
            <w:tcW w:w="884" w:type="pct"/>
            <w:tcBorders>
              <w:top w:val="nil"/>
              <w:left w:val="nil"/>
              <w:bottom w:val="single" w:sz="8" w:space="0" w:color="23478F"/>
              <w:right w:val="single" w:sz="8" w:space="0" w:color="23478F"/>
            </w:tcBorders>
            <w:shd w:val="clear" w:color="000000" w:fill="E6E7E8"/>
            <w:vAlign w:val="center"/>
            <w:hideMark/>
          </w:tcPr>
          <w:p w14:paraId="59F6E239"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c>
          <w:tcPr>
            <w:tcW w:w="884" w:type="pct"/>
            <w:tcBorders>
              <w:top w:val="nil"/>
              <w:left w:val="nil"/>
              <w:bottom w:val="single" w:sz="8" w:space="0" w:color="23478F"/>
              <w:right w:val="single" w:sz="8" w:space="0" w:color="23478F"/>
            </w:tcBorders>
            <w:shd w:val="clear" w:color="000000" w:fill="C6EFCE"/>
            <w:vAlign w:val="center"/>
            <w:hideMark/>
          </w:tcPr>
          <w:p w14:paraId="6F517D0C"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884" w:type="pct"/>
            <w:tcBorders>
              <w:top w:val="nil"/>
              <w:left w:val="nil"/>
              <w:bottom w:val="single" w:sz="8" w:space="0" w:color="23478F"/>
              <w:right w:val="single" w:sz="8" w:space="0" w:color="23478F"/>
            </w:tcBorders>
            <w:shd w:val="clear" w:color="000000" w:fill="E6E7E8"/>
            <w:vAlign w:val="center"/>
            <w:hideMark/>
          </w:tcPr>
          <w:p w14:paraId="2437151F"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c>
          <w:tcPr>
            <w:tcW w:w="1102" w:type="pct"/>
            <w:tcBorders>
              <w:top w:val="nil"/>
              <w:left w:val="nil"/>
              <w:bottom w:val="nil"/>
              <w:right w:val="nil"/>
            </w:tcBorders>
            <w:shd w:val="clear" w:color="000000" w:fill="E6E7E8"/>
            <w:vAlign w:val="center"/>
            <w:hideMark/>
          </w:tcPr>
          <w:p w14:paraId="7031FF21"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p>
        </w:tc>
      </w:tr>
      <w:tr w:rsidR="007021C0" w:rsidRPr="00CD6678" w14:paraId="4AD02530" w14:textId="77777777" w:rsidTr="0063109C">
        <w:trPr>
          <w:trHeight w:val="900"/>
        </w:trPr>
        <w:tc>
          <w:tcPr>
            <w:tcW w:w="1246" w:type="pct"/>
            <w:tcBorders>
              <w:top w:val="nil"/>
              <w:left w:val="single" w:sz="8" w:space="0" w:color="23478F"/>
              <w:bottom w:val="single" w:sz="8" w:space="0" w:color="23478F"/>
              <w:right w:val="single" w:sz="8" w:space="0" w:color="23478F"/>
            </w:tcBorders>
            <w:shd w:val="clear" w:color="000000" w:fill="6B90DB"/>
            <w:vAlign w:val="center"/>
            <w:hideMark/>
          </w:tcPr>
          <w:p w14:paraId="5B42F38B"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Promotion of public transport and non-motorized means</w:t>
            </w:r>
          </w:p>
        </w:tc>
        <w:tc>
          <w:tcPr>
            <w:tcW w:w="884" w:type="pct"/>
            <w:tcBorders>
              <w:top w:val="nil"/>
              <w:left w:val="nil"/>
              <w:bottom w:val="single" w:sz="8" w:space="0" w:color="23478F"/>
              <w:right w:val="single" w:sz="8" w:space="0" w:color="23478F"/>
            </w:tcBorders>
            <w:shd w:val="clear" w:color="000000" w:fill="E6E7E8"/>
            <w:vAlign w:val="center"/>
            <w:hideMark/>
          </w:tcPr>
          <w:p w14:paraId="328612A2"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884" w:type="pct"/>
            <w:tcBorders>
              <w:top w:val="nil"/>
              <w:left w:val="nil"/>
              <w:bottom w:val="single" w:sz="8" w:space="0" w:color="23478F"/>
              <w:right w:val="single" w:sz="8" w:space="0" w:color="23478F"/>
            </w:tcBorders>
            <w:shd w:val="clear" w:color="000000" w:fill="C6EFCE"/>
            <w:vAlign w:val="center"/>
            <w:hideMark/>
          </w:tcPr>
          <w:p w14:paraId="5C85A359"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c>
          <w:tcPr>
            <w:tcW w:w="884" w:type="pct"/>
            <w:tcBorders>
              <w:top w:val="nil"/>
              <w:left w:val="nil"/>
              <w:bottom w:val="single" w:sz="8" w:space="0" w:color="23478F"/>
              <w:right w:val="single" w:sz="8" w:space="0" w:color="23478F"/>
            </w:tcBorders>
            <w:shd w:val="clear" w:color="000000" w:fill="E6E7E8"/>
            <w:vAlign w:val="center"/>
            <w:hideMark/>
          </w:tcPr>
          <w:p w14:paraId="0DD866A6"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c>
          <w:tcPr>
            <w:tcW w:w="1102" w:type="pct"/>
            <w:tcBorders>
              <w:top w:val="nil"/>
              <w:left w:val="nil"/>
              <w:bottom w:val="nil"/>
              <w:right w:val="nil"/>
            </w:tcBorders>
            <w:shd w:val="clear" w:color="000000" w:fill="E6E7E8"/>
            <w:vAlign w:val="center"/>
            <w:hideMark/>
          </w:tcPr>
          <w:p w14:paraId="41E6B590"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Moderate</w:t>
            </w:r>
            <w:proofErr w:type="spellEnd"/>
          </w:p>
        </w:tc>
      </w:tr>
      <w:tr w:rsidR="007021C0" w:rsidRPr="00BA7017" w14:paraId="6C9D5A09" w14:textId="77777777" w:rsidTr="001335E8">
        <w:trPr>
          <w:trHeight w:val="300"/>
        </w:trPr>
        <w:tc>
          <w:tcPr>
            <w:tcW w:w="5000" w:type="pct"/>
            <w:gridSpan w:val="5"/>
            <w:tcBorders>
              <w:top w:val="nil"/>
              <w:left w:val="single" w:sz="8" w:space="0" w:color="23478F"/>
              <w:bottom w:val="nil"/>
              <w:right w:val="nil"/>
            </w:tcBorders>
            <w:shd w:val="clear" w:color="000000" w:fill="6B90DB"/>
            <w:vAlign w:val="center"/>
            <w:hideMark/>
          </w:tcPr>
          <w:p w14:paraId="2E2F6E0B" w14:textId="2039D62D" w:rsidR="007021C0" w:rsidRPr="00973049" w:rsidRDefault="007021C0" w:rsidP="001335E8">
            <w:pPr>
              <w:spacing w:after="0" w:line="240" w:lineRule="auto"/>
              <w:jc w:val="center"/>
              <w:rPr>
                <w:rFonts w:ascii="Arial" w:eastAsia="Times New Roman" w:hAnsi="Arial" w:cs="Arial"/>
                <w:b/>
                <w:bCs/>
                <w:color w:val="000000"/>
                <w:kern w:val="0"/>
                <w:sz w:val="18"/>
                <w:szCs w:val="18"/>
                <w:lang w:val="en-GB" w:eastAsia="en-GB"/>
                <w14:ligatures w14:val="none"/>
              </w:rPr>
            </w:pPr>
            <w:r w:rsidRPr="00973049">
              <w:rPr>
                <w:rFonts w:ascii="Arial" w:eastAsia="Times New Roman" w:hAnsi="Arial" w:cs="Arial"/>
                <w:b/>
                <w:bCs/>
                <w:color w:val="000000"/>
                <w:kern w:val="0"/>
                <w:sz w:val="18"/>
                <w:szCs w:val="18"/>
                <w:lang w:val="en-GB" w:eastAsia="en-GB"/>
                <w14:ligatures w14:val="none"/>
              </w:rPr>
              <w:t xml:space="preserve">Hypothesis for the </w:t>
            </w:r>
            <w:r w:rsidR="006D4842">
              <w:rPr>
                <w:rFonts w:ascii="Arial" w:eastAsia="Times New Roman" w:hAnsi="Arial" w:cs="Arial"/>
                <w:b/>
                <w:bCs/>
                <w:color w:val="000000"/>
                <w:kern w:val="0"/>
                <w:sz w:val="18"/>
                <w:szCs w:val="18"/>
                <w:lang w:val="en-GB" w:eastAsia="en-GB"/>
                <w14:ligatures w14:val="none"/>
              </w:rPr>
              <w:t>sensitivity</w:t>
            </w:r>
            <w:r w:rsidRPr="00973049">
              <w:rPr>
                <w:rFonts w:ascii="Arial" w:eastAsia="Times New Roman" w:hAnsi="Arial" w:cs="Arial"/>
                <w:b/>
                <w:bCs/>
                <w:color w:val="000000"/>
                <w:kern w:val="0"/>
                <w:sz w:val="18"/>
                <w:szCs w:val="18"/>
                <w:lang w:val="en-GB" w:eastAsia="en-GB"/>
                <w14:ligatures w14:val="none"/>
              </w:rPr>
              <w:t xml:space="preserve"> analysis (SMAA exercise)</w:t>
            </w:r>
          </w:p>
        </w:tc>
      </w:tr>
      <w:tr w:rsidR="007021C0" w:rsidRPr="00CD6678" w14:paraId="591C5D7F" w14:textId="77777777" w:rsidTr="001335E8">
        <w:trPr>
          <w:trHeight w:val="285"/>
        </w:trPr>
        <w:tc>
          <w:tcPr>
            <w:tcW w:w="1246" w:type="pct"/>
            <w:vMerge w:val="restart"/>
            <w:tcBorders>
              <w:top w:val="single" w:sz="8" w:space="0" w:color="23478F"/>
              <w:left w:val="single" w:sz="8" w:space="0" w:color="23478F"/>
              <w:bottom w:val="nil"/>
              <w:right w:val="nil"/>
            </w:tcBorders>
            <w:shd w:val="clear" w:color="000000" w:fill="6B90DB"/>
            <w:vAlign w:val="center"/>
            <w:hideMark/>
          </w:tcPr>
          <w:p w14:paraId="6B93F464"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Population</w:t>
            </w:r>
            <w:proofErr w:type="spellEnd"/>
          </w:p>
        </w:tc>
        <w:tc>
          <w:tcPr>
            <w:tcW w:w="3754" w:type="pct"/>
            <w:gridSpan w:val="4"/>
            <w:tcBorders>
              <w:top w:val="single" w:sz="8" w:space="0" w:color="44546A"/>
              <w:left w:val="single" w:sz="8" w:space="0" w:color="44546A"/>
              <w:bottom w:val="nil"/>
              <w:right w:val="nil"/>
            </w:tcBorders>
            <w:shd w:val="clear" w:color="000000" w:fill="E6E7E8"/>
            <w:vAlign w:val="center"/>
            <w:hideMark/>
          </w:tcPr>
          <w:p w14:paraId="26139A8A"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r>
      <w:tr w:rsidR="007021C0" w:rsidRPr="00CD6678" w14:paraId="21FA186A" w14:textId="77777777" w:rsidTr="001335E8">
        <w:trPr>
          <w:trHeight w:val="285"/>
        </w:trPr>
        <w:tc>
          <w:tcPr>
            <w:tcW w:w="1246" w:type="pct"/>
            <w:vMerge/>
            <w:tcBorders>
              <w:top w:val="single" w:sz="8" w:space="0" w:color="23478F"/>
              <w:left w:val="single" w:sz="8" w:space="0" w:color="23478F"/>
              <w:bottom w:val="nil"/>
              <w:right w:val="nil"/>
            </w:tcBorders>
            <w:vAlign w:val="center"/>
            <w:hideMark/>
          </w:tcPr>
          <w:p w14:paraId="303BC846" w14:textId="77777777" w:rsidR="007021C0" w:rsidRPr="00CD6678" w:rsidRDefault="007021C0" w:rsidP="001335E8">
            <w:pPr>
              <w:spacing w:after="0" w:line="240" w:lineRule="auto"/>
              <w:rPr>
                <w:rFonts w:ascii="Arial" w:eastAsia="Times New Roman" w:hAnsi="Arial" w:cs="Arial"/>
                <w:color w:val="000000"/>
                <w:kern w:val="0"/>
                <w:sz w:val="18"/>
                <w:szCs w:val="18"/>
                <w:lang w:eastAsia="en-GB"/>
                <w14:ligatures w14:val="none"/>
              </w:rPr>
            </w:pPr>
          </w:p>
        </w:tc>
        <w:tc>
          <w:tcPr>
            <w:tcW w:w="3754" w:type="pct"/>
            <w:gridSpan w:val="4"/>
            <w:tcBorders>
              <w:top w:val="nil"/>
              <w:left w:val="single" w:sz="8" w:space="0" w:color="44546A"/>
              <w:bottom w:val="nil"/>
              <w:right w:val="nil"/>
            </w:tcBorders>
            <w:shd w:val="clear" w:color="000000" w:fill="E6E7E8"/>
            <w:vAlign w:val="center"/>
            <w:hideMark/>
          </w:tcPr>
          <w:p w14:paraId="007EF7EE"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Medium</w:t>
            </w:r>
          </w:p>
        </w:tc>
      </w:tr>
      <w:tr w:rsidR="007021C0" w:rsidRPr="00CD6678" w14:paraId="1BFE4305" w14:textId="77777777" w:rsidTr="001335E8">
        <w:trPr>
          <w:trHeight w:val="285"/>
        </w:trPr>
        <w:tc>
          <w:tcPr>
            <w:tcW w:w="1246" w:type="pct"/>
            <w:vMerge/>
            <w:tcBorders>
              <w:top w:val="single" w:sz="8" w:space="0" w:color="23478F"/>
              <w:left w:val="single" w:sz="8" w:space="0" w:color="23478F"/>
              <w:bottom w:val="nil"/>
              <w:right w:val="nil"/>
            </w:tcBorders>
            <w:vAlign w:val="center"/>
            <w:hideMark/>
          </w:tcPr>
          <w:p w14:paraId="128761C5" w14:textId="77777777" w:rsidR="007021C0" w:rsidRPr="00CD6678" w:rsidRDefault="007021C0" w:rsidP="001335E8">
            <w:pPr>
              <w:spacing w:after="0" w:line="240" w:lineRule="auto"/>
              <w:rPr>
                <w:rFonts w:ascii="Arial" w:eastAsia="Times New Roman" w:hAnsi="Arial" w:cs="Arial"/>
                <w:color w:val="000000"/>
                <w:kern w:val="0"/>
                <w:sz w:val="18"/>
                <w:szCs w:val="18"/>
                <w:lang w:eastAsia="en-GB"/>
                <w14:ligatures w14:val="none"/>
              </w:rPr>
            </w:pPr>
          </w:p>
        </w:tc>
        <w:tc>
          <w:tcPr>
            <w:tcW w:w="3754" w:type="pct"/>
            <w:gridSpan w:val="4"/>
            <w:tcBorders>
              <w:top w:val="nil"/>
              <w:left w:val="single" w:sz="8" w:space="0" w:color="44546A"/>
              <w:bottom w:val="single" w:sz="8" w:space="0" w:color="44546A"/>
              <w:right w:val="nil"/>
            </w:tcBorders>
            <w:shd w:val="clear" w:color="000000" w:fill="E6E7E8"/>
            <w:vAlign w:val="center"/>
            <w:hideMark/>
          </w:tcPr>
          <w:p w14:paraId="6EBE7793"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r>
      <w:tr w:rsidR="007021C0" w:rsidRPr="00CD6678" w14:paraId="277BF895" w14:textId="77777777" w:rsidTr="001335E8">
        <w:trPr>
          <w:trHeight w:val="285"/>
        </w:trPr>
        <w:tc>
          <w:tcPr>
            <w:tcW w:w="1246" w:type="pct"/>
            <w:vMerge w:val="restart"/>
            <w:tcBorders>
              <w:top w:val="single" w:sz="8" w:space="0" w:color="23478F"/>
              <w:left w:val="single" w:sz="8" w:space="0" w:color="23478F"/>
              <w:bottom w:val="nil"/>
              <w:right w:val="nil"/>
            </w:tcBorders>
            <w:shd w:val="clear" w:color="000000" w:fill="6B90DB"/>
            <w:vAlign w:val="center"/>
            <w:hideMark/>
          </w:tcPr>
          <w:p w14:paraId="045DD563" w14:textId="77777777" w:rsidR="007021C0" w:rsidRPr="008A7A70" w:rsidRDefault="007021C0" w:rsidP="001335E8">
            <w:pPr>
              <w:spacing w:after="0" w:line="240" w:lineRule="auto"/>
              <w:jc w:val="center"/>
              <w:rPr>
                <w:rFonts w:ascii="Arial" w:eastAsia="Times New Roman" w:hAnsi="Arial" w:cs="Arial"/>
                <w:kern w:val="0"/>
                <w:sz w:val="18"/>
                <w:szCs w:val="18"/>
                <w:lang w:val="de-DE" w:eastAsia="en-GB"/>
                <w14:ligatures w14:val="none"/>
              </w:rPr>
            </w:pPr>
            <w:r w:rsidRPr="008A7A70">
              <w:rPr>
                <w:rFonts w:ascii="Arial" w:eastAsia="Times New Roman" w:hAnsi="Arial" w:cs="Arial"/>
                <w:kern w:val="0"/>
                <w:sz w:val="18"/>
                <w:szCs w:val="18"/>
                <w:lang w:val="de-DE" w:eastAsia="en-GB"/>
                <w14:ligatures w14:val="none"/>
              </w:rPr>
              <w:t>Minimum EROI solar and wind technologies</w:t>
            </w:r>
          </w:p>
        </w:tc>
        <w:tc>
          <w:tcPr>
            <w:tcW w:w="3754" w:type="pct"/>
            <w:gridSpan w:val="4"/>
            <w:tcBorders>
              <w:top w:val="single" w:sz="8" w:space="0" w:color="44546A"/>
              <w:left w:val="single" w:sz="8" w:space="0" w:color="44546A"/>
              <w:bottom w:val="nil"/>
              <w:right w:val="nil"/>
            </w:tcBorders>
            <w:shd w:val="clear" w:color="000000" w:fill="E6E7E8"/>
            <w:vAlign w:val="center"/>
            <w:hideMark/>
          </w:tcPr>
          <w:p w14:paraId="1ECFDDC8"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Low</w:t>
            </w:r>
          </w:p>
        </w:tc>
      </w:tr>
      <w:tr w:rsidR="007021C0" w:rsidRPr="00CD6678" w14:paraId="2DD7FE98" w14:textId="77777777" w:rsidTr="001335E8">
        <w:trPr>
          <w:trHeight w:val="285"/>
        </w:trPr>
        <w:tc>
          <w:tcPr>
            <w:tcW w:w="1246" w:type="pct"/>
            <w:vMerge/>
            <w:tcBorders>
              <w:top w:val="single" w:sz="8" w:space="0" w:color="23478F"/>
              <w:left w:val="single" w:sz="8" w:space="0" w:color="23478F"/>
              <w:bottom w:val="nil"/>
              <w:right w:val="nil"/>
            </w:tcBorders>
            <w:vAlign w:val="center"/>
            <w:hideMark/>
          </w:tcPr>
          <w:p w14:paraId="59FC2513" w14:textId="77777777" w:rsidR="007021C0" w:rsidRPr="00CD6678" w:rsidRDefault="007021C0" w:rsidP="001335E8">
            <w:pPr>
              <w:spacing w:after="0" w:line="240" w:lineRule="auto"/>
              <w:rPr>
                <w:rFonts w:ascii="Arial" w:eastAsia="Times New Roman" w:hAnsi="Arial" w:cs="Arial"/>
                <w:kern w:val="0"/>
                <w:sz w:val="18"/>
                <w:szCs w:val="18"/>
                <w:lang w:eastAsia="en-GB"/>
                <w14:ligatures w14:val="none"/>
              </w:rPr>
            </w:pPr>
          </w:p>
        </w:tc>
        <w:tc>
          <w:tcPr>
            <w:tcW w:w="3754" w:type="pct"/>
            <w:gridSpan w:val="4"/>
            <w:tcBorders>
              <w:top w:val="nil"/>
              <w:left w:val="single" w:sz="8" w:space="0" w:color="44546A"/>
              <w:bottom w:val="nil"/>
              <w:right w:val="nil"/>
            </w:tcBorders>
            <w:shd w:val="clear" w:color="000000" w:fill="E6E7E8"/>
            <w:vAlign w:val="center"/>
            <w:hideMark/>
          </w:tcPr>
          <w:p w14:paraId="3927258A"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Medium</w:t>
            </w:r>
          </w:p>
        </w:tc>
      </w:tr>
      <w:tr w:rsidR="007021C0" w:rsidRPr="00CD6678" w14:paraId="4E7E1FAC" w14:textId="77777777" w:rsidTr="001335E8">
        <w:trPr>
          <w:trHeight w:val="285"/>
        </w:trPr>
        <w:tc>
          <w:tcPr>
            <w:tcW w:w="1246" w:type="pct"/>
            <w:vMerge/>
            <w:tcBorders>
              <w:top w:val="single" w:sz="8" w:space="0" w:color="23478F"/>
              <w:left w:val="single" w:sz="8" w:space="0" w:color="23478F"/>
              <w:bottom w:val="nil"/>
              <w:right w:val="nil"/>
            </w:tcBorders>
            <w:vAlign w:val="center"/>
            <w:hideMark/>
          </w:tcPr>
          <w:p w14:paraId="524ED06E" w14:textId="77777777" w:rsidR="007021C0" w:rsidRPr="00CD6678" w:rsidRDefault="007021C0" w:rsidP="001335E8">
            <w:pPr>
              <w:spacing w:after="0" w:line="240" w:lineRule="auto"/>
              <w:rPr>
                <w:rFonts w:ascii="Arial" w:eastAsia="Times New Roman" w:hAnsi="Arial" w:cs="Arial"/>
                <w:kern w:val="0"/>
                <w:sz w:val="18"/>
                <w:szCs w:val="18"/>
                <w:lang w:eastAsia="en-GB"/>
                <w14:ligatures w14:val="none"/>
              </w:rPr>
            </w:pPr>
          </w:p>
        </w:tc>
        <w:tc>
          <w:tcPr>
            <w:tcW w:w="3754" w:type="pct"/>
            <w:gridSpan w:val="4"/>
            <w:tcBorders>
              <w:top w:val="nil"/>
              <w:left w:val="single" w:sz="8" w:space="0" w:color="44546A"/>
              <w:bottom w:val="single" w:sz="8" w:space="0" w:color="44546A"/>
              <w:right w:val="nil"/>
            </w:tcBorders>
            <w:shd w:val="clear" w:color="000000" w:fill="E6E7E8"/>
            <w:vAlign w:val="center"/>
            <w:hideMark/>
          </w:tcPr>
          <w:p w14:paraId="349EE32E"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High</w:t>
            </w:r>
          </w:p>
        </w:tc>
      </w:tr>
      <w:tr w:rsidR="007021C0" w:rsidRPr="00CD6678" w14:paraId="74A5F425" w14:textId="77777777" w:rsidTr="001335E8">
        <w:trPr>
          <w:trHeight w:val="285"/>
        </w:trPr>
        <w:tc>
          <w:tcPr>
            <w:tcW w:w="1246" w:type="pct"/>
            <w:vMerge w:val="restart"/>
            <w:tcBorders>
              <w:top w:val="single" w:sz="8" w:space="0" w:color="23478F"/>
              <w:left w:val="single" w:sz="8" w:space="0" w:color="23478F"/>
              <w:bottom w:val="nil"/>
              <w:right w:val="nil"/>
            </w:tcBorders>
            <w:shd w:val="clear" w:color="000000" w:fill="6B90DB"/>
            <w:vAlign w:val="center"/>
            <w:hideMark/>
          </w:tcPr>
          <w:p w14:paraId="5791D9A8"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Climate</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change</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impacts</w:t>
            </w:r>
            <w:proofErr w:type="spellEnd"/>
          </w:p>
        </w:tc>
        <w:tc>
          <w:tcPr>
            <w:tcW w:w="3754" w:type="pct"/>
            <w:gridSpan w:val="4"/>
            <w:tcBorders>
              <w:top w:val="single" w:sz="8" w:space="0" w:color="44546A"/>
              <w:left w:val="single" w:sz="8" w:space="0" w:color="44546A"/>
              <w:bottom w:val="nil"/>
              <w:right w:val="nil"/>
            </w:tcBorders>
            <w:shd w:val="clear" w:color="000000" w:fill="BFCFEF"/>
            <w:vAlign w:val="center"/>
            <w:hideMark/>
          </w:tcPr>
          <w:p w14:paraId="1157E983"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No</w:t>
            </w:r>
          </w:p>
        </w:tc>
      </w:tr>
      <w:tr w:rsidR="007021C0" w:rsidRPr="00CD6678" w14:paraId="2C4185C9" w14:textId="77777777" w:rsidTr="001335E8">
        <w:trPr>
          <w:trHeight w:val="285"/>
        </w:trPr>
        <w:tc>
          <w:tcPr>
            <w:tcW w:w="1246" w:type="pct"/>
            <w:vMerge/>
            <w:tcBorders>
              <w:top w:val="single" w:sz="8" w:space="0" w:color="23478F"/>
              <w:left w:val="single" w:sz="8" w:space="0" w:color="23478F"/>
              <w:bottom w:val="nil"/>
              <w:right w:val="nil"/>
            </w:tcBorders>
            <w:vAlign w:val="center"/>
            <w:hideMark/>
          </w:tcPr>
          <w:p w14:paraId="1D941A11" w14:textId="77777777" w:rsidR="007021C0" w:rsidRPr="00CD6678" w:rsidRDefault="007021C0" w:rsidP="001335E8">
            <w:pPr>
              <w:spacing w:after="0" w:line="240" w:lineRule="auto"/>
              <w:rPr>
                <w:rFonts w:ascii="Arial" w:eastAsia="Times New Roman" w:hAnsi="Arial" w:cs="Arial"/>
                <w:color w:val="000000"/>
                <w:kern w:val="0"/>
                <w:sz w:val="18"/>
                <w:szCs w:val="18"/>
                <w:lang w:eastAsia="en-GB"/>
                <w14:ligatures w14:val="none"/>
              </w:rPr>
            </w:pPr>
          </w:p>
        </w:tc>
        <w:tc>
          <w:tcPr>
            <w:tcW w:w="3754" w:type="pct"/>
            <w:gridSpan w:val="4"/>
            <w:tcBorders>
              <w:top w:val="nil"/>
              <w:left w:val="single" w:sz="8" w:space="0" w:color="44546A"/>
              <w:bottom w:val="single" w:sz="8" w:space="0" w:color="44546A"/>
              <w:right w:val="nil"/>
            </w:tcBorders>
            <w:shd w:val="clear" w:color="000000" w:fill="BFCFEF"/>
            <w:vAlign w:val="center"/>
            <w:hideMark/>
          </w:tcPr>
          <w:p w14:paraId="55B8C3EF"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Yes</w:t>
            </w:r>
          </w:p>
        </w:tc>
      </w:tr>
    </w:tbl>
    <w:p w14:paraId="68B64151" w14:textId="77777777" w:rsidR="007021C0" w:rsidRDefault="007021C0" w:rsidP="007021C0">
      <w:pPr>
        <w:spacing w:before="120" w:after="0" w:line="300" w:lineRule="atLeast"/>
        <w:jc w:val="both"/>
        <w:rPr>
          <w:b/>
          <w:bCs/>
        </w:rPr>
      </w:pPr>
    </w:p>
    <w:p w14:paraId="175AF9D2" w14:textId="428CAEE8" w:rsidR="0063109C" w:rsidRPr="0090751A" w:rsidRDefault="0063109C" w:rsidP="00467C8F">
      <w:pPr>
        <w:pStyle w:val="Descripcin"/>
        <w:keepNext/>
        <w:jc w:val="center"/>
        <w:rPr>
          <w:b/>
          <w:bCs/>
          <w:lang w:val="en-GB"/>
        </w:rPr>
      </w:pPr>
      <w:bookmarkStart w:id="4" w:name="_Ref221534124"/>
      <w:r w:rsidRPr="00467C8F">
        <w:rPr>
          <w:b/>
          <w:bCs/>
          <w:i w:val="0"/>
          <w:iCs w:val="0"/>
          <w:color w:val="auto"/>
          <w:sz w:val="20"/>
          <w:szCs w:val="20"/>
          <w:lang w:val="en-GB"/>
        </w:rPr>
        <w:t>Table S</w:t>
      </w:r>
      <w:r w:rsidRPr="00467C8F">
        <w:rPr>
          <w:b/>
          <w:bCs/>
          <w:i w:val="0"/>
          <w:iCs w:val="0"/>
          <w:color w:val="auto"/>
          <w:sz w:val="20"/>
          <w:szCs w:val="20"/>
          <w:lang w:val="en-GB"/>
        </w:rPr>
        <w:fldChar w:fldCharType="begin"/>
      </w:r>
      <w:r w:rsidRPr="00467C8F">
        <w:rPr>
          <w:b/>
          <w:bCs/>
          <w:i w:val="0"/>
          <w:iCs w:val="0"/>
          <w:color w:val="auto"/>
          <w:sz w:val="20"/>
          <w:szCs w:val="20"/>
          <w:lang w:val="en-GB"/>
        </w:rPr>
        <w:instrText xml:space="preserve"> SEQ Table_S \* ARABIC </w:instrText>
      </w:r>
      <w:r w:rsidRPr="00467C8F">
        <w:rPr>
          <w:b/>
          <w:bCs/>
          <w:i w:val="0"/>
          <w:iCs w:val="0"/>
          <w:color w:val="auto"/>
          <w:sz w:val="20"/>
          <w:szCs w:val="20"/>
          <w:lang w:val="en-GB"/>
        </w:rPr>
        <w:fldChar w:fldCharType="separate"/>
      </w:r>
      <w:r w:rsidR="00C26182">
        <w:rPr>
          <w:b/>
          <w:bCs/>
          <w:i w:val="0"/>
          <w:iCs w:val="0"/>
          <w:noProof/>
          <w:color w:val="auto"/>
          <w:sz w:val="20"/>
          <w:szCs w:val="20"/>
          <w:lang w:val="en-GB"/>
        </w:rPr>
        <w:t>2</w:t>
      </w:r>
      <w:r w:rsidRPr="00467C8F">
        <w:rPr>
          <w:b/>
          <w:bCs/>
          <w:i w:val="0"/>
          <w:iCs w:val="0"/>
          <w:color w:val="auto"/>
          <w:sz w:val="20"/>
          <w:szCs w:val="20"/>
          <w:lang w:val="en-GB"/>
        </w:rPr>
        <w:fldChar w:fldCharType="end"/>
      </w:r>
      <w:bookmarkEnd w:id="4"/>
      <w:r w:rsidR="00467C8F" w:rsidRPr="00467C8F">
        <w:rPr>
          <w:b/>
          <w:bCs/>
          <w:i w:val="0"/>
          <w:iCs w:val="0"/>
          <w:color w:val="auto"/>
          <w:sz w:val="20"/>
          <w:szCs w:val="20"/>
          <w:lang w:val="en-GB"/>
        </w:rPr>
        <w:t>. Description of policies behind attributes of scenarios.</w:t>
      </w:r>
    </w:p>
    <w:tbl>
      <w:tblPr>
        <w:tblW w:w="5000" w:type="pct"/>
        <w:tblCellMar>
          <w:top w:w="15" w:type="dxa"/>
          <w:bottom w:w="15" w:type="dxa"/>
        </w:tblCellMar>
        <w:tblLook w:val="04A0" w:firstRow="1" w:lastRow="0" w:firstColumn="1" w:lastColumn="0" w:noHBand="0" w:noVBand="1"/>
      </w:tblPr>
      <w:tblGrid>
        <w:gridCol w:w="2834"/>
        <w:gridCol w:w="1975"/>
        <w:gridCol w:w="2151"/>
        <w:gridCol w:w="2325"/>
        <w:gridCol w:w="4709"/>
      </w:tblGrid>
      <w:tr w:rsidR="007021C0" w:rsidRPr="00CD6678" w14:paraId="754CBFB2" w14:textId="77777777" w:rsidTr="0063109C">
        <w:trPr>
          <w:trHeight w:val="480"/>
        </w:trPr>
        <w:tc>
          <w:tcPr>
            <w:tcW w:w="1013" w:type="pct"/>
            <w:tcBorders>
              <w:top w:val="single" w:sz="8" w:space="0" w:color="23478F"/>
              <w:left w:val="single" w:sz="8" w:space="0" w:color="23478F"/>
              <w:bottom w:val="nil"/>
              <w:right w:val="single" w:sz="8" w:space="0" w:color="23478F"/>
            </w:tcBorders>
            <w:shd w:val="clear" w:color="000000" w:fill="23478F"/>
            <w:vAlign w:val="center"/>
            <w:hideMark/>
          </w:tcPr>
          <w:p w14:paraId="6D44CF12" w14:textId="77777777" w:rsidR="007021C0" w:rsidRPr="00CD6678" w:rsidRDefault="007021C0" w:rsidP="001335E8">
            <w:pPr>
              <w:spacing w:after="0" w:line="240" w:lineRule="auto"/>
              <w:jc w:val="center"/>
              <w:rPr>
                <w:rFonts w:ascii="Arial" w:eastAsia="Times New Roman" w:hAnsi="Arial" w:cs="Arial"/>
                <w:b/>
                <w:bCs/>
                <w:color w:val="FFFFFF"/>
                <w:kern w:val="0"/>
                <w:sz w:val="18"/>
                <w:szCs w:val="18"/>
                <w:lang w:eastAsia="en-GB"/>
                <w14:ligatures w14:val="none"/>
              </w:rPr>
            </w:pPr>
            <w:proofErr w:type="spellStart"/>
            <w:r w:rsidRPr="00CD6678">
              <w:rPr>
                <w:rFonts w:ascii="Arial" w:eastAsia="Times New Roman" w:hAnsi="Arial" w:cs="Arial"/>
                <w:b/>
                <w:bCs/>
                <w:color w:val="FFFFFF"/>
                <w:kern w:val="0"/>
                <w:sz w:val="18"/>
                <w:szCs w:val="18"/>
                <w:lang w:eastAsia="en-GB"/>
                <w14:ligatures w14:val="none"/>
              </w:rPr>
              <w:t>Attributes</w:t>
            </w:r>
            <w:proofErr w:type="spellEnd"/>
          </w:p>
        </w:tc>
        <w:tc>
          <w:tcPr>
            <w:tcW w:w="706" w:type="pct"/>
            <w:tcBorders>
              <w:top w:val="single" w:sz="8" w:space="0" w:color="23478F"/>
              <w:left w:val="nil"/>
              <w:bottom w:val="nil"/>
              <w:right w:val="single" w:sz="8" w:space="0" w:color="23478F"/>
            </w:tcBorders>
            <w:shd w:val="clear" w:color="000000" w:fill="23478F"/>
            <w:vAlign w:val="center"/>
            <w:hideMark/>
          </w:tcPr>
          <w:p w14:paraId="03C8D5C9" w14:textId="77777777" w:rsidR="007021C0" w:rsidRPr="00CD6678" w:rsidRDefault="007021C0" w:rsidP="001335E8">
            <w:pPr>
              <w:spacing w:after="0" w:line="240" w:lineRule="auto"/>
              <w:jc w:val="center"/>
              <w:rPr>
                <w:rFonts w:ascii="Arial" w:eastAsia="Times New Roman" w:hAnsi="Arial" w:cs="Arial"/>
                <w:b/>
                <w:bCs/>
                <w:color w:val="FFFFFF"/>
                <w:kern w:val="0"/>
                <w:sz w:val="18"/>
                <w:szCs w:val="18"/>
                <w:lang w:eastAsia="en-GB"/>
                <w14:ligatures w14:val="none"/>
              </w:rPr>
            </w:pPr>
            <w:r>
              <w:rPr>
                <w:rFonts w:ascii="Arial" w:eastAsia="Times New Roman" w:hAnsi="Arial" w:cs="Arial"/>
                <w:b/>
                <w:bCs/>
                <w:color w:val="FFFFFF"/>
                <w:kern w:val="0"/>
                <w:sz w:val="18"/>
                <w:szCs w:val="18"/>
                <w:lang w:eastAsia="en-GB"/>
                <w14:ligatures w14:val="none"/>
              </w:rPr>
              <w:t>Narrative</w:t>
            </w:r>
            <w:r w:rsidRPr="00CD6678">
              <w:rPr>
                <w:rFonts w:ascii="Arial" w:eastAsia="Times New Roman" w:hAnsi="Arial" w:cs="Arial"/>
                <w:b/>
                <w:bCs/>
                <w:color w:val="FFFFFF"/>
                <w:kern w:val="0"/>
                <w:sz w:val="18"/>
                <w:szCs w:val="18"/>
                <w:lang w:eastAsia="en-GB"/>
                <w14:ligatures w14:val="none"/>
              </w:rPr>
              <w:t xml:space="preserve"> 1 - </w:t>
            </w:r>
            <w:proofErr w:type="spellStart"/>
            <w:r w:rsidRPr="00CD6678">
              <w:rPr>
                <w:rFonts w:ascii="Arial" w:eastAsia="Times New Roman" w:hAnsi="Arial" w:cs="Arial"/>
                <w:b/>
                <w:bCs/>
                <w:color w:val="FFFFFF"/>
                <w:kern w:val="0"/>
                <w:sz w:val="18"/>
                <w:szCs w:val="18"/>
                <w:lang w:eastAsia="en-GB"/>
                <w14:ligatures w14:val="none"/>
              </w:rPr>
              <w:t>technology</w:t>
            </w:r>
            <w:proofErr w:type="spellEnd"/>
            <w:r w:rsidRPr="00CD6678">
              <w:rPr>
                <w:rFonts w:ascii="Arial" w:eastAsia="Times New Roman" w:hAnsi="Arial" w:cs="Arial"/>
                <w:b/>
                <w:bCs/>
                <w:color w:val="FFFFFF"/>
                <w:kern w:val="0"/>
                <w:sz w:val="18"/>
                <w:szCs w:val="18"/>
                <w:lang w:eastAsia="en-GB"/>
                <w14:ligatures w14:val="none"/>
              </w:rPr>
              <w:t xml:space="preserve">-led </w:t>
            </w:r>
            <w:proofErr w:type="spellStart"/>
            <w:r w:rsidRPr="00CD6678">
              <w:rPr>
                <w:rFonts w:ascii="Arial" w:eastAsia="Times New Roman" w:hAnsi="Arial" w:cs="Arial"/>
                <w:b/>
                <w:bCs/>
                <w:color w:val="FFFFFF"/>
                <w:kern w:val="0"/>
                <w:sz w:val="18"/>
                <w:szCs w:val="18"/>
                <w:lang w:eastAsia="en-GB"/>
                <w14:ligatures w14:val="none"/>
              </w:rPr>
              <w:t>decarbonisation</w:t>
            </w:r>
            <w:proofErr w:type="spellEnd"/>
          </w:p>
        </w:tc>
        <w:tc>
          <w:tcPr>
            <w:tcW w:w="769" w:type="pct"/>
            <w:tcBorders>
              <w:top w:val="single" w:sz="8" w:space="0" w:color="23478F"/>
              <w:left w:val="nil"/>
              <w:bottom w:val="nil"/>
              <w:right w:val="single" w:sz="8" w:space="0" w:color="23478F"/>
            </w:tcBorders>
            <w:shd w:val="clear" w:color="000000" w:fill="23478F"/>
            <w:vAlign w:val="center"/>
            <w:hideMark/>
          </w:tcPr>
          <w:p w14:paraId="4ABE3764" w14:textId="77777777" w:rsidR="007021C0" w:rsidRPr="00CD6678" w:rsidRDefault="007021C0" w:rsidP="001335E8">
            <w:pPr>
              <w:spacing w:after="0" w:line="240" w:lineRule="auto"/>
              <w:jc w:val="center"/>
              <w:rPr>
                <w:rFonts w:ascii="Arial" w:eastAsia="Times New Roman" w:hAnsi="Arial" w:cs="Arial"/>
                <w:b/>
                <w:bCs/>
                <w:color w:val="FFFFFF"/>
                <w:kern w:val="0"/>
                <w:sz w:val="18"/>
                <w:szCs w:val="18"/>
                <w:lang w:eastAsia="en-GB"/>
                <w14:ligatures w14:val="none"/>
              </w:rPr>
            </w:pPr>
            <w:r>
              <w:rPr>
                <w:rFonts w:ascii="Arial" w:eastAsia="Times New Roman" w:hAnsi="Arial" w:cs="Arial"/>
                <w:b/>
                <w:bCs/>
                <w:color w:val="FFFFFF"/>
                <w:kern w:val="0"/>
                <w:sz w:val="18"/>
                <w:szCs w:val="18"/>
                <w:lang w:eastAsia="en-GB"/>
                <w14:ligatures w14:val="none"/>
              </w:rPr>
              <w:t>Narrative</w:t>
            </w:r>
            <w:r w:rsidRPr="00CD6678">
              <w:rPr>
                <w:rFonts w:ascii="Arial" w:eastAsia="Times New Roman" w:hAnsi="Arial" w:cs="Arial"/>
                <w:b/>
                <w:bCs/>
                <w:color w:val="FFFFFF"/>
                <w:kern w:val="0"/>
                <w:sz w:val="18"/>
                <w:szCs w:val="18"/>
                <w:lang w:eastAsia="en-GB"/>
                <w14:ligatures w14:val="none"/>
              </w:rPr>
              <w:t xml:space="preserve"> 2 - </w:t>
            </w:r>
            <w:proofErr w:type="spellStart"/>
            <w:r w:rsidRPr="00CD6678">
              <w:rPr>
                <w:rFonts w:ascii="Arial" w:eastAsia="Times New Roman" w:hAnsi="Arial" w:cs="Arial"/>
                <w:b/>
                <w:bCs/>
                <w:color w:val="FFFFFF"/>
                <w:kern w:val="0"/>
                <w:sz w:val="18"/>
                <w:szCs w:val="18"/>
                <w:lang w:eastAsia="en-GB"/>
                <w14:ligatures w14:val="none"/>
              </w:rPr>
              <w:t>reduction</w:t>
            </w:r>
            <w:proofErr w:type="spellEnd"/>
            <w:r w:rsidRPr="00CD6678">
              <w:rPr>
                <w:rFonts w:ascii="Arial" w:eastAsia="Times New Roman" w:hAnsi="Arial" w:cs="Arial"/>
                <w:b/>
                <w:bCs/>
                <w:color w:val="FFFFFF"/>
                <w:kern w:val="0"/>
                <w:sz w:val="18"/>
                <w:szCs w:val="18"/>
                <w:lang w:eastAsia="en-GB"/>
                <w14:ligatures w14:val="none"/>
              </w:rPr>
              <w:t xml:space="preserve"> in </w:t>
            </w:r>
            <w:proofErr w:type="spellStart"/>
            <w:r w:rsidRPr="00CD6678">
              <w:rPr>
                <w:rFonts w:ascii="Arial" w:eastAsia="Times New Roman" w:hAnsi="Arial" w:cs="Arial"/>
                <w:b/>
                <w:bCs/>
                <w:color w:val="FFFFFF"/>
                <w:kern w:val="0"/>
                <w:sz w:val="18"/>
                <w:szCs w:val="18"/>
                <w:lang w:eastAsia="en-GB"/>
                <w14:ligatures w14:val="none"/>
              </w:rPr>
              <w:t>consumption</w:t>
            </w:r>
            <w:proofErr w:type="spellEnd"/>
          </w:p>
        </w:tc>
        <w:tc>
          <w:tcPr>
            <w:tcW w:w="831" w:type="pct"/>
            <w:tcBorders>
              <w:top w:val="single" w:sz="8" w:space="0" w:color="23478F"/>
              <w:left w:val="nil"/>
              <w:bottom w:val="nil"/>
              <w:right w:val="single" w:sz="8" w:space="0" w:color="23478F"/>
            </w:tcBorders>
            <w:shd w:val="clear" w:color="000000" w:fill="23478F"/>
            <w:vAlign w:val="center"/>
            <w:hideMark/>
          </w:tcPr>
          <w:p w14:paraId="7E5FDA15" w14:textId="77777777" w:rsidR="007021C0" w:rsidRPr="00CD6678" w:rsidRDefault="007021C0" w:rsidP="001335E8">
            <w:pPr>
              <w:spacing w:after="0" w:line="240" w:lineRule="auto"/>
              <w:jc w:val="center"/>
              <w:rPr>
                <w:rFonts w:ascii="Arial" w:eastAsia="Times New Roman" w:hAnsi="Arial" w:cs="Arial"/>
                <w:b/>
                <w:bCs/>
                <w:color w:val="FFFFFF"/>
                <w:kern w:val="0"/>
                <w:sz w:val="18"/>
                <w:szCs w:val="18"/>
                <w:lang w:eastAsia="en-GB"/>
                <w14:ligatures w14:val="none"/>
              </w:rPr>
            </w:pPr>
            <w:r>
              <w:rPr>
                <w:rFonts w:ascii="Arial" w:eastAsia="Times New Roman" w:hAnsi="Arial" w:cs="Arial"/>
                <w:b/>
                <w:bCs/>
                <w:color w:val="FFFFFF"/>
                <w:kern w:val="0"/>
                <w:sz w:val="18"/>
                <w:szCs w:val="18"/>
                <w:lang w:eastAsia="en-GB"/>
                <w14:ligatures w14:val="none"/>
              </w:rPr>
              <w:t>Narrative</w:t>
            </w:r>
            <w:r w:rsidRPr="00CD6678">
              <w:rPr>
                <w:rFonts w:ascii="Arial" w:eastAsia="Times New Roman" w:hAnsi="Arial" w:cs="Arial"/>
                <w:b/>
                <w:bCs/>
                <w:color w:val="FFFFFF"/>
                <w:kern w:val="0"/>
                <w:sz w:val="18"/>
                <w:szCs w:val="18"/>
                <w:lang w:eastAsia="en-GB"/>
                <w14:ligatures w14:val="none"/>
              </w:rPr>
              <w:t xml:space="preserve"> 3 - </w:t>
            </w:r>
            <w:proofErr w:type="spellStart"/>
            <w:r w:rsidRPr="00CD6678">
              <w:rPr>
                <w:rFonts w:ascii="Arial" w:eastAsia="Times New Roman" w:hAnsi="Arial" w:cs="Arial"/>
                <w:b/>
                <w:bCs/>
                <w:color w:val="FFFFFF"/>
                <w:kern w:val="0"/>
                <w:sz w:val="18"/>
                <w:szCs w:val="18"/>
                <w:lang w:eastAsia="en-GB"/>
                <w14:ligatures w14:val="none"/>
              </w:rPr>
              <w:t>increase</w:t>
            </w:r>
            <w:proofErr w:type="spellEnd"/>
            <w:r w:rsidRPr="00CD6678">
              <w:rPr>
                <w:rFonts w:ascii="Arial" w:eastAsia="Times New Roman" w:hAnsi="Arial" w:cs="Arial"/>
                <w:b/>
                <w:bCs/>
                <w:color w:val="FFFFFF"/>
                <w:kern w:val="0"/>
                <w:sz w:val="18"/>
                <w:szCs w:val="18"/>
                <w:lang w:eastAsia="en-GB"/>
                <w14:ligatures w14:val="none"/>
              </w:rPr>
              <w:t xml:space="preserve"> in </w:t>
            </w:r>
            <w:proofErr w:type="spellStart"/>
            <w:r w:rsidRPr="00CD6678">
              <w:rPr>
                <w:rFonts w:ascii="Arial" w:eastAsia="Times New Roman" w:hAnsi="Arial" w:cs="Arial"/>
                <w:b/>
                <w:bCs/>
                <w:color w:val="FFFFFF"/>
                <w:kern w:val="0"/>
                <w:sz w:val="18"/>
                <w:szCs w:val="18"/>
                <w:lang w:eastAsia="en-GB"/>
                <w14:ligatures w14:val="none"/>
              </w:rPr>
              <w:t>carbon</w:t>
            </w:r>
            <w:proofErr w:type="spellEnd"/>
            <w:r w:rsidRPr="00CD6678">
              <w:rPr>
                <w:rFonts w:ascii="Arial" w:eastAsia="Times New Roman" w:hAnsi="Arial" w:cs="Arial"/>
                <w:b/>
                <w:bCs/>
                <w:color w:val="FFFFFF"/>
                <w:kern w:val="0"/>
                <w:sz w:val="18"/>
                <w:szCs w:val="18"/>
                <w:lang w:eastAsia="en-GB"/>
                <w14:ligatures w14:val="none"/>
              </w:rPr>
              <w:t xml:space="preserve"> </w:t>
            </w:r>
            <w:proofErr w:type="spellStart"/>
            <w:r w:rsidRPr="00CD6678">
              <w:rPr>
                <w:rFonts w:ascii="Arial" w:eastAsia="Times New Roman" w:hAnsi="Arial" w:cs="Arial"/>
                <w:b/>
                <w:bCs/>
                <w:color w:val="FFFFFF"/>
                <w:kern w:val="0"/>
                <w:sz w:val="18"/>
                <w:szCs w:val="18"/>
                <w:lang w:eastAsia="en-GB"/>
                <w14:ligatures w14:val="none"/>
              </w:rPr>
              <w:t>sinks</w:t>
            </w:r>
            <w:proofErr w:type="spellEnd"/>
          </w:p>
        </w:tc>
        <w:tc>
          <w:tcPr>
            <w:tcW w:w="1683" w:type="pct"/>
            <w:tcBorders>
              <w:top w:val="nil"/>
              <w:left w:val="nil"/>
              <w:bottom w:val="nil"/>
              <w:right w:val="nil"/>
            </w:tcBorders>
            <w:shd w:val="clear" w:color="000000" w:fill="23478F"/>
            <w:vAlign w:val="center"/>
            <w:hideMark/>
          </w:tcPr>
          <w:p w14:paraId="3E3E40E7" w14:textId="77777777" w:rsidR="007021C0" w:rsidRPr="00CD6678" w:rsidRDefault="007021C0" w:rsidP="001335E8">
            <w:pPr>
              <w:spacing w:after="0" w:line="240" w:lineRule="auto"/>
              <w:jc w:val="center"/>
              <w:rPr>
                <w:rFonts w:ascii="Arial" w:eastAsia="Times New Roman" w:hAnsi="Arial" w:cs="Arial"/>
                <w:b/>
                <w:bCs/>
                <w:color w:val="FFFFFF"/>
                <w:kern w:val="0"/>
                <w:sz w:val="18"/>
                <w:szCs w:val="18"/>
                <w:lang w:eastAsia="en-GB"/>
                <w14:ligatures w14:val="none"/>
              </w:rPr>
            </w:pPr>
            <w:r>
              <w:rPr>
                <w:rFonts w:ascii="Arial" w:eastAsia="Times New Roman" w:hAnsi="Arial" w:cs="Arial"/>
                <w:b/>
                <w:bCs/>
                <w:color w:val="FFFFFF"/>
                <w:kern w:val="0"/>
                <w:sz w:val="18"/>
                <w:szCs w:val="18"/>
                <w:lang w:eastAsia="en-GB"/>
                <w14:ligatures w14:val="none"/>
              </w:rPr>
              <w:t>Narrative</w:t>
            </w:r>
            <w:r w:rsidRPr="00CD6678">
              <w:rPr>
                <w:rFonts w:ascii="Arial" w:eastAsia="Times New Roman" w:hAnsi="Arial" w:cs="Arial"/>
                <w:b/>
                <w:bCs/>
                <w:color w:val="FFFFFF"/>
                <w:kern w:val="0"/>
                <w:sz w:val="18"/>
                <w:szCs w:val="18"/>
                <w:lang w:eastAsia="en-GB"/>
                <w14:ligatures w14:val="none"/>
              </w:rPr>
              <w:t xml:space="preserve"> 4 - </w:t>
            </w:r>
            <w:proofErr w:type="spellStart"/>
            <w:r w:rsidRPr="00CD6678">
              <w:rPr>
                <w:rFonts w:ascii="Arial" w:eastAsia="Times New Roman" w:hAnsi="Arial" w:cs="Arial"/>
                <w:b/>
                <w:bCs/>
                <w:color w:val="FFFFFF"/>
                <w:kern w:val="0"/>
                <w:sz w:val="18"/>
                <w:szCs w:val="18"/>
                <w:lang w:eastAsia="en-GB"/>
                <w14:ligatures w14:val="none"/>
              </w:rPr>
              <w:t>mixed</w:t>
            </w:r>
            <w:proofErr w:type="spellEnd"/>
            <w:r w:rsidRPr="00CD6678">
              <w:rPr>
                <w:rFonts w:ascii="Arial" w:eastAsia="Times New Roman" w:hAnsi="Arial" w:cs="Arial"/>
                <w:b/>
                <w:bCs/>
                <w:color w:val="FFFFFF"/>
                <w:kern w:val="0"/>
                <w:sz w:val="18"/>
                <w:szCs w:val="18"/>
                <w:lang w:eastAsia="en-GB"/>
                <w14:ligatures w14:val="none"/>
              </w:rPr>
              <w:t xml:space="preserve"> </w:t>
            </w:r>
            <w:proofErr w:type="spellStart"/>
            <w:r w:rsidRPr="00CD6678">
              <w:rPr>
                <w:rFonts w:ascii="Arial" w:eastAsia="Times New Roman" w:hAnsi="Arial" w:cs="Arial"/>
                <w:b/>
                <w:bCs/>
                <w:color w:val="FFFFFF"/>
                <w:kern w:val="0"/>
                <w:sz w:val="18"/>
                <w:szCs w:val="18"/>
                <w:lang w:eastAsia="en-GB"/>
                <w14:ligatures w14:val="none"/>
              </w:rPr>
              <w:t>strategy</w:t>
            </w:r>
            <w:proofErr w:type="spellEnd"/>
          </w:p>
        </w:tc>
      </w:tr>
      <w:tr w:rsidR="007021C0" w:rsidRPr="00BA7017" w14:paraId="7ABB97E1" w14:textId="77777777" w:rsidTr="0063109C">
        <w:trPr>
          <w:trHeight w:val="300"/>
        </w:trPr>
        <w:tc>
          <w:tcPr>
            <w:tcW w:w="1013" w:type="pct"/>
            <w:tcBorders>
              <w:top w:val="nil"/>
              <w:left w:val="single" w:sz="8" w:space="0" w:color="23478F"/>
              <w:bottom w:val="nil"/>
              <w:right w:val="nil"/>
            </w:tcBorders>
            <w:shd w:val="clear" w:color="000000" w:fill="F8CBAD"/>
            <w:vAlign w:val="center"/>
            <w:hideMark/>
          </w:tcPr>
          <w:p w14:paraId="1C631171" w14:textId="77777777" w:rsidR="007021C0" w:rsidRPr="00CD6678" w:rsidRDefault="007021C0" w:rsidP="001335E8">
            <w:pPr>
              <w:spacing w:after="0" w:line="240" w:lineRule="auto"/>
              <w:jc w:val="center"/>
              <w:rPr>
                <w:rFonts w:ascii="Arial" w:eastAsia="Times New Roman" w:hAnsi="Arial" w:cs="Arial"/>
                <w:b/>
                <w:bCs/>
                <w:color w:val="000000"/>
                <w:kern w:val="0"/>
                <w:sz w:val="18"/>
                <w:szCs w:val="18"/>
                <w:lang w:eastAsia="en-GB"/>
                <w14:ligatures w14:val="none"/>
              </w:rPr>
            </w:pPr>
            <w:proofErr w:type="spellStart"/>
            <w:r w:rsidRPr="00CD6678">
              <w:rPr>
                <w:rFonts w:ascii="Arial" w:eastAsia="Times New Roman" w:hAnsi="Arial" w:cs="Arial"/>
                <w:b/>
                <w:bCs/>
                <w:color w:val="000000"/>
                <w:kern w:val="0"/>
                <w:sz w:val="18"/>
                <w:szCs w:val="18"/>
                <w:lang w:eastAsia="en-GB"/>
                <w14:ligatures w14:val="none"/>
              </w:rPr>
              <w:t>Climate</w:t>
            </w:r>
            <w:proofErr w:type="spellEnd"/>
            <w:r w:rsidRPr="00CD6678">
              <w:rPr>
                <w:rFonts w:ascii="Arial" w:eastAsia="Times New Roman" w:hAnsi="Arial" w:cs="Arial"/>
                <w:b/>
                <w:bCs/>
                <w:color w:val="000000"/>
                <w:kern w:val="0"/>
                <w:sz w:val="18"/>
                <w:szCs w:val="18"/>
                <w:lang w:eastAsia="en-GB"/>
                <w14:ligatures w14:val="none"/>
              </w:rPr>
              <w:t xml:space="preserve"> target </w:t>
            </w:r>
            <w:proofErr w:type="spellStart"/>
            <w:r w:rsidRPr="00CD6678">
              <w:rPr>
                <w:rFonts w:ascii="Arial" w:eastAsia="Times New Roman" w:hAnsi="Arial" w:cs="Arial"/>
                <w:b/>
                <w:bCs/>
                <w:color w:val="000000"/>
                <w:kern w:val="0"/>
                <w:sz w:val="18"/>
                <w:szCs w:val="18"/>
                <w:lang w:eastAsia="en-GB"/>
                <w14:ligatures w14:val="none"/>
              </w:rPr>
              <w:t>by</w:t>
            </w:r>
            <w:proofErr w:type="spellEnd"/>
            <w:r w:rsidRPr="00CD6678">
              <w:rPr>
                <w:rFonts w:ascii="Arial" w:eastAsia="Times New Roman" w:hAnsi="Arial" w:cs="Arial"/>
                <w:b/>
                <w:bCs/>
                <w:color w:val="000000"/>
                <w:kern w:val="0"/>
                <w:sz w:val="18"/>
                <w:szCs w:val="18"/>
                <w:lang w:eastAsia="en-GB"/>
                <w14:ligatures w14:val="none"/>
              </w:rPr>
              <w:t xml:space="preserve"> 2050</w:t>
            </w:r>
          </w:p>
        </w:tc>
        <w:tc>
          <w:tcPr>
            <w:tcW w:w="3987" w:type="pct"/>
            <w:gridSpan w:val="4"/>
            <w:tcBorders>
              <w:top w:val="single" w:sz="4" w:space="0" w:color="000000"/>
              <w:left w:val="single" w:sz="4" w:space="0" w:color="000000"/>
              <w:bottom w:val="single" w:sz="4" w:space="0" w:color="000000"/>
              <w:right w:val="nil"/>
            </w:tcBorders>
            <w:shd w:val="clear" w:color="000000" w:fill="F8CBAD"/>
            <w:vAlign w:val="center"/>
            <w:hideMark/>
          </w:tcPr>
          <w:p w14:paraId="1FA0E69B" w14:textId="77777777" w:rsidR="007021C0" w:rsidRPr="00973049" w:rsidRDefault="007021C0" w:rsidP="001335E8">
            <w:pPr>
              <w:spacing w:after="0" w:line="240" w:lineRule="auto"/>
              <w:jc w:val="center"/>
              <w:rPr>
                <w:rFonts w:ascii="Arial" w:eastAsia="Times New Roman" w:hAnsi="Arial" w:cs="Arial"/>
                <w:b/>
                <w:bCs/>
                <w:color w:val="000000"/>
                <w:kern w:val="0"/>
                <w:sz w:val="18"/>
                <w:szCs w:val="18"/>
                <w:lang w:val="en-GB" w:eastAsia="en-GB"/>
                <w14:ligatures w14:val="none"/>
              </w:rPr>
            </w:pPr>
            <w:r w:rsidRPr="00973049">
              <w:rPr>
                <w:rFonts w:ascii="Arial" w:eastAsia="Times New Roman" w:hAnsi="Arial" w:cs="Arial"/>
                <w:b/>
                <w:bCs/>
                <w:color w:val="000000"/>
                <w:kern w:val="0"/>
                <w:sz w:val="18"/>
                <w:szCs w:val="18"/>
                <w:lang w:val="en-GB" w:eastAsia="en-GB"/>
                <w14:ligatures w14:val="none"/>
              </w:rPr>
              <w:t>1.83 ºC by 2050 (standard deviation equal to 0.001 ºC)</w:t>
            </w:r>
          </w:p>
        </w:tc>
      </w:tr>
      <w:tr w:rsidR="007021C0" w:rsidRPr="00CD6678" w14:paraId="6E883FC3" w14:textId="77777777" w:rsidTr="001335E8">
        <w:trPr>
          <w:trHeight w:val="285"/>
        </w:trPr>
        <w:tc>
          <w:tcPr>
            <w:tcW w:w="5000" w:type="pct"/>
            <w:gridSpan w:val="5"/>
            <w:tcBorders>
              <w:top w:val="nil"/>
              <w:left w:val="single" w:sz="8" w:space="0" w:color="23478F"/>
              <w:bottom w:val="nil"/>
              <w:right w:val="nil"/>
            </w:tcBorders>
            <w:shd w:val="clear" w:color="000000" w:fill="6B90DB"/>
            <w:vAlign w:val="center"/>
            <w:hideMark/>
          </w:tcPr>
          <w:p w14:paraId="09BE8F33" w14:textId="77777777" w:rsidR="007021C0" w:rsidRPr="00CD6678" w:rsidRDefault="007021C0" w:rsidP="001335E8">
            <w:pPr>
              <w:spacing w:after="0" w:line="240" w:lineRule="auto"/>
              <w:jc w:val="center"/>
              <w:rPr>
                <w:rFonts w:ascii="Arial" w:eastAsia="Times New Roman" w:hAnsi="Arial" w:cs="Arial"/>
                <w:b/>
                <w:bCs/>
                <w:color w:val="000000"/>
                <w:kern w:val="0"/>
                <w:sz w:val="18"/>
                <w:szCs w:val="18"/>
                <w:lang w:eastAsia="en-GB"/>
                <w14:ligatures w14:val="none"/>
              </w:rPr>
            </w:pPr>
            <w:proofErr w:type="spellStart"/>
            <w:r w:rsidRPr="00CD6678">
              <w:rPr>
                <w:rFonts w:ascii="Arial" w:eastAsia="Times New Roman" w:hAnsi="Arial" w:cs="Arial"/>
                <w:b/>
                <w:bCs/>
                <w:color w:val="000000"/>
                <w:kern w:val="0"/>
                <w:sz w:val="18"/>
                <w:szCs w:val="18"/>
                <w:lang w:eastAsia="en-GB"/>
                <w14:ligatures w14:val="none"/>
              </w:rPr>
              <w:t>Demography</w:t>
            </w:r>
            <w:proofErr w:type="spellEnd"/>
          </w:p>
        </w:tc>
      </w:tr>
      <w:tr w:rsidR="007021C0" w:rsidRPr="00BA7017" w14:paraId="688B7C47" w14:textId="77777777" w:rsidTr="0063109C">
        <w:trPr>
          <w:trHeight w:val="300"/>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7C030A6E"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Mortality</w:t>
            </w:r>
            <w:proofErr w:type="spellEnd"/>
          </w:p>
        </w:tc>
        <w:tc>
          <w:tcPr>
            <w:tcW w:w="3987" w:type="pct"/>
            <w:gridSpan w:val="4"/>
            <w:tcBorders>
              <w:top w:val="nil"/>
              <w:left w:val="single" w:sz="8" w:space="0" w:color="23478F"/>
              <w:bottom w:val="nil"/>
              <w:right w:val="nil"/>
            </w:tcBorders>
            <w:shd w:val="clear" w:color="000000" w:fill="E6E7E8"/>
            <w:vAlign w:val="center"/>
            <w:hideMark/>
          </w:tcPr>
          <w:p w14:paraId="1BB42210"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Continuation of past trends in fertility, mortality and migration  (8865 million people worldwide in 2050)</w:t>
            </w:r>
          </w:p>
        </w:tc>
      </w:tr>
      <w:tr w:rsidR="007021C0" w:rsidRPr="00CD6678" w14:paraId="06A756DC" w14:textId="77777777" w:rsidTr="001335E8">
        <w:trPr>
          <w:trHeight w:val="285"/>
        </w:trPr>
        <w:tc>
          <w:tcPr>
            <w:tcW w:w="5000" w:type="pct"/>
            <w:gridSpan w:val="5"/>
            <w:tcBorders>
              <w:top w:val="nil"/>
              <w:left w:val="single" w:sz="8" w:space="0" w:color="23478F"/>
              <w:bottom w:val="nil"/>
              <w:right w:val="nil"/>
            </w:tcBorders>
            <w:shd w:val="clear" w:color="000000" w:fill="6B90DB"/>
            <w:vAlign w:val="center"/>
            <w:hideMark/>
          </w:tcPr>
          <w:p w14:paraId="4A2BA009" w14:textId="77777777" w:rsidR="007021C0" w:rsidRPr="00CD6678" w:rsidRDefault="007021C0" w:rsidP="001335E8">
            <w:pPr>
              <w:spacing w:after="0" w:line="240" w:lineRule="auto"/>
              <w:jc w:val="center"/>
              <w:rPr>
                <w:rFonts w:ascii="Arial" w:eastAsia="Times New Roman" w:hAnsi="Arial" w:cs="Arial"/>
                <w:b/>
                <w:bCs/>
                <w:color w:val="000000"/>
                <w:kern w:val="0"/>
                <w:sz w:val="18"/>
                <w:szCs w:val="18"/>
                <w:lang w:eastAsia="en-GB"/>
                <w14:ligatures w14:val="none"/>
              </w:rPr>
            </w:pPr>
            <w:proofErr w:type="spellStart"/>
            <w:r w:rsidRPr="00CD6678">
              <w:rPr>
                <w:rFonts w:ascii="Arial" w:eastAsia="Times New Roman" w:hAnsi="Arial" w:cs="Arial"/>
                <w:b/>
                <w:bCs/>
                <w:color w:val="000000"/>
                <w:kern w:val="0"/>
                <w:sz w:val="18"/>
                <w:szCs w:val="18"/>
                <w:lang w:eastAsia="en-GB"/>
                <w14:ligatures w14:val="none"/>
              </w:rPr>
              <w:t>Economy</w:t>
            </w:r>
            <w:proofErr w:type="spellEnd"/>
          </w:p>
        </w:tc>
      </w:tr>
      <w:tr w:rsidR="007021C0" w:rsidRPr="00BA7017" w14:paraId="4D4A6DB4" w14:textId="77777777" w:rsidTr="0063109C">
        <w:trPr>
          <w:trHeight w:val="450"/>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5CBBE460"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Carbon</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tax</w:t>
            </w:r>
            <w:proofErr w:type="spellEnd"/>
            <w:r w:rsidRPr="00CD6678">
              <w:rPr>
                <w:rFonts w:ascii="Arial" w:eastAsia="Times New Roman" w:hAnsi="Arial" w:cs="Arial"/>
                <w:color w:val="000000"/>
                <w:kern w:val="0"/>
                <w:sz w:val="18"/>
                <w:szCs w:val="18"/>
                <w:lang w:eastAsia="en-GB"/>
                <w14:ligatures w14:val="none"/>
              </w:rPr>
              <w:t xml:space="preserve"> in 2050</w:t>
            </w:r>
          </w:p>
        </w:tc>
        <w:tc>
          <w:tcPr>
            <w:tcW w:w="706" w:type="pct"/>
            <w:tcBorders>
              <w:top w:val="nil"/>
              <w:left w:val="nil"/>
              <w:bottom w:val="single" w:sz="8" w:space="0" w:color="23478F"/>
              <w:right w:val="single" w:sz="8" w:space="0" w:color="23478F"/>
            </w:tcBorders>
            <w:shd w:val="clear" w:color="000000" w:fill="C6EFCE"/>
            <w:vAlign w:val="center"/>
            <w:hideMark/>
          </w:tcPr>
          <w:p w14:paraId="2F352865" w14:textId="77777777" w:rsidR="007021C0" w:rsidRPr="00973049" w:rsidRDefault="007021C0" w:rsidP="001335E8">
            <w:pPr>
              <w:spacing w:after="0" w:line="240" w:lineRule="auto"/>
              <w:jc w:val="center"/>
              <w:rPr>
                <w:rFonts w:ascii="Arial" w:eastAsia="Times New Roman" w:hAnsi="Arial" w:cs="Arial"/>
                <w:color w:val="006100"/>
                <w:kern w:val="0"/>
                <w:sz w:val="18"/>
                <w:szCs w:val="18"/>
                <w:lang w:val="en-GB" w:eastAsia="en-GB"/>
                <w14:ligatures w14:val="none"/>
              </w:rPr>
            </w:pPr>
            <w:r w:rsidRPr="00973049">
              <w:rPr>
                <w:rFonts w:ascii="Arial" w:eastAsia="Times New Roman" w:hAnsi="Arial" w:cs="Arial"/>
                <w:color w:val="006100"/>
                <w:kern w:val="0"/>
                <w:sz w:val="18"/>
                <w:szCs w:val="18"/>
                <w:lang w:val="en-GB" w:eastAsia="en-GB"/>
                <w14:ligatures w14:val="none"/>
              </w:rPr>
              <w:t>300 $2015/ton CO2eq by 2050 for CO2, CH4 and NO2</w:t>
            </w:r>
          </w:p>
        </w:tc>
        <w:tc>
          <w:tcPr>
            <w:tcW w:w="769" w:type="pct"/>
            <w:tcBorders>
              <w:top w:val="nil"/>
              <w:left w:val="nil"/>
              <w:bottom w:val="single" w:sz="8" w:space="0" w:color="23478F"/>
              <w:right w:val="single" w:sz="8" w:space="0" w:color="23478F"/>
            </w:tcBorders>
            <w:shd w:val="clear" w:color="000000" w:fill="C6EFCE"/>
            <w:vAlign w:val="center"/>
            <w:hideMark/>
          </w:tcPr>
          <w:p w14:paraId="255B654A" w14:textId="77777777" w:rsidR="007021C0" w:rsidRPr="00973049" w:rsidRDefault="007021C0" w:rsidP="001335E8">
            <w:pPr>
              <w:spacing w:after="0" w:line="240" w:lineRule="auto"/>
              <w:jc w:val="center"/>
              <w:rPr>
                <w:rFonts w:ascii="Arial" w:eastAsia="Times New Roman" w:hAnsi="Arial" w:cs="Arial"/>
                <w:color w:val="006100"/>
                <w:kern w:val="0"/>
                <w:sz w:val="18"/>
                <w:szCs w:val="18"/>
                <w:lang w:val="en-GB" w:eastAsia="en-GB"/>
                <w14:ligatures w14:val="none"/>
              </w:rPr>
            </w:pPr>
            <w:r w:rsidRPr="00973049">
              <w:rPr>
                <w:rFonts w:ascii="Arial" w:eastAsia="Times New Roman" w:hAnsi="Arial" w:cs="Arial"/>
                <w:color w:val="006100"/>
                <w:kern w:val="0"/>
                <w:sz w:val="18"/>
                <w:szCs w:val="18"/>
                <w:lang w:val="en-GB" w:eastAsia="en-GB"/>
                <w14:ligatures w14:val="none"/>
              </w:rPr>
              <w:t>300 $2015/ton CO2eq by 2050 for CO2, CH4 and NO2</w:t>
            </w:r>
          </w:p>
        </w:tc>
        <w:tc>
          <w:tcPr>
            <w:tcW w:w="831" w:type="pct"/>
            <w:tcBorders>
              <w:top w:val="nil"/>
              <w:left w:val="nil"/>
              <w:bottom w:val="single" w:sz="8" w:space="0" w:color="23478F"/>
              <w:right w:val="single" w:sz="8" w:space="0" w:color="23478F"/>
            </w:tcBorders>
            <w:shd w:val="clear" w:color="000000" w:fill="C6EFCE"/>
            <w:vAlign w:val="center"/>
            <w:hideMark/>
          </w:tcPr>
          <w:p w14:paraId="3E497D02" w14:textId="77777777" w:rsidR="007021C0" w:rsidRPr="00973049" w:rsidRDefault="007021C0" w:rsidP="001335E8">
            <w:pPr>
              <w:spacing w:after="0" w:line="240" w:lineRule="auto"/>
              <w:jc w:val="center"/>
              <w:rPr>
                <w:rFonts w:ascii="Arial" w:eastAsia="Times New Roman" w:hAnsi="Arial" w:cs="Arial"/>
                <w:color w:val="006100"/>
                <w:kern w:val="0"/>
                <w:sz w:val="18"/>
                <w:szCs w:val="18"/>
                <w:lang w:val="en-GB" w:eastAsia="en-GB"/>
                <w14:ligatures w14:val="none"/>
              </w:rPr>
            </w:pPr>
            <w:r w:rsidRPr="00973049">
              <w:rPr>
                <w:rFonts w:ascii="Arial" w:eastAsia="Times New Roman" w:hAnsi="Arial" w:cs="Arial"/>
                <w:color w:val="006100"/>
                <w:kern w:val="0"/>
                <w:sz w:val="18"/>
                <w:szCs w:val="18"/>
                <w:lang w:val="en-GB" w:eastAsia="en-GB"/>
                <w14:ligatures w14:val="none"/>
              </w:rPr>
              <w:t>300 $2015/ton CO2eq by 2050 for CO2, CH4 and NO2</w:t>
            </w:r>
          </w:p>
        </w:tc>
        <w:tc>
          <w:tcPr>
            <w:tcW w:w="1683" w:type="pct"/>
            <w:tcBorders>
              <w:top w:val="single" w:sz="4" w:space="0" w:color="7F7F7F"/>
              <w:left w:val="single" w:sz="4" w:space="0" w:color="7F7F7F"/>
              <w:bottom w:val="single" w:sz="4" w:space="0" w:color="7F7F7F"/>
              <w:right w:val="nil"/>
            </w:tcBorders>
            <w:shd w:val="clear" w:color="000000" w:fill="FCE4D6"/>
            <w:noWrap/>
            <w:vAlign w:val="center"/>
            <w:hideMark/>
          </w:tcPr>
          <w:p w14:paraId="244D8740"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196.5 $2015/ton CO2eq by 2050 for CO2, Ch4 and NO2</w:t>
            </w:r>
          </w:p>
        </w:tc>
      </w:tr>
      <w:tr w:rsidR="007021C0" w:rsidRPr="00BA7017" w14:paraId="395198C8" w14:textId="77777777" w:rsidTr="0063109C">
        <w:trPr>
          <w:trHeight w:val="1215"/>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3B5F68DC"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Carbon</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revenues</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recycling</w:t>
            </w:r>
            <w:proofErr w:type="spellEnd"/>
          </w:p>
        </w:tc>
        <w:tc>
          <w:tcPr>
            <w:tcW w:w="706" w:type="pct"/>
            <w:tcBorders>
              <w:top w:val="nil"/>
              <w:left w:val="nil"/>
              <w:bottom w:val="single" w:sz="8" w:space="0" w:color="23478F"/>
              <w:right w:val="single" w:sz="8" w:space="0" w:color="23478F"/>
            </w:tcBorders>
            <w:shd w:val="clear" w:color="000000" w:fill="C6EFCE"/>
            <w:vAlign w:val="center"/>
            <w:hideMark/>
          </w:tcPr>
          <w:p w14:paraId="56468AED"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100% </w:t>
            </w:r>
            <w:proofErr w:type="spellStart"/>
            <w:r w:rsidRPr="00CD6678">
              <w:rPr>
                <w:rFonts w:ascii="Arial" w:eastAsia="Times New Roman" w:hAnsi="Arial" w:cs="Arial"/>
                <w:color w:val="000000"/>
                <w:kern w:val="0"/>
                <w:sz w:val="18"/>
                <w:szCs w:val="18"/>
                <w:lang w:eastAsia="en-GB"/>
                <w14:ligatures w14:val="none"/>
              </w:rPr>
              <w:t>to</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finance</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energy</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infraestructure</w:t>
            </w:r>
            <w:proofErr w:type="spellEnd"/>
          </w:p>
        </w:tc>
        <w:tc>
          <w:tcPr>
            <w:tcW w:w="769" w:type="pct"/>
            <w:tcBorders>
              <w:top w:val="nil"/>
              <w:left w:val="nil"/>
              <w:bottom w:val="single" w:sz="8" w:space="0" w:color="23478F"/>
              <w:right w:val="single" w:sz="8" w:space="0" w:color="23478F"/>
            </w:tcBorders>
            <w:shd w:val="clear" w:color="000000" w:fill="C6EFCE"/>
            <w:vAlign w:val="center"/>
            <w:hideMark/>
          </w:tcPr>
          <w:p w14:paraId="6B4C791E"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50% for social benefits &amp; 50% for public debt reduction</w:t>
            </w:r>
          </w:p>
        </w:tc>
        <w:tc>
          <w:tcPr>
            <w:tcW w:w="831" w:type="pct"/>
            <w:tcBorders>
              <w:top w:val="nil"/>
              <w:left w:val="nil"/>
              <w:bottom w:val="single" w:sz="8" w:space="0" w:color="23478F"/>
              <w:right w:val="single" w:sz="8" w:space="0" w:color="23478F"/>
            </w:tcBorders>
            <w:shd w:val="clear" w:color="000000" w:fill="C6EFCE"/>
            <w:vAlign w:val="center"/>
            <w:hideMark/>
          </w:tcPr>
          <w:p w14:paraId="6FCF57A0"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100% to purchase private land for afforestation and natural land protection</w:t>
            </w:r>
          </w:p>
        </w:tc>
        <w:tc>
          <w:tcPr>
            <w:tcW w:w="1683" w:type="pct"/>
            <w:tcBorders>
              <w:top w:val="single" w:sz="4" w:space="0" w:color="7F7F7F"/>
              <w:left w:val="single" w:sz="4" w:space="0" w:color="7F7F7F"/>
              <w:bottom w:val="single" w:sz="4" w:space="0" w:color="7F7F7F"/>
              <w:right w:val="nil"/>
            </w:tcBorders>
            <w:shd w:val="clear" w:color="000000" w:fill="FCE4D6"/>
            <w:vAlign w:val="center"/>
            <w:hideMark/>
          </w:tcPr>
          <w:p w14:paraId="00618C57"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 xml:space="preserve">25% for debt reduction, 25% for social benefits, 25% for energy </w:t>
            </w:r>
            <w:proofErr w:type="spellStart"/>
            <w:r w:rsidRPr="00973049">
              <w:rPr>
                <w:rFonts w:ascii="Arial" w:eastAsia="Times New Roman" w:hAnsi="Arial" w:cs="Arial"/>
                <w:color w:val="000000"/>
                <w:kern w:val="0"/>
                <w:sz w:val="18"/>
                <w:szCs w:val="18"/>
                <w:lang w:val="en-GB" w:eastAsia="en-GB"/>
                <w14:ligatures w14:val="none"/>
              </w:rPr>
              <w:t>infraestructure</w:t>
            </w:r>
            <w:proofErr w:type="spellEnd"/>
            <w:r w:rsidRPr="00973049">
              <w:rPr>
                <w:rFonts w:ascii="Arial" w:eastAsia="Times New Roman" w:hAnsi="Arial" w:cs="Arial"/>
                <w:color w:val="000000"/>
                <w:kern w:val="0"/>
                <w:sz w:val="18"/>
                <w:szCs w:val="18"/>
                <w:lang w:val="en-GB" w:eastAsia="en-GB"/>
                <w14:ligatures w14:val="none"/>
              </w:rPr>
              <w:t xml:space="preserve"> and 25% for afforestation and natural land protection</w:t>
            </w:r>
          </w:p>
        </w:tc>
      </w:tr>
      <w:tr w:rsidR="007021C0" w:rsidRPr="00BA7017" w14:paraId="616391AC" w14:textId="77777777" w:rsidTr="0063109C">
        <w:trPr>
          <w:trHeight w:val="1140"/>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0A5F0CD3"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Government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expenditures</w:t>
            </w:r>
            <w:proofErr w:type="spellEnd"/>
          </w:p>
        </w:tc>
        <w:tc>
          <w:tcPr>
            <w:tcW w:w="706" w:type="pct"/>
            <w:tcBorders>
              <w:top w:val="nil"/>
              <w:left w:val="nil"/>
              <w:bottom w:val="single" w:sz="8" w:space="0" w:color="23478F"/>
              <w:right w:val="single" w:sz="8" w:space="0" w:color="23478F"/>
            </w:tcBorders>
            <w:shd w:val="clear" w:color="000000" w:fill="C6EFCE"/>
            <w:vAlign w:val="center"/>
            <w:hideMark/>
          </w:tcPr>
          <w:p w14:paraId="7B7BA62F"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Related to the historical data, increase 50% of investments at the expense of consumption and social benefits</w:t>
            </w:r>
          </w:p>
        </w:tc>
        <w:tc>
          <w:tcPr>
            <w:tcW w:w="769" w:type="pct"/>
            <w:tcBorders>
              <w:top w:val="nil"/>
              <w:left w:val="nil"/>
              <w:bottom w:val="single" w:sz="8" w:space="0" w:color="23478F"/>
              <w:right w:val="single" w:sz="8" w:space="0" w:color="23478F"/>
            </w:tcBorders>
            <w:shd w:val="clear" w:color="000000" w:fill="C6EFCE"/>
            <w:vAlign w:val="center"/>
            <w:hideMark/>
          </w:tcPr>
          <w:p w14:paraId="51A3475E"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Related to the historical data, increase 50% social benefits at the expense of investment, transferences and other expenditures</w:t>
            </w:r>
          </w:p>
        </w:tc>
        <w:tc>
          <w:tcPr>
            <w:tcW w:w="831" w:type="pct"/>
            <w:tcBorders>
              <w:top w:val="nil"/>
              <w:left w:val="nil"/>
              <w:bottom w:val="single" w:sz="8" w:space="0" w:color="23478F"/>
              <w:right w:val="single" w:sz="8" w:space="0" w:color="23478F"/>
            </w:tcBorders>
            <w:shd w:val="clear" w:color="000000" w:fill="C6EFCE"/>
            <w:vAlign w:val="center"/>
            <w:hideMark/>
          </w:tcPr>
          <w:p w14:paraId="7FF5C95F"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Related to the historical data, increase 50% consumption at the expense of social benefits, investments, transferences and other expenditures</w:t>
            </w:r>
          </w:p>
        </w:tc>
        <w:tc>
          <w:tcPr>
            <w:tcW w:w="1683" w:type="pct"/>
            <w:tcBorders>
              <w:top w:val="single" w:sz="4" w:space="0" w:color="7F7F7F"/>
              <w:left w:val="single" w:sz="4" w:space="0" w:color="7F7F7F"/>
              <w:bottom w:val="single" w:sz="4" w:space="0" w:color="7F7F7F"/>
              <w:right w:val="nil"/>
            </w:tcBorders>
            <w:shd w:val="clear" w:color="000000" w:fill="FCE4D6"/>
            <w:vAlign w:val="center"/>
            <w:hideMark/>
          </w:tcPr>
          <w:p w14:paraId="133B34C1"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Current levels and patterns, regional specific</w:t>
            </w:r>
          </w:p>
        </w:tc>
      </w:tr>
      <w:tr w:rsidR="007021C0" w:rsidRPr="00BA7017" w14:paraId="1E288EFA" w14:textId="77777777" w:rsidTr="0063109C">
        <w:trPr>
          <w:trHeight w:val="1140"/>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43D87137"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lastRenderedPageBreak/>
              <w:t>Government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consumption</w:t>
            </w:r>
            <w:proofErr w:type="spellEnd"/>
            <w:r w:rsidRPr="00CD6678">
              <w:rPr>
                <w:rFonts w:ascii="Arial" w:eastAsia="Times New Roman" w:hAnsi="Arial" w:cs="Arial"/>
                <w:color w:val="000000"/>
                <w:kern w:val="0"/>
                <w:sz w:val="18"/>
                <w:szCs w:val="18"/>
                <w:lang w:eastAsia="en-GB"/>
                <w14:ligatures w14:val="none"/>
              </w:rPr>
              <w:t xml:space="preserve"> &amp; </w:t>
            </w:r>
            <w:proofErr w:type="spellStart"/>
            <w:r w:rsidRPr="00CD6678">
              <w:rPr>
                <w:rFonts w:ascii="Arial" w:eastAsia="Times New Roman" w:hAnsi="Arial" w:cs="Arial"/>
                <w:color w:val="000000"/>
                <w:kern w:val="0"/>
                <w:sz w:val="18"/>
                <w:szCs w:val="18"/>
                <w:lang w:eastAsia="en-GB"/>
                <w14:ligatures w14:val="none"/>
              </w:rPr>
              <w:t>investments</w:t>
            </w:r>
            <w:proofErr w:type="spellEnd"/>
          </w:p>
        </w:tc>
        <w:tc>
          <w:tcPr>
            <w:tcW w:w="706" w:type="pct"/>
            <w:tcBorders>
              <w:top w:val="nil"/>
              <w:left w:val="nil"/>
              <w:bottom w:val="single" w:sz="8" w:space="0" w:color="23478F"/>
              <w:right w:val="single" w:sz="8" w:space="0" w:color="23478F"/>
            </w:tcBorders>
            <w:shd w:val="clear" w:color="000000" w:fill="C6EFCE"/>
            <w:vAlign w:val="center"/>
            <w:hideMark/>
          </w:tcPr>
          <w:p w14:paraId="617C1CE0"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 xml:space="preserve">50% higher for economic affairs at the expense of </w:t>
            </w:r>
            <w:proofErr w:type="spellStart"/>
            <w:r w:rsidRPr="00973049">
              <w:rPr>
                <w:rFonts w:ascii="Arial" w:eastAsia="Times New Roman" w:hAnsi="Arial" w:cs="Arial"/>
                <w:color w:val="000000"/>
                <w:kern w:val="0"/>
                <w:sz w:val="18"/>
                <w:szCs w:val="18"/>
                <w:lang w:val="en-GB" w:eastAsia="en-GB"/>
                <w14:ligatures w14:val="none"/>
              </w:rPr>
              <w:t>defense</w:t>
            </w:r>
            <w:proofErr w:type="spellEnd"/>
            <w:r w:rsidRPr="00973049">
              <w:rPr>
                <w:rFonts w:ascii="Arial" w:eastAsia="Times New Roman" w:hAnsi="Arial" w:cs="Arial"/>
                <w:color w:val="000000"/>
                <w:kern w:val="0"/>
                <w:sz w:val="18"/>
                <w:szCs w:val="18"/>
                <w:lang w:val="en-GB" w:eastAsia="en-GB"/>
                <w14:ligatures w14:val="none"/>
              </w:rPr>
              <w:t>, public services, public order, health and social protection</w:t>
            </w:r>
          </w:p>
        </w:tc>
        <w:tc>
          <w:tcPr>
            <w:tcW w:w="769" w:type="pct"/>
            <w:tcBorders>
              <w:top w:val="nil"/>
              <w:left w:val="nil"/>
              <w:bottom w:val="single" w:sz="8" w:space="0" w:color="23478F"/>
              <w:right w:val="single" w:sz="8" w:space="0" w:color="23478F"/>
            </w:tcBorders>
            <w:shd w:val="clear" w:color="000000" w:fill="C6EFCE"/>
            <w:vAlign w:val="center"/>
            <w:hideMark/>
          </w:tcPr>
          <w:p w14:paraId="716CABAB"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 xml:space="preserve">30% higher for general public services, education, social protection at the expense of economic affairs, health, public order and </w:t>
            </w:r>
            <w:proofErr w:type="spellStart"/>
            <w:r w:rsidRPr="00973049">
              <w:rPr>
                <w:rFonts w:ascii="Arial" w:eastAsia="Times New Roman" w:hAnsi="Arial" w:cs="Arial"/>
                <w:color w:val="000000"/>
                <w:kern w:val="0"/>
                <w:sz w:val="18"/>
                <w:szCs w:val="18"/>
                <w:lang w:val="en-GB" w:eastAsia="en-GB"/>
                <w14:ligatures w14:val="none"/>
              </w:rPr>
              <w:t>defense</w:t>
            </w:r>
            <w:proofErr w:type="spellEnd"/>
          </w:p>
        </w:tc>
        <w:tc>
          <w:tcPr>
            <w:tcW w:w="831" w:type="pct"/>
            <w:tcBorders>
              <w:top w:val="nil"/>
              <w:left w:val="nil"/>
              <w:bottom w:val="single" w:sz="8" w:space="0" w:color="23478F"/>
              <w:right w:val="single" w:sz="8" w:space="0" w:color="23478F"/>
            </w:tcBorders>
            <w:shd w:val="clear" w:color="000000" w:fill="C6EFCE"/>
            <w:vAlign w:val="center"/>
            <w:hideMark/>
          </w:tcPr>
          <w:p w14:paraId="7102A758"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 xml:space="preserve">500% higher for environmental protection at the expense of health, economic affairs, </w:t>
            </w:r>
            <w:proofErr w:type="spellStart"/>
            <w:r w:rsidRPr="00973049">
              <w:rPr>
                <w:rFonts w:ascii="Arial" w:eastAsia="Times New Roman" w:hAnsi="Arial" w:cs="Arial"/>
                <w:color w:val="000000"/>
                <w:kern w:val="0"/>
                <w:sz w:val="18"/>
                <w:szCs w:val="18"/>
                <w:lang w:val="en-GB" w:eastAsia="en-GB"/>
                <w14:ligatures w14:val="none"/>
              </w:rPr>
              <w:t>defense</w:t>
            </w:r>
            <w:proofErr w:type="spellEnd"/>
            <w:r w:rsidRPr="00973049">
              <w:rPr>
                <w:rFonts w:ascii="Arial" w:eastAsia="Times New Roman" w:hAnsi="Arial" w:cs="Arial"/>
                <w:color w:val="000000"/>
                <w:kern w:val="0"/>
                <w:sz w:val="18"/>
                <w:szCs w:val="18"/>
                <w:lang w:val="en-GB" w:eastAsia="en-GB"/>
                <w14:ligatures w14:val="none"/>
              </w:rPr>
              <w:t xml:space="preserve"> and public order</w:t>
            </w:r>
          </w:p>
        </w:tc>
        <w:tc>
          <w:tcPr>
            <w:tcW w:w="1683" w:type="pct"/>
            <w:tcBorders>
              <w:top w:val="single" w:sz="4" w:space="0" w:color="7F7F7F"/>
              <w:left w:val="single" w:sz="4" w:space="0" w:color="7F7F7F"/>
              <w:bottom w:val="single" w:sz="4" w:space="0" w:color="7F7F7F"/>
              <w:right w:val="nil"/>
            </w:tcBorders>
            <w:shd w:val="clear" w:color="000000" w:fill="FCE4D6"/>
            <w:vAlign w:val="center"/>
            <w:hideMark/>
          </w:tcPr>
          <w:p w14:paraId="0DDACE49"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Current levels and patterns, regional specific</w:t>
            </w:r>
          </w:p>
        </w:tc>
      </w:tr>
      <w:tr w:rsidR="007021C0" w:rsidRPr="00CD6678" w14:paraId="02F26A7A" w14:textId="77777777" w:rsidTr="001335E8">
        <w:trPr>
          <w:trHeight w:val="315"/>
        </w:trPr>
        <w:tc>
          <w:tcPr>
            <w:tcW w:w="5000" w:type="pct"/>
            <w:gridSpan w:val="5"/>
            <w:tcBorders>
              <w:top w:val="nil"/>
              <w:left w:val="single" w:sz="8" w:space="0" w:color="23478F"/>
              <w:bottom w:val="nil"/>
              <w:right w:val="nil"/>
            </w:tcBorders>
            <w:shd w:val="clear" w:color="000000" w:fill="6B90DB"/>
            <w:vAlign w:val="center"/>
            <w:hideMark/>
          </w:tcPr>
          <w:p w14:paraId="1501D91A" w14:textId="77777777" w:rsidR="007021C0" w:rsidRPr="00CD6678" w:rsidRDefault="007021C0" w:rsidP="001335E8">
            <w:pPr>
              <w:spacing w:after="0" w:line="240" w:lineRule="auto"/>
              <w:jc w:val="center"/>
              <w:rPr>
                <w:rFonts w:ascii="Arial" w:eastAsia="Times New Roman" w:hAnsi="Arial" w:cs="Arial"/>
                <w:b/>
                <w:bCs/>
                <w:color w:val="000000"/>
                <w:kern w:val="0"/>
                <w:sz w:val="18"/>
                <w:szCs w:val="18"/>
                <w:lang w:eastAsia="en-GB"/>
                <w14:ligatures w14:val="none"/>
              </w:rPr>
            </w:pPr>
            <w:r w:rsidRPr="00CD6678">
              <w:rPr>
                <w:rFonts w:ascii="Arial" w:eastAsia="Times New Roman" w:hAnsi="Arial" w:cs="Arial"/>
                <w:b/>
                <w:bCs/>
                <w:color w:val="000000"/>
                <w:kern w:val="0"/>
                <w:sz w:val="18"/>
                <w:szCs w:val="18"/>
                <w:lang w:eastAsia="en-GB"/>
                <w14:ligatures w14:val="none"/>
              </w:rPr>
              <w:t>Energy/</w:t>
            </w:r>
            <w:proofErr w:type="spellStart"/>
            <w:r w:rsidRPr="00CD6678">
              <w:rPr>
                <w:rFonts w:ascii="Arial" w:eastAsia="Times New Roman" w:hAnsi="Arial" w:cs="Arial"/>
                <w:b/>
                <w:bCs/>
                <w:color w:val="000000"/>
                <w:kern w:val="0"/>
                <w:sz w:val="18"/>
                <w:szCs w:val="18"/>
                <w:lang w:eastAsia="en-GB"/>
                <w14:ligatures w14:val="none"/>
              </w:rPr>
              <w:t>Technology</w:t>
            </w:r>
            <w:proofErr w:type="spellEnd"/>
          </w:p>
        </w:tc>
      </w:tr>
      <w:tr w:rsidR="007021C0" w:rsidRPr="00CD6678" w14:paraId="5F7B9553" w14:textId="77777777" w:rsidTr="0063109C">
        <w:trPr>
          <w:trHeight w:val="285"/>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28EB8E5B"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Share </w:t>
            </w:r>
            <w:proofErr w:type="spellStart"/>
            <w:r w:rsidRPr="00CD6678">
              <w:rPr>
                <w:rFonts w:ascii="Arial" w:eastAsia="Times New Roman" w:hAnsi="Arial" w:cs="Arial"/>
                <w:color w:val="000000"/>
                <w:kern w:val="0"/>
                <w:sz w:val="18"/>
                <w:szCs w:val="18"/>
                <w:lang w:eastAsia="en-GB"/>
                <w14:ligatures w14:val="none"/>
              </w:rPr>
              <w:t>of</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renewables</w:t>
            </w:r>
            <w:proofErr w:type="spellEnd"/>
          </w:p>
        </w:tc>
        <w:tc>
          <w:tcPr>
            <w:tcW w:w="706" w:type="pct"/>
            <w:tcBorders>
              <w:top w:val="nil"/>
              <w:left w:val="nil"/>
              <w:bottom w:val="single" w:sz="8" w:space="0" w:color="23478F"/>
              <w:right w:val="single" w:sz="8" w:space="0" w:color="23478F"/>
            </w:tcBorders>
            <w:shd w:val="clear" w:color="000000" w:fill="C6EFCE"/>
            <w:vAlign w:val="center"/>
            <w:hideMark/>
          </w:tcPr>
          <w:p w14:paraId="6FC11033"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Highest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priority</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by</w:t>
            </w:r>
            <w:proofErr w:type="spellEnd"/>
            <w:r w:rsidRPr="00CD6678">
              <w:rPr>
                <w:rFonts w:ascii="Arial" w:eastAsia="Times New Roman" w:hAnsi="Arial" w:cs="Arial"/>
                <w:color w:val="000000"/>
                <w:kern w:val="0"/>
                <w:sz w:val="18"/>
                <w:szCs w:val="18"/>
                <w:lang w:eastAsia="en-GB"/>
                <w14:ligatures w14:val="none"/>
              </w:rPr>
              <w:t xml:space="preserve"> 2030</w:t>
            </w:r>
          </w:p>
        </w:tc>
        <w:tc>
          <w:tcPr>
            <w:tcW w:w="769" w:type="pct"/>
            <w:tcBorders>
              <w:top w:val="nil"/>
              <w:left w:val="nil"/>
              <w:bottom w:val="single" w:sz="8" w:space="0" w:color="23478F"/>
              <w:right w:val="single" w:sz="8" w:space="0" w:color="23478F"/>
            </w:tcBorders>
            <w:shd w:val="clear" w:color="000000" w:fill="E6E7E8"/>
            <w:vAlign w:val="center"/>
            <w:hideMark/>
          </w:tcPr>
          <w:p w14:paraId="5C976EE2"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Highest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priority</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by</w:t>
            </w:r>
            <w:proofErr w:type="spellEnd"/>
            <w:r w:rsidRPr="00CD6678">
              <w:rPr>
                <w:rFonts w:ascii="Arial" w:eastAsia="Times New Roman" w:hAnsi="Arial" w:cs="Arial"/>
                <w:color w:val="000000"/>
                <w:kern w:val="0"/>
                <w:sz w:val="18"/>
                <w:szCs w:val="18"/>
                <w:lang w:eastAsia="en-GB"/>
                <w14:ligatures w14:val="none"/>
              </w:rPr>
              <w:t xml:space="preserve"> 2050</w:t>
            </w:r>
          </w:p>
        </w:tc>
        <w:tc>
          <w:tcPr>
            <w:tcW w:w="831" w:type="pct"/>
            <w:tcBorders>
              <w:top w:val="nil"/>
              <w:left w:val="nil"/>
              <w:bottom w:val="single" w:sz="8" w:space="0" w:color="23478F"/>
              <w:right w:val="single" w:sz="8" w:space="0" w:color="23478F"/>
            </w:tcBorders>
            <w:shd w:val="clear" w:color="000000" w:fill="E6E7E8"/>
            <w:vAlign w:val="center"/>
            <w:hideMark/>
          </w:tcPr>
          <w:p w14:paraId="3885C5C5"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Highest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priority</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by</w:t>
            </w:r>
            <w:proofErr w:type="spellEnd"/>
            <w:r w:rsidRPr="00CD6678">
              <w:rPr>
                <w:rFonts w:ascii="Arial" w:eastAsia="Times New Roman" w:hAnsi="Arial" w:cs="Arial"/>
                <w:color w:val="000000"/>
                <w:kern w:val="0"/>
                <w:sz w:val="18"/>
                <w:szCs w:val="18"/>
                <w:lang w:eastAsia="en-GB"/>
                <w14:ligatures w14:val="none"/>
              </w:rPr>
              <w:t xml:space="preserve"> 2050</w:t>
            </w:r>
          </w:p>
        </w:tc>
        <w:tc>
          <w:tcPr>
            <w:tcW w:w="1683" w:type="pct"/>
            <w:tcBorders>
              <w:top w:val="single" w:sz="4" w:space="0" w:color="7F7F7F"/>
              <w:left w:val="single" w:sz="4" w:space="0" w:color="7F7F7F"/>
              <w:bottom w:val="single" w:sz="4" w:space="0" w:color="7F7F7F"/>
              <w:right w:val="nil"/>
            </w:tcBorders>
            <w:shd w:val="clear" w:color="000000" w:fill="FCE4D6"/>
            <w:vAlign w:val="center"/>
            <w:hideMark/>
          </w:tcPr>
          <w:p w14:paraId="7F00DF18"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Highest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priority</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by</w:t>
            </w:r>
            <w:proofErr w:type="spellEnd"/>
            <w:r w:rsidRPr="00CD6678">
              <w:rPr>
                <w:rFonts w:ascii="Arial" w:eastAsia="Times New Roman" w:hAnsi="Arial" w:cs="Arial"/>
                <w:color w:val="000000"/>
                <w:kern w:val="0"/>
                <w:sz w:val="18"/>
                <w:szCs w:val="18"/>
                <w:lang w:eastAsia="en-GB"/>
                <w14:ligatures w14:val="none"/>
              </w:rPr>
              <w:t xml:space="preserve"> 2040</w:t>
            </w:r>
          </w:p>
        </w:tc>
      </w:tr>
      <w:tr w:rsidR="007021C0" w:rsidRPr="00BA7017" w14:paraId="7875379B" w14:textId="77777777" w:rsidTr="0063109C">
        <w:trPr>
          <w:trHeight w:val="1320"/>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231C89DD"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Energy Efficiency Improvement in all production sectors</w:t>
            </w:r>
          </w:p>
        </w:tc>
        <w:tc>
          <w:tcPr>
            <w:tcW w:w="706" w:type="pct"/>
            <w:tcBorders>
              <w:top w:val="nil"/>
              <w:left w:val="nil"/>
              <w:bottom w:val="single" w:sz="8" w:space="0" w:color="23478F"/>
              <w:right w:val="single" w:sz="8" w:space="0" w:color="23478F"/>
            </w:tcBorders>
            <w:shd w:val="clear" w:color="000000" w:fill="C6EFCE"/>
            <w:vAlign w:val="center"/>
            <w:hideMark/>
          </w:tcPr>
          <w:p w14:paraId="18E1AEAA" w14:textId="77777777" w:rsidR="007021C0" w:rsidRPr="00973049" w:rsidRDefault="007021C0" w:rsidP="001335E8">
            <w:pPr>
              <w:spacing w:after="0" w:line="240" w:lineRule="auto"/>
              <w:jc w:val="center"/>
              <w:rPr>
                <w:rFonts w:ascii="Arial" w:eastAsia="Times New Roman" w:hAnsi="Arial" w:cs="Arial"/>
                <w:kern w:val="0"/>
                <w:sz w:val="18"/>
                <w:szCs w:val="18"/>
                <w:lang w:val="en-GB" w:eastAsia="en-GB"/>
                <w14:ligatures w14:val="none"/>
              </w:rPr>
            </w:pPr>
            <w:r w:rsidRPr="00973049">
              <w:rPr>
                <w:rFonts w:ascii="Arial" w:eastAsia="Times New Roman" w:hAnsi="Arial" w:cs="Arial"/>
                <w:kern w:val="0"/>
                <w:sz w:val="18"/>
                <w:szCs w:val="18"/>
                <w:lang w:val="en-GB" w:eastAsia="en-GB"/>
                <w14:ligatures w14:val="none"/>
              </w:rPr>
              <w:t>54% energy intensity average reduction (different across sectors, regions and final energies) by 2050, related to 2015</w:t>
            </w:r>
          </w:p>
        </w:tc>
        <w:tc>
          <w:tcPr>
            <w:tcW w:w="769" w:type="pct"/>
            <w:tcBorders>
              <w:top w:val="nil"/>
              <w:left w:val="nil"/>
              <w:bottom w:val="single" w:sz="8" w:space="0" w:color="23478F"/>
              <w:right w:val="single" w:sz="8" w:space="0" w:color="23478F"/>
            </w:tcBorders>
            <w:shd w:val="clear" w:color="000000" w:fill="BFCFEF"/>
            <w:vAlign w:val="center"/>
            <w:hideMark/>
          </w:tcPr>
          <w:p w14:paraId="24F67F42" w14:textId="77777777" w:rsidR="007021C0" w:rsidRPr="00973049" w:rsidRDefault="007021C0" w:rsidP="001335E8">
            <w:pPr>
              <w:spacing w:after="0" w:line="240" w:lineRule="auto"/>
              <w:jc w:val="center"/>
              <w:rPr>
                <w:rFonts w:ascii="Arial" w:eastAsia="Times New Roman" w:hAnsi="Arial" w:cs="Arial"/>
                <w:kern w:val="0"/>
                <w:sz w:val="18"/>
                <w:szCs w:val="18"/>
                <w:lang w:val="en-GB" w:eastAsia="en-GB"/>
                <w14:ligatures w14:val="none"/>
              </w:rPr>
            </w:pPr>
            <w:r w:rsidRPr="00973049">
              <w:rPr>
                <w:rFonts w:ascii="Arial" w:eastAsia="Times New Roman" w:hAnsi="Arial" w:cs="Arial"/>
                <w:kern w:val="0"/>
                <w:sz w:val="18"/>
                <w:szCs w:val="18"/>
                <w:lang w:val="en-GB" w:eastAsia="en-GB"/>
                <w14:ligatures w14:val="none"/>
              </w:rPr>
              <w:t xml:space="preserve">Continuation of historical trends. 31% energy intensity average reduction (different across sectors, regions and final energies) by 2050, related to 2015 </w:t>
            </w:r>
          </w:p>
        </w:tc>
        <w:tc>
          <w:tcPr>
            <w:tcW w:w="831" w:type="pct"/>
            <w:tcBorders>
              <w:top w:val="nil"/>
              <w:left w:val="nil"/>
              <w:bottom w:val="single" w:sz="8" w:space="0" w:color="23478F"/>
              <w:right w:val="single" w:sz="8" w:space="0" w:color="23478F"/>
            </w:tcBorders>
            <w:shd w:val="clear" w:color="000000" w:fill="BFCFEF"/>
            <w:vAlign w:val="center"/>
            <w:hideMark/>
          </w:tcPr>
          <w:p w14:paraId="1F7CD61A" w14:textId="77777777" w:rsidR="007021C0" w:rsidRPr="00973049" w:rsidRDefault="007021C0" w:rsidP="001335E8">
            <w:pPr>
              <w:spacing w:after="0" w:line="240" w:lineRule="auto"/>
              <w:jc w:val="center"/>
              <w:rPr>
                <w:rFonts w:ascii="Arial" w:eastAsia="Times New Roman" w:hAnsi="Arial" w:cs="Arial"/>
                <w:kern w:val="0"/>
                <w:sz w:val="18"/>
                <w:szCs w:val="18"/>
                <w:lang w:val="en-GB" w:eastAsia="en-GB"/>
                <w14:ligatures w14:val="none"/>
              </w:rPr>
            </w:pPr>
            <w:r w:rsidRPr="00973049">
              <w:rPr>
                <w:rFonts w:ascii="Arial" w:eastAsia="Times New Roman" w:hAnsi="Arial" w:cs="Arial"/>
                <w:kern w:val="0"/>
                <w:sz w:val="18"/>
                <w:szCs w:val="18"/>
                <w:lang w:val="en-GB" w:eastAsia="en-GB"/>
                <w14:ligatures w14:val="none"/>
              </w:rPr>
              <w:t xml:space="preserve">Continuation of historical trends. 31% energy intensity average reduction (different across sectors, regions and final energies) by 2050, related to 2015 </w:t>
            </w:r>
          </w:p>
        </w:tc>
        <w:tc>
          <w:tcPr>
            <w:tcW w:w="1683" w:type="pct"/>
            <w:tcBorders>
              <w:top w:val="single" w:sz="4" w:space="0" w:color="7F7F7F"/>
              <w:left w:val="single" w:sz="4" w:space="0" w:color="7F7F7F"/>
              <w:bottom w:val="single" w:sz="4" w:space="0" w:color="7F7F7F"/>
              <w:right w:val="nil"/>
            </w:tcBorders>
            <w:shd w:val="clear" w:color="000000" w:fill="FCE4D6"/>
            <w:vAlign w:val="center"/>
            <w:hideMark/>
          </w:tcPr>
          <w:p w14:paraId="132E7618" w14:textId="77777777" w:rsidR="007021C0" w:rsidRPr="00973049" w:rsidRDefault="007021C0" w:rsidP="001335E8">
            <w:pPr>
              <w:spacing w:after="0" w:line="240" w:lineRule="auto"/>
              <w:jc w:val="center"/>
              <w:rPr>
                <w:rFonts w:ascii="Arial" w:eastAsia="Times New Roman" w:hAnsi="Arial" w:cs="Arial"/>
                <w:kern w:val="0"/>
                <w:sz w:val="18"/>
                <w:szCs w:val="18"/>
                <w:lang w:val="en-GB" w:eastAsia="en-GB"/>
                <w14:ligatures w14:val="none"/>
              </w:rPr>
            </w:pPr>
            <w:r w:rsidRPr="00973049">
              <w:rPr>
                <w:rFonts w:ascii="Arial" w:eastAsia="Times New Roman" w:hAnsi="Arial" w:cs="Arial"/>
                <w:kern w:val="0"/>
                <w:sz w:val="18"/>
                <w:szCs w:val="18"/>
                <w:lang w:val="en-GB" w:eastAsia="en-GB"/>
                <w14:ligatures w14:val="none"/>
              </w:rPr>
              <w:t>42% energy intensity average reduction (different across sectors, regions and final energies) by 2050, related to 2015</w:t>
            </w:r>
          </w:p>
        </w:tc>
      </w:tr>
      <w:tr w:rsidR="007021C0" w:rsidRPr="00BA7017" w14:paraId="7BA9FA24" w14:textId="77777777" w:rsidTr="0063109C">
        <w:trPr>
          <w:trHeight w:val="1065"/>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43E31AB0"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Technology improvement in passenger transport</w:t>
            </w:r>
          </w:p>
        </w:tc>
        <w:tc>
          <w:tcPr>
            <w:tcW w:w="706" w:type="pct"/>
            <w:tcBorders>
              <w:top w:val="nil"/>
              <w:left w:val="nil"/>
              <w:bottom w:val="single" w:sz="8" w:space="0" w:color="23478F"/>
              <w:right w:val="single" w:sz="8" w:space="0" w:color="23478F"/>
            </w:tcBorders>
            <w:shd w:val="clear" w:color="000000" w:fill="C6EFCE"/>
            <w:vAlign w:val="center"/>
            <w:hideMark/>
          </w:tcPr>
          <w:p w14:paraId="7A83A2A2"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15% savings in fuel consumption, 50% of gasoline and diesel engines are substituted by electric vehicles by 2040</w:t>
            </w:r>
          </w:p>
        </w:tc>
        <w:tc>
          <w:tcPr>
            <w:tcW w:w="769" w:type="pct"/>
            <w:tcBorders>
              <w:top w:val="nil"/>
              <w:left w:val="nil"/>
              <w:bottom w:val="single" w:sz="8" w:space="0" w:color="23478F"/>
              <w:right w:val="single" w:sz="8" w:space="0" w:color="23478F"/>
            </w:tcBorders>
            <w:shd w:val="clear" w:color="000000" w:fill="BFCFEF"/>
            <w:vAlign w:val="center"/>
            <w:hideMark/>
          </w:tcPr>
          <w:p w14:paraId="270312BF"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No </w:t>
            </w:r>
            <w:proofErr w:type="spellStart"/>
            <w:r w:rsidRPr="00CD6678">
              <w:rPr>
                <w:rFonts w:ascii="Arial" w:eastAsia="Times New Roman" w:hAnsi="Arial" w:cs="Arial"/>
                <w:color w:val="000000"/>
                <w:kern w:val="0"/>
                <w:sz w:val="18"/>
                <w:szCs w:val="18"/>
                <w:lang w:eastAsia="en-GB"/>
                <w14:ligatures w14:val="none"/>
              </w:rPr>
              <w:t>improvement</w:t>
            </w:r>
            <w:proofErr w:type="spellEnd"/>
            <w:r w:rsidRPr="00CD6678">
              <w:rPr>
                <w:rFonts w:ascii="Arial" w:eastAsia="Times New Roman" w:hAnsi="Arial" w:cs="Arial"/>
                <w:color w:val="000000"/>
                <w:kern w:val="0"/>
                <w:sz w:val="18"/>
                <w:szCs w:val="18"/>
                <w:lang w:eastAsia="en-GB"/>
                <w14:ligatures w14:val="none"/>
              </w:rPr>
              <w:t xml:space="preserve"> in </w:t>
            </w:r>
            <w:proofErr w:type="spellStart"/>
            <w:r w:rsidRPr="00CD6678">
              <w:rPr>
                <w:rFonts w:ascii="Arial" w:eastAsia="Times New Roman" w:hAnsi="Arial" w:cs="Arial"/>
                <w:color w:val="000000"/>
                <w:kern w:val="0"/>
                <w:sz w:val="18"/>
                <w:szCs w:val="18"/>
                <w:lang w:eastAsia="en-GB"/>
                <w14:ligatures w14:val="none"/>
              </w:rPr>
              <w:t>efficiency</w:t>
            </w:r>
            <w:proofErr w:type="spellEnd"/>
          </w:p>
        </w:tc>
        <w:tc>
          <w:tcPr>
            <w:tcW w:w="831" w:type="pct"/>
            <w:tcBorders>
              <w:top w:val="nil"/>
              <w:left w:val="nil"/>
              <w:bottom w:val="single" w:sz="8" w:space="0" w:color="23478F"/>
              <w:right w:val="single" w:sz="8" w:space="0" w:color="23478F"/>
            </w:tcBorders>
            <w:shd w:val="clear" w:color="000000" w:fill="BFCFEF"/>
            <w:vAlign w:val="center"/>
            <w:hideMark/>
          </w:tcPr>
          <w:p w14:paraId="3BF2E076"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No </w:t>
            </w:r>
            <w:proofErr w:type="spellStart"/>
            <w:r w:rsidRPr="00CD6678">
              <w:rPr>
                <w:rFonts w:ascii="Arial" w:eastAsia="Times New Roman" w:hAnsi="Arial" w:cs="Arial"/>
                <w:color w:val="000000"/>
                <w:kern w:val="0"/>
                <w:sz w:val="18"/>
                <w:szCs w:val="18"/>
                <w:lang w:eastAsia="en-GB"/>
                <w14:ligatures w14:val="none"/>
              </w:rPr>
              <w:t>improvement</w:t>
            </w:r>
            <w:proofErr w:type="spellEnd"/>
            <w:r w:rsidRPr="00CD6678">
              <w:rPr>
                <w:rFonts w:ascii="Arial" w:eastAsia="Times New Roman" w:hAnsi="Arial" w:cs="Arial"/>
                <w:color w:val="000000"/>
                <w:kern w:val="0"/>
                <w:sz w:val="18"/>
                <w:szCs w:val="18"/>
                <w:lang w:eastAsia="en-GB"/>
                <w14:ligatures w14:val="none"/>
              </w:rPr>
              <w:t xml:space="preserve"> in </w:t>
            </w:r>
            <w:proofErr w:type="spellStart"/>
            <w:r w:rsidRPr="00CD6678">
              <w:rPr>
                <w:rFonts w:ascii="Arial" w:eastAsia="Times New Roman" w:hAnsi="Arial" w:cs="Arial"/>
                <w:color w:val="000000"/>
                <w:kern w:val="0"/>
                <w:sz w:val="18"/>
                <w:szCs w:val="18"/>
                <w:lang w:eastAsia="en-GB"/>
                <w14:ligatures w14:val="none"/>
              </w:rPr>
              <w:t>efficiency</w:t>
            </w:r>
            <w:proofErr w:type="spellEnd"/>
          </w:p>
        </w:tc>
        <w:tc>
          <w:tcPr>
            <w:tcW w:w="1683" w:type="pct"/>
            <w:tcBorders>
              <w:top w:val="single" w:sz="4" w:space="0" w:color="7F7F7F"/>
              <w:left w:val="single" w:sz="4" w:space="0" w:color="7F7F7F"/>
              <w:bottom w:val="single" w:sz="4" w:space="0" w:color="7F7F7F"/>
              <w:right w:val="nil"/>
            </w:tcBorders>
            <w:shd w:val="clear" w:color="000000" w:fill="FCE4D6"/>
            <w:vAlign w:val="center"/>
            <w:hideMark/>
          </w:tcPr>
          <w:p w14:paraId="6F99D5BF"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7.5% savings in fuel consumption, 50% of gasoline and diesel engines are substituted by electric vehicles by 2045</w:t>
            </w:r>
          </w:p>
        </w:tc>
      </w:tr>
      <w:tr w:rsidR="007021C0" w:rsidRPr="00BA7017" w14:paraId="786C33DA" w14:textId="77777777" w:rsidTr="0063109C">
        <w:trPr>
          <w:trHeight w:val="675"/>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42EE3DB9"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Electrification</w:t>
            </w:r>
            <w:proofErr w:type="spellEnd"/>
          </w:p>
        </w:tc>
        <w:tc>
          <w:tcPr>
            <w:tcW w:w="706" w:type="pct"/>
            <w:tcBorders>
              <w:top w:val="nil"/>
              <w:left w:val="nil"/>
              <w:bottom w:val="single" w:sz="8" w:space="0" w:color="23478F"/>
              <w:right w:val="single" w:sz="8" w:space="0" w:color="23478F"/>
            </w:tcBorders>
            <w:shd w:val="clear" w:color="000000" w:fill="C6EFCE"/>
            <w:vAlign w:val="center"/>
            <w:hideMark/>
          </w:tcPr>
          <w:p w14:paraId="48C2CBC8" w14:textId="77777777" w:rsidR="007021C0" w:rsidRPr="00973049" w:rsidRDefault="007021C0" w:rsidP="001335E8">
            <w:pPr>
              <w:spacing w:after="0" w:line="240" w:lineRule="auto"/>
              <w:jc w:val="center"/>
              <w:rPr>
                <w:rFonts w:ascii="Arial" w:eastAsia="Times New Roman" w:hAnsi="Arial" w:cs="Arial"/>
                <w:kern w:val="0"/>
                <w:sz w:val="18"/>
                <w:szCs w:val="18"/>
                <w:lang w:val="en-GB" w:eastAsia="en-GB"/>
                <w14:ligatures w14:val="none"/>
              </w:rPr>
            </w:pPr>
            <w:r w:rsidRPr="00973049">
              <w:rPr>
                <w:rFonts w:ascii="Arial" w:eastAsia="Times New Roman" w:hAnsi="Arial" w:cs="Arial"/>
                <w:kern w:val="0"/>
                <w:sz w:val="18"/>
                <w:szCs w:val="18"/>
                <w:lang w:val="en-GB" w:eastAsia="en-GB"/>
                <w14:ligatures w14:val="none"/>
              </w:rPr>
              <w:t>59% average increase of electricity (different across sectors and regions)</w:t>
            </w:r>
          </w:p>
        </w:tc>
        <w:tc>
          <w:tcPr>
            <w:tcW w:w="769" w:type="pct"/>
            <w:tcBorders>
              <w:top w:val="nil"/>
              <w:left w:val="nil"/>
              <w:bottom w:val="single" w:sz="8" w:space="0" w:color="23478F"/>
              <w:right w:val="single" w:sz="8" w:space="0" w:color="23478F"/>
            </w:tcBorders>
            <w:shd w:val="clear" w:color="000000" w:fill="BFCFEF"/>
            <w:vAlign w:val="center"/>
            <w:hideMark/>
          </w:tcPr>
          <w:p w14:paraId="74108EDF" w14:textId="77777777" w:rsidR="007021C0" w:rsidRPr="00973049" w:rsidRDefault="007021C0" w:rsidP="001335E8">
            <w:pPr>
              <w:spacing w:after="0" w:line="240" w:lineRule="auto"/>
              <w:jc w:val="center"/>
              <w:rPr>
                <w:rFonts w:ascii="Arial" w:eastAsia="Times New Roman" w:hAnsi="Arial" w:cs="Arial"/>
                <w:kern w:val="0"/>
                <w:sz w:val="18"/>
                <w:szCs w:val="18"/>
                <w:lang w:val="en-GB" w:eastAsia="en-GB"/>
                <w14:ligatures w14:val="none"/>
              </w:rPr>
            </w:pPr>
            <w:r w:rsidRPr="00973049">
              <w:rPr>
                <w:rFonts w:ascii="Arial" w:eastAsia="Times New Roman" w:hAnsi="Arial" w:cs="Arial"/>
                <w:kern w:val="0"/>
                <w:sz w:val="18"/>
                <w:szCs w:val="18"/>
                <w:lang w:val="en-GB" w:eastAsia="en-GB"/>
                <w14:ligatures w14:val="none"/>
              </w:rPr>
              <w:t>4% average increase of electricity  (different across sectors and regions)</w:t>
            </w:r>
          </w:p>
        </w:tc>
        <w:tc>
          <w:tcPr>
            <w:tcW w:w="831" w:type="pct"/>
            <w:tcBorders>
              <w:top w:val="nil"/>
              <w:left w:val="nil"/>
              <w:bottom w:val="single" w:sz="8" w:space="0" w:color="23478F"/>
              <w:right w:val="single" w:sz="8" w:space="0" w:color="23478F"/>
            </w:tcBorders>
            <w:shd w:val="clear" w:color="000000" w:fill="BFCFEF"/>
            <w:vAlign w:val="center"/>
            <w:hideMark/>
          </w:tcPr>
          <w:p w14:paraId="3A45EB56" w14:textId="77777777" w:rsidR="007021C0" w:rsidRPr="00973049" w:rsidRDefault="007021C0" w:rsidP="001335E8">
            <w:pPr>
              <w:spacing w:after="0" w:line="240" w:lineRule="auto"/>
              <w:jc w:val="center"/>
              <w:rPr>
                <w:rFonts w:ascii="Arial" w:eastAsia="Times New Roman" w:hAnsi="Arial" w:cs="Arial"/>
                <w:kern w:val="0"/>
                <w:sz w:val="18"/>
                <w:szCs w:val="18"/>
                <w:lang w:val="en-GB" w:eastAsia="en-GB"/>
                <w14:ligatures w14:val="none"/>
              </w:rPr>
            </w:pPr>
            <w:r w:rsidRPr="00973049">
              <w:rPr>
                <w:rFonts w:ascii="Arial" w:eastAsia="Times New Roman" w:hAnsi="Arial" w:cs="Arial"/>
                <w:kern w:val="0"/>
                <w:sz w:val="18"/>
                <w:szCs w:val="18"/>
                <w:lang w:val="en-GB" w:eastAsia="en-GB"/>
                <w14:ligatures w14:val="none"/>
              </w:rPr>
              <w:t>4% average increase of electricity  (different across sectors and regions)</w:t>
            </w:r>
          </w:p>
        </w:tc>
        <w:tc>
          <w:tcPr>
            <w:tcW w:w="1683" w:type="pct"/>
            <w:tcBorders>
              <w:top w:val="single" w:sz="4" w:space="0" w:color="7F7F7F"/>
              <w:left w:val="single" w:sz="4" w:space="0" w:color="7F7F7F"/>
              <w:bottom w:val="single" w:sz="4" w:space="0" w:color="7F7F7F"/>
              <w:right w:val="nil"/>
            </w:tcBorders>
            <w:shd w:val="clear" w:color="000000" w:fill="FCE4D6"/>
            <w:vAlign w:val="center"/>
            <w:hideMark/>
          </w:tcPr>
          <w:p w14:paraId="2762127E" w14:textId="77777777" w:rsidR="007021C0" w:rsidRPr="00973049" w:rsidRDefault="007021C0" w:rsidP="001335E8">
            <w:pPr>
              <w:spacing w:after="0" w:line="240" w:lineRule="auto"/>
              <w:jc w:val="center"/>
              <w:rPr>
                <w:rFonts w:ascii="Arial" w:eastAsia="Times New Roman" w:hAnsi="Arial" w:cs="Arial"/>
                <w:kern w:val="0"/>
                <w:sz w:val="18"/>
                <w:szCs w:val="18"/>
                <w:lang w:val="en-GB" w:eastAsia="en-GB"/>
                <w14:ligatures w14:val="none"/>
              </w:rPr>
            </w:pPr>
            <w:r w:rsidRPr="00973049">
              <w:rPr>
                <w:rFonts w:ascii="Arial" w:eastAsia="Times New Roman" w:hAnsi="Arial" w:cs="Arial"/>
                <w:kern w:val="0"/>
                <w:sz w:val="18"/>
                <w:szCs w:val="18"/>
                <w:lang w:val="en-GB" w:eastAsia="en-GB"/>
                <w14:ligatures w14:val="none"/>
              </w:rPr>
              <w:t>26% average increase of electricity across regions</w:t>
            </w:r>
          </w:p>
        </w:tc>
      </w:tr>
      <w:tr w:rsidR="007021C0" w:rsidRPr="00BA7017" w14:paraId="41F43736" w14:textId="77777777" w:rsidTr="0063109C">
        <w:trPr>
          <w:trHeight w:val="1590"/>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6A0E285B"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Hydrogen</w:t>
            </w:r>
            <w:proofErr w:type="spellEnd"/>
          </w:p>
        </w:tc>
        <w:tc>
          <w:tcPr>
            <w:tcW w:w="706" w:type="pct"/>
            <w:tcBorders>
              <w:top w:val="nil"/>
              <w:left w:val="nil"/>
              <w:bottom w:val="single" w:sz="8" w:space="0" w:color="23478F"/>
              <w:right w:val="single" w:sz="8" w:space="0" w:color="23478F"/>
            </w:tcBorders>
            <w:shd w:val="clear" w:color="000000" w:fill="C6EFCE"/>
            <w:vAlign w:val="center"/>
            <w:hideMark/>
          </w:tcPr>
          <w:p w14:paraId="3C2F1622"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 xml:space="preserve">100% substitution of fossil fuels by hydrogen of non-energy uses, steel manufacturing processes, </w:t>
            </w:r>
            <w:proofErr w:type="spellStart"/>
            <w:r w:rsidRPr="00973049">
              <w:rPr>
                <w:rFonts w:ascii="Arial" w:eastAsia="Times New Roman" w:hAnsi="Arial" w:cs="Arial"/>
                <w:color w:val="000000"/>
                <w:kern w:val="0"/>
                <w:sz w:val="18"/>
                <w:szCs w:val="18"/>
                <w:lang w:val="en-GB" w:eastAsia="en-GB"/>
                <w14:ligatures w14:val="none"/>
              </w:rPr>
              <w:t>subsitution</w:t>
            </w:r>
            <w:proofErr w:type="spellEnd"/>
            <w:r w:rsidRPr="00973049">
              <w:rPr>
                <w:rFonts w:ascii="Arial" w:eastAsia="Times New Roman" w:hAnsi="Arial" w:cs="Arial"/>
                <w:color w:val="000000"/>
                <w:kern w:val="0"/>
                <w:sz w:val="18"/>
                <w:szCs w:val="18"/>
                <w:lang w:val="en-GB" w:eastAsia="en-GB"/>
                <w14:ligatures w14:val="none"/>
              </w:rPr>
              <w:t xml:space="preserve"> of 15% liquid and 4% gas by synthetic fuels by 2050 </w:t>
            </w:r>
          </w:p>
        </w:tc>
        <w:tc>
          <w:tcPr>
            <w:tcW w:w="769" w:type="pct"/>
            <w:tcBorders>
              <w:top w:val="nil"/>
              <w:left w:val="nil"/>
              <w:bottom w:val="single" w:sz="8" w:space="0" w:color="23478F"/>
              <w:right w:val="single" w:sz="8" w:space="0" w:color="23478F"/>
            </w:tcBorders>
            <w:shd w:val="clear" w:color="000000" w:fill="BFCFEF"/>
            <w:vAlign w:val="center"/>
            <w:hideMark/>
          </w:tcPr>
          <w:p w14:paraId="7570DF7B"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 xml:space="preserve">10% substitution of fossil fuels by hydrogen of non-energy uses, steel manufacturing processes, and substitution of 5% liquid by synthetic fuels by 2050 </w:t>
            </w:r>
          </w:p>
        </w:tc>
        <w:tc>
          <w:tcPr>
            <w:tcW w:w="831" w:type="pct"/>
            <w:tcBorders>
              <w:top w:val="nil"/>
              <w:left w:val="nil"/>
              <w:bottom w:val="single" w:sz="8" w:space="0" w:color="23478F"/>
              <w:right w:val="single" w:sz="8" w:space="0" w:color="23478F"/>
            </w:tcBorders>
            <w:shd w:val="clear" w:color="000000" w:fill="BFCFEF"/>
            <w:vAlign w:val="center"/>
            <w:hideMark/>
          </w:tcPr>
          <w:p w14:paraId="063A5651"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10% substitution of fossil fuels by hydrogen of non-energy uses, steel manufacturing processes, and substitution of 5% liquid by synthetic fuels by 2050</w:t>
            </w:r>
          </w:p>
        </w:tc>
        <w:tc>
          <w:tcPr>
            <w:tcW w:w="1683" w:type="pct"/>
            <w:tcBorders>
              <w:top w:val="single" w:sz="4" w:space="0" w:color="7F7F7F"/>
              <w:left w:val="single" w:sz="4" w:space="0" w:color="7F7F7F"/>
              <w:bottom w:val="single" w:sz="4" w:space="0" w:color="7F7F7F"/>
              <w:right w:val="nil"/>
            </w:tcBorders>
            <w:shd w:val="clear" w:color="000000" w:fill="FCE4D6"/>
            <w:vAlign w:val="center"/>
            <w:hideMark/>
          </w:tcPr>
          <w:p w14:paraId="070E12CF"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 xml:space="preserve">55% substitution of fossil fuels by hydrogen of non-energy uses, steel manufacturing processes, </w:t>
            </w:r>
            <w:proofErr w:type="spellStart"/>
            <w:r w:rsidRPr="00973049">
              <w:rPr>
                <w:rFonts w:ascii="Arial" w:eastAsia="Times New Roman" w:hAnsi="Arial" w:cs="Arial"/>
                <w:color w:val="000000"/>
                <w:kern w:val="0"/>
                <w:sz w:val="18"/>
                <w:szCs w:val="18"/>
                <w:lang w:val="en-GB" w:eastAsia="en-GB"/>
                <w14:ligatures w14:val="none"/>
              </w:rPr>
              <w:t>subsitution</w:t>
            </w:r>
            <w:proofErr w:type="spellEnd"/>
            <w:r w:rsidRPr="00973049">
              <w:rPr>
                <w:rFonts w:ascii="Arial" w:eastAsia="Times New Roman" w:hAnsi="Arial" w:cs="Arial"/>
                <w:color w:val="000000"/>
                <w:kern w:val="0"/>
                <w:sz w:val="18"/>
                <w:szCs w:val="18"/>
                <w:lang w:val="en-GB" w:eastAsia="en-GB"/>
                <w14:ligatures w14:val="none"/>
              </w:rPr>
              <w:t xml:space="preserve"> of 7.5% liquid and 2% gas by synthetic fuels by 2050</w:t>
            </w:r>
          </w:p>
        </w:tc>
      </w:tr>
      <w:tr w:rsidR="007021C0" w:rsidRPr="00CD6678" w14:paraId="03544383" w14:textId="77777777" w:rsidTr="0063109C">
        <w:trPr>
          <w:trHeight w:val="450"/>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50F6EC4E"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lastRenderedPageBreak/>
              <w:t>Use of immature technologies (CCS, offshore floating wind)</w:t>
            </w:r>
          </w:p>
        </w:tc>
        <w:tc>
          <w:tcPr>
            <w:tcW w:w="706" w:type="pct"/>
            <w:tcBorders>
              <w:top w:val="nil"/>
              <w:left w:val="nil"/>
              <w:bottom w:val="single" w:sz="8" w:space="0" w:color="23478F"/>
              <w:right w:val="single" w:sz="8" w:space="0" w:color="23478F"/>
            </w:tcBorders>
            <w:shd w:val="clear" w:color="000000" w:fill="C6EFCE"/>
            <w:vAlign w:val="center"/>
            <w:hideMark/>
          </w:tcPr>
          <w:p w14:paraId="2BD45670"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Electrolysers, wind offshore floating, CCS</w:t>
            </w:r>
          </w:p>
        </w:tc>
        <w:tc>
          <w:tcPr>
            <w:tcW w:w="769" w:type="pct"/>
            <w:tcBorders>
              <w:top w:val="nil"/>
              <w:left w:val="nil"/>
              <w:bottom w:val="single" w:sz="8" w:space="0" w:color="23478F"/>
              <w:right w:val="single" w:sz="8" w:space="0" w:color="23478F"/>
            </w:tcBorders>
            <w:shd w:val="clear" w:color="000000" w:fill="BFCFEF"/>
            <w:vAlign w:val="center"/>
            <w:hideMark/>
          </w:tcPr>
          <w:p w14:paraId="0C04C1F6"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Electrolysers</w:t>
            </w:r>
          </w:p>
        </w:tc>
        <w:tc>
          <w:tcPr>
            <w:tcW w:w="831" w:type="pct"/>
            <w:tcBorders>
              <w:top w:val="nil"/>
              <w:left w:val="nil"/>
              <w:bottom w:val="single" w:sz="8" w:space="0" w:color="23478F"/>
              <w:right w:val="single" w:sz="8" w:space="0" w:color="23478F"/>
            </w:tcBorders>
            <w:shd w:val="clear" w:color="000000" w:fill="BFCFEF"/>
            <w:vAlign w:val="center"/>
            <w:hideMark/>
          </w:tcPr>
          <w:p w14:paraId="2D91A17B"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Electrolysers</w:t>
            </w:r>
          </w:p>
        </w:tc>
        <w:tc>
          <w:tcPr>
            <w:tcW w:w="1683" w:type="pct"/>
            <w:tcBorders>
              <w:top w:val="single" w:sz="4" w:space="0" w:color="7F7F7F"/>
              <w:left w:val="single" w:sz="4" w:space="0" w:color="7F7F7F"/>
              <w:bottom w:val="single" w:sz="4" w:space="0" w:color="7F7F7F"/>
              <w:right w:val="nil"/>
            </w:tcBorders>
            <w:shd w:val="clear" w:color="000000" w:fill="FCE4D6"/>
            <w:vAlign w:val="center"/>
            <w:hideMark/>
          </w:tcPr>
          <w:p w14:paraId="46ECBE7B"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Electrolysers</w:t>
            </w:r>
          </w:p>
        </w:tc>
      </w:tr>
      <w:tr w:rsidR="007021C0" w:rsidRPr="00BA7017" w14:paraId="5A136AE0" w14:textId="77777777" w:rsidTr="0063109C">
        <w:trPr>
          <w:trHeight w:val="900"/>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52AEAF5D"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Ban fossil fuels in the power system</w:t>
            </w:r>
          </w:p>
        </w:tc>
        <w:tc>
          <w:tcPr>
            <w:tcW w:w="706" w:type="pct"/>
            <w:tcBorders>
              <w:top w:val="nil"/>
              <w:left w:val="nil"/>
              <w:bottom w:val="single" w:sz="8" w:space="0" w:color="23478F"/>
              <w:right w:val="single" w:sz="8" w:space="0" w:color="23478F"/>
            </w:tcBorders>
            <w:shd w:val="clear" w:color="000000" w:fill="C6EFCE"/>
            <w:vAlign w:val="center"/>
            <w:hideMark/>
          </w:tcPr>
          <w:p w14:paraId="128A542A"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 xml:space="preserve">Ban plants </w:t>
            </w:r>
            <w:proofErr w:type="spellStart"/>
            <w:r w:rsidRPr="00973049">
              <w:rPr>
                <w:rFonts w:ascii="Arial" w:eastAsia="Times New Roman" w:hAnsi="Arial" w:cs="Arial"/>
                <w:color w:val="000000"/>
                <w:kern w:val="0"/>
                <w:sz w:val="18"/>
                <w:szCs w:val="18"/>
                <w:lang w:val="en-GB" w:eastAsia="en-GB"/>
                <w14:ligatures w14:val="none"/>
              </w:rPr>
              <w:t>fueled</w:t>
            </w:r>
            <w:proofErr w:type="spellEnd"/>
            <w:r w:rsidRPr="00973049">
              <w:rPr>
                <w:rFonts w:ascii="Arial" w:eastAsia="Times New Roman" w:hAnsi="Arial" w:cs="Arial"/>
                <w:color w:val="000000"/>
                <w:kern w:val="0"/>
                <w:sz w:val="18"/>
                <w:szCs w:val="18"/>
                <w:lang w:val="en-GB" w:eastAsia="en-GB"/>
                <w14:ligatures w14:val="none"/>
              </w:rPr>
              <w:t xml:space="preserve"> by fossil fuels (liquids, solids, and gases) by 2030, except CCS plants</w:t>
            </w:r>
          </w:p>
        </w:tc>
        <w:tc>
          <w:tcPr>
            <w:tcW w:w="769" w:type="pct"/>
            <w:tcBorders>
              <w:top w:val="nil"/>
              <w:left w:val="nil"/>
              <w:bottom w:val="single" w:sz="8" w:space="0" w:color="23478F"/>
              <w:right w:val="single" w:sz="8" w:space="0" w:color="23478F"/>
            </w:tcBorders>
            <w:shd w:val="clear" w:color="000000" w:fill="BFCFEF"/>
            <w:vAlign w:val="center"/>
            <w:hideMark/>
          </w:tcPr>
          <w:p w14:paraId="5FCB7D69"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No</w:t>
            </w:r>
          </w:p>
        </w:tc>
        <w:tc>
          <w:tcPr>
            <w:tcW w:w="831" w:type="pct"/>
            <w:tcBorders>
              <w:top w:val="nil"/>
              <w:left w:val="nil"/>
              <w:bottom w:val="single" w:sz="8" w:space="0" w:color="23478F"/>
              <w:right w:val="single" w:sz="8" w:space="0" w:color="23478F"/>
            </w:tcBorders>
            <w:shd w:val="clear" w:color="000000" w:fill="BFCFEF"/>
            <w:vAlign w:val="center"/>
            <w:hideMark/>
          </w:tcPr>
          <w:p w14:paraId="1C972127"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No</w:t>
            </w:r>
          </w:p>
        </w:tc>
        <w:tc>
          <w:tcPr>
            <w:tcW w:w="1683" w:type="pct"/>
            <w:tcBorders>
              <w:top w:val="single" w:sz="4" w:space="0" w:color="7F7F7F"/>
              <w:left w:val="single" w:sz="4" w:space="0" w:color="7F7F7F"/>
              <w:bottom w:val="single" w:sz="4" w:space="0" w:color="7F7F7F"/>
              <w:right w:val="nil"/>
            </w:tcBorders>
            <w:shd w:val="clear" w:color="000000" w:fill="FCE4D6"/>
            <w:vAlign w:val="center"/>
            <w:hideMark/>
          </w:tcPr>
          <w:p w14:paraId="6CDFA03E"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 xml:space="preserve">Ban plants </w:t>
            </w:r>
            <w:proofErr w:type="spellStart"/>
            <w:r w:rsidRPr="00973049">
              <w:rPr>
                <w:rFonts w:ascii="Arial" w:eastAsia="Times New Roman" w:hAnsi="Arial" w:cs="Arial"/>
                <w:color w:val="000000"/>
                <w:kern w:val="0"/>
                <w:sz w:val="18"/>
                <w:szCs w:val="18"/>
                <w:lang w:val="en-GB" w:eastAsia="en-GB"/>
                <w14:ligatures w14:val="none"/>
              </w:rPr>
              <w:t>fueled</w:t>
            </w:r>
            <w:proofErr w:type="spellEnd"/>
            <w:r w:rsidRPr="00973049">
              <w:rPr>
                <w:rFonts w:ascii="Arial" w:eastAsia="Times New Roman" w:hAnsi="Arial" w:cs="Arial"/>
                <w:color w:val="000000"/>
                <w:kern w:val="0"/>
                <w:sz w:val="18"/>
                <w:szCs w:val="18"/>
                <w:lang w:val="en-GB" w:eastAsia="en-GB"/>
                <w14:ligatures w14:val="none"/>
              </w:rPr>
              <w:t xml:space="preserve"> by solid fossil fuels by 2040</w:t>
            </w:r>
          </w:p>
        </w:tc>
      </w:tr>
      <w:tr w:rsidR="007021C0" w:rsidRPr="00BA7017" w14:paraId="27A157A0" w14:textId="77777777" w:rsidTr="0063109C">
        <w:trPr>
          <w:trHeight w:val="645"/>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35F7F30F"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Energy </w:t>
            </w:r>
            <w:proofErr w:type="spellStart"/>
            <w:r w:rsidRPr="00CD6678">
              <w:rPr>
                <w:rFonts w:ascii="Arial" w:eastAsia="Times New Roman" w:hAnsi="Arial" w:cs="Arial"/>
                <w:color w:val="000000"/>
                <w:kern w:val="0"/>
                <w:sz w:val="18"/>
                <w:szCs w:val="18"/>
                <w:lang w:eastAsia="en-GB"/>
                <w14:ligatures w14:val="none"/>
              </w:rPr>
              <w:t>capacity</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investment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costs</w:t>
            </w:r>
            <w:proofErr w:type="spellEnd"/>
          </w:p>
        </w:tc>
        <w:tc>
          <w:tcPr>
            <w:tcW w:w="706" w:type="pct"/>
            <w:tcBorders>
              <w:top w:val="nil"/>
              <w:left w:val="nil"/>
              <w:bottom w:val="single" w:sz="8" w:space="0" w:color="23478F"/>
              <w:right w:val="single" w:sz="8" w:space="0" w:color="23478F"/>
            </w:tcBorders>
            <w:shd w:val="clear" w:color="000000" w:fill="C6EFCE"/>
            <w:vAlign w:val="center"/>
            <w:hideMark/>
          </w:tcPr>
          <w:p w14:paraId="04345E92"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Investment costs of energy infrastructure is 35% lower, related to 2015</w:t>
            </w:r>
          </w:p>
        </w:tc>
        <w:tc>
          <w:tcPr>
            <w:tcW w:w="769" w:type="pct"/>
            <w:tcBorders>
              <w:top w:val="nil"/>
              <w:left w:val="nil"/>
              <w:bottom w:val="single" w:sz="8" w:space="0" w:color="23478F"/>
              <w:right w:val="single" w:sz="8" w:space="0" w:color="23478F"/>
            </w:tcBorders>
            <w:shd w:val="clear" w:color="000000" w:fill="BFCFEF"/>
            <w:vAlign w:val="center"/>
            <w:hideMark/>
          </w:tcPr>
          <w:p w14:paraId="681CAB87"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Investment costs of energy infrastructure is 20% higher, related to 2015</w:t>
            </w:r>
          </w:p>
        </w:tc>
        <w:tc>
          <w:tcPr>
            <w:tcW w:w="831" w:type="pct"/>
            <w:tcBorders>
              <w:top w:val="nil"/>
              <w:left w:val="nil"/>
              <w:bottom w:val="single" w:sz="8" w:space="0" w:color="23478F"/>
              <w:right w:val="single" w:sz="8" w:space="0" w:color="23478F"/>
            </w:tcBorders>
            <w:shd w:val="clear" w:color="000000" w:fill="BFCFEF"/>
            <w:vAlign w:val="center"/>
            <w:hideMark/>
          </w:tcPr>
          <w:p w14:paraId="2EED457E"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Investment costs of energy infrastructure is 20% higher, related to 2015</w:t>
            </w:r>
          </w:p>
        </w:tc>
        <w:tc>
          <w:tcPr>
            <w:tcW w:w="1683" w:type="pct"/>
            <w:tcBorders>
              <w:top w:val="nil"/>
              <w:left w:val="nil"/>
              <w:bottom w:val="nil"/>
              <w:right w:val="nil"/>
            </w:tcBorders>
            <w:shd w:val="clear" w:color="000000" w:fill="FCE4D6"/>
            <w:vAlign w:val="center"/>
            <w:hideMark/>
          </w:tcPr>
          <w:p w14:paraId="5F8FB861"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Investment costs of energy infrastructure is 8% lower, related to 2015</w:t>
            </w:r>
          </w:p>
        </w:tc>
      </w:tr>
      <w:tr w:rsidR="007021C0" w:rsidRPr="00BA7017" w14:paraId="6070A873" w14:textId="77777777" w:rsidTr="0063109C">
        <w:trPr>
          <w:trHeight w:val="675"/>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73AB6EA9"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Improvement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recycling</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rates</w:t>
            </w:r>
            <w:proofErr w:type="spellEnd"/>
          </w:p>
        </w:tc>
        <w:tc>
          <w:tcPr>
            <w:tcW w:w="706" w:type="pct"/>
            <w:tcBorders>
              <w:top w:val="nil"/>
              <w:left w:val="nil"/>
              <w:bottom w:val="single" w:sz="8" w:space="0" w:color="23478F"/>
              <w:right w:val="single" w:sz="8" w:space="0" w:color="23478F"/>
            </w:tcBorders>
            <w:shd w:val="clear" w:color="000000" w:fill="C6EFCE"/>
            <w:vAlign w:val="center"/>
            <w:hideMark/>
          </w:tcPr>
          <w:p w14:paraId="12C14BEC"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Minimum of 30% recycling rate. For the rest, 30% higher recycling rate</w:t>
            </w:r>
          </w:p>
        </w:tc>
        <w:tc>
          <w:tcPr>
            <w:tcW w:w="769" w:type="pct"/>
            <w:tcBorders>
              <w:top w:val="nil"/>
              <w:left w:val="nil"/>
              <w:bottom w:val="single" w:sz="8" w:space="0" w:color="23478F"/>
              <w:right w:val="single" w:sz="8" w:space="0" w:color="23478F"/>
            </w:tcBorders>
            <w:shd w:val="clear" w:color="000000" w:fill="BFCFEF"/>
            <w:vAlign w:val="center"/>
            <w:hideMark/>
          </w:tcPr>
          <w:p w14:paraId="1C8A6066"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Minimum of 5% recycling rate. For the rest, 5% higher recycling rate</w:t>
            </w:r>
          </w:p>
        </w:tc>
        <w:tc>
          <w:tcPr>
            <w:tcW w:w="831" w:type="pct"/>
            <w:tcBorders>
              <w:top w:val="nil"/>
              <w:left w:val="nil"/>
              <w:bottom w:val="single" w:sz="8" w:space="0" w:color="23478F"/>
              <w:right w:val="single" w:sz="8" w:space="0" w:color="23478F"/>
            </w:tcBorders>
            <w:shd w:val="clear" w:color="000000" w:fill="BFCFEF"/>
            <w:vAlign w:val="center"/>
            <w:hideMark/>
          </w:tcPr>
          <w:p w14:paraId="03A0DD5C"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Minimum of 5% recycling rate. For the rest, 5% higher recycling rate</w:t>
            </w:r>
          </w:p>
        </w:tc>
        <w:tc>
          <w:tcPr>
            <w:tcW w:w="1683" w:type="pct"/>
            <w:tcBorders>
              <w:top w:val="single" w:sz="4" w:space="0" w:color="7F7F7F"/>
              <w:left w:val="single" w:sz="4" w:space="0" w:color="7F7F7F"/>
              <w:bottom w:val="single" w:sz="4" w:space="0" w:color="7F7F7F"/>
              <w:right w:val="nil"/>
            </w:tcBorders>
            <w:shd w:val="clear" w:color="000000" w:fill="FCE4D6"/>
            <w:vAlign w:val="center"/>
            <w:hideMark/>
          </w:tcPr>
          <w:p w14:paraId="4D58BDA8"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Minimum of 15% recycling rate. For the rest, 15% higher recycling rate</w:t>
            </w:r>
          </w:p>
        </w:tc>
      </w:tr>
      <w:tr w:rsidR="007021C0" w:rsidRPr="00CD6678" w14:paraId="2D4C52CA" w14:textId="77777777" w:rsidTr="001335E8">
        <w:trPr>
          <w:trHeight w:val="285"/>
        </w:trPr>
        <w:tc>
          <w:tcPr>
            <w:tcW w:w="5000" w:type="pct"/>
            <w:gridSpan w:val="5"/>
            <w:tcBorders>
              <w:top w:val="nil"/>
              <w:left w:val="single" w:sz="8" w:space="0" w:color="23478F"/>
              <w:bottom w:val="nil"/>
              <w:right w:val="nil"/>
            </w:tcBorders>
            <w:shd w:val="clear" w:color="000000" w:fill="6B90DB"/>
            <w:vAlign w:val="center"/>
            <w:hideMark/>
          </w:tcPr>
          <w:p w14:paraId="5CFB3C7C" w14:textId="77777777" w:rsidR="007021C0" w:rsidRPr="00CD6678" w:rsidRDefault="007021C0" w:rsidP="001335E8">
            <w:pPr>
              <w:spacing w:after="0" w:line="240" w:lineRule="auto"/>
              <w:jc w:val="center"/>
              <w:rPr>
                <w:rFonts w:ascii="Arial" w:eastAsia="Times New Roman" w:hAnsi="Arial" w:cs="Arial"/>
                <w:b/>
                <w:bCs/>
                <w:color w:val="000000"/>
                <w:kern w:val="0"/>
                <w:sz w:val="18"/>
                <w:szCs w:val="18"/>
                <w:lang w:eastAsia="en-GB"/>
                <w14:ligatures w14:val="none"/>
              </w:rPr>
            </w:pPr>
            <w:proofErr w:type="spellStart"/>
            <w:r w:rsidRPr="00CD6678">
              <w:rPr>
                <w:rFonts w:ascii="Arial" w:eastAsia="Times New Roman" w:hAnsi="Arial" w:cs="Arial"/>
                <w:b/>
                <w:bCs/>
                <w:color w:val="000000"/>
                <w:kern w:val="0"/>
                <w:sz w:val="18"/>
                <w:szCs w:val="18"/>
                <w:lang w:eastAsia="en-GB"/>
                <w14:ligatures w14:val="none"/>
              </w:rPr>
              <w:t>Land</w:t>
            </w:r>
            <w:proofErr w:type="spellEnd"/>
            <w:r w:rsidRPr="00CD6678">
              <w:rPr>
                <w:rFonts w:ascii="Arial" w:eastAsia="Times New Roman" w:hAnsi="Arial" w:cs="Arial"/>
                <w:b/>
                <w:bCs/>
                <w:color w:val="000000"/>
                <w:kern w:val="0"/>
                <w:sz w:val="18"/>
                <w:szCs w:val="18"/>
                <w:lang w:eastAsia="en-GB"/>
                <w14:ligatures w14:val="none"/>
              </w:rPr>
              <w:t xml:space="preserve"> use/</w:t>
            </w:r>
            <w:proofErr w:type="spellStart"/>
            <w:r w:rsidRPr="00CD6678">
              <w:rPr>
                <w:rFonts w:ascii="Arial" w:eastAsia="Times New Roman" w:hAnsi="Arial" w:cs="Arial"/>
                <w:b/>
                <w:bCs/>
                <w:color w:val="000000"/>
                <w:kern w:val="0"/>
                <w:sz w:val="18"/>
                <w:szCs w:val="18"/>
                <w:lang w:eastAsia="en-GB"/>
                <w14:ligatures w14:val="none"/>
              </w:rPr>
              <w:t>agriculture</w:t>
            </w:r>
            <w:proofErr w:type="spellEnd"/>
            <w:r w:rsidRPr="00CD6678">
              <w:rPr>
                <w:rFonts w:ascii="Arial" w:eastAsia="Times New Roman" w:hAnsi="Arial" w:cs="Arial"/>
                <w:b/>
                <w:bCs/>
                <w:color w:val="000000"/>
                <w:kern w:val="0"/>
                <w:sz w:val="18"/>
                <w:szCs w:val="18"/>
                <w:lang w:eastAsia="en-GB"/>
                <w14:ligatures w14:val="none"/>
              </w:rPr>
              <w:t>/</w:t>
            </w:r>
            <w:proofErr w:type="spellStart"/>
            <w:r w:rsidRPr="00CD6678">
              <w:rPr>
                <w:rFonts w:ascii="Arial" w:eastAsia="Times New Roman" w:hAnsi="Arial" w:cs="Arial"/>
                <w:b/>
                <w:bCs/>
                <w:color w:val="000000"/>
                <w:kern w:val="0"/>
                <w:sz w:val="18"/>
                <w:szCs w:val="18"/>
                <w:lang w:eastAsia="en-GB"/>
                <w14:ligatures w14:val="none"/>
              </w:rPr>
              <w:t>forestry</w:t>
            </w:r>
            <w:proofErr w:type="spellEnd"/>
          </w:p>
        </w:tc>
      </w:tr>
      <w:tr w:rsidR="007021C0" w:rsidRPr="00CD6678" w14:paraId="512E1393" w14:textId="77777777" w:rsidTr="0063109C">
        <w:trPr>
          <w:trHeight w:val="645"/>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6410DEE1"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Afforestation</w:t>
            </w:r>
            <w:proofErr w:type="spellEnd"/>
            <w:r w:rsidRPr="00CD6678">
              <w:rPr>
                <w:rFonts w:ascii="Arial" w:eastAsia="Times New Roman" w:hAnsi="Arial" w:cs="Arial"/>
                <w:color w:val="000000"/>
                <w:kern w:val="0"/>
                <w:sz w:val="18"/>
                <w:szCs w:val="18"/>
                <w:lang w:eastAsia="en-GB"/>
                <w14:ligatures w14:val="none"/>
              </w:rPr>
              <w:t xml:space="preserve">/New </w:t>
            </w:r>
            <w:proofErr w:type="spellStart"/>
            <w:r w:rsidRPr="00CD6678">
              <w:rPr>
                <w:rFonts w:ascii="Arial" w:eastAsia="Times New Roman" w:hAnsi="Arial" w:cs="Arial"/>
                <w:color w:val="000000"/>
                <w:kern w:val="0"/>
                <w:sz w:val="18"/>
                <w:szCs w:val="18"/>
                <w:lang w:eastAsia="en-GB"/>
                <w14:ligatures w14:val="none"/>
              </w:rPr>
              <w:t>plantations</w:t>
            </w:r>
            <w:proofErr w:type="spellEnd"/>
          </w:p>
        </w:tc>
        <w:tc>
          <w:tcPr>
            <w:tcW w:w="706" w:type="pct"/>
            <w:tcBorders>
              <w:top w:val="nil"/>
              <w:left w:val="nil"/>
              <w:bottom w:val="single" w:sz="8" w:space="0" w:color="23478F"/>
              <w:right w:val="single" w:sz="8" w:space="0" w:color="23478F"/>
            </w:tcBorders>
            <w:shd w:val="clear" w:color="000000" w:fill="BFCFEF"/>
            <w:vAlign w:val="center"/>
            <w:hideMark/>
          </w:tcPr>
          <w:p w14:paraId="76435339" w14:textId="77777777" w:rsidR="007021C0" w:rsidRPr="00CD6678" w:rsidRDefault="007021C0" w:rsidP="001335E8">
            <w:pPr>
              <w:spacing w:after="0" w:line="240" w:lineRule="auto"/>
              <w:jc w:val="center"/>
              <w:rPr>
                <w:rFonts w:ascii="Arial" w:eastAsia="Times New Roman" w:hAnsi="Arial" w:cs="Arial"/>
                <w:kern w:val="0"/>
                <w:sz w:val="18"/>
                <w:szCs w:val="18"/>
                <w:lang w:eastAsia="en-GB"/>
                <w14:ligatures w14:val="none"/>
              </w:rPr>
            </w:pPr>
            <w:r w:rsidRPr="00CD6678">
              <w:rPr>
                <w:rFonts w:ascii="Arial" w:eastAsia="Times New Roman" w:hAnsi="Arial" w:cs="Arial"/>
                <w:kern w:val="0"/>
                <w:sz w:val="18"/>
                <w:szCs w:val="18"/>
                <w:lang w:eastAsia="en-GB"/>
                <w14:ligatures w14:val="none"/>
              </w:rPr>
              <w:t>No</w:t>
            </w:r>
          </w:p>
        </w:tc>
        <w:tc>
          <w:tcPr>
            <w:tcW w:w="769" w:type="pct"/>
            <w:tcBorders>
              <w:top w:val="nil"/>
              <w:left w:val="nil"/>
              <w:bottom w:val="single" w:sz="8" w:space="0" w:color="23478F"/>
              <w:right w:val="single" w:sz="8" w:space="0" w:color="23478F"/>
            </w:tcBorders>
            <w:shd w:val="clear" w:color="000000" w:fill="BFCFEF"/>
            <w:vAlign w:val="center"/>
            <w:hideMark/>
          </w:tcPr>
          <w:p w14:paraId="0FDCAAB8" w14:textId="77777777" w:rsidR="007021C0" w:rsidRPr="00CD6678" w:rsidRDefault="007021C0" w:rsidP="001335E8">
            <w:pPr>
              <w:spacing w:after="0" w:line="240" w:lineRule="auto"/>
              <w:jc w:val="center"/>
              <w:rPr>
                <w:rFonts w:ascii="Arial" w:eastAsia="Times New Roman" w:hAnsi="Arial" w:cs="Arial"/>
                <w:kern w:val="0"/>
                <w:sz w:val="18"/>
                <w:szCs w:val="18"/>
                <w:lang w:eastAsia="en-GB"/>
                <w14:ligatures w14:val="none"/>
              </w:rPr>
            </w:pPr>
            <w:r w:rsidRPr="00CD6678">
              <w:rPr>
                <w:rFonts w:ascii="Arial" w:eastAsia="Times New Roman" w:hAnsi="Arial" w:cs="Arial"/>
                <w:kern w:val="0"/>
                <w:sz w:val="18"/>
                <w:szCs w:val="18"/>
                <w:lang w:eastAsia="en-GB"/>
                <w14:ligatures w14:val="none"/>
              </w:rPr>
              <w:t>No</w:t>
            </w:r>
          </w:p>
        </w:tc>
        <w:tc>
          <w:tcPr>
            <w:tcW w:w="831" w:type="pct"/>
            <w:tcBorders>
              <w:top w:val="nil"/>
              <w:left w:val="nil"/>
              <w:bottom w:val="single" w:sz="8" w:space="0" w:color="23478F"/>
              <w:right w:val="single" w:sz="8" w:space="0" w:color="23478F"/>
            </w:tcBorders>
            <w:shd w:val="clear" w:color="000000" w:fill="C6EFCE"/>
            <w:vAlign w:val="center"/>
            <w:hideMark/>
          </w:tcPr>
          <w:p w14:paraId="1F8E15CF"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27% </w:t>
            </w:r>
            <w:proofErr w:type="spellStart"/>
            <w:r w:rsidRPr="00CD6678">
              <w:rPr>
                <w:rFonts w:ascii="Arial" w:eastAsia="Times New Roman" w:hAnsi="Arial" w:cs="Arial"/>
                <w:color w:val="000000"/>
                <w:kern w:val="0"/>
                <w:sz w:val="18"/>
                <w:szCs w:val="18"/>
                <w:lang w:eastAsia="en-GB"/>
                <w14:ligatures w14:val="none"/>
              </w:rPr>
              <w:t>afforestation</w:t>
            </w:r>
            <w:proofErr w:type="spellEnd"/>
            <w:r w:rsidRPr="00CD6678">
              <w:rPr>
                <w:rFonts w:ascii="Arial" w:eastAsia="Times New Roman" w:hAnsi="Arial" w:cs="Arial"/>
                <w:color w:val="000000"/>
                <w:kern w:val="0"/>
                <w:sz w:val="18"/>
                <w:szCs w:val="18"/>
                <w:lang w:eastAsia="en-GB"/>
                <w14:ligatures w14:val="none"/>
              </w:rPr>
              <w:t xml:space="preserve">, new </w:t>
            </w:r>
            <w:proofErr w:type="spellStart"/>
            <w:r w:rsidRPr="00CD6678">
              <w:rPr>
                <w:rFonts w:ascii="Arial" w:eastAsia="Times New Roman" w:hAnsi="Arial" w:cs="Arial"/>
                <w:color w:val="000000"/>
                <w:kern w:val="0"/>
                <w:sz w:val="18"/>
                <w:szCs w:val="18"/>
                <w:lang w:eastAsia="en-GB"/>
                <w14:ligatures w14:val="none"/>
              </w:rPr>
              <w:t>plantations</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by</w:t>
            </w:r>
            <w:proofErr w:type="spellEnd"/>
            <w:r w:rsidRPr="00CD6678">
              <w:rPr>
                <w:rFonts w:ascii="Arial" w:eastAsia="Times New Roman" w:hAnsi="Arial" w:cs="Arial"/>
                <w:color w:val="000000"/>
                <w:kern w:val="0"/>
                <w:sz w:val="18"/>
                <w:szCs w:val="18"/>
                <w:lang w:eastAsia="en-GB"/>
                <w14:ligatures w14:val="none"/>
              </w:rPr>
              <w:t xml:space="preserve"> 2050.</w:t>
            </w:r>
          </w:p>
        </w:tc>
        <w:tc>
          <w:tcPr>
            <w:tcW w:w="1683" w:type="pct"/>
            <w:tcBorders>
              <w:top w:val="nil"/>
              <w:left w:val="nil"/>
              <w:bottom w:val="nil"/>
              <w:right w:val="nil"/>
            </w:tcBorders>
            <w:shd w:val="clear" w:color="000000" w:fill="FCE4D6"/>
            <w:vAlign w:val="center"/>
            <w:hideMark/>
          </w:tcPr>
          <w:p w14:paraId="28E76C2F"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11% </w:t>
            </w:r>
            <w:proofErr w:type="spellStart"/>
            <w:r w:rsidRPr="00CD6678">
              <w:rPr>
                <w:rFonts w:ascii="Arial" w:eastAsia="Times New Roman" w:hAnsi="Arial" w:cs="Arial"/>
                <w:color w:val="000000"/>
                <w:kern w:val="0"/>
                <w:sz w:val="18"/>
                <w:szCs w:val="18"/>
                <w:lang w:eastAsia="en-GB"/>
                <w14:ligatures w14:val="none"/>
              </w:rPr>
              <w:t>afforestation</w:t>
            </w:r>
            <w:proofErr w:type="spellEnd"/>
            <w:r w:rsidRPr="00CD6678">
              <w:rPr>
                <w:rFonts w:ascii="Arial" w:eastAsia="Times New Roman" w:hAnsi="Arial" w:cs="Arial"/>
                <w:color w:val="000000"/>
                <w:kern w:val="0"/>
                <w:sz w:val="18"/>
                <w:szCs w:val="18"/>
                <w:lang w:eastAsia="en-GB"/>
                <w14:ligatures w14:val="none"/>
              </w:rPr>
              <w:t xml:space="preserve">, new </w:t>
            </w:r>
            <w:proofErr w:type="spellStart"/>
            <w:r w:rsidRPr="00CD6678">
              <w:rPr>
                <w:rFonts w:ascii="Arial" w:eastAsia="Times New Roman" w:hAnsi="Arial" w:cs="Arial"/>
                <w:color w:val="000000"/>
                <w:kern w:val="0"/>
                <w:sz w:val="18"/>
                <w:szCs w:val="18"/>
                <w:lang w:eastAsia="en-GB"/>
                <w14:ligatures w14:val="none"/>
              </w:rPr>
              <w:t>plantations</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by</w:t>
            </w:r>
            <w:proofErr w:type="spellEnd"/>
            <w:r w:rsidRPr="00CD6678">
              <w:rPr>
                <w:rFonts w:ascii="Arial" w:eastAsia="Times New Roman" w:hAnsi="Arial" w:cs="Arial"/>
                <w:color w:val="000000"/>
                <w:kern w:val="0"/>
                <w:sz w:val="18"/>
                <w:szCs w:val="18"/>
                <w:lang w:eastAsia="en-GB"/>
                <w14:ligatures w14:val="none"/>
              </w:rPr>
              <w:t xml:space="preserve"> 2050</w:t>
            </w:r>
          </w:p>
        </w:tc>
      </w:tr>
      <w:tr w:rsidR="007021C0" w:rsidRPr="00BA7017" w14:paraId="148313CF" w14:textId="77777777" w:rsidTr="0063109C">
        <w:trPr>
          <w:trHeight w:val="435"/>
        </w:trPr>
        <w:tc>
          <w:tcPr>
            <w:tcW w:w="1013" w:type="pct"/>
            <w:tcBorders>
              <w:top w:val="nil"/>
              <w:left w:val="single" w:sz="8" w:space="0" w:color="23478F"/>
              <w:bottom w:val="single" w:sz="8" w:space="0" w:color="23478F"/>
              <w:right w:val="nil"/>
            </w:tcBorders>
            <w:shd w:val="clear" w:color="000000" w:fill="6B90DB"/>
            <w:vAlign w:val="center"/>
            <w:hideMark/>
          </w:tcPr>
          <w:p w14:paraId="6FB1D9B2"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Protection of natural lands incl. primary forests</w:t>
            </w:r>
          </w:p>
        </w:tc>
        <w:tc>
          <w:tcPr>
            <w:tcW w:w="706" w:type="pct"/>
            <w:tcBorders>
              <w:top w:val="nil"/>
              <w:left w:val="nil"/>
              <w:bottom w:val="single" w:sz="8" w:space="0" w:color="23478F"/>
              <w:right w:val="single" w:sz="8" w:space="0" w:color="23478F"/>
            </w:tcBorders>
            <w:shd w:val="clear" w:color="000000" w:fill="BFCFEF"/>
            <w:vAlign w:val="center"/>
            <w:hideMark/>
          </w:tcPr>
          <w:p w14:paraId="14F98611" w14:textId="77777777" w:rsidR="007021C0" w:rsidRPr="00CD6678" w:rsidRDefault="007021C0" w:rsidP="001335E8">
            <w:pPr>
              <w:spacing w:after="0" w:line="240" w:lineRule="auto"/>
              <w:jc w:val="center"/>
              <w:rPr>
                <w:rFonts w:ascii="Arial" w:eastAsia="Times New Roman" w:hAnsi="Arial" w:cs="Arial"/>
                <w:kern w:val="0"/>
                <w:sz w:val="18"/>
                <w:szCs w:val="18"/>
                <w:lang w:eastAsia="en-GB"/>
                <w14:ligatures w14:val="none"/>
              </w:rPr>
            </w:pPr>
            <w:r w:rsidRPr="00CD6678">
              <w:rPr>
                <w:rFonts w:ascii="Arial" w:eastAsia="Times New Roman" w:hAnsi="Arial" w:cs="Arial"/>
                <w:kern w:val="0"/>
                <w:sz w:val="18"/>
                <w:szCs w:val="18"/>
                <w:lang w:eastAsia="en-GB"/>
                <w14:ligatures w14:val="none"/>
              </w:rPr>
              <w:t>No</w:t>
            </w:r>
          </w:p>
        </w:tc>
        <w:tc>
          <w:tcPr>
            <w:tcW w:w="769" w:type="pct"/>
            <w:tcBorders>
              <w:top w:val="nil"/>
              <w:left w:val="nil"/>
              <w:bottom w:val="single" w:sz="8" w:space="0" w:color="23478F"/>
              <w:right w:val="single" w:sz="8" w:space="0" w:color="23478F"/>
            </w:tcBorders>
            <w:shd w:val="clear" w:color="000000" w:fill="BFCFEF"/>
            <w:vAlign w:val="center"/>
            <w:hideMark/>
          </w:tcPr>
          <w:p w14:paraId="4398EC27" w14:textId="77777777" w:rsidR="007021C0" w:rsidRPr="00CD6678" w:rsidRDefault="007021C0" w:rsidP="001335E8">
            <w:pPr>
              <w:spacing w:after="0" w:line="240" w:lineRule="auto"/>
              <w:jc w:val="center"/>
              <w:rPr>
                <w:rFonts w:ascii="Arial" w:eastAsia="Times New Roman" w:hAnsi="Arial" w:cs="Arial"/>
                <w:kern w:val="0"/>
                <w:sz w:val="18"/>
                <w:szCs w:val="18"/>
                <w:lang w:eastAsia="en-GB"/>
                <w14:ligatures w14:val="none"/>
              </w:rPr>
            </w:pPr>
            <w:r w:rsidRPr="00CD6678">
              <w:rPr>
                <w:rFonts w:ascii="Arial" w:eastAsia="Times New Roman" w:hAnsi="Arial" w:cs="Arial"/>
                <w:kern w:val="0"/>
                <w:sz w:val="18"/>
                <w:szCs w:val="18"/>
                <w:lang w:eastAsia="en-GB"/>
                <w14:ligatures w14:val="none"/>
              </w:rPr>
              <w:t>No</w:t>
            </w:r>
          </w:p>
        </w:tc>
        <w:tc>
          <w:tcPr>
            <w:tcW w:w="831" w:type="pct"/>
            <w:tcBorders>
              <w:top w:val="nil"/>
              <w:left w:val="nil"/>
              <w:bottom w:val="single" w:sz="8" w:space="0" w:color="23478F"/>
              <w:right w:val="single" w:sz="8" w:space="0" w:color="23478F"/>
            </w:tcBorders>
            <w:shd w:val="clear" w:color="000000" w:fill="C6EFCE"/>
            <w:vAlign w:val="center"/>
            <w:hideMark/>
          </w:tcPr>
          <w:p w14:paraId="5CA873ED"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27% protection of primary forests and other natural land by 2030</w:t>
            </w:r>
          </w:p>
        </w:tc>
        <w:tc>
          <w:tcPr>
            <w:tcW w:w="1683" w:type="pct"/>
            <w:tcBorders>
              <w:top w:val="nil"/>
              <w:left w:val="nil"/>
              <w:bottom w:val="nil"/>
              <w:right w:val="nil"/>
            </w:tcBorders>
            <w:shd w:val="clear" w:color="000000" w:fill="FCE4D6"/>
            <w:vAlign w:val="center"/>
            <w:hideMark/>
          </w:tcPr>
          <w:p w14:paraId="45742A2F"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11% protection of primary forests by 2050</w:t>
            </w:r>
          </w:p>
        </w:tc>
      </w:tr>
      <w:tr w:rsidR="007021C0" w:rsidRPr="00CD6678" w14:paraId="52268DB6" w14:textId="77777777" w:rsidTr="0063109C">
        <w:trPr>
          <w:trHeight w:val="435"/>
        </w:trPr>
        <w:tc>
          <w:tcPr>
            <w:tcW w:w="1013" w:type="pct"/>
            <w:tcBorders>
              <w:top w:val="nil"/>
              <w:left w:val="single" w:sz="8" w:space="0" w:color="23478F"/>
              <w:bottom w:val="single" w:sz="8" w:space="0" w:color="23478F"/>
              <w:right w:val="nil"/>
            </w:tcBorders>
            <w:shd w:val="clear" w:color="000000" w:fill="6B90DB"/>
            <w:vAlign w:val="center"/>
            <w:hideMark/>
          </w:tcPr>
          <w:p w14:paraId="039BB1A9"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Agricultural</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management</w:t>
            </w:r>
            <w:proofErr w:type="spellEnd"/>
          </w:p>
        </w:tc>
        <w:tc>
          <w:tcPr>
            <w:tcW w:w="706" w:type="pct"/>
            <w:tcBorders>
              <w:top w:val="nil"/>
              <w:left w:val="nil"/>
              <w:bottom w:val="single" w:sz="8" w:space="0" w:color="23478F"/>
              <w:right w:val="single" w:sz="8" w:space="0" w:color="23478F"/>
            </w:tcBorders>
            <w:shd w:val="clear" w:color="000000" w:fill="E6E7E8"/>
            <w:vAlign w:val="center"/>
            <w:hideMark/>
          </w:tcPr>
          <w:p w14:paraId="06FB627C"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100% industrial </w:t>
            </w:r>
            <w:proofErr w:type="spellStart"/>
            <w:r w:rsidRPr="00CD6678">
              <w:rPr>
                <w:rFonts w:ascii="Arial" w:eastAsia="Times New Roman" w:hAnsi="Arial" w:cs="Arial"/>
                <w:color w:val="000000"/>
                <w:kern w:val="0"/>
                <w:sz w:val="18"/>
                <w:szCs w:val="18"/>
                <w:lang w:eastAsia="en-GB"/>
                <w14:ligatures w14:val="none"/>
              </w:rPr>
              <w:t>agriculture</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by</w:t>
            </w:r>
            <w:proofErr w:type="spellEnd"/>
            <w:r w:rsidRPr="00CD6678">
              <w:rPr>
                <w:rFonts w:ascii="Arial" w:eastAsia="Times New Roman" w:hAnsi="Arial" w:cs="Arial"/>
                <w:color w:val="000000"/>
                <w:kern w:val="0"/>
                <w:sz w:val="18"/>
                <w:szCs w:val="18"/>
                <w:lang w:eastAsia="en-GB"/>
                <w14:ligatures w14:val="none"/>
              </w:rPr>
              <w:t xml:space="preserve"> 2040</w:t>
            </w:r>
          </w:p>
        </w:tc>
        <w:tc>
          <w:tcPr>
            <w:tcW w:w="769" w:type="pct"/>
            <w:tcBorders>
              <w:top w:val="nil"/>
              <w:left w:val="nil"/>
              <w:bottom w:val="single" w:sz="8" w:space="0" w:color="23478F"/>
              <w:right w:val="single" w:sz="8" w:space="0" w:color="23478F"/>
            </w:tcBorders>
            <w:shd w:val="clear" w:color="000000" w:fill="E6E7E8"/>
            <w:vAlign w:val="center"/>
            <w:hideMark/>
          </w:tcPr>
          <w:p w14:paraId="74FDEA76"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50% industrial </w:t>
            </w:r>
            <w:proofErr w:type="spellStart"/>
            <w:r w:rsidRPr="00CD6678">
              <w:rPr>
                <w:rFonts w:ascii="Arial" w:eastAsia="Times New Roman" w:hAnsi="Arial" w:cs="Arial"/>
                <w:color w:val="000000"/>
                <w:kern w:val="0"/>
                <w:sz w:val="18"/>
                <w:szCs w:val="18"/>
                <w:lang w:eastAsia="en-GB"/>
                <w14:ligatures w14:val="none"/>
              </w:rPr>
              <w:t>agriculture</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by</w:t>
            </w:r>
            <w:proofErr w:type="spellEnd"/>
            <w:r w:rsidRPr="00CD6678">
              <w:rPr>
                <w:rFonts w:ascii="Arial" w:eastAsia="Times New Roman" w:hAnsi="Arial" w:cs="Arial"/>
                <w:color w:val="000000"/>
                <w:kern w:val="0"/>
                <w:sz w:val="18"/>
                <w:szCs w:val="18"/>
                <w:lang w:eastAsia="en-GB"/>
                <w14:ligatures w14:val="none"/>
              </w:rPr>
              <w:t xml:space="preserve"> 2050</w:t>
            </w:r>
          </w:p>
        </w:tc>
        <w:tc>
          <w:tcPr>
            <w:tcW w:w="831" w:type="pct"/>
            <w:tcBorders>
              <w:top w:val="nil"/>
              <w:left w:val="nil"/>
              <w:bottom w:val="single" w:sz="8" w:space="0" w:color="23478F"/>
              <w:right w:val="single" w:sz="8" w:space="0" w:color="23478F"/>
            </w:tcBorders>
            <w:shd w:val="clear" w:color="000000" w:fill="C6EFCE"/>
            <w:vAlign w:val="center"/>
            <w:hideMark/>
          </w:tcPr>
          <w:p w14:paraId="4C18B2A4"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100% regenerative </w:t>
            </w:r>
            <w:proofErr w:type="spellStart"/>
            <w:r w:rsidRPr="00CD6678">
              <w:rPr>
                <w:rFonts w:ascii="Arial" w:eastAsia="Times New Roman" w:hAnsi="Arial" w:cs="Arial"/>
                <w:color w:val="000000"/>
                <w:kern w:val="0"/>
                <w:sz w:val="18"/>
                <w:szCs w:val="18"/>
                <w:lang w:eastAsia="en-GB"/>
                <w14:ligatures w14:val="none"/>
              </w:rPr>
              <w:t>agriculture</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by</w:t>
            </w:r>
            <w:proofErr w:type="spellEnd"/>
            <w:r w:rsidRPr="00CD6678">
              <w:rPr>
                <w:rFonts w:ascii="Arial" w:eastAsia="Times New Roman" w:hAnsi="Arial" w:cs="Arial"/>
                <w:color w:val="000000"/>
                <w:kern w:val="0"/>
                <w:sz w:val="18"/>
                <w:szCs w:val="18"/>
                <w:lang w:eastAsia="en-GB"/>
                <w14:ligatures w14:val="none"/>
              </w:rPr>
              <w:t xml:space="preserve"> 2050</w:t>
            </w:r>
          </w:p>
        </w:tc>
        <w:tc>
          <w:tcPr>
            <w:tcW w:w="1683" w:type="pct"/>
            <w:tcBorders>
              <w:top w:val="nil"/>
              <w:left w:val="nil"/>
              <w:bottom w:val="nil"/>
              <w:right w:val="nil"/>
            </w:tcBorders>
            <w:shd w:val="clear" w:color="000000" w:fill="FCE4D6"/>
            <w:vAlign w:val="center"/>
            <w:hideMark/>
          </w:tcPr>
          <w:p w14:paraId="6A8A2E7E"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50% regenerative </w:t>
            </w:r>
            <w:proofErr w:type="spellStart"/>
            <w:r w:rsidRPr="00CD6678">
              <w:rPr>
                <w:rFonts w:ascii="Arial" w:eastAsia="Times New Roman" w:hAnsi="Arial" w:cs="Arial"/>
                <w:color w:val="000000"/>
                <w:kern w:val="0"/>
                <w:sz w:val="18"/>
                <w:szCs w:val="18"/>
                <w:lang w:eastAsia="en-GB"/>
                <w14:ligatures w14:val="none"/>
              </w:rPr>
              <w:t>agriculture</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by</w:t>
            </w:r>
            <w:proofErr w:type="spellEnd"/>
            <w:r w:rsidRPr="00CD6678">
              <w:rPr>
                <w:rFonts w:ascii="Arial" w:eastAsia="Times New Roman" w:hAnsi="Arial" w:cs="Arial"/>
                <w:color w:val="000000"/>
                <w:kern w:val="0"/>
                <w:sz w:val="18"/>
                <w:szCs w:val="18"/>
                <w:lang w:eastAsia="en-GB"/>
                <w14:ligatures w14:val="none"/>
              </w:rPr>
              <w:t xml:space="preserve"> 2050</w:t>
            </w:r>
          </w:p>
        </w:tc>
      </w:tr>
      <w:tr w:rsidR="007021C0" w:rsidRPr="00CD6678" w14:paraId="5BDA2A7F" w14:textId="77777777" w:rsidTr="0063109C">
        <w:trPr>
          <w:trHeight w:val="450"/>
        </w:trPr>
        <w:tc>
          <w:tcPr>
            <w:tcW w:w="1013" w:type="pct"/>
            <w:tcBorders>
              <w:top w:val="nil"/>
              <w:left w:val="single" w:sz="8" w:space="0" w:color="23478F"/>
              <w:bottom w:val="single" w:sz="8" w:space="0" w:color="23478F"/>
              <w:right w:val="nil"/>
            </w:tcBorders>
            <w:shd w:val="clear" w:color="000000" w:fill="6B90DB"/>
            <w:vAlign w:val="center"/>
            <w:hideMark/>
          </w:tcPr>
          <w:p w14:paraId="2C175536"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Grassland</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management</w:t>
            </w:r>
            <w:proofErr w:type="spellEnd"/>
          </w:p>
        </w:tc>
        <w:tc>
          <w:tcPr>
            <w:tcW w:w="706" w:type="pct"/>
            <w:tcBorders>
              <w:top w:val="nil"/>
              <w:left w:val="nil"/>
              <w:bottom w:val="single" w:sz="8" w:space="0" w:color="23478F"/>
              <w:right w:val="single" w:sz="8" w:space="0" w:color="23478F"/>
            </w:tcBorders>
            <w:shd w:val="clear" w:color="000000" w:fill="E6E7E8"/>
            <w:vAlign w:val="center"/>
            <w:hideMark/>
          </w:tcPr>
          <w:p w14:paraId="162CC725"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100% grassland management with high inputs by 2050</w:t>
            </w:r>
          </w:p>
        </w:tc>
        <w:tc>
          <w:tcPr>
            <w:tcW w:w="769" w:type="pct"/>
            <w:tcBorders>
              <w:top w:val="nil"/>
              <w:left w:val="nil"/>
              <w:bottom w:val="single" w:sz="8" w:space="0" w:color="23478F"/>
              <w:right w:val="single" w:sz="8" w:space="0" w:color="23478F"/>
            </w:tcBorders>
            <w:shd w:val="clear" w:color="000000" w:fill="E6E7E8"/>
            <w:vAlign w:val="center"/>
            <w:hideMark/>
          </w:tcPr>
          <w:p w14:paraId="4EE097B4"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100% grassland management with medium inputs by 2050.</w:t>
            </w:r>
          </w:p>
        </w:tc>
        <w:tc>
          <w:tcPr>
            <w:tcW w:w="831" w:type="pct"/>
            <w:tcBorders>
              <w:top w:val="nil"/>
              <w:left w:val="nil"/>
              <w:bottom w:val="single" w:sz="8" w:space="0" w:color="23478F"/>
              <w:right w:val="single" w:sz="8" w:space="0" w:color="23478F"/>
            </w:tcBorders>
            <w:shd w:val="clear" w:color="000000" w:fill="C6EFCE"/>
            <w:vAlign w:val="center"/>
            <w:hideMark/>
          </w:tcPr>
          <w:p w14:paraId="1928B640"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100% regenerative </w:t>
            </w:r>
            <w:proofErr w:type="spellStart"/>
            <w:r w:rsidRPr="00CD6678">
              <w:rPr>
                <w:rFonts w:ascii="Arial" w:eastAsia="Times New Roman" w:hAnsi="Arial" w:cs="Arial"/>
                <w:color w:val="000000"/>
                <w:kern w:val="0"/>
                <w:sz w:val="18"/>
                <w:szCs w:val="18"/>
                <w:lang w:eastAsia="en-GB"/>
                <w14:ligatures w14:val="none"/>
              </w:rPr>
              <w:t>grazing</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by</w:t>
            </w:r>
            <w:proofErr w:type="spellEnd"/>
            <w:r w:rsidRPr="00CD6678">
              <w:rPr>
                <w:rFonts w:ascii="Arial" w:eastAsia="Times New Roman" w:hAnsi="Arial" w:cs="Arial"/>
                <w:color w:val="000000"/>
                <w:kern w:val="0"/>
                <w:sz w:val="18"/>
                <w:szCs w:val="18"/>
                <w:lang w:eastAsia="en-GB"/>
                <w14:ligatures w14:val="none"/>
              </w:rPr>
              <w:t xml:space="preserve"> 2050</w:t>
            </w:r>
          </w:p>
        </w:tc>
        <w:tc>
          <w:tcPr>
            <w:tcW w:w="1683" w:type="pct"/>
            <w:tcBorders>
              <w:top w:val="nil"/>
              <w:left w:val="nil"/>
              <w:bottom w:val="nil"/>
              <w:right w:val="nil"/>
            </w:tcBorders>
            <w:shd w:val="clear" w:color="000000" w:fill="FCE4D6"/>
            <w:vAlign w:val="center"/>
            <w:hideMark/>
          </w:tcPr>
          <w:p w14:paraId="49E47144"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50% regenerative </w:t>
            </w:r>
            <w:proofErr w:type="spellStart"/>
            <w:r w:rsidRPr="00CD6678">
              <w:rPr>
                <w:rFonts w:ascii="Arial" w:eastAsia="Times New Roman" w:hAnsi="Arial" w:cs="Arial"/>
                <w:color w:val="000000"/>
                <w:kern w:val="0"/>
                <w:sz w:val="18"/>
                <w:szCs w:val="18"/>
                <w:lang w:eastAsia="en-GB"/>
                <w14:ligatures w14:val="none"/>
              </w:rPr>
              <w:t>grazing</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by</w:t>
            </w:r>
            <w:proofErr w:type="spellEnd"/>
            <w:r w:rsidRPr="00CD6678">
              <w:rPr>
                <w:rFonts w:ascii="Arial" w:eastAsia="Times New Roman" w:hAnsi="Arial" w:cs="Arial"/>
                <w:color w:val="000000"/>
                <w:kern w:val="0"/>
                <w:sz w:val="18"/>
                <w:szCs w:val="18"/>
                <w:lang w:eastAsia="en-GB"/>
                <w14:ligatures w14:val="none"/>
              </w:rPr>
              <w:t xml:space="preserve"> 2050</w:t>
            </w:r>
          </w:p>
        </w:tc>
      </w:tr>
      <w:tr w:rsidR="007021C0" w:rsidRPr="00CD6678" w14:paraId="79F92BE5" w14:textId="77777777" w:rsidTr="0063109C">
        <w:trPr>
          <w:trHeight w:val="1710"/>
        </w:trPr>
        <w:tc>
          <w:tcPr>
            <w:tcW w:w="1013" w:type="pct"/>
            <w:tcBorders>
              <w:top w:val="nil"/>
              <w:left w:val="single" w:sz="8" w:space="0" w:color="23478F"/>
              <w:bottom w:val="single" w:sz="8" w:space="0" w:color="23478F"/>
              <w:right w:val="nil"/>
            </w:tcBorders>
            <w:shd w:val="clear" w:color="000000" w:fill="6B90DB"/>
            <w:vAlign w:val="center"/>
            <w:hideMark/>
          </w:tcPr>
          <w:p w14:paraId="5B9D4072"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Manure</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management</w:t>
            </w:r>
            <w:proofErr w:type="spellEnd"/>
          </w:p>
        </w:tc>
        <w:tc>
          <w:tcPr>
            <w:tcW w:w="706" w:type="pct"/>
            <w:tcBorders>
              <w:top w:val="nil"/>
              <w:left w:val="nil"/>
              <w:bottom w:val="single" w:sz="8" w:space="0" w:color="23478F"/>
              <w:right w:val="single" w:sz="8" w:space="0" w:color="23478F"/>
            </w:tcBorders>
            <w:shd w:val="clear" w:color="000000" w:fill="E6E7E8"/>
            <w:vAlign w:val="center"/>
            <w:hideMark/>
          </w:tcPr>
          <w:p w14:paraId="3ABE4E59"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Current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levels</w:t>
            </w:r>
            <w:proofErr w:type="spellEnd"/>
            <w:r w:rsidRPr="00CD6678">
              <w:rPr>
                <w:rFonts w:ascii="Arial" w:eastAsia="Times New Roman" w:hAnsi="Arial" w:cs="Arial"/>
                <w:color w:val="000000"/>
                <w:kern w:val="0"/>
                <w:sz w:val="18"/>
                <w:szCs w:val="18"/>
                <w:lang w:eastAsia="en-GB"/>
                <w14:ligatures w14:val="none"/>
              </w:rPr>
              <w:t xml:space="preserve"> and </w:t>
            </w:r>
            <w:proofErr w:type="spellStart"/>
            <w:r w:rsidRPr="00CD6678">
              <w:rPr>
                <w:rFonts w:ascii="Arial" w:eastAsia="Times New Roman" w:hAnsi="Arial" w:cs="Arial"/>
                <w:color w:val="000000"/>
                <w:kern w:val="0"/>
                <w:sz w:val="18"/>
                <w:szCs w:val="18"/>
                <w:lang w:eastAsia="en-GB"/>
                <w14:ligatures w14:val="none"/>
              </w:rPr>
              <w:t>patterns</w:t>
            </w:r>
            <w:proofErr w:type="spellEnd"/>
          </w:p>
        </w:tc>
        <w:tc>
          <w:tcPr>
            <w:tcW w:w="769" w:type="pct"/>
            <w:tcBorders>
              <w:top w:val="nil"/>
              <w:left w:val="nil"/>
              <w:bottom w:val="single" w:sz="8" w:space="0" w:color="23478F"/>
              <w:right w:val="single" w:sz="8" w:space="0" w:color="23478F"/>
            </w:tcBorders>
            <w:shd w:val="clear" w:color="000000" w:fill="E6E7E8"/>
            <w:vAlign w:val="center"/>
            <w:hideMark/>
          </w:tcPr>
          <w:p w14:paraId="31D08C9E"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Current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levels</w:t>
            </w:r>
            <w:proofErr w:type="spellEnd"/>
            <w:r w:rsidRPr="00CD6678">
              <w:rPr>
                <w:rFonts w:ascii="Arial" w:eastAsia="Times New Roman" w:hAnsi="Arial" w:cs="Arial"/>
                <w:color w:val="000000"/>
                <w:kern w:val="0"/>
                <w:sz w:val="18"/>
                <w:szCs w:val="18"/>
                <w:lang w:eastAsia="en-GB"/>
                <w14:ligatures w14:val="none"/>
              </w:rPr>
              <w:t xml:space="preserve"> and </w:t>
            </w:r>
            <w:proofErr w:type="spellStart"/>
            <w:r w:rsidRPr="00CD6678">
              <w:rPr>
                <w:rFonts w:ascii="Arial" w:eastAsia="Times New Roman" w:hAnsi="Arial" w:cs="Arial"/>
                <w:color w:val="000000"/>
                <w:kern w:val="0"/>
                <w:sz w:val="18"/>
                <w:szCs w:val="18"/>
                <w:lang w:eastAsia="en-GB"/>
                <w14:ligatures w14:val="none"/>
              </w:rPr>
              <w:t>patterns</w:t>
            </w:r>
            <w:proofErr w:type="spellEnd"/>
          </w:p>
        </w:tc>
        <w:tc>
          <w:tcPr>
            <w:tcW w:w="831" w:type="pct"/>
            <w:tcBorders>
              <w:top w:val="nil"/>
              <w:left w:val="nil"/>
              <w:bottom w:val="single" w:sz="8" w:space="0" w:color="23478F"/>
              <w:right w:val="single" w:sz="8" w:space="0" w:color="23478F"/>
            </w:tcBorders>
            <w:shd w:val="clear" w:color="000000" w:fill="C6EFCE"/>
            <w:vAlign w:val="center"/>
            <w:hideMark/>
          </w:tcPr>
          <w:p w14:paraId="28AF4C89"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Application of a manure management system based on lagoon, liquid/slurry, solid storage, dry lot, pasture/range, daily spread, digester, burned for fuel, PIT, other</w:t>
            </w:r>
          </w:p>
        </w:tc>
        <w:tc>
          <w:tcPr>
            <w:tcW w:w="1683" w:type="pct"/>
            <w:tcBorders>
              <w:top w:val="nil"/>
              <w:left w:val="nil"/>
              <w:bottom w:val="nil"/>
              <w:right w:val="nil"/>
            </w:tcBorders>
            <w:shd w:val="clear" w:color="000000" w:fill="FCE4D6"/>
            <w:vAlign w:val="center"/>
            <w:hideMark/>
          </w:tcPr>
          <w:p w14:paraId="6817F404"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Current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levels</w:t>
            </w:r>
            <w:proofErr w:type="spellEnd"/>
            <w:r w:rsidRPr="00CD6678">
              <w:rPr>
                <w:rFonts w:ascii="Arial" w:eastAsia="Times New Roman" w:hAnsi="Arial" w:cs="Arial"/>
                <w:color w:val="000000"/>
                <w:kern w:val="0"/>
                <w:sz w:val="18"/>
                <w:szCs w:val="18"/>
                <w:lang w:eastAsia="en-GB"/>
                <w14:ligatures w14:val="none"/>
              </w:rPr>
              <w:t xml:space="preserve"> and </w:t>
            </w:r>
            <w:proofErr w:type="spellStart"/>
            <w:r w:rsidRPr="00CD6678">
              <w:rPr>
                <w:rFonts w:ascii="Arial" w:eastAsia="Times New Roman" w:hAnsi="Arial" w:cs="Arial"/>
                <w:color w:val="000000"/>
                <w:kern w:val="0"/>
                <w:sz w:val="18"/>
                <w:szCs w:val="18"/>
                <w:lang w:eastAsia="en-GB"/>
                <w14:ligatures w14:val="none"/>
              </w:rPr>
              <w:t>patterns</w:t>
            </w:r>
            <w:proofErr w:type="spellEnd"/>
          </w:p>
        </w:tc>
      </w:tr>
      <w:tr w:rsidR="007021C0" w:rsidRPr="00CD6678" w14:paraId="4E32F5C4" w14:textId="77777777" w:rsidTr="001335E8">
        <w:trPr>
          <w:trHeight w:val="285"/>
        </w:trPr>
        <w:tc>
          <w:tcPr>
            <w:tcW w:w="5000" w:type="pct"/>
            <w:gridSpan w:val="5"/>
            <w:tcBorders>
              <w:top w:val="nil"/>
              <w:left w:val="single" w:sz="8" w:space="0" w:color="23478F"/>
              <w:bottom w:val="nil"/>
              <w:right w:val="nil"/>
            </w:tcBorders>
            <w:shd w:val="clear" w:color="000000" w:fill="6B90DB"/>
            <w:vAlign w:val="center"/>
            <w:hideMark/>
          </w:tcPr>
          <w:p w14:paraId="6715E65A" w14:textId="77777777" w:rsidR="007021C0" w:rsidRPr="00CD6678" w:rsidRDefault="007021C0" w:rsidP="001335E8">
            <w:pPr>
              <w:spacing w:after="0" w:line="240" w:lineRule="auto"/>
              <w:jc w:val="center"/>
              <w:rPr>
                <w:rFonts w:ascii="Arial" w:eastAsia="Times New Roman" w:hAnsi="Arial" w:cs="Arial"/>
                <w:b/>
                <w:bCs/>
                <w:color w:val="000000"/>
                <w:kern w:val="0"/>
                <w:sz w:val="18"/>
                <w:szCs w:val="18"/>
                <w:lang w:eastAsia="en-GB"/>
                <w14:ligatures w14:val="none"/>
              </w:rPr>
            </w:pPr>
            <w:proofErr w:type="spellStart"/>
            <w:r w:rsidRPr="00CD6678">
              <w:rPr>
                <w:rFonts w:ascii="Arial" w:eastAsia="Times New Roman" w:hAnsi="Arial" w:cs="Arial"/>
                <w:b/>
                <w:bCs/>
                <w:color w:val="000000"/>
                <w:kern w:val="0"/>
                <w:sz w:val="18"/>
                <w:szCs w:val="18"/>
                <w:lang w:eastAsia="en-GB"/>
                <w14:ligatures w14:val="none"/>
              </w:rPr>
              <w:t>Society</w:t>
            </w:r>
            <w:proofErr w:type="spellEnd"/>
            <w:r w:rsidRPr="00CD6678">
              <w:rPr>
                <w:rFonts w:ascii="Arial" w:eastAsia="Times New Roman" w:hAnsi="Arial" w:cs="Arial"/>
                <w:b/>
                <w:bCs/>
                <w:color w:val="000000"/>
                <w:kern w:val="0"/>
                <w:sz w:val="18"/>
                <w:szCs w:val="18"/>
                <w:lang w:eastAsia="en-GB"/>
                <w14:ligatures w14:val="none"/>
              </w:rPr>
              <w:t>/</w:t>
            </w:r>
            <w:proofErr w:type="spellStart"/>
            <w:r w:rsidRPr="00CD6678">
              <w:rPr>
                <w:rFonts w:ascii="Arial" w:eastAsia="Times New Roman" w:hAnsi="Arial" w:cs="Arial"/>
                <w:b/>
                <w:bCs/>
                <w:color w:val="000000"/>
                <w:kern w:val="0"/>
                <w:sz w:val="18"/>
                <w:szCs w:val="18"/>
                <w:lang w:eastAsia="en-GB"/>
                <w14:ligatures w14:val="none"/>
              </w:rPr>
              <w:t>Lifestyle</w:t>
            </w:r>
            <w:proofErr w:type="spellEnd"/>
            <w:r w:rsidRPr="00CD6678">
              <w:rPr>
                <w:rFonts w:ascii="Arial" w:eastAsia="Times New Roman" w:hAnsi="Arial" w:cs="Arial"/>
                <w:b/>
                <w:bCs/>
                <w:color w:val="000000"/>
                <w:kern w:val="0"/>
                <w:sz w:val="18"/>
                <w:szCs w:val="18"/>
                <w:lang w:eastAsia="en-GB"/>
                <w14:ligatures w14:val="none"/>
              </w:rPr>
              <w:t xml:space="preserve"> </w:t>
            </w:r>
            <w:proofErr w:type="spellStart"/>
            <w:r w:rsidRPr="00CD6678">
              <w:rPr>
                <w:rFonts w:ascii="Arial" w:eastAsia="Times New Roman" w:hAnsi="Arial" w:cs="Arial"/>
                <w:b/>
                <w:bCs/>
                <w:color w:val="000000"/>
                <w:kern w:val="0"/>
                <w:sz w:val="18"/>
                <w:szCs w:val="18"/>
                <w:lang w:eastAsia="en-GB"/>
                <w14:ligatures w14:val="none"/>
              </w:rPr>
              <w:t>changes</w:t>
            </w:r>
            <w:proofErr w:type="spellEnd"/>
          </w:p>
        </w:tc>
      </w:tr>
      <w:tr w:rsidR="007021C0" w:rsidRPr="00BA7017" w14:paraId="244C4D27" w14:textId="77777777" w:rsidTr="0063109C">
        <w:trPr>
          <w:trHeight w:val="465"/>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140B4FB3"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lastRenderedPageBreak/>
              <w:t>Consumption</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of</w:t>
            </w:r>
            <w:proofErr w:type="spellEnd"/>
            <w:r w:rsidRPr="00CD6678">
              <w:rPr>
                <w:rFonts w:ascii="Arial" w:eastAsia="Times New Roman" w:hAnsi="Arial" w:cs="Arial"/>
                <w:color w:val="000000"/>
                <w:kern w:val="0"/>
                <w:sz w:val="18"/>
                <w:szCs w:val="18"/>
                <w:lang w:eastAsia="en-GB"/>
                <w14:ligatures w14:val="none"/>
              </w:rPr>
              <w:t xml:space="preserve"> durable </w:t>
            </w:r>
            <w:proofErr w:type="spellStart"/>
            <w:r w:rsidRPr="00CD6678">
              <w:rPr>
                <w:rFonts w:ascii="Arial" w:eastAsia="Times New Roman" w:hAnsi="Arial" w:cs="Arial"/>
                <w:color w:val="000000"/>
                <w:kern w:val="0"/>
                <w:sz w:val="18"/>
                <w:szCs w:val="18"/>
                <w:lang w:eastAsia="en-GB"/>
                <w14:ligatures w14:val="none"/>
              </w:rPr>
              <w:t>goods</w:t>
            </w:r>
            <w:proofErr w:type="spellEnd"/>
          </w:p>
        </w:tc>
        <w:tc>
          <w:tcPr>
            <w:tcW w:w="706" w:type="pct"/>
            <w:tcBorders>
              <w:top w:val="nil"/>
              <w:left w:val="nil"/>
              <w:bottom w:val="single" w:sz="8" w:space="0" w:color="23478F"/>
              <w:right w:val="single" w:sz="8" w:space="0" w:color="23478F"/>
            </w:tcBorders>
            <w:shd w:val="clear" w:color="000000" w:fill="E6E7E8"/>
            <w:vAlign w:val="center"/>
            <w:hideMark/>
          </w:tcPr>
          <w:p w14:paraId="10FD444C"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Limit growth consumption of durable goods to 4%</w:t>
            </w:r>
          </w:p>
        </w:tc>
        <w:tc>
          <w:tcPr>
            <w:tcW w:w="769" w:type="pct"/>
            <w:tcBorders>
              <w:top w:val="nil"/>
              <w:left w:val="nil"/>
              <w:bottom w:val="single" w:sz="8" w:space="0" w:color="23478F"/>
              <w:right w:val="single" w:sz="8" w:space="0" w:color="23478F"/>
            </w:tcBorders>
            <w:shd w:val="clear" w:color="000000" w:fill="C6EFCE"/>
            <w:vAlign w:val="center"/>
            <w:hideMark/>
          </w:tcPr>
          <w:p w14:paraId="5F31C8E9"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Limit growth consumption of durable goods to 1.25%</w:t>
            </w:r>
          </w:p>
        </w:tc>
        <w:tc>
          <w:tcPr>
            <w:tcW w:w="831" w:type="pct"/>
            <w:tcBorders>
              <w:top w:val="nil"/>
              <w:left w:val="nil"/>
              <w:bottom w:val="single" w:sz="8" w:space="0" w:color="23478F"/>
              <w:right w:val="single" w:sz="8" w:space="0" w:color="23478F"/>
            </w:tcBorders>
            <w:shd w:val="clear" w:color="000000" w:fill="E6E7E8"/>
            <w:vAlign w:val="center"/>
            <w:hideMark/>
          </w:tcPr>
          <w:p w14:paraId="13F5806B"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Limit growth consumption of durable goods to 4%</w:t>
            </w:r>
          </w:p>
        </w:tc>
        <w:tc>
          <w:tcPr>
            <w:tcW w:w="1683" w:type="pct"/>
            <w:tcBorders>
              <w:top w:val="single" w:sz="4" w:space="0" w:color="7F7F7F"/>
              <w:left w:val="single" w:sz="4" w:space="0" w:color="7F7F7F"/>
              <w:bottom w:val="single" w:sz="4" w:space="0" w:color="7F7F7F"/>
              <w:right w:val="nil"/>
            </w:tcBorders>
            <w:shd w:val="clear" w:color="000000" w:fill="FCE4D6"/>
            <w:vAlign w:val="center"/>
            <w:hideMark/>
          </w:tcPr>
          <w:p w14:paraId="4C4C4051"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Limit growth consumption of durable goods to 2%</w:t>
            </w:r>
          </w:p>
        </w:tc>
      </w:tr>
      <w:tr w:rsidR="007021C0" w:rsidRPr="00BA7017" w14:paraId="1A8F64A2" w14:textId="77777777" w:rsidTr="0063109C">
        <w:trPr>
          <w:trHeight w:val="690"/>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1E388FF6"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Diet</w:t>
            </w:r>
            <w:proofErr w:type="spellEnd"/>
          </w:p>
        </w:tc>
        <w:tc>
          <w:tcPr>
            <w:tcW w:w="706" w:type="pct"/>
            <w:tcBorders>
              <w:top w:val="nil"/>
              <w:left w:val="nil"/>
              <w:bottom w:val="single" w:sz="8" w:space="0" w:color="23478F"/>
              <w:right w:val="single" w:sz="8" w:space="0" w:color="23478F"/>
            </w:tcBorders>
            <w:shd w:val="clear" w:color="000000" w:fill="E6E7E8"/>
            <w:vAlign w:val="center"/>
            <w:hideMark/>
          </w:tcPr>
          <w:p w14:paraId="7AF78C15"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Current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dietary</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patterns</w:t>
            </w:r>
            <w:proofErr w:type="spellEnd"/>
          </w:p>
        </w:tc>
        <w:tc>
          <w:tcPr>
            <w:tcW w:w="769" w:type="pct"/>
            <w:tcBorders>
              <w:top w:val="nil"/>
              <w:left w:val="nil"/>
              <w:bottom w:val="single" w:sz="8" w:space="0" w:color="23478F"/>
              <w:right w:val="single" w:sz="8" w:space="0" w:color="23478F"/>
            </w:tcBorders>
            <w:shd w:val="clear" w:color="000000" w:fill="C6EFCE"/>
            <w:vAlign w:val="center"/>
            <w:hideMark/>
          </w:tcPr>
          <w:p w14:paraId="05C5F8EB"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70% transition to 50% plant-based diet by 2050. Crops for food are prioritized</w:t>
            </w:r>
          </w:p>
        </w:tc>
        <w:tc>
          <w:tcPr>
            <w:tcW w:w="831" w:type="pct"/>
            <w:tcBorders>
              <w:top w:val="nil"/>
              <w:left w:val="nil"/>
              <w:bottom w:val="single" w:sz="8" w:space="0" w:color="23478F"/>
              <w:right w:val="single" w:sz="8" w:space="0" w:color="23478F"/>
            </w:tcBorders>
            <w:shd w:val="clear" w:color="000000" w:fill="E6E7E8"/>
            <w:vAlign w:val="center"/>
            <w:hideMark/>
          </w:tcPr>
          <w:p w14:paraId="16EB0971"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Current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dietary</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patterns</w:t>
            </w:r>
            <w:proofErr w:type="spellEnd"/>
          </w:p>
        </w:tc>
        <w:tc>
          <w:tcPr>
            <w:tcW w:w="1683" w:type="pct"/>
            <w:tcBorders>
              <w:top w:val="single" w:sz="4" w:space="0" w:color="7F7F7F"/>
              <w:left w:val="single" w:sz="4" w:space="0" w:color="7F7F7F"/>
              <w:bottom w:val="single" w:sz="4" w:space="0" w:color="7F7F7F"/>
              <w:right w:val="nil"/>
            </w:tcBorders>
            <w:shd w:val="clear" w:color="000000" w:fill="FCE4D6"/>
            <w:vAlign w:val="center"/>
            <w:hideMark/>
          </w:tcPr>
          <w:p w14:paraId="51D6051F"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35% transition to 50% plant-based diet by 2050</w:t>
            </w:r>
          </w:p>
        </w:tc>
      </w:tr>
      <w:tr w:rsidR="007021C0" w:rsidRPr="00BA7017" w14:paraId="469EA51B" w14:textId="77777777" w:rsidTr="0063109C">
        <w:trPr>
          <w:trHeight w:val="450"/>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0A1463AF"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Food</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waste</w:t>
            </w:r>
            <w:proofErr w:type="spellEnd"/>
          </w:p>
        </w:tc>
        <w:tc>
          <w:tcPr>
            <w:tcW w:w="706" w:type="pct"/>
            <w:tcBorders>
              <w:top w:val="nil"/>
              <w:left w:val="nil"/>
              <w:bottom w:val="single" w:sz="8" w:space="0" w:color="23478F"/>
              <w:right w:val="single" w:sz="8" w:space="0" w:color="23478F"/>
            </w:tcBorders>
            <w:shd w:val="clear" w:color="000000" w:fill="E6E7E8"/>
            <w:vAlign w:val="center"/>
            <w:hideMark/>
          </w:tcPr>
          <w:p w14:paraId="4B40F954"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Current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levels</w:t>
            </w:r>
            <w:proofErr w:type="spellEnd"/>
            <w:r w:rsidRPr="00CD6678">
              <w:rPr>
                <w:rFonts w:ascii="Arial" w:eastAsia="Times New Roman" w:hAnsi="Arial" w:cs="Arial"/>
                <w:color w:val="000000"/>
                <w:kern w:val="0"/>
                <w:sz w:val="18"/>
                <w:szCs w:val="18"/>
                <w:lang w:eastAsia="en-GB"/>
                <w14:ligatures w14:val="none"/>
              </w:rPr>
              <w:t xml:space="preserve"> and </w:t>
            </w:r>
            <w:proofErr w:type="spellStart"/>
            <w:r w:rsidRPr="00CD6678">
              <w:rPr>
                <w:rFonts w:ascii="Arial" w:eastAsia="Times New Roman" w:hAnsi="Arial" w:cs="Arial"/>
                <w:color w:val="000000"/>
                <w:kern w:val="0"/>
                <w:sz w:val="18"/>
                <w:szCs w:val="18"/>
                <w:lang w:eastAsia="en-GB"/>
                <w14:ligatures w14:val="none"/>
              </w:rPr>
              <w:t>patterns</w:t>
            </w:r>
            <w:proofErr w:type="spellEnd"/>
          </w:p>
        </w:tc>
        <w:tc>
          <w:tcPr>
            <w:tcW w:w="769" w:type="pct"/>
            <w:tcBorders>
              <w:top w:val="nil"/>
              <w:left w:val="nil"/>
              <w:bottom w:val="single" w:sz="8" w:space="0" w:color="23478F"/>
              <w:right w:val="single" w:sz="8" w:space="0" w:color="23478F"/>
            </w:tcBorders>
            <w:shd w:val="clear" w:color="000000" w:fill="C6EFCE"/>
            <w:vAlign w:val="center"/>
            <w:hideMark/>
          </w:tcPr>
          <w:p w14:paraId="16A9F3AB"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40% reduction of food waste before intake by 2050</w:t>
            </w:r>
          </w:p>
        </w:tc>
        <w:tc>
          <w:tcPr>
            <w:tcW w:w="831" w:type="pct"/>
            <w:tcBorders>
              <w:top w:val="nil"/>
              <w:left w:val="nil"/>
              <w:bottom w:val="single" w:sz="8" w:space="0" w:color="23478F"/>
              <w:right w:val="single" w:sz="8" w:space="0" w:color="23478F"/>
            </w:tcBorders>
            <w:shd w:val="clear" w:color="000000" w:fill="E6E7E8"/>
            <w:vAlign w:val="center"/>
            <w:hideMark/>
          </w:tcPr>
          <w:p w14:paraId="10F5AD08"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Current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levels</w:t>
            </w:r>
            <w:proofErr w:type="spellEnd"/>
            <w:r w:rsidRPr="00CD6678">
              <w:rPr>
                <w:rFonts w:ascii="Arial" w:eastAsia="Times New Roman" w:hAnsi="Arial" w:cs="Arial"/>
                <w:color w:val="000000"/>
                <w:kern w:val="0"/>
                <w:sz w:val="18"/>
                <w:szCs w:val="18"/>
                <w:lang w:eastAsia="en-GB"/>
                <w14:ligatures w14:val="none"/>
              </w:rPr>
              <w:t xml:space="preserve"> and </w:t>
            </w:r>
            <w:proofErr w:type="spellStart"/>
            <w:r w:rsidRPr="00CD6678">
              <w:rPr>
                <w:rFonts w:ascii="Arial" w:eastAsia="Times New Roman" w:hAnsi="Arial" w:cs="Arial"/>
                <w:color w:val="000000"/>
                <w:kern w:val="0"/>
                <w:sz w:val="18"/>
                <w:szCs w:val="18"/>
                <w:lang w:eastAsia="en-GB"/>
                <w14:ligatures w14:val="none"/>
              </w:rPr>
              <w:t>patterns</w:t>
            </w:r>
            <w:proofErr w:type="spellEnd"/>
          </w:p>
        </w:tc>
        <w:tc>
          <w:tcPr>
            <w:tcW w:w="1683" w:type="pct"/>
            <w:tcBorders>
              <w:top w:val="single" w:sz="4" w:space="0" w:color="7F7F7F"/>
              <w:left w:val="single" w:sz="4" w:space="0" w:color="7F7F7F"/>
              <w:bottom w:val="single" w:sz="4" w:space="0" w:color="7F7F7F"/>
              <w:right w:val="nil"/>
            </w:tcBorders>
            <w:shd w:val="clear" w:color="000000" w:fill="FCE4D6"/>
            <w:vAlign w:val="center"/>
            <w:hideMark/>
          </w:tcPr>
          <w:p w14:paraId="3BFBD171" w14:textId="77777777" w:rsidR="007021C0" w:rsidRPr="00973049" w:rsidRDefault="007021C0" w:rsidP="001335E8">
            <w:pPr>
              <w:spacing w:after="0" w:line="240" w:lineRule="auto"/>
              <w:jc w:val="center"/>
              <w:rPr>
                <w:rFonts w:ascii="Arial" w:eastAsia="Times New Roman" w:hAnsi="Arial" w:cs="Arial"/>
                <w:kern w:val="0"/>
                <w:sz w:val="18"/>
                <w:szCs w:val="18"/>
                <w:lang w:val="en-GB" w:eastAsia="en-GB"/>
                <w14:ligatures w14:val="none"/>
              </w:rPr>
            </w:pPr>
            <w:r w:rsidRPr="00973049">
              <w:rPr>
                <w:rFonts w:ascii="Arial" w:eastAsia="Times New Roman" w:hAnsi="Arial" w:cs="Arial"/>
                <w:kern w:val="0"/>
                <w:sz w:val="18"/>
                <w:szCs w:val="18"/>
                <w:lang w:val="en-GB" w:eastAsia="en-GB"/>
                <w14:ligatures w14:val="none"/>
              </w:rPr>
              <w:t>20% reduction of food waste before intake by 2050</w:t>
            </w:r>
          </w:p>
        </w:tc>
      </w:tr>
      <w:tr w:rsidR="007021C0" w:rsidRPr="00BA7017" w14:paraId="026AC8CA" w14:textId="77777777" w:rsidTr="0063109C">
        <w:trPr>
          <w:trHeight w:val="1500"/>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4F30DA78"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 xml:space="preserve">Passenger </w:t>
            </w:r>
            <w:proofErr w:type="spellStart"/>
            <w:r w:rsidRPr="00CD6678">
              <w:rPr>
                <w:rFonts w:ascii="Arial" w:eastAsia="Times New Roman" w:hAnsi="Arial" w:cs="Arial"/>
                <w:color w:val="000000"/>
                <w:kern w:val="0"/>
                <w:sz w:val="18"/>
                <w:szCs w:val="18"/>
                <w:lang w:eastAsia="en-GB"/>
                <w14:ligatures w14:val="none"/>
              </w:rPr>
              <w:t>transport</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demand</w:t>
            </w:r>
            <w:proofErr w:type="spellEnd"/>
          </w:p>
        </w:tc>
        <w:tc>
          <w:tcPr>
            <w:tcW w:w="706" w:type="pct"/>
            <w:tcBorders>
              <w:top w:val="nil"/>
              <w:left w:val="nil"/>
              <w:bottom w:val="single" w:sz="8" w:space="0" w:color="23478F"/>
              <w:right w:val="single" w:sz="8" w:space="0" w:color="23478F"/>
            </w:tcBorders>
            <w:shd w:val="clear" w:color="000000" w:fill="E6E7E8"/>
            <w:vAlign w:val="center"/>
            <w:hideMark/>
          </w:tcPr>
          <w:p w14:paraId="203A0962"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10% of reduction of light duty vehicles, maritime and air transport by 2035</w:t>
            </w:r>
          </w:p>
        </w:tc>
        <w:tc>
          <w:tcPr>
            <w:tcW w:w="769" w:type="pct"/>
            <w:tcBorders>
              <w:top w:val="nil"/>
              <w:left w:val="nil"/>
              <w:bottom w:val="single" w:sz="8" w:space="0" w:color="23478F"/>
              <w:right w:val="single" w:sz="8" w:space="0" w:color="23478F"/>
            </w:tcBorders>
            <w:shd w:val="clear" w:color="000000" w:fill="C6EFCE"/>
            <w:vAlign w:val="center"/>
            <w:hideMark/>
          </w:tcPr>
          <w:p w14:paraId="6D86BBA2"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60% of reduction of light duty vehicles, maritime and air domestic and intra-EU transport, 100% reduction of domestic air transport by 2035</w:t>
            </w:r>
          </w:p>
        </w:tc>
        <w:tc>
          <w:tcPr>
            <w:tcW w:w="831" w:type="pct"/>
            <w:tcBorders>
              <w:top w:val="nil"/>
              <w:left w:val="nil"/>
              <w:bottom w:val="single" w:sz="8" w:space="0" w:color="23478F"/>
              <w:right w:val="single" w:sz="8" w:space="0" w:color="23478F"/>
            </w:tcBorders>
            <w:shd w:val="clear" w:color="000000" w:fill="E6E7E8"/>
            <w:vAlign w:val="center"/>
            <w:hideMark/>
          </w:tcPr>
          <w:p w14:paraId="64D9172E"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10% of reduction of light duty vehicles, maritime and air transport by 2035</w:t>
            </w:r>
          </w:p>
        </w:tc>
        <w:tc>
          <w:tcPr>
            <w:tcW w:w="1683" w:type="pct"/>
            <w:tcBorders>
              <w:top w:val="single" w:sz="4" w:space="0" w:color="7F7F7F"/>
              <w:left w:val="single" w:sz="4" w:space="0" w:color="7F7F7F"/>
              <w:bottom w:val="single" w:sz="4" w:space="0" w:color="7F7F7F"/>
              <w:right w:val="nil"/>
            </w:tcBorders>
            <w:shd w:val="clear" w:color="000000" w:fill="FCE4D6"/>
            <w:vAlign w:val="center"/>
            <w:hideMark/>
          </w:tcPr>
          <w:p w14:paraId="775B3E1D"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30% of reduction of light duty vehicles, maritime and air domestic and intra-EU transport, 55% reduction of domestic air transport by 2035</w:t>
            </w:r>
          </w:p>
        </w:tc>
      </w:tr>
      <w:tr w:rsidR="007021C0" w:rsidRPr="00BA7017" w14:paraId="37FE1FA9" w14:textId="77777777" w:rsidTr="0063109C">
        <w:trPr>
          <w:trHeight w:val="900"/>
        </w:trPr>
        <w:tc>
          <w:tcPr>
            <w:tcW w:w="1013" w:type="pct"/>
            <w:tcBorders>
              <w:top w:val="nil"/>
              <w:left w:val="single" w:sz="8" w:space="0" w:color="23478F"/>
              <w:bottom w:val="single" w:sz="8" w:space="0" w:color="23478F"/>
              <w:right w:val="single" w:sz="8" w:space="0" w:color="23478F"/>
            </w:tcBorders>
            <w:shd w:val="clear" w:color="000000" w:fill="6B90DB"/>
            <w:vAlign w:val="center"/>
            <w:hideMark/>
          </w:tcPr>
          <w:p w14:paraId="55A59060"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Promotion of public transport and non-motorized means</w:t>
            </w:r>
          </w:p>
        </w:tc>
        <w:tc>
          <w:tcPr>
            <w:tcW w:w="706" w:type="pct"/>
            <w:tcBorders>
              <w:top w:val="nil"/>
              <w:left w:val="nil"/>
              <w:bottom w:val="single" w:sz="8" w:space="0" w:color="23478F"/>
              <w:right w:val="single" w:sz="8" w:space="0" w:color="23478F"/>
            </w:tcBorders>
            <w:shd w:val="clear" w:color="000000" w:fill="E6E7E8"/>
            <w:vAlign w:val="center"/>
            <w:hideMark/>
          </w:tcPr>
          <w:p w14:paraId="4BA0860C" w14:textId="77777777" w:rsidR="007021C0" w:rsidRPr="00CD6678" w:rsidRDefault="007021C0" w:rsidP="001335E8">
            <w:pPr>
              <w:spacing w:after="0" w:line="240" w:lineRule="auto"/>
              <w:jc w:val="center"/>
              <w:rPr>
                <w:rFonts w:ascii="Arial" w:eastAsia="Times New Roman" w:hAnsi="Arial" w:cs="Arial"/>
                <w:kern w:val="0"/>
                <w:sz w:val="18"/>
                <w:szCs w:val="18"/>
                <w:lang w:eastAsia="en-GB"/>
                <w14:ligatures w14:val="none"/>
              </w:rPr>
            </w:pPr>
            <w:proofErr w:type="spellStart"/>
            <w:r w:rsidRPr="00CD6678">
              <w:rPr>
                <w:rFonts w:ascii="Arial" w:eastAsia="Times New Roman" w:hAnsi="Arial" w:cs="Arial"/>
                <w:kern w:val="0"/>
                <w:sz w:val="18"/>
                <w:szCs w:val="18"/>
                <w:lang w:eastAsia="en-GB"/>
                <w14:ligatures w14:val="none"/>
              </w:rPr>
              <w:t>Current</w:t>
            </w:r>
            <w:proofErr w:type="spellEnd"/>
            <w:r w:rsidRPr="00CD6678">
              <w:rPr>
                <w:rFonts w:ascii="Arial" w:eastAsia="Times New Roman" w:hAnsi="Arial" w:cs="Arial"/>
                <w:kern w:val="0"/>
                <w:sz w:val="18"/>
                <w:szCs w:val="18"/>
                <w:lang w:eastAsia="en-GB"/>
                <w14:ligatures w14:val="none"/>
              </w:rPr>
              <w:t xml:space="preserve"> </w:t>
            </w:r>
            <w:proofErr w:type="spellStart"/>
            <w:r w:rsidRPr="00CD6678">
              <w:rPr>
                <w:rFonts w:ascii="Arial" w:eastAsia="Times New Roman" w:hAnsi="Arial" w:cs="Arial"/>
                <w:kern w:val="0"/>
                <w:sz w:val="18"/>
                <w:szCs w:val="18"/>
                <w:lang w:eastAsia="en-GB"/>
                <w14:ligatures w14:val="none"/>
              </w:rPr>
              <w:t>levels</w:t>
            </w:r>
            <w:proofErr w:type="spellEnd"/>
            <w:r w:rsidRPr="00CD6678">
              <w:rPr>
                <w:rFonts w:ascii="Arial" w:eastAsia="Times New Roman" w:hAnsi="Arial" w:cs="Arial"/>
                <w:kern w:val="0"/>
                <w:sz w:val="18"/>
                <w:szCs w:val="18"/>
                <w:lang w:eastAsia="en-GB"/>
                <w14:ligatures w14:val="none"/>
              </w:rPr>
              <w:t xml:space="preserve"> and </w:t>
            </w:r>
            <w:proofErr w:type="spellStart"/>
            <w:r w:rsidRPr="00CD6678">
              <w:rPr>
                <w:rFonts w:ascii="Arial" w:eastAsia="Times New Roman" w:hAnsi="Arial" w:cs="Arial"/>
                <w:kern w:val="0"/>
                <w:sz w:val="18"/>
                <w:szCs w:val="18"/>
                <w:lang w:eastAsia="en-GB"/>
                <w14:ligatures w14:val="none"/>
              </w:rPr>
              <w:t>patterns</w:t>
            </w:r>
            <w:proofErr w:type="spellEnd"/>
          </w:p>
        </w:tc>
        <w:tc>
          <w:tcPr>
            <w:tcW w:w="769" w:type="pct"/>
            <w:tcBorders>
              <w:top w:val="nil"/>
              <w:left w:val="nil"/>
              <w:bottom w:val="single" w:sz="8" w:space="0" w:color="23478F"/>
              <w:right w:val="single" w:sz="8" w:space="0" w:color="23478F"/>
            </w:tcBorders>
            <w:shd w:val="clear" w:color="000000" w:fill="C6EFCE"/>
            <w:vAlign w:val="center"/>
            <w:hideMark/>
          </w:tcPr>
          <w:p w14:paraId="68435CAA" w14:textId="77777777" w:rsidR="007021C0" w:rsidRPr="00973049" w:rsidRDefault="007021C0" w:rsidP="001335E8">
            <w:pPr>
              <w:spacing w:after="0" w:line="240" w:lineRule="auto"/>
              <w:jc w:val="center"/>
              <w:rPr>
                <w:rFonts w:ascii="Arial" w:eastAsia="Times New Roman" w:hAnsi="Arial" w:cs="Arial"/>
                <w:kern w:val="0"/>
                <w:sz w:val="18"/>
                <w:szCs w:val="18"/>
                <w:lang w:val="en-GB" w:eastAsia="en-GB"/>
                <w14:ligatures w14:val="none"/>
              </w:rPr>
            </w:pPr>
            <w:r w:rsidRPr="00973049">
              <w:rPr>
                <w:rFonts w:ascii="Arial" w:eastAsia="Times New Roman" w:hAnsi="Arial" w:cs="Arial"/>
                <w:kern w:val="0"/>
                <w:sz w:val="18"/>
                <w:szCs w:val="18"/>
                <w:lang w:val="en-GB" w:eastAsia="en-GB"/>
                <w14:ligatures w14:val="none"/>
              </w:rPr>
              <w:t>40% reduction of light duty vehicles and increase bus, train and non-motorized transport by 2050</w:t>
            </w:r>
          </w:p>
        </w:tc>
        <w:tc>
          <w:tcPr>
            <w:tcW w:w="831" w:type="pct"/>
            <w:tcBorders>
              <w:top w:val="nil"/>
              <w:left w:val="nil"/>
              <w:bottom w:val="single" w:sz="8" w:space="0" w:color="23478F"/>
              <w:right w:val="single" w:sz="8" w:space="0" w:color="23478F"/>
            </w:tcBorders>
            <w:shd w:val="clear" w:color="000000" w:fill="E6E7E8"/>
            <w:vAlign w:val="center"/>
            <w:hideMark/>
          </w:tcPr>
          <w:p w14:paraId="7B46CB95" w14:textId="77777777" w:rsidR="007021C0" w:rsidRPr="00CD6678" w:rsidRDefault="007021C0" w:rsidP="001335E8">
            <w:pPr>
              <w:spacing w:after="0" w:line="240" w:lineRule="auto"/>
              <w:jc w:val="center"/>
              <w:rPr>
                <w:rFonts w:ascii="Arial" w:eastAsia="Times New Roman" w:hAnsi="Arial" w:cs="Arial"/>
                <w:kern w:val="0"/>
                <w:sz w:val="18"/>
                <w:szCs w:val="18"/>
                <w:lang w:eastAsia="en-GB"/>
                <w14:ligatures w14:val="none"/>
              </w:rPr>
            </w:pPr>
            <w:proofErr w:type="spellStart"/>
            <w:r w:rsidRPr="00CD6678">
              <w:rPr>
                <w:rFonts w:ascii="Arial" w:eastAsia="Times New Roman" w:hAnsi="Arial" w:cs="Arial"/>
                <w:kern w:val="0"/>
                <w:sz w:val="18"/>
                <w:szCs w:val="18"/>
                <w:lang w:eastAsia="en-GB"/>
                <w14:ligatures w14:val="none"/>
              </w:rPr>
              <w:t>Current</w:t>
            </w:r>
            <w:proofErr w:type="spellEnd"/>
            <w:r w:rsidRPr="00CD6678">
              <w:rPr>
                <w:rFonts w:ascii="Arial" w:eastAsia="Times New Roman" w:hAnsi="Arial" w:cs="Arial"/>
                <w:kern w:val="0"/>
                <w:sz w:val="18"/>
                <w:szCs w:val="18"/>
                <w:lang w:eastAsia="en-GB"/>
                <w14:ligatures w14:val="none"/>
              </w:rPr>
              <w:t xml:space="preserve"> </w:t>
            </w:r>
            <w:proofErr w:type="spellStart"/>
            <w:r w:rsidRPr="00CD6678">
              <w:rPr>
                <w:rFonts w:ascii="Arial" w:eastAsia="Times New Roman" w:hAnsi="Arial" w:cs="Arial"/>
                <w:kern w:val="0"/>
                <w:sz w:val="18"/>
                <w:szCs w:val="18"/>
                <w:lang w:eastAsia="en-GB"/>
                <w14:ligatures w14:val="none"/>
              </w:rPr>
              <w:t>levels</w:t>
            </w:r>
            <w:proofErr w:type="spellEnd"/>
            <w:r w:rsidRPr="00CD6678">
              <w:rPr>
                <w:rFonts w:ascii="Arial" w:eastAsia="Times New Roman" w:hAnsi="Arial" w:cs="Arial"/>
                <w:kern w:val="0"/>
                <w:sz w:val="18"/>
                <w:szCs w:val="18"/>
                <w:lang w:eastAsia="en-GB"/>
                <w14:ligatures w14:val="none"/>
              </w:rPr>
              <w:t xml:space="preserve"> and </w:t>
            </w:r>
            <w:proofErr w:type="spellStart"/>
            <w:r w:rsidRPr="00CD6678">
              <w:rPr>
                <w:rFonts w:ascii="Arial" w:eastAsia="Times New Roman" w:hAnsi="Arial" w:cs="Arial"/>
                <w:kern w:val="0"/>
                <w:sz w:val="18"/>
                <w:szCs w:val="18"/>
                <w:lang w:eastAsia="en-GB"/>
                <w14:ligatures w14:val="none"/>
              </w:rPr>
              <w:t>patterns</w:t>
            </w:r>
            <w:proofErr w:type="spellEnd"/>
          </w:p>
        </w:tc>
        <w:tc>
          <w:tcPr>
            <w:tcW w:w="1683" w:type="pct"/>
            <w:tcBorders>
              <w:top w:val="single" w:sz="4" w:space="0" w:color="7F7F7F"/>
              <w:left w:val="single" w:sz="4" w:space="0" w:color="7F7F7F"/>
              <w:bottom w:val="single" w:sz="4" w:space="0" w:color="7F7F7F"/>
              <w:right w:val="nil"/>
            </w:tcBorders>
            <w:shd w:val="clear" w:color="000000" w:fill="FCE4D6"/>
            <w:vAlign w:val="center"/>
            <w:hideMark/>
          </w:tcPr>
          <w:p w14:paraId="65FD0D8F" w14:textId="77777777" w:rsidR="007021C0" w:rsidRPr="00973049" w:rsidRDefault="007021C0" w:rsidP="001335E8">
            <w:pPr>
              <w:spacing w:after="0" w:line="240" w:lineRule="auto"/>
              <w:jc w:val="center"/>
              <w:rPr>
                <w:rFonts w:ascii="Arial" w:eastAsia="Times New Roman" w:hAnsi="Arial" w:cs="Arial"/>
                <w:kern w:val="0"/>
                <w:sz w:val="18"/>
                <w:szCs w:val="18"/>
                <w:lang w:val="en-GB" w:eastAsia="en-GB"/>
                <w14:ligatures w14:val="none"/>
              </w:rPr>
            </w:pPr>
            <w:r w:rsidRPr="00973049">
              <w:rPr>
                <w:rFonts w:ascii="Arial" w:eastAsia="Times New Roman" w:hAnsi="Arial" w:cs="Arial"/>
                <w:kern w:val="0"/>
                <w:sz w:val="18"/>
                <w:szCs w:val="18"/>
                <w:lang w:val="en-GB" w:eastAsia="en-GB"/>
                <w14:ligatures w14:val="none"/>
              </w:rPr>
              <w:t>20% reduction of light duty vehicles and increase bus, train and non-motorized transport by 2050</w:t>
            </w:r>
          </w:p>
        </w:tc>
      </w:tr>
      <w:tr w:rsidR="007021C0" w:rsidRPr="00BA7017" w14:paraId="54E0B86D" w14:textId="77777777" w:rsidTr="001335E8">
        <w:trPr>
          <w:trHeight w:val="300"/>
        </w:trPr>
        <w:tc>
          <w:tcPr>
            <w:tcW w:w="5000" w:type="pct"/>
            <w:gridSpan w:val="5"/>
            <w:tcBorders>
              <w:top w:val="nil"/>
              <w:left w:val="single" w:sz="8" w:space="0" w:color="23478F"/>
              <w:bottom w:val="nil"/>
              <w:right w:val="nil"/>
            </w:tcBorders>
            <w:shd w:val="clear" w:color="000000" w:fill="6B90DB"/>
            <w:vAlign w:val="center"/>
            <w:hideMark/>
          </w:tcPr>
          <w:p w14:paraId="2B1161C6" w14:textId="5A1C6C2F" w:rsidR="007021C0" w:rsidRPr="00973049" w:rsidRDefault="007021C0" w:rsidP="001335E8">
            <w:pPr>
              <w:spacing w:after="0" w:line="240" w:lineRule="auto"/>
              <w:jc w:val="center"/>
              <w:rPr>
                <w:rFonts w:ascii="Arial" w:eastAsia="Times New Roman" w:hAnsi="Arial" w:cs="Arial"/>
                <w:b/>
                <w:bCs/>
                <w:color w:val="000000"/>
                <w:kern w:val="0"/>
                <w:sz w:val="18"/>
                <w:szCs w:val="18"/>
                <w:lang w:val="en-GB" w:eastAsia="en-GB"/>
                <w14:ligatures w14:val="none"/>
              </w:rPr>
            </w:pPr>
            <w:r w:rsidRPr="00973049">
              <w:rPr>
                <w:rFonts w:ascii="Arial" w:eastAsia="Times New Roman" w:hAnsi="Arial" w:cs="Arial"/>
                <w:b/>
                <w:bCs/>
                <w:color w:val="000000"/>
                <w:kern w:val="0"/>
                <w:sz w:val="18"/>
                <w:szCs w:val="18"/>
                <w:lang w:val="en-GB" w:eastAsia="en-GB"/>
                <w14:ligatures w14:val="none"/>
              </w:rPr>
              <w:t xml:space="preserve">Hypothesis for the </w:t>
            </w:r>
            <w:r w:rsidR="006D4842">
              <w:rPr>
                <w:rFonts w:ascii="Arial" w:eastAsia="Times New Roman" w:hAnsi="Arial" w:cs="Arial"/>
                <w:b/>
                <w:bCs/>
                <w:color w:val="000000"/>
                <w:kern w:val="0"/>
                <w:sz w:val="18"/>
                <w:szCs w:val="18"/>
                <w:lang w:val="en-GB" w:eastAsia="en-GB"/>
                <w14:ligatures w14:val="none"/>
              </w:rPr>
              <w:t>sensitivity</w:t>
            </w:r>
            <w:r w:rsidRPr="00973049">
              <w:rPr>
                <w:rFonts w:ascii="Arial" w:eastAsia="Times New Roman" w:hAnsi="Arial" w:cs="Arial"/>
                <w:b/>
                <w:bCs/>
                <w:color w:val="000000"/>
                <w:kern w:val="0"/>
                <w:sz w:val="18"/>
                <w:szCs w:val="18"/>
                <w:lang w:val="en-GB" w:eastAsia="en-GB"/>
                <w14:ligatures w14:val="none"/>
              </w:rPr>
              <w:t xml:space="preserve"> analysis (SMAA exercise)</w:t>
            </w:r>
          </w:p>
        </w:tc>
      </w:tr>
      <w:tr w:rsidR="007021C0" w:rsidRPr="00BA7017" w14:paraId="13F6B578" w14:textId="77777777" w:rsidTr="0063109C">
        <w:trPr>
          <w:trHeight w:val="285"/>
        </w:trPr>
        <w:tc>
          <w:tcPr>
            <w:tcW w:w="1013" w:type="pct"/>
            <w:vMerge w:val="restart"/>
            <w:tcBorders>
              <w:top w:val="single" w:sz="8" w:space="0" w:color="23478F"/>
              <w:left w:val="single" w:sz="8" w:space="0" w:color="23478F"/>
              <w:bottom w:val="nil"/>
              <w:right w:val="single" w:sz="8" w:space="0" w:color="23478F"/>
            </w:tcBorders>
            <w:shd w:val="clear" w:color="000000" w:fill="6B90DB"/>
            <w:vAlign w:val="center"/>
            <w:hideMark/>
          </w:tcPr>
          <w:p w14:paraId="4C102316"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Population</w:t>
            </w:r>
            <w:proofErr w:type="spellEnd"/>
          </w:p>
        </w:tc>
        <w:tc>
          <w:tcPr>
            <w:tcW w:w="3987" w:type="pct"/>
            <w:gridSpan w:val="4"/>
            <w:tcBorders>
              <w:top w:val="nil"/>
              <w:left w:val="single" w:sz="8" w:space="0" w:color="23478F"/>
              <w:bottom w:val="nil"/>
              <w:right w:val="nil"/>
            </w:tcBorders>
            <w:shd w:val="clear" w:color="auto" w:fill="DAE9F7" w:themeFill="text2" w:themeFillTint="1A"/>
            <w:vAlign w:val="center"/>
            <w:hideMark/>
          </w:tcPr>
          <w:p w14:paraId="221ED5A4"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Minimum historical (2005-2020) fertility rates and life expectancy at birth (8459 million people worldwide in 2050, without climate change impacts)</w:t>
            </w:r>
          </w:p>
        </w:tc>
      </w:tr>
      <w:tr w:rsidR="007021C0" w:rsidRPr="00BA7017" w14:paraId="672F882B" w14:textId="77777777" w:rsidTr="0063109C">
        <w:trPr>
          <w:trHeight w:val="285"/>
        </w:trPr>
        <w:tc>
          <w:tcPr>
            <w:tcW w:w="1013" w:type="pct"/>
            <w:vMerge/>
            <w:tcBorders>
              <w:top w:val="single" w:sz="8" w:space="0" w:color="23478F"/>
              <w:left w:val="single" w:sz="8" w:space="0" w:color="23478F"/>
              <w:bottom w:val="nil"/>
              <w:right w:val="single" w:sz="8" w:space="0" w:color="23478F"/>
            </w:tcBorders>
            <w:vAlign w:val="center"/>
            <w:hideMark/>
          </w:tcPr>
          <w:p w14:paraId="7A9C7B9B" w14:textId="77777777" w:rsidR="007021C0" w:rsidRPr="00973049" w:rsidRDefault="007021C0" w:rsidP="001335E8">
            <w:pPr>
              <w:spacing w:after="0" w:line="240" w:lineRule="auto"/>
              <w:rPr>
                <w:rFonts w:ascii="Arial" w:eastAsia="Times New Roman" w:hAnsi="Arial" w:cs="Arial"/>
                <w:color w:val="000000"/>
                <w:kern w:val="0"/>
                <w:sz w:val="18"/>
                <w:szCs w:val="18"/>
                <w:lang w:val="en-GB" w:eastAsia="en-GB"/>
                <w14:ligatures w14:val="none"/>
              </w:rPr>
            </w:pPr>
          </w:p>
        </w:tc>
        <w:tc>
          <w:tcPr>
            <w:tcW w:w="3987" w:type="pct"/>
            <w:gridSpan w:val="4"/>
            <w:tcBorders>
              <w:top w:val="nil"/>
              <w:left w:val="single" w:sz="8" w:space="0" w:color="23478F"/>
              <w:bottom w:val="nil"/>
              <w:right w:val="nil"/>
            </w:tcBorders>
            <w:shd w:val="clear" w:color="auto" w:fill="DAE9F7" w:themeFill="text2" w:themeFillTint="1A"/>
            <w:vAlign w:val="center"/>
            <w:hideMark/>
          </w:tcPr>
          <w:p w14:paraId="603EE04B"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Mean historical (2005-2020) fertility rates and life expectancy at birth (8865 million people worldwide in 2050, without climate change impacts)</w:t>
            </w:r>
          </w:p>
        </w:tc>
      </w:tr>
      <w:tr w:rsidR="007021C0" w:rsidRPr="00BA7017" w14:paraId="0E3D2D44" w14:textId="77777777" w:rsidTr="0063109C">
        <w:trPr>
          <w:trHeight w:val="285"/>
        </w:trPr>
        <w:tc>
          <w:tcPr>
            <w:tcW w:w="1013" w:type="pct"/>
            <w:vMerge/>
            <w:tcBorders>
              <w:top w:val="single" w:sz="8" w:space="0" w:color="23478F"/>
              <w:left w:val="single" w:sz="8" w:space="0" w:color="23478F"/>
              <w:bottom w:val="nil"/>
              <w:right w:val="single" w:sz="8" w:space="0" w:color="23478F"/>
            </w:tcBorders>
            <w:vAlign w:val="center"/>
            <w:hideMark/>
          </w:tcPr>
          <w:p w14:paraId="2587BB2E" w14:textId="77777777" w:rsidR="007021C0" w:rsidRPr="00973049" w:rsidRDefault="007021C0" w:rsidP="001335E8">
            <w:pPr>
              <w:spacing w:after="0" w:line="240" w:lineRule="auto"/>
              <w:rPr>
                <w:rFonts w:ascii="Arial" w:eastAsia="Times New Roman" w:hAnsi="Arial" w:cs="Arial"/>
                <w:color w:val="000000"/>
                <w:kern w:val="0"/>
                <w:sz w:val="18"/>
                <w:szCs w:val="18"/>
                <w:lang w:val="en-GB" w:eastAsia="en-GB"/>
                <w14:ligatures w14:val="none"/>
              </w:rPr>
            </w:pPr>
          </w:p>
        </w:tc>
        <w:tc>
          <w:tcPr>
            <w:tcW w:w="3987" w:type="pct"/>
            <w:gridSpan w:val="4"/>
            <w:tcBorders>
              <w:top w:val="nil"/>
              <w:left w:val="single" w:sz="8" w:space="0" w:color="23478F"/>
              <w:bottom w:val="nil"/>
              <w:right w:val="nil"/>
            </w:tcBorders>
            <w:shd w:val="clear" w:color="auto" w:fill="DAE9F7" w:themeFill="text2" w:themeFillTint="1A"/>
            <w:vAlign w:val="center"/>
            <w:hideMark/>
          </w:tcPr>
          <w:p w14:paraId="63249A37"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Maximum historical (2005-2020) fertility rates and life expectancy at birth (9497 million people worldwide in 2050, without climate change impacts)</w:t>
            </w:r>
          </w:p>
        </w:tc>
      </w:tr>
      <w:tr w:rsidR="007021C0" w:rsidRPr="00CD6678" w14:paraId="5520AC9C" w14:textId="77777777" w:rsidTr="0063109C">
        <w:trPr>
          <w:trHeight w:val="285"/>
        </w:trPr>
        <w:tc>
          <w:tcPr>
            <w:tcW w:w="1013" w:type="pct"/>
            <w:vMerge w:val="restart"/>
            <w:tcBorders>
              <w:top w:val="single" w:sz="8" w:space="0" w:color="auto"/>
              <w:left w:val="single" w:sz="8" w:space="0" w:color="auto"/>
              <w:bottom w:val="nil"/>
              <w:right w:val="single" w:sz="8" w:space="0" w:color="23478F"/>
            </w:tcBorders>
            <w:shd w:val="clear" w:color="000000" w:fill="6B90DB"/>
            <w:vAlign w:val="center"/>
            <w:hideMark/>
          </w:tcPr>
          <w:p w14:paraId="5BFE31CA" w14:textId="77777777" w:rsidR="007021C0" w:rsidRPr="008A7A70" w:rsidRDefault="007021C0" w:rsidP="001335E8">
            <w:pPr>
              <w:spacing w:after="0" w:line="240" w:lineRule="auto"/>
              <w:jc w:val="center"/>
              <w:rPr>
                <w:rFonts w:ascii="Arial" w:eastAsia="Times New Roman" w:hAnsi="Arial" w:cs="Arial"/>
                <w:kern w:val="0"/>
                <w:sz w:val="18"/>
                <w:szCs w:val="18"/>
                <w:lang w:val="de-DE" w:eastAsia="en-GB"/>
                <w14:ligatures w14:val="none"/>
              </w:rPr>
            </w:pPr>
            <w:r w:rsidRPr="008A7A70">
              <w:rPr>
                <w:rFonts w:ascii="Arial" w:eastAsia="Times New Roman" w:hAnsi="Arial" w:cs="Arial"/>
                <w:kern w:val="0"/>
                <w:sz w:val="18"/>
                <w:szCs w:val="18"/>
                <w:lang w:val="de-DE" w:eastAsia="en-GB"/>
                <w14:ligatures w14:val="none"/>
              </w:rPr>
              <w:t>Minimum EROI solar and wind technologies</w:t>
            </w:r>
          </w:p>
        </w:tc>
        <w:tc>
          <w:tcPr>
            <w:tcW w:w="3987" w:type="pct"/>
            <w:gridSpan w:val="4"/>
            <w:tcBorders>
              <w:top w:val="single" w:sz="8" w:space="0" w:color="auto"/>
              <w:left w:val="single" w:sz="8" w:space="0" w:color="23478F"/>
              <w:bottom w:val="nil"/>
              <w:right w:val="nil"/>
            </w:tcBorders>
            <w:shd w:val="clear" w:color="auto" w:fill="DAE9F7" w:themeFill="text2" w:themeFillTint="1A"/>
            <w:vAlign w:val="center"/>
            <w:hideMark/>
          </w:tcPr>
          <w:p w14:paraId="41C8F30A"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5</w:t>
            </w:r>
          </w:p>
        </w:tc>
      </w:tr>
      <w:tr w:rsidR="007021C0" w:rsidRPr="00CD6678" w14:paraId="0334A6D1" w14:textId="77777777" w:rsidTr="0063109C">
        <w:trPr>
          <w:trHeight w:val="285"/>
        </w:trPr>
        <w:tc>
          <w:tcPr>
            <w:tcW w:w="1013" w:type="pct"/>
            <w:vMerge/>
            <w:tcBorders>
              <w:top w:val="single" w:sz="8" w:space="0" w:color="auto"/>
              <w:left w:val="single" w:sz="8" w:space="0" w:color="auto"/>
              <w:bottom w:val="nil"/>
              <w:right w:val="single" w:sz="8" w:space="0" w:color="23478F"/>
            </w:tcBorders>
            <w:vAlign w:val="center"/>
            <w:hideMark/>
          </w:tcPr>
          <w:p w14:paraId="618ABEAD" w14:textId="77777777" w:rsidR="007021C0" w:rsidRPr="00CD6678" w:rsidRDefault="007021C0" w:rsidP="001335E8">
            <w:pPr>
              <w:spacing w:after="0" w:line="240" w:lineRule="auto"/>
              <w:rPr>
                <w:rFonts w:ascii="Arial" w:eastAsia="Times New Roman" w:hAnsi="Arial" w:cs="Arial"/>
                <w:kern w:val="0"/>
                <w:sz w:val="18"/>
                <w:szCs w:val="18"/>
                <w:lang w:eastAsia="en-GB"/>
                <w14:ligatures w14:val="none"/>
              </w:rPr>
            </w:pPr>
          </w:p>
        </w:tc>
        <w:tc>
          <w:tcPr>
            <w:tcW w:w="3987" w:type="pct"/>
            <w:gridSpan w:val="4"/>
            <w:tcBorders>
              <w:top w:val="nil"/>
              <w:left w:val="single" w:sz="8" w:space="0" w:color="23478F"/>
              <w:bottom w:val="nil"/>
              <w:right w:val="nil"/>
            </w:tcBorders>
            <w:shd w:val="clear" w:color="auto" w:fill="DAE9F7" w:themeFill="text2" w:themeFillTint="1A"/>
            <w:vAlign w:val="center"/>
            <w:hideMark/>
          </w:tcPr>
          <w:p w14:paraId="22C1E32B"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8</w:t>
            </w:r>
          </w:p>
        </w:tc>
      </w:tr>
      <w:tr w:rsidR="007021C0" w:rsidRPr="00CD6678" w14:paraId="2C63B417" w14:textId="77777777" w:rsidTr="0063109C">
        <w:trPr>
          <w:trHeight w:val="285"/>
        </w:trPr>
        <w:tc>
          <w:tcPr>
            <w:tcW w:w="1013" w:type="pct"/>
            <w:vMerge/>
            <w:tcBorders>
              <w:top w:val="single" w:sz="8" w:space="0" w:color="auto"/>
              <w:left w:val="single" w:sz="8" w:space="0" w:color="auto"/>
              <w:bottom w:val="nil"/>
              <w:right w:val="single" w:sz="8" w:space="0" w:color="23478F"/>
            </w:tcBorders>
            <w:vAlign w:val="center"/>
            <w:hideMark/>
          </w:tcPr>
          <w:p w14:paraId="15F04A43" w14:textId="77777777" w:rsidR="007021C0" w:rsidRPr="00CD6678" w:rsidRDefault="007021C0" w:rsidP="001335E8">
            <w:pPr>
              <w:spacing w:after="0" w:line="240" w:lineRule="auto"/>
              <w:rPr>
                <w:rFonts w:ascii="Arial" w:eastAsia="Times New Roman" w:hAnsi="Arial" w:cs="Arial"/>
                <w:kern w:val="0"/>
                <w:sz w:val="18"/>
                <w:szCs w:val="18"/>
                <w:lang w:eastAsia="en-GB"/>
                <w14:ligatures w14:val="none"/>
              </w:rPr>
            </w:pPr>
          </w:p>
        </w:tc>
        <w:tc>
          <w:tcPr>
            <w:tcW w:w="3987" w:type="pct"/>
            <w:gridSpan w:val="4"/>
            <w:tcBorders>
              <w:top w:val="nil"/>
              <w:left w:val="single" w:sz="8" w:space="0" w:color="23478F"/>
              <w:bottom w:val="single" w:sz="8" w:space="0" w:color="auto"/>
              <w:right w:val="nil"/>
            </w:tcBorders>
            <w:shd w:val="clear" w:color="auto" w:fill="DAE9F7" w:themeFill="text2" w:themeFillTint="1A"/>
            <w:vAlign w:val="center"/>
            <w:hideMark/>
          </w:tcPr>
          <w:p w14:paraId="3E5DB7DF"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12</w:t>
            </w:r>
          </w:p>
        </w:tc>
      </w:tr>
      <w:tr w:rsidR="007021C0" w:rsidRPr="00CD6678" w14:paraId="74E31B05" w14:textId="77777777" w:rsidTr="0063109C">
        <w:trPr>
          <w:trHeight w:val="285"/>
        </w:trPr>
        <w:tc>
          <w:tcPr>
            <w:tcW w:w="1013" w:type="pct"/>
            <w:vMerge w:val="restart"/>
            <w:tcBorders>
              <w:top w:val="nil"/>
              <w:left w:val="single" w:sz="8" w:space="0" w:color="23478F"/>
              <w:bottom w:val="nil"/>
              <w:right w:val="single" w:sz="8" w:space="0" w:color="23478F"/>
            </w:tcBorders>
            <w:shd w:val="clear" w:color="000000" w:fill="6B90DB"/>
            <w:vAlign w:val="center"/>
            <w:hideMark/>
          </w:tcPr>
          <w:p w14:paraId="0800942D"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proofErr w:type="spellStart"/>
            <w:r w:rsidRPr="00CD6678">
              <w:rPr>
                <w:rFonts w:ascii="Arial" w:eastAsia="Times New Roman" w:hAnsi="Arial" w:cs="Arial"/>
                <w:color w:val="000000"/>
                <w:kern w:val="0"/>
                <w:sz w:val="18"/>
                <w:szCs w:val="18"/>
                <w:lang w:eastAsia="en-GB"/>
                <w14:ligatures w14:val="none"/>
              </w:rPr>
              <w:t>Climate</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change</w:t>
            </w:r>
            <w:proofErr w:type="spellEnd"/>
            <w:r w:rsidRPr="00CD6678">
              <w:rPr>
                <w:rFonts w:ascii="Arial" w:eastAsia="Times New Roman" w:hAnsi="Arial" w:cs="Arial"/>
                <w:color w:val="000000"/>
                <w:kern w:val="0"/>
                <w:sz w:val="18"/>
                <w:szCs w:val="18"/>
                <w:lang w:eastAsia="en-GB"/>
                <w14:ligatures w14:val="none"/>
              </w:rPr>
              <w:t xml:space="preserve"> </w:t>
            </w:r>
            <w:proofErr w:type="spellStart"/>
            <w:r w:rsidRPr="00CD6678">
              <w:rPr>
                <w:rFonts w:ascii="Arial" w:eastAsia="Times New Roman" w:hAnsi="Arial" w:cs="Arial"/>
                <w:color w:val="000000"/>
                <w:kern w:val="0"/>
                <w:sz w:val="18"/>
                <w:szCs w:val="18"/>
                <w:lang w:eastAsia="en-GB"/>
                <w14:ligatures w14:val="none"/>
              </w:rPr>
              <w:t>impacts</w:t>
            </w:r>
            <w:proofErr w:type="spellEnd"/>
          </w:p>
        </w:tc>
        <w:tc>
          <w:tcPr>
            <w:tcW w:w="3987" w:type="pct"/>
            <w:gridSpan w:val="4"/>
            <w:tcBorders>
              <w:top w:val="nil"/>
              <w:left w:val="single" w:sz="8" w:space="0" w:color="23478F"/>
              <w:bottom w:val="nil"/>
              <w:right w:val="nil"/>
            </w:tcBorders>
            <w:shd w:val="clear" w:color="auto" w:fill="DAE9F7" w:themeFill="text2" w:themeFillTint="1A"/>
            <w:vAlign w:val="center"/>
            <w:hideMark/>
          </w:tcPr>
          <w:p w14:paraId="19413035" w14:textId="77777777" w:rsidR="007021C0" w:rsidRPr="00CD6678" w:rsidRDefault="007021C0" w:rsidP="001335E8">
            <w:pPr>
              <w:spacing w:after="0" w:line="240" w:lineRule="auto"/>
              <w:jc w:val="center"/>
              <w:rPr>
                <w:rFonts w:ascii="Arial" w:eastAsia="Times New Roman" w:hAnsi="Arial" w:cs="Arial"/>
                <w:color w:val="000000"/>
                <w:kern w:val="0"/>
                <w:sz w:val="18"/>
                <w:szCs w:val="18"/>
                <w:lang w:eastAsia="en-GB"/>
                <w14:ligatures w14:val="none"/>
              </w:rPr>
            </w:pPr>
            <w:r w:rsidRPr="00CD6678">
              <w:rPr>
                <w:rFonts w:ascii="Arial" w:eastAsia="Times New Roman" w:hAnsi="Arial" w:cs="Arial"/>
                <w:color w:val="000000"/>
                <w:kern w:val="0"/>
                <w:sz w:val="18"/>
                <w:szCs w:val="18"/>
                <w:lang w:eastAsia="en-GB"/>
                <w14:ligatures w14:val="none"/>
              </w:rPr>
              <w:t>No</w:t>
            </w:r>
          </w:p>
        </w:tc>
      </w:tr>
      <w:tr w:rsidR="007021C0" w:rsidRPr="00BA7017" w14:paraId="75FFCC06" w14:textId="77777777" w:rsidTr="0063109C">
        <w:trPr>
          <w:trHeight w:val="285"/>
        </w:trPr>
        <w:tc>
          <w:tcPr>
            <w:tcW w:w="1013" w:type="pct"/>
            <w:vMerge/>
            <w:tcBorders>
              <w:top w:val="nil"/>
              <w:left w:val="single" w:sz="8" w:space="0" w:color="23478F"/>
              <w:bottom w:val="nil"/>
              <w:right w:val="single" w:sz="8" w:space="0" w:color="23478F"/>
            </w:tcBorders>
            <w:vAlign w:val="center"/>
            <w:hideMark/>
          </w:tcPr>
          <w:p w14:paraId="479090BE" w14:textId="77777777" w:rsidR="007021C0" w:rsidRPr="00CD6678" w:rsidRDefault="007021C0" w:rsidP="001335E8">
            <w:pPr>
              <w:spacing w:after="0" w:line="240" w:lineRule="auto"/>
              <w:rPr>
                <w:rFonts w:ascii="Arial" w:eastAsia="Times New Roman" w:hAnsi="Arial" w:cs="Arial"/>
                <w:color w:val="000000"/>
                <w:kern w:val="0"/>
                <w:sz w:val="18"/>
                <w:szCs w:val="18"/>
                <w:lang w:eastAsia="en-GB"/>
                <w14:ligatures w14:val="none"/>
              </w:rPr>
            </w:pPr>
          </w:p>
        </w:tc>
        <w:tc>
          <w:tcPr>
            <w:tcW w:w="3987" w:type="pct"/>
            <w:gridSpan w:val="4"/>
            <w:tcBorders>
              <w:top w:val="nil"/>
              <w:left w:val="single" w:sz="8" w:space="0" w:color="23478F"/>
              <w:bottom w:val="nil"/>
              <w:right w:val="nil"/>
            </w:tcBorders>
            <w:shd w:val="clear" w:color="auto" w:fill="DAE9F7" w:themeFill="text2" w:themeFillTint="1A"/>
            <w:vAlign w:val="center"/>
            <w:hideMark/>
          </w:tcPr>
          <w:p w14:paraId="100DA1AB" w14:textId="77777777" w:rsidR="007021C0" w:rsidRPr="00973049" w:rsidRDefault="007021C0" w:rsidP="001335E8">
            <w:pPr>
              <w:spacing w:after="0" w:line="240" w:lineRule="auto"/>
              <w:jc w:val="center"/>
              <w:rPr>
                <w:rFonts w:ascii="Arial" w:eastAsia="Times New Roman" w:hAnsi="Arial" w:cs="Arial"/>
                <w:color w:val="000000"/>
                <w:kern w:val="0"/>
                <w:sz w:val="18"/>
                <w:szCs w:val="18"/>
                <w:lang w:val="en-GB" w:eastAsia="en-GB"/>
                <w14:ligatures w14:val="none"/>
              </w:rPr>
            </w:pPr>
            <w:r w:rsidRPr="00973049">
              <w:rPr>
                <w:rFonts w:ascii="Arial" w:eastAsia="Times New Roman" w:hAnsi="Arial" w:cs="Arial"/>
                <w:color w:val="000000"/>
                <w:kern w:val="0"/>
                <w:sz w:val="18"/>
                <w:szCs w:val="18"/>
                <w:lang w:val="en-GB" w:eastAsia="en-GB"/>
                <w14:ligatures w14:val="none"/>
              </w:rPr>
              <w:t>Damage to mortality rates, capital stock (heatwaves, wildfires, droughts) and labour productivity (heat stress and vector-borne diseases)</w:t>
            </w:r>
          </w:p>
        </w:tc>
      </w:tr>
    </w:tbl>
    <w:p w14:paraId="7142F724" w14:textId="77777777" w:rsidR="007021C0" w:rsidRDefault="007021C0" w:rsidP="007021C0">
      <w:pPr>
        <w:pStyle w:val="Descripcin"/>
        <w:rPr>
          <w:b/>
          <w:bCs/>
          <w:lang w:val="en-GB"/>
        </w:rPr>
        <w:sectPr w:rsidR="007021C0" w:rsidSect="00973049">
          <w:pgSz w:w="16838" w:h="11906" w:orient="landscape"/>
          <w:pgMar w:top="1701" w:right="1417" w:bottom="1701" w:left="1417" w:header="708" w:footer="708" w:gutter="0"/>
          <w:cols w:space="708"/>
          <w:docGrid w:linePitch="360"/>
        </w:sectPr>
      </w:pPr>
    </w:p>
    <w:p w14:paraId="7F4326B9" w14:textId="27FEDA6F" w:rsidR="00F36B9C" w:rsidRPr="00BC37B1" w:rsidRDefault="00C95E29" w:rsidP="007021C0">
      <w:pPr>
        <w:pStyle w:val="Descripcin"/>
        <w:rPr>
          <w:b/>
          <w:bCs/>
          <w:i w:val="0"/>
          <w:iCs w:val="0"/>
          <w:color w:val="auto"/>
          <w:sz w:val="24"/>
          <w:szCs w:val="24"/>
          <w:lang w:val="en-GB"/>
        </w:rPr>
      </w:pPr>
      <w:r w:rsidRPr="00C95E29">
        <w:rPr>
          <w:b/>
          <w:bCs/>
          <w:i w:val="0"/>
          <w:iCs w:val="0"/>
          <w:sz w:val="24"/>
          <w:szCs w:val="24"/>
          <w:lang w:val="en-GB"/>
        </w:rPr>
        <w:lastRenderedPageBreak/>
        <w:t xml:space="preserve">Supplementary Note </w:t>
      </w:r>
      <w:r w:rsidR="007021C0" w:rsidRPr="00C95E29">
        <w:rPr>
          <w:b/>
          <w:bCs/>
          <w:i w:val="0"/>
          <w:iCs w:val="0"/>
          <w:color w:val="auto"/>
          <w:sz w:val="24"/>
          <w:szCs w:val="24"/>
          <w:lang w:val="en-GB"/>
        </w:rPr>
        <w:t>2.</w:t>
      </w:r>
      <w:r w:rsidR="007021C0">
        <w:rPr>
          <w:b/>
          <w:bCs/>
          <w:i w:val="0"/>
          <w:iCs w:val="0"/>
          <w:color w:val="auto"/>
          <w:sz w:val="24"/>
          <w:szCs w:val="24"/>
          <w:lang w:val="en-GB"/>
        </w:rPr>
        <w:t xml:space="preserve"> </w:t>
      </w:r>
      <w:r w:rsidR="003B1383">
        <w:rPr>
          <w:b/>
          <w:bCs/>
          <w:i w:val="0"/>
          <w:iCs w:val="0"/>
          <w:color w:val="auto"/>
          <w:sz w:val="24"/>
          <w:szCs w:val="24"/>
          <w:lang w:val="en-GB"/>
        </w:rPr>
        <w:t>State-of-the art.</w:t>
      </w:r>
      <w:r w:rsidR="00F36B9C" w:rsidRPr="00BC37B1">
        <w:rPr>
          <w:b/>
          <w:bCs/>
          <w:i w:val="0"/>
          <w:iCs w:val="0"/>
          <w:color w:val="auto"/>
          <w:sz w:val="24"/>
          <w:szCs w:val="24"/>
          <w:lang w:val="en-GB"/>
        </w:rPr>
        <w:t xml:space="preserve"> </w:t>
      </w:r>
      <w:r w:rsidR="000D5178">
        <w:rPr>
          <w:b/>
          <w:bCs/>
          <w:i w:val="0"/>
          <w:iCs w:val="0"/>
          <w:color w:val="auto"/>
          <w:sz w:val="24"/>
          <w:szCs w:val="24"/>
          <w:lang w:val="en-GB"/>
        </w:rPr>
        <w:t>Our</w:t>
      </w:r>
      <w:r w:rsidR="00F36B9C" w:rsidRPr="00BC37B1">
        <w:rPr>
          <w:b/>
          <w:bCs/>
          <w:i w:val="0"/>
          <w:iCs w:val="0"/>
          <w:color w:val="auto"/>
          <w:sz w:val="24"/>
          <w:szCs w:val="24"/>
          <w:lang w:val="en-GB"/>
        </w:rPr>
        <w:t xml:space="preserve"> </w:t>
      </w:r>
      <w:r w:rsidR="000D5178">
        <w:rPr>
          <w:b/>
          <w:bCs/>
          <w:i w:val="0"/>
          <w:iCs w:val="0"/>
          <w:color w:val="auto"/>
          <w:sz w:val="24"/>
          <w:szCs w:val="24"/>
          <w:lang w:val="en-GB"/>
        </w:rPr>
        <w:t xml:space="preserve">SDG </w:t>
      </w:r>
      <w:r w:rsidR="00F36B9C" w:rsidRPr="00BC37B1">
        <w:rPr>
          <w:b/>
          <w:bCs/>
          <w:i w:val="0"/>
          <w:iCs w:val="0"/>
          <w:color w:val="auto"/>
          <w:sz w:val="24"/>
          <w:szCs w:val="24"/>
          <w:lang w:val="en-GB"/>
        </w:rPr>
        <w:t>framework</w:t>
      </w:r>
      <w:r w:rsidR="000D5178">
        <w:rPr>
          <w:b/>
          <w:bCs/>
          <w:i w:val="0"/>
          <w:iCs w:val="0"/>
          <w:color w:val="auto"/>
          <w:sz w:val="24"/>
          <w:szCs w:val="24"/>
          <w:lang w:val="en-GB"/>
        </w:rPr>
        <w:t xml:space="preserve"> for WILIAM</w:t>
      </w:r>
    </w:p>
    <w:p w14:paraId="675100B1" w14:textId="0B26A1E5" w:rsidR="00762BE0" w:rsidRPr="00BB3A91" w:rsidRDefault="003B1383" w:rsidP="00762BE0">
      <w:pPr>
        <w:spacing w:before="120" w:after="120" w:line="300" w:lineRule="atLeast"/>
        <w:jc w:val="both"/>
        <w:rPr>
          <w:lang w:val="en-GB"/>
        </w:rPr>
      </w:pPr>
      <w:r w:rsidRPr="003B1383">
        <w:rPr>
          <w:lang w:val="en-GB"/>
        </w:rPr>
        <w:t xml:space="preserve">The final indicator space </w:t>
      </w:r>
      <w:r>
        <w:rPr>
          <w:lang w:val="en-GB"/>
        </w:rPr>
        <w:t xml:space="preserve">we used in the study </w:t>
      </w:r>
      <w:r w:rsidRPr="003B1383">
        <w:rPr>
          <w:lang w:val="en-GB"/>
        </w:rPr>
        <w:t>is shown in</w:t>
      </w:r>
      <w:r w:rsidR="008422F6">
        <w:rPr>
          <w:lang w:val="en-GB"/>
        </w:rPr>
        <w:t xml:space="preserve"> </w:t>
      </w:r>
      <w:r w:rsidR="008422F6">
        <w:rPr>
          <w:lang w:val="en-GB"/>
        </w:rPr>
        <w:fldChar w:fldCharType="begin"/>
      </w:r>
      <w:r w:rsidR="008422F6">
        <w:rPr>
          <w:lang w:val="en-GB"/>
        </w:rPr>
        <w:instrText xml:space="preserve"> REF _Ref221710761 \h  \* MERGEFORMAT </w:instrText>
      </w:r>
      <w:r w:rsidR="008422F6">
        <w:rPr>
          <w:lang w:val="en-GB"/>
        </w:rPr>
      </w:r>
      <w:r w:rsidR="008422F6">
        <w:rPr>
          <w:lang w:val="en-GB"/>
        </w:rPr>
        <w:fldChar w:fldCharType="separate"/>
      </w:r>
      <w:r w:rsidR="008422F6">
        <w:rPr>
          <w:lang w:val="en-GB"/>
        </w:rPr>
        <w:t>t</w:t>
      </w:r>
      <w:r w:rsidR="008422F6" w:rsidRPr="008422F6">
        <w:rPr>
          <w:lang w:val="en-GB"/>
        </w:rPr>
        <w:t>able S4</w:t>
      </w:r>
      <w:r w:rsidR="008422F6">
        <w:rPr>
          <w:lang w:val="en-GB"/>
        </w:rPr>
        <w:fldChar w:fldCharType="end"/>
      </w:r>
      <w:r>
        <w:rPr>
          <w:lang w:val="en-GB"/>
        </w:rPr>
        <w:t>.</w:t>
      </w:r>
      <w:r w:rsidRPr="00762BE0">
        <w:rPr>
          <w:lang w:val="en-GB"/>
        </w:rPr>
        <w:t xml:space="preserve"> </w:t>
      </w:r>
      <w:r w:rsidR="00762BE0" w:rsidRPr="00762BE0">
        <w:rPr>
          <w:lang w:val="en-GB"/>
        </w:rPr>
        <w:t xml:space="preserve">This work has required a quantitative analysis of </w:t>
      </w:r>
      <w:r w:rsidR="00F370D4">
        <w:rPr>
          <w:lang w:val="en-GB"/>
        </w:rPr>
        <w:t>narratives</w:t>
      </w:r>
      <w:r w:rsidR="00F370D4" w:rsidRPr="00762BE0">
        <w:rPr>
          <w:lang w:val="en-GB"/>
        </w:rPr>
        <w:t xml:space="preserve"> </w:t>
      </w:r>
      <w:r w:rsidR="00762BE0" w:rsidRPr="00762BE0">
        <w:rPr>
          <w:lang w:val="en-GB"/>
        </w:rPr>
        <w:t xml:space="preserve">with SDGs as decision indicators. Here we present a narrative literature review carried out to understand the state-of-the-art in modelling SDGs in IAMs, including our contribution. A comparative summary of representative percentage of SDG indicators approached in the models covered in the review is </w:t>
      </w:r>
      <w:r w:rsidR="00762BE0" w:rsidRPr="006C6DF6">
        <w:rPr>
          <w:lang w:val="en-GB"/>
        </w:rPr>
        <w:t>shown in</w:t>
      </w:r>
      <w:r w:rsidR="00BB3A91">
        <w:rPr>
          <w:lang w:val="en-GB"/>
        </w:rPr>
        <w:t xml:space="preserve"> </w:t>
      </w:r>
      <w:r w:rsidR="00BB3A91">
        <w:rPr>
          <w:lang w:val="en-GB"/>
        </w:rPr>
        <w:fldChar w:fldCharType="begin"/>
      </w:r>
      <w:r w:rsidR="00BB3A91">
        <w:rPr>
          <w:lang w:val="en-GB"/>
        </w:rPr>
        <w:instrText xml:space="preserve"> REF _Ref221534670 \h  \* MERGEFORMAT </w:instrText>
      </w:r>
      <w:r w:rsidR="00BB3A91">
        <w:rPr>
          <w:lang w:val="en-GB"/>
        </w:rPr>
      </w:r>
      <w:r w:rsidR="00BB3A91">
        <w:rPr>
          <w:lang w:val="en-GB"/>
        </w:rPr>
        <w:fldChar w:fldCharType="separate"/>
      </w:r>
      <w:r w:rsidR="00BB3A91">
        <w:rPr>
          <w:lang w:val="en-GB"/>
        </w:rPr>
        <w:t>f</w:t>
      </w:r>
      <w:r w:rsidR="00BB3A91" w:rsidRPr="00BB3A91">
        <w:rPr>
          <w:lang w:val="en-GB"/>
        </w:rPr>
        <w:t>igure S3</w:t>
      </w:r>
      <w:r w:rsidR="00BB3A91">
        <w:rPr>
          <w:lang w:val="en-GB"/>
        </w:rPr>
        <w:fldChar w:fldCharType="end"/>
      </w:r>
      <w:r w:rsidR="005B7664">
        <w:rPr>
          <w:lang w:val="en-GB"/>
        </w:rPr>
        <w:t xml:space="preserve"> (accessible figure in the Zenodo repository </w:t>
      </w:r>
      <w:hyperlink r:id="rId11" w:history="1">
        <w:r w:rsidR="005B7664" w:rsidRPr="008D3673">
          <w:rPr>
            <w:rStyle w:val="Hipervnculo"/>
            <w:lang w:val="en-GB"/>
          </w:rPr>
          <w:t>https://doi.org/10.5281/zenodo.19066849</w:t>
        </w:r>
      </w:hyperlink>
      <w:r w:rsidR="005B7664">
        <w:rPr>
          <w:lang w:val="en-GB"/>
        </w:rPr>
        <w:t>. Folder “Results”, Excel file “</w:t>
      </w:r>
      <w:r w:rsidR="005B7664" w:rsidRPr="005B7664">
        <w:rPr>
          <w:lang w:val="en-GB"/>
        </w:rPr>
        <w:t>LitReview_SDG_indicators_representation.xlsx</w:t>
      </w:r>
      <w:r w:rsidR="005B7664">
        <w:rPr>
          <w:lang w:val="en-GB"/>
        </w:rPr>
        <w:t>”)</w:t>
      </w:r>
      <w:r w:rsidR="006C6DF6" w:rsidRPr="00BB3A91">
        <w:rPr>
          <w:lang w:val="en-GB"/>
        </w:rPr>
        <w:t>, which is detailed in</w:t>
      </w:r>
      <w:r>
        <w:rPr>
          <w:lang w:val="en-GB"/>
        </w:rPr>
        <w:t xml:space="preserve"> </w:t>
      </w:r>
      <w:r>
        <w:rPr>
          <w:lang w:val="en-GB"/>
        </w:rPr>
        <w:fldChar w:fldCharType="begin"/>
      </w:r>
      <w:r>
        <w:rPr>
          <w:lang w:val="en-GB"/>
        </w:rPr>
        <w:instrText xml:space="preserve"> REF _Ref221534846 \h  \* MERGEFORMAT </w:instrText>
      </w:r>
      <w:r>
        <w:rPr>
          <w:lang w:val="en-GB"/>
        </w:rPr>
      </w:r>
      <w:r>
        <w:rPr>
          <w:lang w:val="en-GB"/>
        </w:rPr>
        <w:fldChar w:fldCharType="separate"/>
      </w:r>
      <w:r>
        <w:rPr>
          <w:lang w:val="en-GB"/>
        </w:rPr>
        <w:t>t</w:t>
      </w:r>
      <w:r w:rsidRPr="003B1383">
        <w:rPr>
          <w:lang w:val="en-GB"/>
        </w:rPr>
        <w:t>able S3</w:t>
      </w:r>
      <w:r>
        <w:rPr>
          <w:lang w:val="en-GB"/>
        </w:rPr>
        <w:fldChar w:fldCharType="end"/>
      </w:r>
      <w:r w:rsidR="00762BE0" w:rsidRPr="00BB3A91">
        <w:rPr>
          <w:lang w:val="en-GB"/>
        </w:rPr>
        <w:t>.</w:t>
      </w:r>
    </w:p>
    <w:p w14:paraId="643A56EE" w14:textId="2DA56B8B" w:rsidR="00DF247B" w:rsidRDefault="00762BE0" w:rsidP="003B1383">
      <w:pPr>
        <w:spacing w:before="120" w:after="120" w:line="300" w:lineRule="atLeast"/>
        <w:jc w:val="both"/>
        <w:rPr>
          <w:lang w:val="en-GB"/>
        </w:rPr>
      </w:pPr>
      <w:r>
        <w:rPr>
          <w:lang w:val="en-GB"/>
        </w:rPr>
        <w:t xml:space="preserve">The review identifies </w:t>
      </w:r>
      <w:r w:rsidRPr="00762BE0">
        <w:rPr>
          <w:lang w:val="en-GB"/>
        </w:rPr>
        <w:t xml:space="preserve">three types of </w:t>
      </w:r>
      <w:r>
        <w:rPr>
          <w:lang w:val="en-GB"/>
        </w:rPr>
        <w:t xml:space="preserve">SDG </w:t>
      </w:r>
      <w:r w:rsidRPr="00762BE0">
        <w:rPr>
          <w:lang w:val="en-GB"/>
        </w:rPr>
        <w:t>prox</w:t>
      </w:r>
      <w:r>
        <w:rPr>
          <w:lang w:val="en-GB"/>
        </w:rPr>
        <w:t xml:space="preserve">y: </w:t>
      </w:r>
      <w:r w:rsidRPr="00762BE0">
        <w:rPr>
          <w:lang w:val="en-GB"/>
        </w:rPr>
        <w:t>exogenous scenario assumption, endogenous variable, and post-processing extension</w:t>
      </w:r>
      <w:bookmarkStart w:id="5" w:name="_Ref201676515"/>
      <w:r w:rsidR="006F35B5">
        <w:rPr>
          <w:lang w:val="en-GB"/>
        </w:rPr>
        <w:fldChar w:fldCharType="begin"/>
      </w:r>
      <w:r w:rsidR="006F35B5">
        <w:rPr>
          <w:lang w:val="en-GB"/>
        </w:rPr>
        <w:instrText xml:space="preserve"> ADDIN ZOTERO_ITEM CSL_CITATION {"citationID":"JGXGpscR","properties":{"formattedCitation":"\\super 9\\nosupersub{}","plainCitation":"9","noteIndex":0},"citationItems":[{"id":280,"uris":["http://zotero.org/users/11518810/items/3ICHZ5BF"],"itemData":{"id":280,"type":"article-journal","container-title":"Nature Climate Change","DOI":"10.1038/s41558-021-01098-3","ISSN":"1758-678X, 1758-6798","issue":"8","journalAbbreviation":"Nat. Clim. Chang.","language":"en","page":"656-664","source":"DOI.org (Crossref)","title":"A sustainable development pathway for climate action within the UN 2030 Agenda","volume":"11","author":[{"family":"Soergel","given":"Bjoern"},{"family":"Kriegler","given":"Elmar"},{"family":"Weindl","given":"Isabelle"},{"family":"Rauner","given":"Sebastian"},{"family":"Dirnaichner","given":"Alois"},{"family":"Ruhe","given":"Constantin"},{"family":"Hofmann","given":"Matthias"},{"family":"Bauer","given":"Nico"},{"family":"Bertram","given":"Christoph"},{"family":"Bodirsky","given":"Benjamin Leon"},{"family":"Leimbach","given":"Marian"},{"family":"Leininger","given":"Julia"},{"family":"Levesque","given":"Antoine"},{"family":"Luderer","given":"Gunnar"},{"family":"Pehl","given":"Michaja"},{"family":"Wingens","given":"Christopher"},{"family":"Baumstark","given":"Lavinia"},{"family":"Beier","given":"Felicitas"},{"family":"Dietrich","given":"Jan Philipp"},{"family":"Humpenöder","given":"Florian"},{"family":"Von Jeetze","given":"Patrick"},{"family":"Klein","given":"David"},{"family":"Koch","given":"Johannes"},{"family":"Pietzcker","given":"Robert"},{"family":"Strefler","given":"Jessica"},{"family":"Lotze-Campen","given":"Hermann"},{"family":"Popp","given":"Alexander"}],"issued":{"date-parts":[["2021",8]]}}}],"schema":"https://github.com/citation-style-language/schema/raw/master/csl-citation.json"} </w:instrText>
      </w:r>
      <w:r w:rsidR="006F35B5">
        <w:rPr>
          <w:lang w:val="en-GB"/>
        </w:rPr>
        <w:fldChar w:fldCharType="separate"/>
      </w:r>
      <w:r w:rsidR="006F35B5" w:rsidRPr="006F35B5">
        <w:rPr>
          <w:rFonts w:cs="Times New Roman"/>
          <w:szCs w:val="24"/>
          <w:vertAlign w:val="superscript"/>
          <w:lang w:val="en-GB"/>
        </w:rPr>
        <w:t>9</w:t>
      </w:r>
      <w:r w:rsidR="006F35B5">
        <w:rPr>
          <w:lang w:val="en-GB"/>
        </w:rPr>
        <w:fldChar w:fldCharType="end"/>
      </w:r>
      <w:bookmarkEnd w:id="5"/>
      <w:r w:rsidRPr="00762BE0">
        <w:rPr>
          <w:lang w:val="en-GB"/>
        </w:rPr>
        <w:t xml:space="preserve">. However, here we state that the assessment of interactions should only require the presence of endogenous calculations across indicators to show possible feedback loops or rebound effects. </w:t>
      </w:r>
    </w:p>
    <w:p w14:paraId="78E2D3CD" w14:textId="350D8B90" w:rsidR="00762BE0" w:rsidRPr="00762BE0" w:rsidRDefault="00762BE0" w:rsidP="00DF247B">
      <w:pPr>
        <w:spacing w:before="120" w:after="0" w:line="300" w:lineRule="atLeast"/>
        <w:jc w:val="both"/>
        <w:rPr>
          <w:lang w:val="en-GB"/>
        </w:rPr>
      </w:pPr>
      <w:r w:rsidRPr="00762BE0">
        <w:rPr>
          <w:rFonts w:eastAsia="Times New Roman" w:cs="Times New Roman"/>
          <w:lang w:val="en-GB"/>
        </w:rPr>
        <w:t>Two studies</w:t>
      </w:r>
      <w:r w:rsidR="006F35B5">
        <w:rPr>
          <w:rFonts w:eastAsia="Times New Roman" w:cs="Times New Roman"/>
          <w:lang w:val="en-GB"/>
        </w:rPr>
        <w:fldChar w:fldCharType="begin"/>
      </w:r>
      <w:r w:rsidR="006F35B5">
        <w:rPr>
          <w:rFonts w:eastAsia="Times New Roman" w:cs="Times New Roman"/>
          <w:lang w:val="en-GB"/>
        </w:rPr>
        <w:instrText xml:space="preserve"> ADDIN ZOTERO_ITEM CSL_CITATION {"citationID":"CLpemMnF","properties":{"formattedCitation":"\\super 10,11\\nosupersub{}","plainCitation":"10,11","noteIndex":0},"citationItems":[{"id":351,"uris":["http://zotero.org/users/11518810/items/R2WBLZBA"],"itemData":{"id":351,"type":"article-journal","container-title":"Sustainability Science","DOI":"10.1007/s11625-017-0437-1","ISSN":"1862-4065, 1862-4057","issue":"6","journalAbbreviation":"Sustain Sci","language":"en","page":"975-989","source":"DOI.org (Crossref)","title":"Indicator-based assessments of progress towards the sustainable development goals (SDGs): a case study from the Arab region","title-short":"Indicator-based assessments of progress towards the sustainable development goals (SDGs)","volume":"12","author":[{"family":"Allen","given":"Cameron"},{"family":"Nejdawi","given":"Reem"},{"family":"El-Baba","given":"Jana"},{"family":"Hamati","given":"Kamil"},{"family":"Metternicht","given":"Graciela"},{"family":"Wiedmann","given":"Thomas"}],"issued":{"date-parts":[["2017",11]]}}},{"id":352,"uris":["http://zotero.org/users/11518810/items/7SH9FEP5"],"itemData":{"id":352,"type":"article-journal","container-title":"Ecological Economics","DOI":"10.1016/j.ecolecon.2019.04.009","ISSN":"09218009","journalAbbreviation":"Ecological Economics","language":"en","page":"74-86","source":"DOI.org (Crossref)","title":"The potential impacts of climate change on capital in the 21st century","volume":"162","author":[{"family":"Tsigaris","given":"Panagiotis"},{"family":"Wood","given":"Joel"}],"issued":{"date-parts":[["2019",8]]}}}],"schema":"https://github.com/citation-style-language/schema/raw/master/csl-citation.json"} </w:instrText>
      </w:r>
      <w:r w:rsidR="006F35B5">
        <w:rPr>
          <w:rFonts w:eastAsia="Times New Roman" w:cs="Times New Roman"/>
          <w:lang w:val="en-GB"/>
        </w:rPr>
        <w:fldChar w:fldCharType="separate"/>
      </w:r>
      <w:r w:rsidR="006F35B5" w:rsidRPr="006F35B5">
        <w:rPr>
          <w:rFonts w:cs="Times New Roman"/>
          <w:szCs w:val="24"/>
          <w:vertAlign w:val="superscript"/>
          <w:lang w:val="en-GB"/>
        </w:rPr>
        <w:t>10,11</w:t>
      </w:r>
      <w:r w:rsidR="006F35B5">
        <w:rPr>
          <w:rFonts w:eastAsia="Times New Roman" w:cs="Times New Roman"/>
          <w:lang w:val="en-GB"/>
        </w:rPr>
        <w:fldChar w:fldCharType="end"/>
      </w:r>
      <w:r w:rsidRPr="00762BE0">
        <w:rPr>
          <w:rFonts w:eastAsia="Times New Roman" w:cs="Times New Roman"/>
          <w:lang w:val="en-GB"/>
        </w:rPr>
        <w:t xml:space="preserve"> have recently discussed the quantification of SDGs in simulations and numerical approaches to correlate SDGs with proxy variables in IAMs.  Although the harmonization of SDG implementation in IAMs is still under development, most of the studies have proposed a similar solution based on the establishment of a </w:t>
      </w:r>
      <w:r w:rsidRPr="00762BE0">
        <w:rPr>
          <w:rFonts w:eastAsia="Times New Roman" w:cs="Times New Roman"/>
          <w:i/>
          <w:iCs/>
          <w:lang w:val="en-GB"/>
        </w:rPr>
        <w:t xml:space="preserve">target </w:t>
      </w:r>
      <w:r w:rsidRPr="00762BE0">
        <w:rPr>
          <w:rFonts w:eastAsia="Times New Roman" w:cs="Times New Roman"/>
          <w:lang w:val="en-GB"/>
        </w:rPr>
        <w:t xml:space="preserve">The objective of a target space is to help the scientific community in evaluating the achievement of SDGs in future scenarios, thus helping to identify potential synergies and trade-offs </w:t>
      </w:r>
      <w:bookmarkStart w:id="6" w:name="_Ref172045839"/>
      <w:r w:rsidRPr="00762BE0">
        <w:rPr>
          <w:rFonts w:eastAsia="Times New Roman" w:cs="Times New Roman"/>
          <w:lang w:val="en-GB"/>
        </w:rPr>
        <w:t xml:space="preserve">among </w:t>
      </w:r>
      <w:r w:rsidRPr="00DF247B">
        <w:rPr>
          <w:rFonts w:eastAsia="Times New Roman" w:cs="Times New Roman"/>
          <w:lang w:val="en-GB"/>
        </w:rPr>
        <w:t>policies</w:t>
      </w:r>
      <w:bookmarkEnd w:id="6"/>
      <w:r w:rsidRPr="00DF247B">
        <w:rPr>
          <w:rFonts w:eastAsia="Times New Roman" w:cs="Times New Roman"/>
          <w:lang w:val="en-GB"/>
        </w:rPr>
        <w:t>.</w:t>
      </w:r>
      <w:r w:rsidRPr="00DF247B">
        <w:rPr>
          <w:lang w:val="en-GB"/>
        </w:rPr>
        <w:t xml:space="preserve"> </w:t>
      </w:r>
      <w:r w:rsidR="00DF247B" w:rsidRPr="00DF247B">
        <w:rPr>
          <w:lang w:val="en-GB"/>
        </w:rPr>
        <w:t>As a result, they could cover</w:t>
      </w:r>
      <w:r w:rsidRPr="00DF247B">
        <w:rPr>
          <w:lang w:val="en-GB"/>
        </w:rPr>
        <w:t xml:space="preserve"> 36 proxy </w:t>
      </w:r>
      <w:r w:rsidRPr="00762BE0">
        <w:rPr>
          <w:lang w:val="en-GB"/>
        </w:rPr>
        <w:t xml:space="preserve">variables for </w:t>
      </w:r>
      <w:r w:rsidR="00DF247B">
        <w:rPr>
          <w:lang w:val="en-GB"/>
        </w:rPr>
        <w:t>targets</w:t>
      </w:r>
      <w:r w:rsidRPr="00762BE0">
        <w:rPr>
          <w:lang w:val="en-GB"/>
        </w:rPr>
        <w:t xml:space="preserve"> covering the 17 SDGs. The authors selected articles where the SSP2</w:t>
      </w:r>
      <w:r w:rsidRPr="4AF98DAA">
        <w:rPr>
          <w:rStyle w:val="Refdenotaalpie"/>
        </w:rPr>
        <w:footnoteReference w:id="1"/>
      </w:r>
      <w:r w:rsidRPr="00762BE0">
        <w:rPr>
          <w:lang w:val="en-GB"/>
        </w:rPr>
        <w:t xml:space="preserve"> was exogenously assumed in order to identify proxies for the target space (except </w:t>
      </w:r>
      <w:proofErr w:type="spellStart"/>
      <w:r w:rsidRPr="00762BE0">
        <w:rPr>
          <w:lang w:val="en-GB"/>
        </w:rPr>
        <w:t>Riahi</w:t>
      </w:r>
      <w:proofErr w:type="spellEnd"/>
      <w:r w:rsidRPr="00762BE0">
        <w:rPr>
          <w:lang w:val="en-GB"/>
        </w:rPr>
        <w:t xml:space="preserve"> et al. (2017)</w:t>
      </w:r>
      <w:r w:rsidR="006F35B5">
        <w:rPr>
          <w:lang w:val="en-GB"/>
        </w:rPr>
        <w:fldChar w:fldCharType="begin"/>
      </w:r>
      <w:r w:rsidR="006F35B5">
        <w:rPr>
          <w:lang w:val="en-GB"/>
        </w:rPr>
        <w:instrText xml:space="preserve"> ADDIN ZOTERO_ITEM CSL_CITATION {"citationID":"tepNKXea","properties":{"formattedCitation":"\\super 4\\nosupersub{}","plainCitation":"4","noteIndex":0},"citationItems":[{"id":218,"uris":["http://zotero.org/groups/6298575/items/NEVHTASQ"],"itemData":{"id":218,"type":"article-journal","abstract":"This paper presents the overview of the Shared Socioeconomic Pathways (SSPs) and their energy, land use, and emissions implications. The SSPs are part of a new scenario framework, established by the climate change research community in order to facilitate the integrated analysis of future climate impacts, vulnerabilities, adaptation, and mitigation. The pathways were developed over the last years as a joint community effort and describe plausible major global developments that together would lead in the future to different challenges for mitigation and adaptation to climate change. The SSPs are based on five narratives describing alternative socio-economic developments, including sustainable development, regional rivalry, inequality, fossil-fueled development, and middle-of-the-road development. The long-term demographic and economic projections of the SSPs depict a wide uncertainty range consistent with the scenario literature. A multi-model approach was used for the elaboration of the energy, land-use and the emissions trajectories of SSP-based scenarios. The baseline scenarios lead to global energy consumption of 400–1200 EJ in 2100, and feature vastly different land-use dynamics, ranging from a possible reduction in cropland area up to a massive expansion by more than 700 million hectares by 2100. The associated annual CO2 emissions of the baseline scenarios range from about 25 GtCO2 to more than 120 GtCO2 per year by 2100. With respect to mitigation, we find that associated costs strongly depend on three factors: (1) the policy assumptions, (2) the socio-economic narrative, and (3) the stringency of the target. The carbon price for reaching the target of 2.6W/m2 that is consistent with a temperature change limit of 2°C, differs in our analysis thus by about a factor of three across the SSP marker scenarios. Moreover, many models could not reach this target from the SSPs with high mitigation challenges. While the SSPs were designed to represent different mitigation and adaptation challenges, the resulting narratives and quantifications span a wide range of different futures broadly representative of the current literature. This allows their subsequent use and development in new assessments and research projects. Critical next steps for the community scenario process will, among others, involve regional and sectoral extensions, further elaboration of the adaptation and impacts dimension, as well as employing the SSP scenarios with the new generation of earth system models as part of the 6th climate model intercomparison project (CMIP6).","container-title":"Global Environmental Change","DOI":"10.1016/j.gloenvcha.2016.05.009","ISSN":"0959-3780","journalAbbreviation":"Global Environmental Change","page":"153-168","title":"The Shared Socioeconomic Pathways and their energy, land use, and greenhouse gas emissions implications: An overview","volume":"42","author":[{"family":"Riahi","given":"Keywan"},{"family":"Vuuren","given":"Detlef P.","non-dropping-particle":"van"},{"family":"Kriegler","given":"Elmar"},{"family":"Edmonds","given":"Jae"},{"family":"O’Neill","given":"Brian C."},{"family":"Fujimori","given":"Shinichiro"},{"family":"Bauer","given":"Nico"},{"family":"Calvin","given":"Katherine"},{"family":"Dellink","given":"Rob"},{"family":"Fricko","given":"Oliver"},{"family":"Lutz","given":"Wolfgang"},{"family":"Popp","given":"Alexander"},{"family":"Cuaresma","given":"Jesus Crespo"},{"family":"KC","given":"Samir"},{"family":"Leimbach","given":"Marian"},{"family":"Jiang","given":"Leiwen"},{"family":"Kram","given":"Tom"},{"family":"Rao","given":"Shilpa"},{"family":"Emmerling","given":"Johannes"},{"family":"Ebi","given":"Kristie"},{"family":"Hasegawa","given":"Tomoko"},{"family":"Havlik","given":"Petr"},{"family":"Humpenöder","given":"Florian"},{"family":"Da Silva","given":"Lara Aleluia"},{"family":"Smith","given":"Steve"},{"family":"Stehfest","given":"Elke"},{"family":"Bosetti","given":"Valentina"},{"family":"Eom","given":"Jiyong"},{"family":"Gernaat","given":"David"},{"family":"Masui","given":"Toshihiko"},{"family":"Rogelj","given":"Joeri"},{"family":"Strefler","given":"Jessica"},{"family":"Drouet","given":"Laurent"},{"family":"Krey","given":"Volker"},{"family":"Luderer","given":"Gunnar"},{"family":"Harmsen","given":"Mathijs"},{"family":"Takahashi","given":"Kiyoshi"},{"family":"Baumstark","given":"Lavinia"},{"family":"Doelman","given":"Jonathan C."},{"family":"Kainuma","given":"Mikiko"},{"family":"Klimont","given":"Zbigniew"},{"family":"Marangoni","given":"Giacomo"},{"family":"Lotze-Campen","given":"Hermann"},{"family":"Obersteiner","given":"Michael"},{"family":"Tabeau","given":"Andrzej"},{"family":"Tavoni","given":"Massimo"}],"issued":{"date-parts":[["2017",1,1]]}}}],"schema":"https://github.com/citation-style-language/schema/raw/master/csl-citation.json"} </w:instrText>
      </w:r>
      <w:r w:rsidR="006F35B5">
        <w:rPr>
          <w:lang w:val="en-GB"/>
        </w:rPr>
        <w:fldChar w:fldCharType="separate"/>
      </w:r>
      <w:r w:rsidR="006F35B5" w:rsidRPr="006F35B5">
        <w:rPr>
          <w:rFonts w:cs="Times New Roman"/>
          <w:szCs w:val="24"/>
          <w:vertAlign w:val="superscript"/>
          <w:lang w:val="en-GB"/>
        </w:rPr>
        <w:t>4</w:t>
      </w:r>
      <w:r w:rsidR="006F35B5">
        <w:rPr>
          <w:lang w:val="en-GB"/>
        </w:rPr>
        <w:fldChar w:fldCharType="end"/>
      </w:r>
      <w:r w:rsidRPr="00762BE0">
        <w:rPr>
          <w:lang w:val="en-GB"/>
        </w:rPr>
        <w:t xml:space="preserve">, the reference where the modellers of the IPCC’s IAMs explain the SSPs). </w:t>
      </w:r>
      <w:r w:rsidRPr="00762BE0">
        <w:rPr>
          <w:rFonts w:eastAsia="Times New Roman" w:cs="Times New Roman"/>
          <w:lang w:val="en-GB"/>
        </w:rPr>
        <w:t xml:space="preserve">Although all referenced studies used the same scenario data (MESSAGE-GLOBIOM, developed by IIASA), the methodological extensions applied to estimate inequality, hunger risk, population dynamics, impact indicators, and water stress were developed independently. This implies an underlying assumption that these extensions are not interdependent; otherwise, the results would not be directly comparable, and the scenario would need to be re-run with all methods fully integrated within the IAM framework. As a result, potential cross-model interactions </w:t>
      </w:r>
      <w:r w:rsidRPr="00762BE0">
        <w:rPr>
          <w:lang w:val="en-GB"/>
        </w:rPr>
        <w:t>–</w:t>
      </w:r>
      <w:r w:rsidRPr="00762BE0">
        <w:rPr>
          <w:rFonts w:eastAsia="Times New Roman" w:cs="Times New Roman"/>
          <w:lang w:val="en-GB"/>
        </w:rPr>
        <w:t xml:space="preserve"> such as the influence of hunger risk in the population dynamics </w:t>
      </w:r>
      <w:r w:rsidRPr="00762BE0">
        <w:rPr>
          <w:lang w:val="en-GB"/>
        </w:rPr>
        <w:t>–</w:t>
      </w:r>
      <w:r w:rsidRPr="00762BE0">
        <w:rPr>
          <w:rFonts w:eastAsia="Times New Roman" w:cs="Times New Roman"/>
          <w:lang w:val="en-GB"/>
        </w:rPr>
        <w:t xml:space="preserve"> may be missing from the IPCC scenario context.</w:t>
      </w:r>
    </w:p>
    <w:p w14:paraId="30E468BE" w14:textId="5F81D173" w:rsidR="00762BE0" w:rsidRPr="00762BE0" w:rsidRDefault="00762BE0" w:rsidP="00762BE0">
      <w:pPr>
        <w:spacing w:after="120" w:line="300" w:lineRule="atLeast"/>
        <w:jc w:val="both"/>
        <w:rPr>
          <w:lang w:val="en-GB"/>
        </w:rPr>
      </w:pPr>
      <w:proofErr w:type="spellStart"/>
      <w:r w:rsidRPr="00762BE0">
        <w:rPr>
          <w:lang w:val="en-GB"/>
        </w:rPr>
        <w:t>Soergel</w:t>
      </w:r>
      <w:proofErr w:type="spellEnd"/>
      <w:r w:rsidRPr="00762BE0">
        <w:rPr>
          <w:lang w:val="en-GB"/>
        </w:rPr>
        <w:t xml:space="preserve"> et al. </w:t>
      </w:r>
      <w:r w:rsidRPr="006F35B5">
        <w:rPr>
          <w:lang w:val="en-GB"/>
        </w:rPr>
        <w:t>(2021b)</w:t>
      </w:r>
      <w:r w:rsidR="006F35B5">
        <w:fldChar w:fldCharType="begin"/>
      </w:r>
      <w:r w:rsidR="006F35B5" w:rsidRPr="006F35B5">
        <w:rPr>
          <w:lang w:val="en-GB"/>
        </w:rPr>
        <w:instrText xml:space="preserve"> ADDIN ZOTERO_ITEM CSL_CITATION {"citationID":"GdV1pN6e","properties":{"formattedCitation":"\\super 9\\nosupersub{}","plainCitation":"9","noteIndex":0},"citationItems":[{"id":280,"uris":["http://zotero.org/users/11518810/items/3ICHZ5BF"],"itemData":{"id":280,"type":"article-journal","container-title":"Nature Climate Change","DOI":"10.1038/s41558-021-01098-3","ISSN":"1758-678X, 1758-6798","issue":"8","journalAbbreviation":"Nat. Clim. Chang.","language":"en","page":"656-664","source":"DOI.org (Crossref)","title":"A sustainable development pathway for climate action within the UN 2030 Agenda","volume":"11","author":[{"family":"Soergel","given":"Bjoern"},{"family":"Kriegler","given":"Elmar"},{"family":"Weindl","given":"Isabelle"},{"family":"Rauner","given":"Sebastian"},{"family":"Dirnaichner","given":"Alois"},{"family":"Ruhe","given":"Constantin"},{"family":"Hofmann","given":"Matthias"},{"family":"Bauer","given":"Nico"},{"family":"Bertram","given":"Christoph"},{"family":"Bodirsky","given":"Benjamin Leon"},{"family":"Leimbach","given":"Marian"},{"family":"Leininger","given":"Julia"},{"family":"Levesque","given":"Antoine"},{"family":"Luderer","given":"Gunnar"},{"family":"Pehl","given":"Michaja"},{"family":"Wingens","given":"Christopher"},{"family":"Baumstark","given":"Lavinia"},{"family":"Beier","given":"Felicitas"},{"family":"Dietrich","given":"Jan Philipp"},{"family":"Humpenöder","given":"Florian"},{"family":"Von Jeetze","given":"Patrick"},{"family":"Klein","given":"David"},{"family":"Koch","given":"Johannes"},{"family":"Pietzcker","given":"Robert"},{"family":"Strefler","given":"Jessica"},{"family":"Lotze-Campen","given":"Hermann"},{"family":"Popp","given":"Alexander"}],"issued":{"date-parts":[["2021",8]]}}}],"schema":"https://github.com/citation-style-language/schema/raw/master/csl-citation.json"} </w:instrText>
      </w:r>
      <w:r w:rsidR="006F35B5">
        <w:fldChar w:fldCharType="separate"/>
      </w:r>
      <w:r w:rsidR="006F35B5" w:rsidRPr="006F35B5">
        <w:rPr>
          <w:rFonts w:cs="Times New Roman"/>
          <w:szCs w:val="24"/>
          <w:vertAlign w:val="superscript"/>
          <w:lang w:val="en-GB"/>
        </w:rPr>
        <w:t>9</w:t>
      </w:r>
      <w:r w:rsidR="006F35B5">
        <w:fldChar w:fldCharType="end"/>
      </w:r>
      <w:r w:rsidRPr="006F35B5">
        <w:rPr>
          <w:lang w:val="en-GB"/>
        </w:rPr>
        <w:t xml:space="preserve"> </w:t>
      </w:r>
      <w:r w:rsidRPr="00762BE0">
        <w:rPr>
          <w:lang w:val="en-GB"/>
        </w:rPr>
        <w:t>was the only study reporting results for all SDGs through 56 indicators. However, the authors faced similar limitations in the IAM (REMIND-</w:t>
      </w:r>
      <w:proofErr w:type="spellStart"/>
      <w:r w:rsidRPr="00762BE0">
        <w:rPr>
          <w:lang w:val="en-GB"/>
        </w:rPr>
        <w:t>MAgPIE</w:t>
      </w:r>
      <w:proofErr w:type="spellEnd"/>
      <w:r w:rsidRPr="00762BE0">
        <w:rPr>
          <w:lang w:val="en-GB"/>
        </w:rPr>
        <w:t xml:space="preserve">). First, 12 indicators were exogenously assumed via scenario (SSPs) such as educational attainment, GDP, population and end-use energy demands in buildings and mobility. Similarly, 15 indicators were post-processed to extend the analysis with other tools. Specifically, SDG 3 (Good Health and Well-Being), SDG 4 (Quality Education), SDG 5 (Gender Equality), SDG 8 (Decent Work and Economic Growth), SDG 10 (Reduced Inequalities), SDG 11 (Sustainable Cities and Communities), SDG 14 (Life Below Water), SDG 16 (Peace, Justice and Strong Institutions), and SDG 17 (Partnerships for the Goals) were calculated out from the IAM. </w:t>
      </w:r>
      <w:r w:rsidRPr="00762BE0">
        <w:rPr>
          <w:rFonts w:eastAsia="Times New Roman" w:cs="Times New Roman"/>
          <w:lang w:val="en-GB"/>
        </w:rPr>
        <w:t xml:space="preserve">Later on, </w:t>
      </w:r>
      <w:proofErr w:type="spellStart"/>
      <w:r w:rsidRPr="00762BE0">
        <w:rPr>
          <w:lang w:val="en-GB"/>
        </w:rPr>
        <w:t>Soergel</w:t>
      </w:r>
      <w:proofErr w:type="spellEnd"/>
      <w:r w:rsidRPr="00762BE0">
        <w:rPr>
          <w:lang w:val="en-GB"/>
        </w:rPr>
        <w:t xml:space="preserve"> et al. (2024)</w:t>
      </w:r>
      <w:bookmarkStart w:id="7" w:name="_Ref200636402"/>
      <w:r w:rsidR="006F35B5">
        <w:rPr>
          <w:lang w:val="en-GB"/>
        </w:rPr>
        <w:fldChar w:fldCharType="begin"/>
      </w:r>
      <w:r w:rsidR="006F35B5">
        <w:rPr>
          <w:lang w:val="en-GB"/>
        </w:rPr>
        <w:instrText xml:space="preserve"> ADDIN ZOTERO_ITEM CSL_CITATION {"citationID":"nCG9ar9j","properties":{"formattedCitation":"\\super 12\\nosupersub{}","plainCitation":"12","noteIndex":0},"citationItems":[{"id":353,"uris":["http://zotero.org/users/11518810/items/SAC4R5WL"],"itemData":{"id":353,"type":"article-journal","abstract":"Abstract\n            The UN sustainable development goals (SDGs) and the Paris climate target require a holistic transformation towards human well-being within planetary boundaries. However, there are growing debates on how to best pursue these targets. Proposed transformation strategies include market- and technology-driven green-growth, shifting towards a sufficiency-oriented post-growth economy, and a transformation driven primarily by strong government action. Here we quantify three alternative sustainable development pathways (SDPs), Economy-driven Innovation, Resilient Communities, and Managing the Global Commons, that reflect these different societal strategies. We compare the quantifications from two integrated assessment models and two sectoral models of the buildings and materials sectors across a broad set of indicators for sustainable development and climate action. Our global multi-scenario and multi-model analysis shows that all three SDPs enable substantial progress towards the human development goals of the SDGs. They simultaneously limit global warming and prevent further environmental degradation, with the sufficiency-oriented Resilient Communities scenario showing the lowest peak warming and lowest reliance on carbon dioxide removal as well as the largest improvements in biodiversity intactness. The SDPs also alleviate the concerns about the biogeophysical and technological feasibility of narrowly-focused climate change mitigation scenarios. However, the shifts in energy and food consumption patterns assumed in the SDPs, ranging from moderate in Economy-driven Innovation to very ambitious in Resilient Communities, also lead to increased challenges regarding socio-cultural feasibility.","container-title":"Environmental Research Letters","DOI":"10.1088/1748-9326/ad80af","ISSN":"1748-9326","issue":"12","journalAbbreviation":"Environ. Res. Lett.","page":"124009","source":"DOI.org (Crossref)","title":"Multiple pathways towards sustainable development goals and climate targets","volume":"19","author":[{"family":"Soergel","given":"Bjoern"},{"family":"Rauner","given":"Sebastian"},{"family":"Daioglou","given":"Vassilis"},{"family":"Weindl","given":"Isabelle"},{"family":"Mastrucci","given":"Alessio"},{"family":"Carrer","given":"Fabio"},{"family":"Kikstra","given":"Jarmo"},{"family":"Ambrósio","given":"Geanderson"},{"family":"Aguiar","given":"Ana Paula Dutra"},{"family":"Baumstark","given":"Lavinia"},{"family":"Bodirsky","given":"Benjamin Leon"},{"family":"Bos","given":"Astrid"},{"family":"Dietrich","given":"Jan Philipp"},{"family":"Dirnaichner","given":"Alois"},{"family":"Doelman","given":"Jonathan C"},{"family":"Hasse","given":"Robin"},{"family":"Hernandez","given":"Ariel"},{"family":"Hoppe","given":"Johanna"},{"family":"Humpenöder","given":"Florian"},{"family":"Iacobuţă","given":"Gabriela Ileana"},{"family":"Keppler","given":"Dorothee"},{"family":"Koch","given":"Johannes"},{"family":"Luderer","given":"Gunnar"},{"family":"Lotze-Campen","given":"Hermann"},{"family":"Pehl","given":"Michaja"},{"family":"Poblete-Cazenave","given":"Miguel"},{"family":"Popp","given":"Alexander"},{"family":"Remy","given":"Merle"},{"family":"Van Zeist","given":"Willem-Jan"},{"family":"Cornell","given":"Sarah"},{"family":"Dombrowsky","given":"Ines"},{"family":"Hertwich","given":"Edgar G"},{"family":"Schmidt","given":"Falk"},{"family":"Van Ruijven","given":"Bas"},{"family":"Van Vuuren","given":"Detlef"},{"family":"Kriegler","given":"Elmar"}],"issued":{"date-parts":[["2024",12,1]]}}}],"schema":"https://github.com/citation-style-language/schema/raw/master/csl-citation.json"} </w:instrText>
      </w:r>
      <w:r w:rsidR="006F35B5">
        <w:rPr>
          <w:lang w:val="en-GB"/>
        </w:rPr>
        <w:fldChar w:fldCharType="separate"/>
      </w:r>
      <w:r w:rsidR="006F35B5" w:rsidRPr="006F35B5">
        <w:rPr>
          <w:rFonts w:cs="Times New Roman"/>
          <w:szCs w:val="24"/>
          <w:vertAlign w:val="superscript"/>
          <w:lang w:val="en-GB"/>
        </w:rPr>
        <w:t>12</w:t>
      </w:r>
      <w:r w:rsidR="006F35B5">
        <w:rPr>
          <w:lang w:val="en-GB"/>
        </w:rPr>
        <w:fldChar w:fldCharType="end"/>
      </w:r>
      <w:bookmarkEnd w:id="7"/>
      <w:r w:rsidRPr="00762BE0">
        <w:rPr>
          <w:lang w:val="en-GB"/>
        </w:rPr>
        <w:t xml:space="preserve"> proposed three sustainable development paths based on 36 proxies to cover all the Goals, from which 22 were endogenous, 13 were scenario assumptions, and 3 post-processing assumptions.</w:t>
      </w:r>
    </w:p>
    <w:p w14:paraId="459311DF" w14:textId="1F6049F4" w:rsidR="00762BE0" w:rsidRPr="00762BE0" w:rsidRDefault="00762BE0" w:rsidP="00762BE0">
      <w:pPr>
        <w:spacing w:after="120" w:line="300" w:lineRule="atLeast"/>
        <w:jc w:val="both"/>
        <w:rPr>
          <w:lang w:val="en-GB"/>
        </w:rPr>
      </w:pPr>
      <w:r w:rsidRPr="00762BE0">
        <w:rPr>
          <w:lang w:val="en-GB"/>
        </w:rPr>
        <w:t>Moreno et al. (2023)</w:t>
      </w:r>
      <w:r w:rsidR="00F70FF3">
        <w:rPr>
          <w:lang w:val="en-GB"/>
        </w:rPr>
        <w:fldChar w:fldCharType="begin"/>
      </w:r>
      <w:r w:rsidR="00F70FF3">
        <w:rPr>
          <w:lang w:val="en-GB"/>
        </w:rPr>
        <w:instrText xml:space="preserve"> ADDIN ZOTERO_ITEM CSL_CITATION {"citationID":"XEpgGAzW","properties":{"formattedCitation":"\\super 13\\nosupersub{}","plainCitation":"13","noteIndex":0},"citationItems":[{"id":282,"uris":["http://zotero.org/users/11518810/items/3JXVS7VP"],"itemData":{"id":282,"type":"article-journal","container-title":"Global Environmental Change","DOI":"10.1016/j.gloenvcha.2022.102624","ISSN":"09593780","journalAbbreviation":"Global Environmental Change","language":"en","page":"102624","source":"DOI.org (Crossref)","title":"Assessing synergies and trade-offs of diverging Paris-compliant mitigation strategies with long-term SDG objectives","volume":"78","author":[{"family":"Moreno","given":"Jorge"},{"family":"Van De Ven","given":"Dirk-Jan"},{"family":"Sampedro","given":"Jon"},{"family":"Gambhir","given":"Ajay"},{"family":"Woods","given":"Jem"},{"family":"Gonzalez-Eguino","given":"Mikel"}],"issued":{"date-parts":[["2023",1]]}}}],"schema":"https://github.com/citation-style-language/schema/raw/master/csl-citation.json"} </w:instrText>
      </w:r>
      <w:r w:rsidR="00F70FF3">
        <w:rPr>
          <w:lang w:val="en-GB"/>
        </w:rPr>
        <w:fldChar w:fldCharType="separate"/>
      </w:r>
      <w:r w:rsidR="00F70FF3" w:rsidRPr="00F70FF3">
        <w:rPr>
          <w:rFonts w:cs="Times New Roman"/>
          <w:szCs w:val="24"/>
          <w:vertAlign w:val="superscript"/>
          <w:lang w:val="en-GB"/>
        </w:rPr>
        <w:t>13</w:t>
      </w:r>
      <w:r w:rsidR="00F70FF3">
        <w:rPr>
          <w:lang w:val="en-GB"/>
        </w:rPr>
        <w:fldChar w:fldCharType="end"/>
      </w:r>
      <w:r w:rsidRPr="00762BE0">
        <w:rPr>
          <w:lang w:val="en-GB"/>
        </w:rPr>
        <w:t xml:space="preserve"> analyzed the implications of long-term mitigation strategies on SDG Agenda. The authors combined the IAM GCAM with two tools to extend the SDG coverage. On </w:t>
      </w:r>
      <w:r w:rsidRPr="00762BE0">
        <w:rPr>
          <w:lang w:val="en-GB"/>
        </w:rPr>
        <w:lastRenderedPageBreak/>
        <w:t xml:space="preserve">the side of the IAM, seven endogenous indicators were captured to assess on SDG 2, 6, 7, 11, 13, 14, and 15. In China, SDGs have been integrated in two models to assess on mitigation paths. </w:t>
      </w:r>
    </w:p>
    <w:p w14:paraId="3621717A" w14:textId="425CCAB5" w:rsidR="00762BE0" w:rsidRPr="00762BE0" w:rsidRDefault="00762BE0" w:rsidP="00762BE0">
      <w:pPr>
        <w:spacing w:after="120" w:line="300" w:lineRule="atLeast"/>
        <w:jc w:val="both"/>
        <w:rPr>
          <w:lang w:val="en-GB"/>
        </w:rPr>
      </w:pPr>
      <w:r w:rsidRPr="00762BE0">
        <w:rPr>
          <w:lang w:val="en-GB"/>
        </w:rPr>
        <w:t>He et al. (2025)</w:t>
      </w:r>
      <w:r w:rsidR="00F70FF3">
        <w:rPr>
          <w:lang w:val="en-GB"/>
        </w:rPr>
        <w:fldChar w:fldCharType="begin"/>
      </w:r>
      <w:r w:rsidR="00F70FF3">
        <w:rPr>
          <w:lang w:val="en-GB"/>
        </w:rPr>
        <w:instrText xml:space="preserve"> ADDIN ZOTERO_ITEM CSL_CITATION {"citationID":"EjyZXij6","properties":{"formattedCitation":"\\super 14\\nosupersub{}","plainCitation":"14","noteIndex":0},"citationItems":[{"id":354,"uris":["http://zotero.org/users/11518810/items/6KPH6BEV"],"itemData":{"id":354,"type":"article-journal","container-title":"Advances in Climate Change Research","DOI":"10.1016/j.accre.2025.03.006","ISSN":"16749278","issue":"3","journalAbbreviation":"Advances in Climate Change Research","language":"en","page":"623-635","source":"DOI.org (Crossref)","title":"Quantification of selected SDGs in the context of China's climate mitigation pathway","volume":"16","author":[{"family":"He","given":"Chen-Min"},{"family":"Jiang","given":"Ke-Jun"},{"family":"Jiao","given":"Yu-Jie"},{"family":"Xiang","given":"Pian-Pian"},{"family":"Xu","given":"Xiang-Yang"},{"family":"Jiang","given":"Wei-Yi"}],"issued":{"date-parts":[["2025",6]]}}}],"schema":"https://github.com/citation-style-language/schema/raw/master/csl-citation.json"} </w:instrText>
      </w:r>
      <w:r w:rsidR="00F70FF3">
        <w:rPr>
          <w:lang w:val="en-GB"/>
        </w:rPr>
        <w:fldChar w:fldCharType="separate"/>
      </w:r>
      <w:r w:rsidR="00F70FF3" w:rsidRPr="00F70FF3">
        <w:rPr>
          <w:rFonts w:cs="Times New Roman"/>
          <w:szCs w:val="24"/>
          <w:vertAlign w:val="superscript"/>
          <w:lang w:val="en-GB"/>
        </w:rPr>
        <w:t>14</w:t>
      </w:r>
      <w:r w:rsidR="00F70FF3">
        <w:rPr>
          <w:lang w:val="en-GB"/>
        </w:rPr>
        <w:fldChar w:fldCharType="end"/>
      </w:r>
      <w:r w:rsidR="00F82BDE" w:rsidRPr="00762BE0">
        <w:rPr>
          <w:lang w:val="en-GB"/>
        </w:rPr>
        <w:t xml:space="preserve"> </w:t>
      </w:r>
      <w:r w:rsidRPr="00762BE0">
        <w:rPr>
          <w:lang w:val="en-GB"/>
        </w:rPr>
        <w:t xml:space="preserve">used variables of the IPAC model as proxies of 32 indicators, also requiring simplification hypothesis to quantify the indicators. For example, SDG 6.3.1 (Proportion of wastewater safely treated) was proxied by the industrial water demand, and material footprint (8.4.1) by GDP and population. Among them, 10 were directly quantified focusing on SDGs 7, 8, 9 and 12, while the rest were determined with the help of post-processing, independent analysis. However, we cannot clearly conclude which variables are exogenously assumed (scenario) and which others are endogenously calculated. </w:t>
      </w:r>
    </w:p>
    <w:p w14:paraId="3C0B2A84" w14:textId="341550BF" w:rsidR="00762BE0" w:rsidRPr="00762BE0" w:rsidRDefault="00762BE0" w:rsidP="00762BE0">
      <w:pPr>
        <w:spacing w:after="120" w:line="300" w:lineRule="atLeast"/>
        <w:jc w:val="both"/>
        <w:rPr>
          <w:lang w:val="en-GB"/>
        </w:rPr>
      </w:pPr>
      <w:r w:rsidRPr="00762BE0">
        <w:rPr>
          <w:lang w:val="en-GB"/>
        </w:rPr>
        <w:t>Finally, Wang et al. (2025)</w:t>
      </w:r>
      <w:r w:rsidR="00F70FF3">
        <w:rPr>
          <w:lang w:val="en-GB"/>
        </w:rPr>
        <w:fldChar w:fldCharType="begin"/>
      </w:r>
      <w:r w:rsidR="00F70FF3">
        <w:rPr>
          <w:lang w:val="en-GB"/>
        </w:rPr>
        <w:instrText xml:space="preserve"> ADDIN ZOTERO_ITEM CSL_CITATION {"citationID":"D5qVmoFx","properties":{"formattedCitation":"\\super 15\\nosupersub{}","plainCitation":"15","noteIndex":0},"citationItems":[{"id":355,"uris":["http://zotero.org/users/11518810/items/IBXUNE3Q"],"itemData":{"id":355,"type":"article-journal","container-title":"Journal of Environmental Management","DOI":"10.1016/j.jenvman.2025.124713","ISSN":"03014797","journalAbbreviation":"Journal of Environmental Management","language":"en","page":"124713","source":"DOI.org (Crossref)","title":"Towards sustainable future: Assessing the impact of coal phase-down on the sustainable development goals in China","title-short":"Towards sustainable future","volume":"378","author":[{"family":"Wang","given":"Zhaohua"},{"family":"Zhang","given":"Haotian"},{"family":"Li","given":"Hao"},{"family":"Zhang","given":"Bin"}],"issued":{"date-parts":[["2025",4]]}}}],"schema":"https://github.com/citation-style-language/schema/raw/master/csl-citation.json"} </w:instrText>
      </w:r>
      <w:r w:rsidR="00F70FF3">
        <w:rPr>
          <w:lang w:val="en-GB"/>
        </w:rPr>
        <w:fldChar w:fldCharType="separate"/>
      </w:r>
      <w:r w:rsidR="00F70FF3" w:rsidRPr="00F70FF3">
        <w:rPr>
          <w:rFonts w:cs="Times New Roman"/>
          <w:szCs w:val="24"/>
          <w:vertAlign w:val="superscript"/>
          <w:lang w:val="en-GB"/>
        </w:rPr>
        <w:t>15</w:t>
      </w:r>
      <w:r w:rsidR="00F70FF3">
        <w:rPr>
          <w:lang w:val="en-GB"/>
        </w:rPr>
        <w:fldChar w:fldCharType="end"/>
      </w:r>
      <w:r w:rsidRPr="00762BE0">
        <w:rPr>
          <w:lang w:val="en-GB"/>
        </w:rPr>
        <w:t xml:space="preserve"> employed GCAM 6.0 to evaluate the effects of coal phase-down in SDGs. In this case, 16 indicators covered 9 SDGs. The level of detail remains similar than previous works, for example, GPD per capita to proxy SDG 1 (No Poverty), and municipal water per capita, water use efficiency and water consumption per GDP as proxies of SDG 6 (Clean Water and Sanitation). Furthermore, some proxies were exogenously assumed via scenario parametrization (SSPs).</w:t>
      </w:r>
    </w:p>
    <w:p w14:paraId="136AD196" w14:textId="77777777" w:rsidR="00762BE0" w:rsidRPr="00762BE0" w:rsidRDefault="00762BE0" w:rsidP="00762BE0">
      <w:pPr>
        <w:spacing w:after="120" w:line="300" w:lineRule="atLeast"/>
        <w:jc w:val="both"/>
        <w:rPr>
          <w:lang w:val="en-GB"/>
        </w:rPr>
      </w:pPr>
      <w:r w:rsidRPr="00762BE0">
        <w:rPr>
          <w:lang w:val="en-GB"/>
        </w:rPr>
        <w:t xml:space="preserve">The review reveals an expansion of SDGs in literature since 2015. After 10 years of data, historical analyses have aimed to cover more and more dimensions to better capture synergies and trade-offs across Goals. Given the historical framework, these studies faced the limitation of </w:t>
      </w:r>
      <w:r w:rsidRPr="00762BE0">
        <w:rPr>
          <w:rFonts w:eastAsia="Times New Roman" w:cs="Times New Roman"/>
          <w:lang w:val="en-GB"/>
        </w:rPr>
        <w:t xml:space="preserve">capturing major future changes behind the indicators. Consequently, we </w:t>
      </w:r>
      <w:r w:rsidRPr="00762BE0">
        <w:rPr>
          <w:lang w:val="en-GB"/>
        </w:rPr>
        <w:t>see here a clear multidisciplinary collaboration with integrated models to join efforts in bringing sustainable and fair scenarios to the IPCC and UN official reports.</w:t>
      </w:r>
    </w:p>
    <w:p w14:paraId="0A9ED6D3" w14:textId="68D5620C" w:rsidR="00407B46" w:rsidRPr="00762BE0" w:rsidRDefault="00762BE0" w:rsidP="00762BE0">
      <w:pPr>
        <w:spacing w:after="120" w:line="300" w:lineRule="atLeast"/>
        <w:jc w:val="both"/>
        <w:rPr>
          <w:lang w:val="en-GB"/>
        </w:rPr>
      </w:pPr>
      <w:r w:rsidRPr="00762BE0">
        <w:rPr>
          <w:lang w:val="en-GB"/>
        </w:rPr>
        <w:t>We can highlight two main limitations in the field of IAMs. First, complexity for modelling social indicators such as education and gender equality. Second, difficulty to model interlinkages across modules. All together could radically change the holistic policy assessment about future scenarios. For example, the effects of material and food scarcity on the population dynamics and economic growth, fertility shifts driven by education, inequality and migration, or the impacts of SDG 16 and 17 on global economies. The indicators exogenously assumed via scenario assumptions and post-processing lack uncertainty. Consequently, they would not be valid as part of a multicriteria assessment exercises.</w:t>
      </w:r>
    </w:p>
    <w:p w14:paraId="5560DC1B" w14:textId="77777777" w:rsidR="00407B46" w:rsidRDefault="00407B46" w:rsidP="00407B46">
      <w:pPr>
        <w:pStyle w:val="Descripcin"/>
        <w:keepNext/>
        <w:rPr>
          <w:i w:val="0"/>
          <w:iCs w:val="0"/>
          <w:color w:val="auto"/>
          <w:lang w:val="en-GB"/>
        </w:rPr>
      </w:pPr>
    </w:p>
    <w:p w14:paraId="5714E897" w14:textId="77777777" w:rsidR="006E2010" w:rsidRDefault="00005635" w:rsidP="006E2010">
      <w:pPr>
        <w:keepNext/>
      </w:pPr>
      <w:r>
        <w:rPr>
          <w:noProof/>
        </w:rPr>
        <w:drawing>
          <wp:inline distT="0" distB="0" distL="0" distR="0" wp14:anchorId="4A888A75" wp14:editId="40A68DB5">
            <wp:extent cx="5400040" cy="185735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536"/>
                    <a:stretch/>
                  </pic:blipFill>
                  <pic:spPr bwMode="auto">
                    <a:xfrm>
                      <a:off x="0" y="0"/>
                      <a:ext cx="5400040" cy="1857358"/>
                    </a:xfrm>
                    <a:prstGeom prst="rect">
                      <a:avLst/>
                    </a:prstGeom>
                    <a:noFill/>
                    <a:ln>
                      <a:noFill/>
                    </a:ln>
                    <a:extLst>
                      <a:ext uri="{53640926-AAD7-44D8-BBD7-CCE9431645EC}">
                        <a14:shadowObscured xmlns:a14="http://schemas.microsoft.com/office/drawing/2010/main"/>
                      </a:ext>
                    </a:extLst>
                  </pic:spPr>
                </pic:pic>
              </a:graphicData>
            </a:graphic>
          </wp:inline>
        </w:drawing>
      </w:r>
    </w:p>
    <w:p w14:paraId="73809253" w14:textId="1B561B3A" w:rsidR="006C6DF6" w:rsidRPr="00BB3A91" w:rsidRDefault="006E2010" w:rsidP="006E2010">
      <w:pPr>
        <w:pStyle w:val="Descripcin"/>
        <w:jc w:val="center"/>
        <w:rPr>
          <w:b/>
          <w:bCs/>
          <w:i w:val="0"/>
          <w:iCs w:val="0"/>
          <w:color w:val="auto"/>
          <w:sz w:val="20"/>
          <w:szCs w:val="20"/>
          <w:lang w:val="en-GB"/>
        </w:rPr>
      </w:pPr>
      <w:bookmarkStart w:id="8" w:name="_Ref221534670"/>
      <w:r w:rsidRPr="00BB3A91">
        <w:rPr>
          <w:b/>
          <w:bCs/>
          <w:i w:val="0"/>
          <w:iCs w:val="0"/>
          <w:color w:val="auto"/>
          <w:sz w:val="20"/>
          <w:szCs w:val="20"/>
          <w:lang w:val="en-GB"/>
        </w:rPr>
        <w:t>Figure S</w:t>
      </w:r>
      <w:r w:rsidRPr="00BB3A91">
        <w:rPr>
          <w:b/>
          <w:bCs/>
          <w:i w:val="0"/>
          <w:iCs w:val="0"/>
          <w:color w:val="auto"/>
          <w:sz w:val="20"/>
          <w:szCs w:val="20"/>
          <w:lang w:val="en-GB"/>
        </w:rPr>
        <w:fldChar w:fldCharType="begin"/>
      </w:r>
      <w:r w:rsidRPr="00BB3A91">
        <w:rPr>
          <w:b/>
          <w:bCs/>
          <w:i w:val="0"/>
          <w:iCs w:val="0"/>
          <w:color w:val="auto"/>
          <w:sz w:val="20"/>
          <w:szCs w:val="20"/>
          <w:lang w:val="en-GB"/>
        </w:rPr>
        <w:instrText xml:space="preserve"> SEQ Figure_S \* ARABIC </w:instrText>
      </w:r>
      <w:r w:rsidRPr="00BB3A91">
        <w:rPr>
          <w:b/>
          <w:bCs/>
          <w:i w:val="0"/>
          <w:iCs w:val="0"/>
          <w:color w:val="auto"/>
          <w:sz w:val="20"/>
          <w:szCs w:val="20"/>
          <w:lang w:val="en-GB"/>
        </w:rPr>
        <w:fldChar w:fldCharType="separate"/>
      </w:r>
      <w:r w:rsidR="00173FA6">
        <w:rPr>
          <w:b/>
          <w:bCs/>
          <w:i w:val="0"/>
          <w:iCs w:val="0"/>
          <w:noProof/>
          <w:color w:val="auto"/>
          <w:sz w:val="20"/>
          <w:szCs w:val="20"/>
          <w:lang w:val="en-GB"/>
        </w:rPr>
        <w:t>3</w:t>
      </w:r>
      <w:r w:rsidRPr="00BB3A91">
        <w:rPr>
          <w:b/>
          <w:bCs/>
          <w:i w:val="0"/>
          <w:iCs w:val="0"/>
          <w:color w:val="auto"/>
          <w:sz w:val="20"/>
          <w:szCs w:val="20"/>
          <w:lang w:val="en-GB"/>
        </w:rPr>
        <w:fldChar w:fldCharType="end"/>
      </w:r>
      <w:bookmarkEnd w:id="8"/>
      <w:r w:rsidRPr="00BB3A91">
        <w:rPr>
          <w:b/>
          <w:bCs/>
          <w:i w:val="0"/>
          <w:iCs w:val="0"/>
          <w:color w:val="auto"/>
          <w:sz w:val="20"/>
          <w:szCs w:val="20"/>
          <w:lang w:val="en-GB"/>
        </w:rPr>
        <w:t>. Percentage of the SDG represented (number of indicators) in the integrated assessment models studying SDG interactions in global climate mitigation scenarios.</w:t>
      </w:r>
    </w:p>
    <w:p w14:paraId="78ACD164" w14:textId="73DD5882" w:rsidR="006C6DF6" w:rsidRPr="006C6DF6" w:rsidRDefault="006C6DF6" w:rsidP="006E2010">
      <w:pPr>
        <w:pStyle w:val="Descripcin"/>
        <w:ind w:firstLine="708"/>
        <w:jc w:val="center"/>
        <w:rPr>
          <w:lang w:val="en-GB"/>
        </w:rPr>
      </w:pPr>
    </w:p>
    <w:p w14:paraId="16782D77" w14:textId="18E9F453" w:rsidR="00005635" w:rsidRPr="00005635" w:rsidRDefault="00005635" w:rsidP="006C6DF6">
      <w:pPr>
        <w:pStyle w:val="Descripcin"/>
        <w:rPr>
          <w:lang w:val="en-GB"/>
        </w:rPr>
        <w:sectPr w:rsidR="00005635" w:rsidRPr="00005635" w:rsidSect="00005635">
          <w:footnotePr>
            <w:numFmt w:val="chicago"/>
          </w:footnotePr>
          <w:pgSz w:w="11906" w:h="16838"/>
          <w:pgMar w:top="1417" w:right="1701" w:bottom="1417" w:left="1701" w:header="708" w:footer="708" w:gutter="0"/>
          <w:cols w:space="708"/>
          <w:docGrid w:linePitch="360"/>
        </w:sectPr>
      </w:pPr>
    </w:p>
    <w:p w14:paraId="5B4326F6" w14:textId="65D1066F" w:rsidR="00BB3A91" w:rsidRPr="003B1383" w:rsidRDefault="00BB3A91" w:rsidP="00BB3A91">
      <w:pPr>
        <w:pStyle w:val="Descripcin"/>
        <w:keepNext/>
        <w:jc w:val="center"/>
        <w:rPr>
          <w:b/>
          <w:bCs/>
          <w:i w:val="0"/>
          <w:iCs w:val="0"/>
          <w:color w:val="auto"/>
          <w:sz w:val="20"/>
          <w:szCs w:val="20"/>
          <w:lang w:val="en-GB"/>
        </w:rPr>
      </w:pPr>
      <w:bookmarkStart w:id="9" w:name="_Ref221534846"/>
      <w:r w:rsidRPr="003B1383">
        <w:rPr>
          <w:b/>
          <w:bCs/>
          <w:i w:val="0"/>
          <w:iCs w:val="0"/>
          <w:color w:val="auto"/>
          <w:sz w:val="20"/>
          <w:szCs w:val="20"/>
          <w:lang w:val="en-GB"/>
        </w:rPr>
        <w:lastRenderedPageBreak/>
        <w:t>Table S</w:t>
      </w:r>
      <w:r w:rsidRPr="003B1383">
        <w:rPr>
          <w:b/>
          <w:bCs/>
          <w:i w:val="0"/>
          <w:iCs w:val="0"/>
          <w:color w:val="auto"/>
          <w:sz w:val="20"/>
          <w:szCs w:val="20"/>
          <w:lang w:val="en-GB"/>
        </w:rPr>
        <w:fldChar w:fldCharType="begin"/>
      </w:r>
      <w:r w:rsidRPr="003B1383">
        <w:rPr>
          <w:b/>
          <w:bCs/>
          <w:i w:val="0"/>
          <w:iCs w:val="0"/>
          <w:color w:val="auto"/>
          <w:sz w:val="20"/>
          <w:szCs w:val="20"/>
          <w:lang w:val="en-GB"/>
        </w:rPr>
        <w:instrText xml:space="preserve"> SEQ Table_S \* ARABIC </w:instrText>
      </w:r>
      <w:r w:rsidRPr="003B1383">
        <w:rPr>
          <w:b/>
          <w:bCs/>
          <w:i w:val="0"/>
          <w:iCs w:val="0"/>
          <w:color w:val="auto"/>
          <w:sz w:val="20"/>
          <w:szCs w:val="20"/>
          <w:lang w:val="en-GB"/>
        </w:rPr>
        <w:fldChar w:fldCharType="separate"/>
      </w:r>
      <w:r w:rsidR="00C26182">
        <w:rPr>
          <w:b/>
          <w:bCs/>
          <w:i w:val="0"/>
          <w:iCs w:val="0"/>
          <w:noProof/>
          <w:color w:val="auto"/>
          <w:sz w:val="20"/>
          <w:szCs w:val="20"/>
          <w:lang w:val="en-GB"/>
        </w:rPr>
        <w:t>3</w:t>
      </w:r>
      <w:r w:rsidRPr="003B1383">
        <w:rPr>
          <w:b/>
          <w:bCs/>
          <w:i w:val="0"/>
          <w:iCs w:val="0"/>
          <w:color w:val="auto"/>
          <w:sz w:val="20"/>
          <w:szCs w:val="20"/>
          <w:lang w:val="en-GB"/>
        </w:rPr>
        <w:fldChar w:fldCharType="end"/>
      </w:r>
      <w:bookmarkEnd w:id="9"/>
      <w:r w:rsidRPr="003B1383">
        <w:rPr>
          <w:b/>
          <w:bCs/>
          <w:i w:val="0"/>
          <w:iCs w:val="0"/>
          <w:color w:val="auto"/>
          <w:sz w:val="20"/>
          <w:szCs w:val="20"/>
          <w:lang w:val="en-GB"/>
        </w:rPr>
        <w:t>. Gaps, contributions and novelties from the literature review on SDG frameworks applied in integrated assessment models.</w:t>
      </w:r>
    </w:p>
    <w:tbl>
      <w:tblPr>
        <w:tblStyle w:val="Tablanormal5"/>
        <w:tblW w:w="5000" w:type="pct"/>
        <w:tblLook w:val="04A0" w:firstRow="1" w:lastRow="0" w:firstColumn="1" w:lastColumn="0" w:noHBand="0" w:noVBand="1"/>
      </w:tblPr>
      <w:tblGrid>
        <w:gridCol w:w="1561"/>
        <w:gridCol w:w="3401"/>
        <w:gridCol w:w="4678"/>
        <w:gridCol w:w="4364"/>
      </w:tblGrid>
      <w:tr w:rsidR="00407B46" w:rsidRPr="00407B46" w14:paraId="0583A7BD" w14:textId="77777777" w:rsidTr="007F399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7" w:type="pct"/>
          </w:tcPr>
          <w:p w14:paraId="45DBF408" w14:textId="1993C35C" w:rsidR="00407B46" w:rsidRPr="00407B46" w:rsidRDefault="00407B46" w:rsidP="00407B46">
            <w:pPr>
              <w:spacing w:after="120" w:line="300" w:lineRule="atLeast"/>
              <w:jc w:val="left"/>
              <w:rPr>
                <w:rFonts w:ascii="Times New Roman" w:eastAsia="Times New Roman" w:hAnsi="Times New Roman" w:cs="Times New Roman"/>
                <w:b/>
                <w:bCs/>
                <w:sz w:val="22"/>
                <w:lang w:val="en-GB"/>
              </w:rPr>
            </w:pPr>
          </w:p>
        </w:tc>
        <w:tc>
          <w:tcPr>
            <w:tcW w:w="1214" w:type="pct"/>
          </w:tcPr>
          <w:p w14:paraId="222DA2F6" w14:textId="77777777" w:rsidR="00407B46" w:rsidRPr="00407B46" w:rsidRDefault="00407B46" w:rsidP="001335E8">
            <w:pPr>
              <w:spacing w:after="120" w:line="30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rPr>
            </w:pPr>
            <w:proofErr w:type="spellStart"/>
            <w:r w:rsidRPr="00407B46">
              <w:rPr>
                <w:rFonts w:ascii="Times New Roman" w:eastAsia="Times New Roman" w:hAnsi="Times New Roman" w:cs="Times New Roman"/>
                <w:b/>
                <w:bCs/>
                <w:sz w:val="22"/>
              </w:rPr>
              <w:t>Novelty</w:t>
            </w:r>
            <w:proofErr w:type="spellEnd"/>
          </w:p>
        </w:tc>
        <w:tc>
          <w:tcPr>
            <w:tcW w:w="1670" w:type="pct"/>
          </w:tcPr>
          <w:p w14:paraId="4BD178DB" w14:textId="77777777" w:rsidR="00407B46" w:rsidRPr="00407B46" w:rsidRDefault="00407B46" w:rsidP="001335E8">
            <w:pPr>
              <w:spacing w:after="120" w:line="30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rPr>
            </w:pPr>
            <w:proofErr w:type="spellStart"/>
            <w:r w:rsidRPr="00407B46">
              <w:rPr>
                <w:rFonts w:ascii="Times New Roman" w:eastAsia="Times New Roman" w:hAnsi="Times New Roman" w:cs="Times New Roman"/>
                <w:b/>
                <w:bCs/>
                <w:sz w:val="22"/>
              </w:rPr>
              <w:t>Contribution</w:t>
            </w:r>
            <w:proofErr w:type="spellEnd"/>
          </w:p>
        </w:tc>
        <w:tc>
          <w:tcPr>
            <w:tcW w:w="1558" w:type="pct"/>
          </w:tcPr>
          <w:p w14:paraId="3E1639F5" w14:textId="77777777" w:rsidR="00407B46" w:rsidRPr="00407B46" w:rsidRDefault="00407B46" w:rsidP="001335E8">
            <w:pPr>
              <w:spacing w:after="120" w:line="300"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rPr>
            </w:pPr>
            <w:r w:rsidRPr="00407B46">
              <w:rPr>
                <w:rFonts w:ascii="Times New Roman" w:eastAsia="Times New Roman" w:hAnsi="Times New Roman" w:cs="Times New Roman"/>
                <w:b/>
                <w:bCs/>
                <w:sz w:val="22"/>
              </w:rPr>
              <w:t>Gaps</w:t>
            </w:r>
          </w:p>
        </w:tc>
      </w:tr>
      <w:tr w:rsidR="00407B46" w:rsidRPr="00BA7017" w14:paraId="7C341AF2" w14:textId="77777777" w:rsidTr="007F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tcPr>
          <w:p w14:paraId="26C6C31F" w14:textId="6C01A826" w:rsidR="00407B46" w:rsidRPr="00407B46" w:rsidRDefault="00407B46" w:rsidP="001335E8">
            <w:pPr>
              <w:spacing w:after="120" w:line="300" w:lineRule="atLeast"/>
              <w:rPr>
                <w:rFonts w:ascii="Times New Roman" w:eastAsia="Times New Roman" w:hAnsi="Times New Roman" w:cs="Times New Roman"/>
                <w:sz w:val="22"/>
              </w:rPr>
            </w:pPr>
            <w:proofErr w:type="spellStart"/>
            <w:r w:rsidRPr="00407B46">
              <w:rPr>
                <w:rFonts w:ascii="Times New Roman" w:eastAsia="Times New Roman" w:hAnsi="Times New Roman" w:cs="Times New Roman"/>
                <w:sz w:val="22"/>
                <w:lang w:eastAsia="en-GB"/>
                <w14:ligatures w14:val="none"/>
              </w:rPr>
              <w:t>Soergel</w:t>
            </w:r>
            <w:proofErr w:type="spellEnd"/>
            <w:r w:rsidRPr="00407B46">
              <w:rPr>
                <w:rFonts w:ascii="Times New Roman" w:eastAsia="Times New Roman" w:hAnsi="Times New Roman" w:cs="Times New Roman"/>
                <w:sz w:val="22"/>
                <w:lang w:eastAsia="en-GB"/>
                <w14:ligatures w14:val="none"/>
              </w:rPr>
              <w:t xml:space="preserve"> et al. (2021)</w:t>
            </w:r>
            <w:r w:rsidR="00F70FF3">
              <w:rPr>
                <w:rFonts w:eastAsia="Times New Roman" w:cs="Times New Roman"/>
                <w:lang w:eastAsia="en-GB"/>
                <w14:ligatures w14:val="none"/>
              </w:rPr>
              <w:fldChar w:fldCharType="begin"/>
            </w:r>
            <w:r w:rsidR="00F70FF3">
              <w:rPr>
                <w:rFonts w:ascii="Times New Roman" w:eastAsia="Times New Roman" w:hAnsi="Times New Roman" w:cs="Times New Roman"/>
                <w:sz w:val="22"/>
                <w:lang w:eastAsia="en-GB"/>
                <w14:ligatures w14:val="none"/>
              </w:rPr>
              <w:instrText xml:space="preserve"> ADDIN ZOTERO_ITEM CSL_CITATION {"citationID":"gIJlECJ1","properties":{"formattedCitation":"\\super 9\\nosupersub{}","plainCitation":"9","noteIndex":0},"citationItems":[{"id":280,"uris":["http://zotero.org/users/11518810/items/3ICHZ5BF"],"itemData":{"id":280,"type":"article-journal","container-title":"Nature Climate Change","DOI":"10.1038/s41558-021-01098-3","ISSN":"1758-678X, 1758-6798","issue":"8","journalAbbreviation":"Nat. Clim. Chang.","language":"en","page":"656-664","source":"DOI.org (Crossref)","title":"A sustainable development pathway for climate action within the UN 2030 Agenda","volume":"11","author":[{"family":"Soergel","given":"Bjoern"},{"family":"Kriegler","given":"Elmar"},{"family":"Weindl","given":"Isabelle"},{"family":"Rauner","given":"Sebastian"},{"family":"Dirnaichner","given":"Alois"},{"family":"Ruhe","given":"Constantin"},{"family":"Hofmann","given":"Matthias"},{"family":"Bauer","given":"Nico"},{"family":"Bertram","given":"Christoph"},{"family":"Bodirsky","given":"Benjamin Leon"},{"family":"Leimbach","given":"Marian"},{"family":"Leininger","given":"Julia"},{"family":"Levesque","given":"Antoine"},{"family":"Luderer","given":"Gunnar"},{"family":"Pehl","given":"Michaja"},{"family":"Wingens","given":"Christopher"},{"family":"Baumstark","given":"Lavinia"},{"family":"Beier","given":"Felicitas"},{"family":"Dietrich","given":"Jan Philipp"},{"family":"Humpenöder","given":"Florian"},{"family":"Von Jeetze","given":"Patrick"},{"family":"Klein","given":"David"},{"family":"Koch","given":"Johannes"},{"family":"Pietzcker","given":"Robert"},{"family":"Strefler","given":"Jessica"},{"family":"Lotze-Campen","given":"Hermann"},{"family":"Popp","given":"Alexander"}],"issued":{"date-parts":[["2021",8]]}}}],"schema":"https://github.com/citation-style-language/schema/raw/master/csl-citation.json"} </w:instrText>
            </w:r>
            <w:r w:rsidR="00F70FF3">
              <w:rPr>
                <w:rFonts w:eastAsia="Times New Roman" w:cs="Times New Roman"/>
                <w:lang w:eastAsia="en-GB"/>
                <w14:ligatures w14:val="none"/>
              </w:rPr>
              <w:fldChar w:fldCharType="separate"/>
            </w:r>
            <w:r w:rsidR="00F70FF3" w:rsidRPr="00F70FF3">
              <w:rPr>
                <w:rFonts w:ascii="Times New Roman" w:hAnsi="Times New Roman" w:cs="Times New Roman"/>
                <w:sz w:val="22"/>
                <w:szCs w:val="24"/>
                <w:vertAlign w:val="superscript"/>
              </w:rPr>
              <w:t>9</w:t>
            </w:r>
            <w:r w:rsidR="00F70FF3">
              <w:rPr>
                <w:rFonts w:eastAsia="Times New Roman" w:cs="Times New Roman"/>
                <w:lang w:eastAsia="en-GB"/>
                <w14:ligatures w14:val="none"/>
              </w:rPr>
              <w:fldChar w:fldCharType="end"/>
            </w:r>
            <w:r w:rsidRPr="00407B46">
              <w:rPr>
                <w:rFonts w:ascii="Times New Roman" w:eastAsia="Times New Roman" w:hAnsi="Times New Roman" w:cs="Times New Roman"/>
                <w:sz w:val="22"/>
              </w:rPr>
              <w:t xml:space="preserve"> </w:t>
            </w:r>
          </w:p>
        </w:tc>
        <w:tc>
          <w:tcPr>
            <w:tcW w:w="1214" w:type="pct"/>
          </w:tcPr>
          <w:p w14:paraId="32383E5A"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A new sustainable development pathway for climate action within the UN 2030 Agenda and some planetary boundaries.</w:t>
            </w:r>
          </w:p>
          <w:p w14:paraId="32BCBE1D"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First time that all SDGs are covered in studying global pathways.</w:t>
            </w:r>
          </w:p>
          <w:p w14:paraId="0DD639F3"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p>
        </w:tc>
        <w:tc>
          <w:tcPr>
            <w:tcW w:w="1670" w:type="pct"/>
          </w:tcPr>
          <w:p w14:paraId="6E79E9D4"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They show how SSP1 and SSP2 + National Determined Contributions + lifestyle change is insufficient to reach SDG targets and some Planetary Boundaries.</w:t>
            </w:r>
          </w:p>
          <w:p w14:paraId="560C5FF4"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SDG space in the IAM with 56 indicators or proxies across all 17 SDGs. IAM: REMIND-</w:t>
            </w:r>
            <w:proofErr w:type="spellStart"/>
            <w:r w:rsidRPr="00407B46">
              <w:rPr>
                <w:rFonts w:eastAsia="Times New Roman" w:cs="Times New Roman"/>
                <w:lang w:val="en-GB"/>
              </w:rPr>
              <w:t>MAgPIE</w:t>
            </w:r>
            <w:proofErr w:type="spellEnd"/>
            <w:r w:rsidRPr="00407B46">
              <w:rPr>
                <w:rFonts w:eastAsia="Times New Roman" w:cs="Times New Roman"/>
                <w:lang w:val="en-GB"/>
              </w:rPr>
              <w:t>.</w:t>
            </w:r>
          </w:p>
          <w:p w14:paraId="33C9E9E2"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They identify policy interventions within two scenarios.</w:t>
            </w:r>
          </w:p>
          <w:p w14:paraId="641E5F90"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proofErr w:type="spellStart"/>
            <w:r w:rsidRPr="00407B46">
              <w:rPr>
                <w:rFonts w:eastAsia="Times New Roman" w:cs="Times New Roman"/>
              </w:rPr>
              <w:t>They</w:t>
            </w:r>
            <w:proofErr w:type="spellEnd"/>
            <w:r w:rsidRPr="00407B46">
              <w:rPr>
                <w:rFonts w:eastAsia="Times New Roman" w:cs="Times New Roman"/>
              </w:rPr>
              <w:t xml:space="preserve"> </w:t>
            </w:r>
            <w:proofErr w:type="spellStart"/>
            <w:r w:rsidRPr="00407B46">
              <w:rPr>
                <w:rFonts w:eastAsia="Times New Roman" w:cs="Times New Roman"/>
              </w:rPr>
              <w:t>analyse</w:t>
            </w:r>
            <w:proofErr w:type="spellEnd"/>
            <w:r w:rsidRPr="00407B46">
              <w:rPr>
                <w:rFonts w:eastAsia="Times New Roman" w:cs="Times New Roman"/>
              </w:rPr>
              <w:t xml:space="preserve"> regional </w:t>
            </w:r>
            <w:proofErr w:type="spellStart"/>
            <w:r w:rsidRPr="00407B46">
              <w:rPr>
                <w:rFonts w:eastAsia="Times New Roman" w:cs="Times New Roman"/>
              </w:rPr>
              <w:t>outcomes</w:t>
            </w:r>
            <w:proofErr w:type="spellEnd"/>
            <w:r w:rsidRPr="00407B46">
              <w:rPr>
                <w:rFonts w:eastAsia="Times New Roman" w:cs="Times New Roman"/>
              </w:rPr>
              <w:t>.</w:t>
            </w:r>
          </w:p>
        </w:tc>
        <w:tc>
          <w:tcPr>
            <w:tcW w:w="1558" w:type="pct"/>
          </w:tcPr>
          <w:p w14:paraId="7C44F6B1"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No uncertainty analysis in scenarios. No climate change impacts.</w:t>
            </w:r>
          </w:p>
          <w:p w14:paraId="7CB8ED44"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Interventions are applied incrementally, loosing possible combined or side effects.</w:t>
            </w:r>
          </w:p>
          <w:p w14:paraId="5D734B67"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 xml:space="preserve">Several indicators and targets were ex-ante assumed as scenario assumptions. They highlight this limitation in the conclusions. </w:t>
            </w:r>
          </w:p>
          <w:p w14:paraId="2B209871"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Missing feedbacks from post-processing findings back to the IAM over time. Three years were simulated, i.e., 2015, 2030 and 2050.</w:t>
            </w:r>
          </w:p>
          <w:p w14:paraId="1C8501B7"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Detrimental effects of the COVID-19 pandemic are not yet captured in our modelling framework.</w:t>
            </w:r>
          </w:p>
          <w:p w14:paraId="359F9B14"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No feedback that could present re-bound effects.</w:t>
            </w:r>
          </w:p>
        </w:tc>
      </w:tr>
      <w:tr w:rsidR="00407B46" w:rsidRPr="00BA7017" w14:paraId="090175E1" w14:textId="77777777" w:rsidTr="007F399A">
        <w:tc>
          <w:tcPr>
            <w:cnfStyle w:val="001000000000" w:firstRow="0" w:lastRow="0" w:firstColumn="1" w:lastColumn="0" w:oddVBand="0" w:evenVBand="0" w:oddHBand="0" w:evenHBand="0" w:firstRowFirstColumn="0" w:firstRowLastColumn="0" w:lastRowFirstColumn="0" w:lastRowLastColumn="0"/>
            <w:tcW w:w="557" w:type="pct"/>
          </w:tcPr>
          <w:p w14:paraId="75FAB7FD" w14:textId="3AFEEC32" w:rsidR="00407B46" w:rsidRPr="00407B46" w:rsidRDefault="00407B46" w:rsidP="001335E8">
            <w:pPr>
              <w:spacing w:after="120" w:line="300" w:lineRule="atLeast"/>
              <w:rPr>
                <w:rFonts w:ascii="Times New Roman" w:eastAsia="Times New Roman" w:hAnsi="Times New Roman" w:cs="Times New Roman"/>
                <w:sz w:val="22"/>
              </w:rPr>
            </w:pPr>
            <w:r w:rsidRPr="00407B46">
              <w:rPr>
                <w:rFonts w:ascii="Times New Roman" w:eastAsia="Times New Roman" w:hAnsi="Times New Roman" w:cs="Times New Roman"/>
                <w:sz w:val="22"/>
              </w:rPr>
              <w:t>Moreno et al (2023)</w:t>
            </w:r>
            <w:r w:rsidR="00F70FF3">
              <w:rPr>
                <w:rFonts w:eastAsia="Times New Roman" w:cs="Times New Roman"/>
              </w:rPr>
              <w:fldChar w:fldCharType="begin"/>
            </w:r>
            <w:r w:rsidR="00F70FF3">
              <w:rPr>
                <w:rFonts w:ascii="Times New Roman" w:eastAsia="Times New Roman" w:hAnsi="Times New Roman" w:cs="Times New Roman"/>
                <w:sz w:val="22"/>
              </w:rPr>
              <w:instrText xml:space="preserve"> ADDIN ZOTERO_ITEM CSL_CITATION {"citationID":"h3YsmarU","properties":{"formattedCitation":"\\super 13\\nosupersub{}","plainCitation":"13","noteIndex":0},"citationItems":[{"id":282,"uris":["http://zotero.org/users/11518810/items/3JXVS7VP"],"itemData":{"id":282,"type":"article-journal","container-title":"Global Environmental Change","DOI":"10.1016/j.gloenvcha.2022.102624","ISSN":"09593780","journalAbbreviation":"Global Environmental Change","language":"en","page":"102624","source":"DOI.org (Crossref)","title":"Assessing synergies and trade-offs of diverging Paris-compliant mitigation strategies with long-term SDG objectives","volume":"78","author":[{"family":"Moreno","given":"Jorge"},{"family":"Van De Ven","given":"Dirk-Jan"},{"family":"Sampedro","given":"Jon"},{"family":"Gambhir","given":"Ajay"},{"family":"Woods","given":"Jem"},{"family":"Gonzalez-Eguino","given":"Mikel"}],"issued":{"date-parts":[["2023",1]]}}}],"schema":"https://github.com/citation-style-language/schema/raw/master/csl-citation.json"} </w:instrText>
            </w:r>
            <w:r w:rsidR="00F70FF3">
              <w:rPr>
                <w:rFonts w:eastAsia="Times New Roman" w:cs="Times New Roman"/>
              </w:rPr>
              <w:fldChar w:fldCharType="separate"/>
            </w:r>
            <w:r w:rsidR="00F70FF3" w:rsidRPr="00F70FF3">
              <w:rPr>
                <w:rFonts w:ascii="Times New Roman" w:hAnsi="Times New Roman" w:cs="Times New Roman"/>
                <w:sz w:val="22"/>
                <w:szCs w:val="24"/>
                <w:vertAlign w:val="superscript"/>
              </w:rPr>
              <w:t>13</w:t>
            </w:r>
            <w:r w:rsidR="00F70FF3">
              <w:rPr>
                <w:rFonts w:eastAsia="Times New Roman" w:cs="Times New Roman"/>
              </w:rPr>
              <w:fldChar w:fldCharType="end"/>
            </w:r>
          </w:p>
        </w:tc>
        <w:tc>
          <w:tcPr>
            <w:tcW w:w="1214" w:type="pct"/>
          </w:tcPr>
          <w:p w14:paraId="2E714B57" w14:textId="77777777" w:rsidR="00407B46" w:rsidRPr="00407B46" w:rsidRDefault="00407B46" w:rsidP="001335E8">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lang w:val="en-GB"/>
              </w:rPr>
              <w:t xml:space="preserve">Application of mitigation strategies (technology, natural solutions, behavioural changes) in the context of the SSP2 scenario. </w:t>
            </w:r>
          </w:p>
          <w:p w14:paraId="4B6407C5" w14:textId="77777777" w:rsidR="00407B46" w:rsidRPr="00407B46" w:rsidRDefault="00407B46" w:rsidP="001335E8">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lang w:val="en-GB"/>
              </w:rPr>
              <w:t xml:space="preserve">Novelty is that the authors adopt both a global and a regional </w:t>
            </w:r>
            <w:r w:rsidRPr="00407B46">
              <w:rPr>
                <w:rFonts w:eastAsia="Times New Roman" w:cs="Times New Roman"/>
                <w:lang w:val="en-GB"/>
              </w:rPr>
              <w:lastRenderedPageBreak/>
              <w:t>framework to capture dynamic transboundary effects of CLEW-related long-term SDGs derived from regional climate policies.</w:t>
            </w:r>
          </w:p>
          <w:p w14:paraId="578AEF20" w14:textId="77777777" w:rsidR="00407B46" w:rsidRPr="00407B46" w:rsidRDefault="00407B46" w:rsidP="001335E8">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b/>
                <w:bCs/>
                <w:lang w:val="en-GB"/>
              </w:rPr>
            </w:pPr>
          </w:p>
        </w:tc>
        <w:tc>
          <w:tcPr>
            <w:tcW w:w="1670" w:type="pct"/>
          </w:tcPr>
          <w:p w14:paraId="0804814F" w14:textId="77777777" w:rsidR="00407B46" w:rsidRPr="00407B46" w:rsidRDefault="00407B46" w:rsidP="001335E8">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lang w:val="en-GB"/>
              </w:rPr>
              <w:lastRenderedPageBreak/>
              <w:t>Linking Paris Agreement and SDGs to analyze the interactions between both agendas together.</w:t>
            </w:r>
          </w:p>
        </w:tc>
        <w:tc>
          <w:tcPr>
            <w:tcW w:w="1558" w:type="pct"/>
          </w:tcPr>
          <w:p w14:paraId="2FE16FA5" w14:textId="77777777" w:rsidR="00407B46" w:rsidRPr="00407B46" w:rsidRDefault="00407B46" w:rsidP="001335E8">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lang w:val="en-GB"/>
              </w:rPr>
              <w:t>Limited set of SDG indicators.</w:t>
            </w:r>
          </w:p>
          <w:p w14:paraId="7684CC67" w14:textId="77777777" w:rsidR="00407B46" w:rsidRPr="00407B46" w:rsidRDefault="00407B46" w:rsidP="001335E8">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lang w:val="en-GB"/>
              </w:rPr>
              <w:t>Method to identify synergies and trade-offs.</w:t>
            </w:r>
          </w:p>
          <w:p w14:paraId="5FA285D9" w14:textId="77777777" w:rsidR="00407B46" w:rsidRPr="00407B46" w:rsidRDefault="00407B46" w:rsidP="001335E8">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lang w:val="en-GB"/>
              </w:rPr>
              <w:t>No feedback that could present re-bound effects.</w:t>
            </w:r>
          </w:p>
        </w:tc>
      </w:tr>
      <w:tr w:rsidR="00407B46" w:rsidRPr="00BA7017" w14:paraId="6C67C96F" w14:textId="77777777" w:rsidTr="007F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tcPr>
          <w:p w14:paraId="1813E207" w14:textId="649EA16B" w:rsidR="00407B46" w:rsidRPr="00407B46" w:rsidRDefault="00407B46" w:rsidP="001335E8">
            <w:pPr>
              <w:spacing w:after="120" w:line="300" w:lineRule="atLeast"/>
              <w:rPr>
                <w:rFonts w:ascii="Times New Roman" w:eastAsia="Times New Roman" w:hAnsi="Times New Roman" w:cs="Times New Roman"/>
                <w:sz w:val="22"/>
              </w:rPr>
            </w:pPr>
            <w:proofErr w:type="spellStart"/>
            <w:r w:rsidRPr="00407B46">
              <w:rPr>
                <w:rFonts w:ascii="Times New Roman" w:eastAsia="Times New Roman" w:hAnsi="Times New Roman" w:cs="Times New Roman"/>
                <w:sz w:val="22"/>
              </w:rPr>
              <w:t>Forouli</w:t>
            </w:r>
            <w:proofErr w:type="spellEnd"/>
            <w:r w:rsidRPr="00407B46">
              <w:rPr>
                <w:rFonts w:ascii="Times New Roman" w:eastAsia="Times New Roman" w:hAnsi="Times New Roman" w:cs="Times New Roman"/>
                <w:sz w:val="22"/>
              </w:rPr>
              <w:t xml:space="preserve"> et al. (2020)</w:t>
            </w:r>
            <w:r w:rsidR="00F70FF3">
              <w:rPr>
                <w:rFonts w:eastAsia="Times New Roman" w:cs="Times New Roman"/>
              </w:rPr>
              <w:fldChar w:fldCharType="begin"/>
            </w:r>
            <w:r w:rsidR="00F70FF3">
              <w:rPr>
                <w:rFonts w:ascii="Times New Roman" w:eastAsia="Times New Roman" w:hAnsi="Times New Roman" w:cs="Times New Roman"/>
                <w:sz w:val="22"/>
              </w:rPr>
              <w:instrText xml:space="preserve"> ADDIN ZOTERO_ITEM CSL_CITATION {"citationID":"a2Q5LmzS","properties":{"formattedCitation":"\\super 16\\nosupersub{}","plainCitation":"16","noteIndex":0},"citationItems":[{"id":283,"uris":["http://zotero.org/users/11518810/items/25X5IMJ6"],"itemData":{"id":283,"type":"article-journal","container-title":"Environmental Modelling &amp; Software","DOI":"10.1016/j.envsoft.2020.104795","ISSN":"13648152","journalAbbreviation":"Environmental Modelling &amp; Software","language":"en","page":"104795","source":"DOI.org (Crossref)","title":"A multiple-uncertainty analysis framework for integrated assessment modelling of several sustainable development goals","volume":"131","author":[{"family":"Forouli","given":"Aikaterini"},{"family":"Nikas","given":"Alexandros"},{"family":"Van De Ven","given":"Dirk-Jan"},{"family":"Sampedro","given":"Jon"},{"family":"Doukas","given":"Haris"}],"issued":{"date-parts":[["2020",9]]}}}],"schema":"https://github.com/citation-style-language/schema/raw/master/csl-citation.json"} </w:instrText>
            </w:r>
            <w:r w:rsidR="00F70FF3">
              <w:rPr>
                <w:rFonts w:eastAsia="Times New Roman" w:cs="Times New Roman"/>
              </w:rPr>
              <w:fldChar w:fldCharType="separate"/>
            </w:r>
            <w:r w:rsidR="00F70FF3" w:rsidRPr="00F70FF3">
              <w:rPr>
                <w:rFonts w:ascii="Times New Roman" w:hAnsi="Times New Roman" w:cs="Times New Roman"/>
                <w:sz w:val="22"/>
                <w:szCs w:val="24"/>
                <w:vertAlign w:val="superscript"/>
              </w:rPr>
              <w:t>16</w:t>
            </w:r>
            <w:r w:rsidR="00F70FF3">
              <w:rPr>
                <w:rFonts w:eastAsia="Times New Roman" w:cs="Times New Roman"/>
              </w:rPr>
              <w:fldChar w:fldCharType="end"/>
            </w:r>
          </w:p>
        </w:tc>
        <w:tc>
          <w:tcPr>
            <w:tcW w:w="1214" w:type="pct"/>
          </w:tcPr>
          <w:p w14:paraId="4DD2DD3D"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Selection of optimal portfolios of actions through a multi–objective approach based on SDGs. Integration of methods for policy portfolio selection (AUCMECON 2) with IAMs (GCAM).</w:t>
            </w:r>
          </w:p>
        </w:tc>
        <w:tc>
          <w:tcPr>
            <w:tcW w:w="1670" w:type="pct"/>
          </w:tcPr>
          <w:p w14:paraId="2D7E5DEE"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Uncertainty is considered with three scenarios (SSP 2, 3 and 5).</w:t>
            </w:r>
          </w:p>
          <w:p w14:paraId="63E63519"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Technological subsidisation has implications for multiple SDGs.</w:t>
            </w:r>
          </w:p>
          <w:p w14:paraId="118FDE6B"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Constraint of budget is available for cost-effectiveness decision in installations.</w:t>
            </w:r>
          </w:p>
          <w:p w14:paraId="57547CA5"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Biogas emerged as the technology with the higher participation in the robust portfolios, across all SSPs and timescales, while fuelwood is the least attractive technology.</w:t>
            </w:r>
          </w:p>
        </w:tc>
        <w:tc>
          <w:tcPr>
            <w:tcW w:w="1558" w:type="pct"/>
          </w:tcPr>
          <w:p w14:paraId="5F3EB49C"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Scope is limited to three SDG indicators, i.e., air pollution-related mortality (SDG3), access to clean energy (SDG7) and greenhouse gas emissions (SDG13).</w:t>
            </w:r>
          </w:p>
          <w:p w14:paraId="03A3A961"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Regional scope is limited to twelve Eastern African countries.</w:t>
            </w:r>
          </w:p>
          <w:p w14:paraId="38A5A683"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Scope of the policy assessment is limited to six technologies.</w:t>
            </w:r>
          </w:p>
          <w:p w14:paraId="45F1B2E0"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Analysis of SDG interactions.</w:t>
            </w:r>
          </w:p>
          <w:p w14:paraId="6468198F"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A limitation of their proposed methodology related to the “SSP robustness” scenario lies on the initial choice of the mid-point between the range of SSP results in terms of the impact of each technology on SDG progress, for identifying the Pareto front of the optimal portfolio.</w:t>
            </w:r>
          </w:p>
          <w:p w14:paraId="08A96928"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No feedback that could present re-bound effects.</w:t>
            </w:r>
          </w:p>
        </w:tc>
      </w:tr>
      <w:tr w:rsidR="00407B46" w:rsidRPr="00BA7017" w14:paraId="4C38BF4C" w14:textId="77777777" w:rsidTr="007F399A">
        <w:tc>
          <w:tcPr>
            <w:cnfStyle w:val="001000000000" w:firstRow="0" w:lastRow="0" w:firstColumn="1" w:lastColumn="0" w:oddVBand="0" w:evenVBand="0" w:oddHBand="0" w:evenHBand="0" w:firstRowFirstColumn="0" w:firstRowLastColumn="0" w:lastRowFirstColumn="0" w:lastRowLastColumn="0"/>
            <w:tcW w:w="557" w:type="pct"/>
          </w:tcPr>
          <w:p w14:paraId="64A78D00" w14:textId="5F755935" w:rsidR="00407B46" w:rsidRPr="00407B46" w:rsidRDefault="00407B46" w:rsidP="001335E8">
            <w:pPr>
              <w:spacing w:after="120" w:line="300" w:lineRule="atLeast"/>
              <w:rPr>
                <w:rFonts w:ascii="Times New Roman" w:eastAsia="Times New Roman" w:hAnsi="Times New Roman" w:cs="Times New Roman"/>
                <w:sz w:val="22"/>
                <w:lang w:val="en-GB"/>
              </w:rPr>
            </w:pPr>
            <w:r w:rsidRPr="00407B46">
              <w:rPr>
                <w:rFonts w:ascii="Times New Roman" w:eastAsia="Times New Roman" w:hAnsi="Times New Roman" w:cs="Times New Roman"/>
                <w:kern w:val="0"/>
                <w:sz w:val="22"/>
                <w:lang w:val="en-GB"/>
              </w:rPr>
              <w:lastRenderedPageBreak/>
              <w:t>Wang et al. (2025a)</w:t>
            </w:r>
            <w:r w:rsidR="00F70FF3">
              <w:rPr>
                <w:rFonts w:eastAsia="Times New Roman" w:cs="Times New Roman"/>
                <w:kern w:val="0"/>
                <w:lang w:val="en-GB"/>
              </w:rPr>
              <w:fldChar w:fldCharType="begin"/>
            </w:r>
            <w:r w:rsidR="00F70FF3">
              <w:rPr>
                <w:rFonts w:ascii="Times New Roman" w:eastAsia="Times New Roman" w:hAnsi="Times New Roman" w:cs="Times New Roman"/>
                <w:kern w:val="0"/>
                <w:sz w:val="22"/>
                <w:lang w:val="en-GB"/>
              </w:rPr>
              <w:instrText xml:space="preserve"> ADDIN ZOTERO_ITEM CSL_CITATION {"citationID":"A7hfXSVF","properties":{"formattedCitation":"\\super 17\\nosupersub{}","plainCitation":"17","noteIndex":0},"citationItems":[{"id":356,"uris":["http://zotero.org/users/11518810/items/KLX3HXUI"],"itemData":{"id":356,"type":"article-journal","container-title":"Sustainable Production and Consumption","DOI":"10.1016/j.spc.2025.04.009","ISSN":"23525509","journalAbbreviation":"Sustainable Production and Consumption","language":"en","page":"385-395","source":"DOI.org (Crossref)","title":"Towards a synergistic future: The impact of power sector decarbonization on Sustainable Development Goals in China","title-short":"Towards a synergistic future","volume":"56","author":[{"family":"Wang","given":"Zhaohua"},{"family":"Zhang","given":"Haotian"},{"family":"Wang","given":"Bo"},{"family":"Ding","given":"Yueting"}],"issued":{"date-parts":[["2025",6]]}}}],"schema":"https://github.com/citation-style-language/schema/raw/master/csl-citation.json"} </w:instrText>
            </w:r>
            <w:r w:rsidR="00F70FF3">
              <w:rPr>
                <w:rFonts w:eastAsia="Times New Roman" w:cs="Times New Roman"/>
                <w:kern w:val="0"/>
                <w:lang w:val="en-GB"/>
              </w:rPr>
              <w:fldChar w:fldCharType="separate"/>
            </w:r>
            <w:r w:rsidR="00F70FF3" w:rsidRPr="00F70FF3">
              <w:rPr>
                <w:rFonts w:ascii="Times New Roman" w:hAnsi="Times New Roman" w:cs="Times New Roman"/>
                <w:sz w:val="22"/>
                <w:szCs w:val="24"/>
                <w:vertAlign w:val="superscript"/>
              </w:rPr>
              <w:t>17</w:t>
            </w:r>
            <w:r w:rsidR="00F70FF3">
              <w:rPr>
                <w:rFonts w:eastAsia="Times New Roman" w:cs="Times New Roman"/>
                <w:kern w:val="0"/>
                <w:lang w:val="en-GB"/>
              </w:rPr>
              <w:fldChar w:fldCharType="end"/>
            </w:r>
            <w:r w:rsidRPr="00407B46">
              <w:rPr>
                <w:rFonts w:ascii="Times New Roman" w:eastAsia="Times New Roman" w:hAnsi="Times New Roman" w:cs="Times New Roman"/>
                <w:kern w:val="0"/>
                <w:sz w:val="22"/>
                <w:lang w:val="en-GB"/>
              </w:rPr>
              <w:t xml:space="preserve"> </w:t>
            </w:r>
          </w:p>
          <w:p w14:paraId="0AD92593" w14:textId="7B425349" w:rsidR="00407B46" w:rsidRPr="00407B46" w:rsidRDefault="00407B46" w:rsidP="001335E8">
            <w:pPr>
              <w:spacing w:after="120" w:line="300" w:lineRule="atLeast"/>
              <w:rPr>
                <w:rFonts w:ascii="Times New Roman" w:eastAsia="Times New Roman" w:hAnsi="Times New Roman" w:cs="Times New Roman"/>
                <w:sz w:val="22"/>
                <w:lang w:val="en-GB"/>
              </w:rPr>
            </w:pPr>
          </w:p>
        </w:tc>
        <w:tc>
          <w:tcPr>
            <w:tcW w:w="1214" w:type="pct"/>
          </w:tcPr>
          <w:p w14:paraId="47833372" w14:textId="77777777" w:rsidR="00407B46" w:rsidRPr="00D43F9A" w:rsidRDefault="00407B46" w:rsidP="001335E8">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D43F9A">
              <w:rPr>
                <w:rFonts w:eastAsia="Times New Roman" w:cs="Times New Roman"/>
                <w:lang w:val="en-GB"/>
              </w:rPr>
              <w:t>SDG index for China</w:t>
            </w:r>
          </w:p>
          <w:p w14:paraId="0F597B5A" w14:textId="77777777" w:rsidR="00407B46" w:rsidRPr="00407B46" w:rsidRDefault="00407B46" w:rsidP="001335E8">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lang w:val="en-GB"/>
              </w:rPr>
              <w:t>Spearman correlation coefficients were calculated based on the SDG data of each province under different scenarios to assess the synergies or trade-offs between SDG targets</w:t>
            </w:r>
          </w:p>
        </w:tc>
        <w:tc>
          <w:tcPr>
            <w:tcW w:w="1670" w:type="pct"/>
          </w:tcPr>
          <w:p w14:paraId="76DDE47D" w14:textId="77777777" w:rsidR="00407B46" w:rsidRPr="00407B46" w:rsidRDefault="00407B46" w:rsidP="001335E8">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lang w:val="en-GB"/>
              </w:rPr>
              <w:t>Analysis at province level.</w:t>
            </w:r>
          </w:p>
          <w:p w14:paraId="3993837A" w14:textId="77777777" w:rsidR="00407B46" w:rsidRPr="00407B46" w:rsidRDefault="00407B46" w:rsidP="001335E8">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lang w:val="en-GB"/>
              </w:rPr>
              <w:t>Identification of SDG objectives for prioritization at national and regional levels based on the HITS algorithm, for policymaking.</w:t>
            </w:r>
          </w:p>
        </w:tc>
        <w:tc>
          <w:tcPr>
            <w:tcW w:w="1558" w:type="pct"/>
          </w:tcPr>
          <w:p w14:paraId="6B27A0BB" w14:textId="77777777" w:rsidR="00407B46" w:rsidRPr="00407B46" w:rsidRDefault="00407B46" w:rsidP="001335E8">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lang w:val="en-GB"/>
              </w:rPr>
              <w:t>Limited regional scope to China and the power sector.</w:t>
            </w:r>
          </w:p>
          <w:p w14:paraId="6A4E15B9" w14:textId="77777777" w:rsidR="00407B46" w:rsidRPr="00407B46" w:rsidRDefault="00407B46" w:rsidP="001335E8">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lang w:val="en-GB"/>
              </w:rPr>
              <w:t>No feedback that could present re-bound effects.</w:t>
            </w:r>
          </w:p>
        </w:tc>
      </w:tr>
      <w:tr w:rsidR="00407B46" w:rsidRPr="00BA7017" w14:paraId="58A7AF85" w14:textId="77777777" w:rsidTr="007F3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pct"/>
          </w:tcPr>
          <w:p w14:paraId="380FB5E1" w14:textId="56BE8904" w:rsidR="00407B46" w:rsidRPr="00407B46" w:rsidRDefault="00407B46" w:rsidP="001335E8">
            <w:pPr>
              <w:spacing w:after="120" w:line="300" w:lineRule="atLeast"/>
              <w:rPr>
                <w:rFonts w:ascii="Times New Roman" w:eastAsia="Times New Roman" w:hAnsi="Times New Roman" w:cs="Times New Roman"/>
                <w:kern w:val="0"/>
                <w:sz w:val="22"/>
                <w:lang w:val="en-GB"/>
              </w:rPr>
            </w:pPr>
            <w:r w:rsidRPr="00407B46">
              <w:rPr>
                <w:rFonts w:ascii="Times New Roman" w:eastAsia="Times New Roman" w:hAnsi="Times New Roman" w:cs="Times New Roman"/>
                <w:kern w:val="0"/>
                <w:sz w:val="22"/>
                <w:lang w:val="de-DE"/>
              </w:rPr>
              <w:t xml:space="preserve">Chen-Min He et al. </w:t>
            </w:r>
            <w:r w:rsidRPr="00407B46">
              <w:rPr>
                <w:rFonts w:ascii="Times New Roman" w:eastAsia="Times New Roman" w:hAnsi="Times New Roman" w:cs="Times New Roman"/>
                <w:kern w:val="0"/>
                <w:sz w:val="22"/>
                <w:lang w:val="en-GB"/>
              </w:rPr>
              <w:t>(2025)</w:t>
            </w:r>
            <w:r w:rsidR="00F70FF3">
              <w:rPr>
                <w:rFonts w:eastAsia="Times New Roman" w:cs="Times New Roman"/>
                <w:kern w:val="0"/>
                <w:lang w:val="en-GB"/>
              </w:rPr>
              <w:fldChar w:fldCharType="begin"/>
            </w:r>
            <w:r w:rsidR="00F70FF3">
              <w:rPr>
                <w:rFonts w:ascii="Times New Roman" w:eastAsia="Times New Roman" w:hAnsi="Times New Roman" w:cs="Times New Roman"/>
                <w:kern w:val="0"/>
                <w:sz w:val="22"/>
                <w:lang w:val="en-GB"/>
              </w:rPr>
              <w:instrText xml:space="preserve"> ADDIN ZOTERO_ITEM CSL_CITATION {"citationID":"P7hebuC1","properties":{"formattedCitation":"\\super 14\\nosupersub{}","plainCitation":"14","noteIndex":0},"citationItems":[{"id":354,"uris":["http://zotero.org/users/11518810/items/6KPH6BEV"],"itemData":{"id":354,"type":"article-journal","container-title":"Advances in Climate Change Research","DOI":"10.1016/j.accre.2025.03.006","ISSN":"16749278","issue":"3","journalAbbreviation":"Advances in Climate Change Research","language":"en","page":"623-635","source":"DOI.org (Crossref)","title":"Quantification of selected SDGs in the context of China's climate mitigation pathway","volume":"16","author":[{"family":"He","given":"Chen-Min"},{"family":"Jiang","given":"Ke-Jun"},{"family":"Jiao","given":"Yu-Jie"},{"family":"Xiang","given":"Pian-Pian"},{"family":"Xu","given":"Xiang-Yang"},{"family":"Jiang","given":"Wei-Yi"}],"issued":{"date-parts":[["2025",6]]}}}],"schema":"https://github.com/citation-style-language/schema/raw/master/csl-citation.json"} </w:instrText>
            </w:r>
            <w:r w:rsidR="00F70FF3">
              <w:rPr>
                <w:rFonts w:eastAsia="Times New Roman" w:cs="Times New Roman"/>
                <w:kern w:val="0"/>
                <w:lang w:val="en-GB"/>
              </w:rPr>
              <w:fldChar w:fldCharType="separate"/>
            </w:r>
            <w:r w:rsidR="00F70FF3" w:rsidRPr="00F70FF3">
              <w:rPr>
                <w:rFonts w:ascii="Times New Roman" w:hAnsi="Times New Roman" w:cs="Times New Roman"/>
                <w:sz w:val="22"/>
                <w:szCs w:val="24"/>
                <w:vertAlign w:val="superscript"/>
              </w:rPr>
              <w:t>14</w:t>
            </w:r>
            <w:r w:rsidR="00F70FF3">
              <w:rPr>
                <w:rFonts w:eastAsia="Times New Roman" w:cs="Times New Roman"/>
                <w:kern w:val="0"/>
                <w:lang w:val="en-GB"/>
              </w:rPr>
              <w:fldChar w:fldCharType="end"/>
            </w:r>
          </w:p>
        </w:tc>
        <w:tc>
          <w:tcPr>
            <w:tcW w:w="1214" w:type="pct"/>
          </w:tcPr>
          <w:p w14:paraId="4DC14876"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kern w:val="0"/>
                <w:lang w:val="en-GB"/>
              </w:rPr>
            </w:pPr>
            <w:r w:rsidRPr="00407B46">
              <w:rPr>
                <w:rFonts w:eastAsia="Times New Roman" w:cs="Times New Roman"/>
                <w:lang w:val="en-GB"/>
              </w:rPr>
              <w:t>Linkages between climate change mitigation pathways and SDGs in China</w:t>
            </w:r>
          </w:p>
        </w:tc>
        <w:tc>
          <w:tcPr>
            <w:tcW w:w="1670" w:type="pct"/>
          </w:tcPr>
          <w:p w14:paraId="0B05BAE6"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Simulation of the currently implemented national Chinese climate mitigation policies.</w:t>
            </w:r>
          </w:p>
        </w:tc>
        <w:tc>
          <w:tcPr>
            <w:tcW w:w="1558" w:type="pct"/>
          </w:tcPr>
          <w:p w14:paraId="75DFCFD6"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Limited regional scope to China.</w:t>
            </w:r>
          </w:p>
          <w:p w14:paraId="26352D1F" w14:textId="77777777" w:rsidR="00407B46" w:rsidRPr="00407B46" w:rsidRDefault="00407B46" w:rsidP="001335E8">
            <w:pPr>
              <w:spacing w:after="120" w:line="30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lang w:val="en-GB"/>
              </w:rPr>
            </w:pPr>
            <w:r w:rsidRPr="00407B46">
              <w:rPr>
                <w:rFonts w:eastAsia="Times New Roman" w:cs="Times New Roman"/>
                <w:lang w:val="en-GB"/>
              </w:rPr>
              <w:t>No feedback that could present re-bound effects.</w:t>
            </w:r>
          </w:p>
        </w:tc>
      </w:tr>
      <w:tr w:rsidR="00407B46" w:rsidRPr="00BA7017" w14:paraId="6B790722" w14:textId="77777777" w:rsidTr="007F399A">
        <w:tc>
          <w:tcPr>
            <w:cnfStyle w:val="001000000000" w:firstRow="0" w:lastRow="0" w:firstColumn="1" w:lastColumn="0" w:oddVBand="0" w:evenVBand="0" w:oddHBand="0" w:evenHBand="0" w:firstRowFirstColumn="0" w:firstRowLastColumn="0" w:lastRowFirstColumn="0" w:lastRowLastColumn="0"/>
            <w:tcW w:w="557" w:type="pct"/>
          </w:tcPr>
          <w:p w14:paraId="77851A0E" w14:textId="3A0280A7" w:rsidR="00407B46" w:rsidRPr="007E4C0A" w:rsidRDefault="00407B46" w:rsidP="001335E8">
            <w:pPr>
              <w:spacing w:after="120" w:line="300" w:lineRule="atLeast"/>
              <w:rPr>
                <w:rFonts w:eastAsia="Times New Roman" w:cs="Times New Roman"/>
                <w:b/>
                <w:bCs/>
                <w:kern w:val="0"/>
                <w:lang w:val="de-DE"/>
              </w:rPr>
            </w:pPr>
            <w:r w:rsidRPr="007E4C0A">
              <w:rPr>
                <w:rFonts w:ascii="Times New Roman" w:eastAsia="Times New Roman" w:hAnsi="Times New Roman" w:cs="Times New Roman"/>
                <w:b/>
                <w:bCs/>
                <w:kern w:val="0"/>
                <w:sz w:val="22"/>
                <w:lang w:val="de-DE"/>
              </w:rPr>
              <w:t>This study</w:t>
            </w:r>
          </w:p>
        </w:tc>
        <w:tc>
          <w:tcPr>
            <w:tcW w:w="1214" w:type="pct"/>
          </w:tcPr>
          <w:p w14:paraId="3834DA35" w14:textId="77777777" w:rsidR="00407B46" w:rsidRPr="00407B46" w:rsidRDefault="00407B46" w:rsidP="00407B46">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b/>
                <w:bCs/>
                <w:lang w:val="en-GB"/>
              </w:rPr>
              <w:t xml:space="preserve">Novelty: </w:t>
            </w:r>
            <w:r w:rsidRPr="00407B46">
              <w:rPr>
                <w:rFonts w:eastAsia="Times New Roman" w:cs="Times New Roman"/>
                <w:lang w:val="en-GB"/>
              </w:rPr>
              <w:t>all our</w:t>
            </w:r>
            <w:r w:rsidRPr="00407B46">
              <w:rPr>
                <w:rFonts w:eastAsia="Times New Roman" w:cs="Times New Roman"/>
                <w:b/>
                <w:bCs/>
                <w:lang w:val="en-GB"/>
              </w:rPr>
              <w:t xml:space="preserve"> </w:t>
            </w:r>
            <w:r w:rsidRPr="00407B46">
              <w:rPr>
                <w:rFonts w:eastAsia="Times New Roman" w:cs="Times New Roman"/>
                <w:lang w:val="en-GB"/>
              </w:rPr>
              <w:t>four scenarios share the same climate target to introduce competitiveness in decision making.</w:t>
            </w:r>
          </w:p>
          <w:p w14:paraId="5EA3F4ED" w14:textId="77777777" w:rsidR="00407B46" w:rsidRPr="00407B46" w:rsidRDefault="00407B46" w:rsidP="00407B46">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b/>
                <w:bCs/>
                <w:lang w:val="en-GB"/>
              </w:rPr>
              <w:t xml:space="preserve">Novelty: </w:t>
            </w:r>
            <w:r w:rsidRPr="00407B46">
              <w:rPr>
                <w:rFonts w:eastAsia="Times New Roman" w:cs="Times New Roman"/>
                <w:lang w:val="en-GB"/>
              </w:rPr>
              <w:t>consideration of biophysical constraints.</w:t>
            </w:r>
          </w:p>
          <w:p w14:paraId="48457ACE" w14:textId="2DCD9035" w:rsidR="00407B46" w:rsidRPr="00407B46" w:rsidRDefault="00407B46" w:rsidP="00407B46">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p>
        </w:tc>
        <w:tc>
          <w:tcPr>
            <w:tcW w:w="1670" w:type="pct"/>
          </w:tcPr>
          <w:p w14:paraId="4CCA0B9A" w14:textId="09019298" w:rsidR="007F399A" w:rsidRPr="00407B46" w:rsidRDefault="007F399A" w:rsidP="007F399A">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b/>
                <w:bCs/>
                <w:lang w:val="en-GB"/>
              </w:rPr>
              <w:t>Contribution</w:t>
            </w:r>
            <w:r w:rsidRPr="00407B46">
              <w:rPr>
                <w:rFonts w:eastAsia="Times New Roman" w:cs="Times New Roman"/>
                <w:lang w:val="en-GB"/>
              </w:rPr>
              <w:t xml:space="preserve">: three </w:t>
            </w:r>
            <w:r w:rsidR="006D4842">
              <w:rPr>
                <w:rFonts w:eastAsia="Times New Roman" w:cs="Times New Roman"/>
                <w:lang w:val="en-GB"/>
              </w:rPr>
              <w:t>sensitivity</w:t>
            </w:r>
            <w:r w:rsidRPr="00407B46">
              <w:rPr>
                <w:rFonts w:eastAsia="Times New Roman" w:cs="Times New Roman"/>
                <w:lang w:val="en-GB"/>
              </w:rPr>
              <w:t xml:space="preserve"> hypotheses. Climate change impacts is one of them.</w:t>
            </w:r>
          </w:p>
          <w:p w14:paraId="6F8873B7" w14:textId="77777777" w:rsidR="007F399A" w:rsidRPr="00407B46" w:rsidRDefault="007F399A" w:rsidP="007F399A">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b/>
                <w:bCs/>
                <w:lang w:val="en-GB"/>
              </w:rPr>
              <w:t>Contribution</w:t>
            </w:r>
            <w:r w:rsidRPr="00407B46">
              <w:rPr>
                <w:rFonts w:eastAsia="Times New Roman" w:cs="Times New Roman"/>
                <w:lang w:val="en-GB"/>
              </w:rPr>
              <w:t>: all WILIAM variables building the SDG indicator space are endogenous.</w:t>
            </w:r>
          </w:p>
          <w:p w14:paraId="33AA4F7B" w14:textId="77777777" w:rsidR="007F399A" w:rsidRPr="00407B46" w:rsidRDefault="007F399A" w:rsidP="007F399A">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b/>
                <w:bCs/>
                <w:lang w:val="en-GB"/>
              </w:rPr>
              <w:t>Contribution</w:t>
            </w:r>
            <w:r w:rsidRPr="00407B46">
              <w:rPr>
                <w:rFonts w:eastAsia="Times New Roman" w:cs="Times New Roman"/>
                <w:lang w:val="en-GB"/>
              </w:rPr>
              <w:t>: feedbacks in WILIAM are time-dependent, they could be reinforcing or balancing. Mathematics of system dynamics represent a continuous inertia based on differential equations, rather than optimization of single years.</w:t>
            </w:r>
          </w:p>
          <w:p w14:paraId="42221BB1" w14:textId="77777777" w:rsidR="007F399A" w:rsidRPr="00407B46" w:rsidRDefault="007F399A" w:rsidP="007F399A">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b/>
                <w:bCs/>
                <w:lang w:val="en-GB"/>
              </w:rPr>
              <w:t>Contribution</w:t>
            </w:r>
            <w:r w:rsidRPr="00407B46">
              <w:rPr>
                <w:rFonts w:eastAsia="Times New Roman" w:cs="Times New Roman"/>
                <w:lang w:val="en-GB"/>
              </w:rPr>
              <w:t>: our scope is broader in terms of SDG indicators covered, regions (9 world regions), and policy portfolio.</w:t>
            </w:r>
          </w:p>
          <w:p w14:paraId="2C850415" w14:textId="7AFE9E87" w:rsidR="00407B46" w:rsidRPr="00407B46" w:rsidRDefault="007F399A" w:rsidP="007F399A">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r w:rsidRPr="00407B46">
              <w:rPr>
                <w:rFonts w:eastAsia="Times New Roman" w:cs="Times New Roman"/>
                <w:b/>
                <w:bCs/>
                <w:lang w:val="en-GB"/>
              </w:rPr>
              <w:t>Contribution</w:t>
            </w:r>
            <w:r w:rsidRPr="00407B46">
              <w:rPr>
                <w:rFonts w:eastAsia="Times New Roman" w:cs="Times New Roman"/>
                <w:lang w:val="en-GB"/>
              </w:rPr>
              <w:t xml:space="preserve">: the use of SMAA to </w:t>
            </w:r>
            <w:r>
              <w:rPr>
                <w:rFonts w:eastAsia="Times New Roman" w:cs="Times New Roman"/>
                <w:lang w:val="en-GB"/>
              </w:rPr>
              <w:t>study the acceptability of a scenario under</w:t>
            </w:r>
            <w:r w:rsidRPr="00407B46">
              <w:rPr>
                <w:rFonts w:eastAsia="Times New Roman" w:cs="Times New Roman"/>
                <w:lang w:val="en-GB"/>
              </w:rPr>
              <w:t xml:space="preserve"> </w:t>
            </w:r>
            <w:r w:rsidR="006D4842">
              <w:rPr>
                <w:rFonts w:eastAsia="Times New Roman" w:cs="Times New Roman"/>
                <w:lang w:val="en-GB"/>
              </w:rPr>
              <w:t>sensitivity</w:t>
            </w:r>
            <w:r w:rsidRPr="00407B46">
              <w:rPr>
                <w:rFonts w:eastAsia="Times New Roman" w:cs="Times New Roman"/>
                <w:lang w:val="en-GB"/>
              </w:rPr>
              <w:t>.</w:t>
            </w:r>
          </w:p>
        </w:tc>
        <w:tc>
          <w:tcPr>
            <w:tcW w:w="1558" w:type="pct"/>
          </w:tcPr>
          <w:p w14:paraId="05FA6BE7" w14:textId="77777777" w:rsidR="00407B46" w:rsidRPr="00407B46" w:rsidRDefault="00407B46" w:rsidP="001335E8">
            <w:pPr>
              <w:spacing w:after="120" w:line="30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lang w:val="en-GB"/>
              </w:rPr>
            </w:pPr>
          </w:p>
        </w:tc>
      </w:tr>
    </w:tbl>
    <w:p w14:paraId="6C9C8822" w14:textId="6CBFFAAA" w:rsidR="00C26182" w:rsidRPr="00C26182" w:rsidRDefault="00C26182" w:rsidP="00C26182">
      <w:pPr>
        <w:pStyle w:val="Descripcin"/>
        <w:keepNext/>
        <w:jc w:val="center"/>
        <w:rPr>
          <w:b/>
          <w:bCs/>
          <w:i w:val="0"/>
          <w:iCs w:val="0"/>
          <w:color w:val="auto"/>
          <w:sz w:val="20"/>
          <w:szCs w:val="20"/>
          <w:lang w:val="en-GB"/>
        </w:rPr>
      </w:pPr>
      <w:bookmarkStart w:id="10" w:name="_Ref221710761"/>
      <w:r w:rsidRPr="00C26182">
        <w:rPr>
          <w:b/>
          <w:bCs/>
          <w:i w:val="0"/>
          <w:iCs w:val="0"/>
          <w:color w:val="auto"/>
          <w:sz w:val="20"/>
          <w:szCs w:val="20"/>
          <w:lang w:val="en-GB"/>
        </w:rPr>
        <w:lastRenderedPageBreak/>
        <w:t>Table S</w:t>
      </w:r>
      <w:r w:rsidRPr="00C26182">
        <w:rPr>
          <w:b/>
          <w:bCs/>
          <w:i w:val="0"/>
          <w:iCs w:val="0"/>
          <w:color w:val="auto"/>
          <w:sz w:val="20"/>
          <w:szCs w:val="20"/>
        </w:rPr>
        <w:fldChar w:fldCharType="begin"/>
      </w:r>
      <w:r w:rsidRPr="00C26182">
        <w:rPr>
          <w:b/>
          <w:bCs/>
          <w:i w:val="0"/>
          <w:iCs w:val="0"/>
          <w:color w:val="auto"/>
          <w:sz w:val="20"/>
          <w:szCs w:val="20"/>
          <w:lang w:val="en-GB"/>
        </w:rPr>
        <w:instrText xml:space="preserve"> SEQ Table_S \* ARABIC </w:instrText>
      </w:r>
      <w:r w:rsidRPr="00C26182">
        <w:rPr>
          <w:b/>
          <w:bCs/>
          <w:i w:val="0"/>
          <w:iCs w:val="0"/>
          <w:color w:val="auto"/>
          <w:sz w:val="20"/>
          <w:szCs w:val="20"/>
        </w:rPr>
        <w:fldChar w:fldCharType="separate"/>
      </w:r>
      <w:r w:rsidRPr="00C26182">
        <w:rPr>
          <w:b/>
          <w:bCs/>
          <w:i w:val="0"/>
          <w:iCs w:val="0"/>
          <w:noProof/>
          <w:color w:val="auto"/>
          <w:sz w:val="20"/>
          <w:szCs w:val="20"/>
          <w:lang w:val="en-GB"/>
        </w:rPr>
        <w:t>4</w:t>
      </w:r>
      <w:r w:rsidRPr="00C26182">
        <w:rPr>
          <w:b/>
          <w:bCs/>
          <w:i w:val="0"/>
          <w:iCs w:val="0"/>
          <w:color w:val="auto"/>
          <w:sz w:val="20"/>
          <w:szCs w:val="20"/>
        </w:rPr>
        <w:fldChar w:fldCharType="end"/>
      </w:r>
      <w:bookmarkEnd w:id="10"/>
      <w:r w:rsidRPr="00C26182">
        <w:rPr>
          <w:b/>
          <w:bCs/>
          <w:i w:val="0"/>
          <w:iCs w:val="0"/>
          <w:color w:val="auto"/>
          <w:sz w:val="20"/>
          <w:szCs w:val="20"/>
          <w:lang w:val="en-GB"/>
        </w:rPr>
        <w:t>. Endogenous variables to represent indicators of the sustainable development goals in the WILIAM integrated assessment model.</w:t>
      </w:r>
    </w:p>
    <w:tbl>
      <w:tblPr>
        <w:tblW w:w="5000" w:type="pct"/>
        <w:tblLayout w:type="fixed"/>
        <w:tblLook w:val="04A0" w:firstRow="1" w:lastRow="0" w:firstColumn="1" w:lastColumn="0" w:noHBand="0" w:noVBand="1"/>
      </w:tblPr>
      <w:tblGrid>
        <w:gridCol w:w="952"/>
        <w:gridCol w:w="952"/>
        <w:gridCol w:w="2860"/>
        <w:gridCol w:w="6862"/>
        <w:gridCol w:w="1277"/>
        <w:gridCol w:w="1101"/>
      </w:tblGrid>
      <w:tr w:rsidR="008422F6" w:rsidRPr="00005635" w14:paraId="4EB096CA" w14:textId="77777777" w:rsidTr="008422F6">
        <w:trPr>
          <w:trHeight w:val="432"/>
        </w:trPr>
        <w:tc>
          <w:tcPr>
            <w:tcW w:w="340" w:type="pct"/>
            <w:tcBorders>
              <w:top w:val="nil"/>
              <w:left w:val="nil"/>
              <w:bottom w:val="nil"/>
              <w:right w:val="nil"/>
            </w:tcBorders>
            <w:shd w:val="clear" w:color="auto" w:fill="974706"/>
          </w:tcPr>
          <w:p w14:paraId="4E9FD382" w14:textId="77777777" w:rsidR="00741F29" w:rsidRPr="00B53137" w:rsidRDefault="00741F29" w:rsidP="001335E8">
            <w:pPr>
              <w:spacing w:after="0" w:line="240" w:lineRule="auto"/>
              <w:jc w:val="center"/>
              <w:rPr>
                <w:rFonts w:eastAsia="Times New Roman" w:cs="Times New Roman"/>
                <w:b/>
                <w:bCs/>
                <w:color w:val="FFFFFF"/>
                <w:kern w:val="0"/>
                <w:lang w:val="en-GB" w:eastAsia="en-GB"/>
                <w14:ligatures w14:val="none"/>
              </w:rPr>
            </w:pPr>
          </w:p>
        </w:tc>
        <w:tc>
          <w:tcPr>
            <w:tcW w:w="3811" w:type="pct"/>
            <w:gridSpan w:val="3"/>
            <w:tcBorders>
              <w:top w:val="nil"/>
              <w:left w:val="nil"/>
              <w:bottom w:val="nil"/>
              <w:right w:val="nil"/>
            </w:tcBorders>
            <w:shd w:val="clear" w:color="auto" w:fill="974706"/>
            <w:noWrap/>
            <w:vAlign w:val="center"/>
            <w:hideMark/>
          </w:tcPr>
          <w:p w14:paraId="6481F2C6" w14:textId="77777777" w:rsidR="00741F29" w:rsidRPr="00005635" w:rsidRDefault="00741F29" w:rsidP="001335E8">
            <w:pPr>
              <w:spacing w:after="0" w:line="240" w:lineRule="auto"/>
              <w:jc w:val="center"/>
              <w:rPr>
                <w:rFonts w:eastAsia="Times New Roman" w:cs="Times New Roman"/>
                <w:b/>
                <w:bCs/>
                <w:color w:val="FFFFFF"/>
                <w:kern w:val="0"/>
                <w:lang w:eastAsia="en-GB"/>
                <w14:ligatures w14:val="none"/>
              </w:rPr>
            </w:pPr>
            <w:r w:rsidRPr="00005635">
              <w:rPr>
                <w:rFonts w:eastAsia="Times New Roman" w:cs="Times New Roman"/>
                <w:b/>
                <w:bCs/>
                <w:color w:val="FFFFFF"/>
                <w:kern w:val="0"/>
                <w:lang w:eastAsia="en-GB"/>
                <w14:ligatures w14:val="none"/>
              </w:rPr>
              <w:t>OUTPUTS</w:t>
            </w:r>
          </w:p>
        </w:tc>
        <w:tc>
          <w:tcPr>
            <w:tcW w:w="456" w:type="pct"/>
            <w:tcBorders>
              <w:top w:val="nil"/>
              <w:left w:val="nil"/>
              <w:bottom w:val="nil"/>
              <w:right w:val="nil"/>
            </w:tcBorders>
            <w:shd w:val="clear" w:color="auto" w:fill="974706"/>
          </w:tcPr>
          <w:p w14:paraId="684B79E2" w14:textId="77777777" w:rsidR="00741F29" w:rsidRPr="00005635" w:rsidRDefault="00741F29" w:rsidP="001335E8">
            <w:pPr>
              <w:spacing w:after="0" w:line="240" w:lineRule="auto"/>
              <w:jc w:val="center"/>
              <w:rPr>
                <w:rFonts w:eastAsia="Times New Roman" w:cs="Times New Roman"/>
                <w:b/>
                <w:bCs/>
                <w:color w:val="FFFFFF"/>
                <w:kern w:val="0"/>
                <w:lang w:eastAsia="en-GB"/>
                <w14:ligatures w14:val="none"/>
              </w:rPr>
            </w:pPr>
          </w:p>
        </w:tc>
        <w:tc>
          <w:tcPr>
            <w:tcW w:w="394" w:type="pct"/>
            <w:tcBorders>
              <w:top w:val="nil"/>
              <w:left w:val="nil"/>
              <w:bottom w:val="nil"/>
              <w:right w:val="nil"/>
            </w:tcBorders>
            <w:shd w:val="clear" w:color="auto" w:fill="974706"/>
          </w:tcPr>
          <w:p w14:paraId="328FB8C8" w14:textId="77777777" w:rsidR="00741F29" w:rsidRPr="00005635" w:rsidRDefault="00741F29" w:rsidP="001335E8">
            <w:pPr>
              <w:spacing w:after="0" w:line="240" w:lineRule="auto"/>
              <w:jc w:val="center"/>
              <w:rPr>
                <w:rFonts w:eastAsia="Times New Roman" w:cs="Times New Roman"/>
                <w:b/>
                <w:bCs/>
                <w:color w:val="FFFFFF"/>
                <w:kern w:val="0"/>
                <w:lang w:eastAsia="en-GB"/>
                <w14:ligatures w14:val="none"/>
              </w:rPr>
            </w:pPr>
          </w:p>
        </w:tc>
      </w:tr>
      <w:tr w:rsidR="00741F29" w:rsidRPr="00005635" w14:paraId="24A5390A" w14:textId="77777777" w:rsidTr="008422F6">
        <w:trPr>
          <w:trHeight w:val="300"/>
        </w:trPr>
        <w:tc>
          <w:tcPr>
            <w:tcW w:w="340" w:type="pct"/>
            <w:tcBorders>
              <w:top w:val="single" w:sz="8" w:space="0" w:color="auto"/>
              <w:left w:val="single" w:sz="8" w:space="0" w:color="auto"/>
              <w:bottom w:val="nil"/>
              <w:right w:val="single" w:sz="8" w:space="0" w:color="auto"/>
            </w:tcBorders>
            <w:shd w:val="clear" w:color="auto" w:fill="C4BD97"/>
          </w:tcPr>
          <w:p w14:paraId="67959DD2" w14:textId="77777777" w:rsidR="00741F29" w:rsidRDefault="00741F29" w:rsidP="001335E8">
            <w:pPr>
              <w:spacing w:after="0" w:line="240" w:lineRule="auto"/>
              <w:jc w:val="center"/>
              <w:rPr>
                <w:rFonts w:eastAsia="Times New Roman" w:cs="Times New Roman"/>
                <w:b/>
                <w:bCs/>
                <w:color w:val="000000"/>
                <w:kern w:val="0"/>
                <w:lang w:eastAsia="en-GB"/>
                <w14:ligatures w14:val="none"/>
              </w:rPr>
            </w:pPr>
            <w:r>
              <w:rPr>
                <w:rFonts w:eastAsia="Times New Roman" w:cs="Times New Roman"/>
                <w:b/>
                <w:bCs/>
                <w:color w:val="000000"/>
                <w:kern w:val="0"/>
                <w:lang w:eastAsia="en-GB"/>
                <w14:ligatures w14:val="none"/>
              </w:rPr>
              <w:t>SDG</w:t>
            </w:r>
          </w:p>
          <w:p w14:paraId="71D46457" w14:textId="77777777" w:rsidR="00741F29" w:rsidRPr="00005635" w:rsidRDefault="00741F29" w:rsidP="001335E8">
            <w:pPr>
              <w:spacing w:after="0" w:line="240" w:lineRule="auto"/>
              <w:jc w:val="center"/>
              <w:rPr>
                <w:rFonts w:eastAsia="Times New Roman" w:cs="Times New Roman"/>
                <w:b/>
                <w:bCs/>
                <w:color w:val="000000"/>
                <w:kern w:val="0"/>
                <w:lang w:eastAsia="en-GB"/>
                <w14:ligatures w14:val="none"/>
              </w:rPr>
            </w:pPr>
            <w:proofErr w:type="spellStart"/>
            <w:r>
              <w:rPr>
                <w:rFonts w:eastAsia="Times New Roman" w:cs="Times New Roman"/>
                <w:b/>
                <w:bCs/>
                <w:color w:val="000000"/>
                <w:kern w:val="0"/>
                <w:lang w:eastAsia="en-GB"/>
                <w14:ligatures w14:val="none"/>
              </w:rPr>
              <w:t>name</w:t>
            </w:r>
            <w:proofErr w:type="spellEnd"/>
          </w:p>
        </w:tc>
        <w:tc>
          <w:tcPr>
            <w:tcW w:w="340" w:type="pct"/>
            <w:tcBorders>
              <w:top w:val="single" w:sz="8" w:space="0" w:color="auto"/>
              <w:left w:val="single" w:sz="8" w:space="0" w:color="auto"/>
              <w:bottom w:val="nil"/>
              <w:right w:val="single" w:sz="8" w:space="0" w:color="auto"/>
            </w:tcBorders>
            <w:shd w:val="clear" w:color="auto" w:fill="C4BD97"/>
            <w:noWrap/>
            <w:vAlign w:val="bottom"/>
            <w:hideMark/>
          </w:tcPr>
          <w:p w14:paraId="7C1A62C0" w14:textId="77777777" w:rsidR="00741F29" w:rsidRPr="00005635" w:rsidRDefault="00741F29" w:rsidP="001335E8">
            <w:pPr>
              <w:spacing w:after="0" w:line="240" w:lineRule="auto"/>
              <w:jc w:val="center"/>
              <w:rPr>
                <w:rFonts w:eastAsia="Times New Roman" w:cs="Times New Roman"/>
                <w:b/>
                <w:bCs/>
                <w:color w:val="000000"/>
                <w:kern w:val="0"/>
                <w:lang w:eastAsia="en-GB"/>
                <w14:ligatures w14:val="none"/>
              </w:rPr>
            </w:pPr>
            <w:r w:rsidRPr="00005635">
              <w:rPr>
                <w:rFonts w:eastAsia="Times New Roman" w:cs="Times New Roman"/>
                <w:b/>
                <w:bCs/>
                <w:color w:val="000000"/>
                <w:kern w:val="0"/>
                <w:lang w:eastAsia="en-GB"/>
                <w14:ligatures w14:val="none"/>
              </w:rPr>
              <w:t xml:space="preserve">SDG </w:t>
            </w:r>
            <w:proofErr w:type="spellStart"/>
            <w:r w:rsidRPr="00005635">
              <w:rPr>
                <w:rFonts w:eastAsia="Times New Roman" w:cs="Times New Roman"/>
                <w:b/>
                <w:bCs/>
                <w:color w:val="000000"/>
                <w:kern w:val="0"/>
                <w:lang w:eastAsia="en-GB"/>
                <w14:ligatures w14:val="none"/>
              </w:rPr>
              <w:t>indicator</w:t>
            </w:r>
            <w:proofErr w:type="spellEnd"/>
          </w:p>
        </w:tc>
        <w:tc>
          <w:tcPr>
            <w:tcW w:w="1021" w:type="pct"/>
            <w:tcBorders>
              <w:top w:val="single" w:sz="8" w:space="0" w:color="auto"/>
              <w:left w:val="single" w:sz="8" w:space="0" w:color="auto"/>
              <w:bottom w:val="nil"/>
              <w:right w:val="single" w:sz="8" w:space="0" w:color="auto"/>
            </w:tcBorders>
            <w:shd w:val="clear" w:color="auto" w:fill="E6B8B7"/>
            <w:noWrap/>
            <w:vAlign w:val="bottom"/>
            <w:hideMark/>
          </w:tcPr>
          <w:p w14:paraId="1B4B576A" w14:textId="77777777" w:rsidR="00741F29" w:rsidRPr="00005635" w:rsidRDefault="00741F29" w:rsidP="001335E8">
            <w:pPr>
              <w:spacing w:after="0" w:line="240" w:lineRule="auto"/>
              <w:jc w:val="center"/>
              <w:rPr>
                <w:rFonts w:eastAsia="Times New Roman" w:cs="Times New Roman"/>
                <w:b/>
                <w:bCs/>
                <w:color w:val="000000"/>
                <w:kern w:val="0"/>
                <w:lang w:eastAsia="en-GB"/>
                <w14:ligatures w14:val="none"/>
              </w:rPr>
            </w:pPr>
            <w:r w:rsidRPr="00005635">
              <w:rPr>
                <w:rFonts w:eastAsia="Times New Roman" w:cs="Times New Roman"/>
                <w:b/>
                <w:bCs/>
                <w:color w:val="000000"/>
                <w:kern w:val="0"/>
                <w:lang w:eastAsia="en-GB"/>
                <w14:ligatures w14:val="none"/>
              </w:rPr>
              <w:t>Variable in WILIAM</w:t>
            </w:r>
          </w:p>
        </w:tc>
        <w:tc>
          <w:tcPr>
            <w:tcW w:w="2450" w:type="pct"/>
            <w:tcBorders>
              <w:top w:val="single" w:sz="8" w:space="0" w:color="auto"/>
              <w:left w:val="nil"/>
              <w:bottom w:val="nil"/>
              <w:right w:val="single" w:sz="8" w:space="0" w:color="auto"/>
            </w:tcBorders>
            <w:shd w:val="clear" w:color="auto" w:fill="95B3D7"/>
            <w:noWrap/>
            <w:vAlign w:val="bottom"/>
            <w:hideMark/>
          </w:tcPr>
          <w:p w14:paraId="34653422" w14:textId="77777777" w:rsidR="00741F29" w:rsidRPr="00005635" w:rsidRDefault="00741F29" w:rsidP="001335E8">
            <w:pPr>
              <w:spacing w:after="0" w:line="240" w:lineRule="auto"/>
              <w:jc w:val="center"/>
              <w:rPr>
                <w:rFonts w:eastAsia="Times New Roman" w:cs="Times New Roman"/>
                <w:b/>
                <w:bCs/>
                <w:color w:val="000000"/>
                <w:kern w:val="0"/>
                <w:lang w:val="en-GB" w:eastAsia="en-GB"/>
                <w14:ligatures w14:val="none"/>
              </w:rPr>
            </w:pPr>
            <w:r w:rsidRPr="00005635">
              <w:rPr>
                <w:rFonts w:eastAsia="Times New Roman" w:cs="Times New Roman"/>
                <w:b/>
                <w:bCs/>
                <w:color w:val="000000"/>
                <w:kern w:val="0"/>
                <w:lang w:val="en-GB" w:eastAsia="en-GB"/>
                <w14:ligatures w14:val="none"/>
              </w:rPr>
              <w:t>Description of the variable. Source &amp; Comment</w:t>
            </w:r>
          </w:p>
        </w:tc>
        <w:tc>
          <w:tcPr>
            <w:tcW w:w="456" w:type="pct"/>
            <w:tcBorders>
              <w:top w:val="single" w:sz="8" w:space="0" w:color="auto"/>
              <w:left w:val="nil"/>
              <w:bottom w:val="nil"/>
              <w:right w:val="single" w:sz="8" w:space="0" w:color="auto"/>
            </w:tcBorders>
            <w:shd w:val="clear" w:color="auto" w:fill="95B3D7"/>
          </w:tcPr>
          <w:p w14:paraId="298DBFCA" w14:textId="77777777" w:rsidR="00741F29" w:rsidRPr="00005635" w:rsidRDefault="00741F29" w:rsidP="001335E8">
            <w:pPr>
              <w:spacing w:after="0" w:line="240" w:lineRule="auto"/>
              <w:jc w:val="center"/>
              <w:rPr>
                <w:rFonts w:eastAsia="Times New Roman" w:cs="Times New Roman"/>
                <w:b/>
                <w:bCs/>
                <w:color w:val="000000"/>
                <w:kern w:val="0"/>
                <w:lang w:eastAsia="en-GB"/>
                <w14:ligatures w14:val="none"/>
              </w:rPr>
            </w:pPr>
            <w:proofErr w:type="spellStart"/>
            <w:r w:rsidRPr="00005635">
              <w:rPr>
                <w:rFonts w:eastAsia="Times New Roman" w:cs="Times New Roman"/>
                <w:b/>
                <w:bCs/>
                <w:color w:val="000000"/>
                <w:kern w:val="0"/>
                <w:lang w:eastAsia="en-GB"/>
                <w14:ligatures w14:val="none"/>
              </w:rPr>
              <w:t>Units</w:t>
            </w:r>
            <w:proofErr w:type="spellEnd"/>
          </w:p>
        </w:tc>
        <w:tc>
          <w:tcPr>
            <w:tcW w:w="394" w:type="pct"/>
            <w:tcBorders>
              <w:top w:val="single" w:sz="8" w:space="0" w:color="auto"/>
              <w:left w:val="nil"/>
              <w:bottom w:val="nil"/>
              <w:right w:val="single" w:sz="8" w:space="0" w:color="auto"/>
            </w:tcBorders>
            <w:shd w:val="clear" w:color="auto" w:fill="95B3D7"/>
          </w:tcPr>
          <w:p w14:paraId="3E036E24" w14:textId="77777777" w:rsidR="00741F29" w:rsidRPr="00005635" w:rsidRDefault="00741F29" w:rsidP="001335E8">
            <w:pPr>
              <w:spacing w:after="0" w:line="240" w:lineRule="auto"/>
              <w:jc w:val="center"/>
              <w:rPr>
                <w:rFonts w:eastAsia="Times New Roman" w:cs="Times New Roman"/>
                <w:b/>
                <w:bCs/>
                <w:color w:val="000000"/>
                <w:kern w:val="0"/>
                <w:lang w:eastAsia="en-GB"/>
                <w14:ligatures w14:val="none"/>
              </w:rPr>
            </w:pPr>
            <w:proofErr w:type="spellStart"/>
            <w:r w:rsidRPr="00005635">
              <w:rPr>
                <w:rFonts w:eastAsia="Times New Roman" w:cs="Times New Roman"/>
                <w:b/>
                <w:bCs/>
                <w:color w:val="000000"/>
                <w:kern w:val="0"/>
                <w:lang w:eastAsia="en-GB"/>
                <w14:ligatures w14:val="none"/>
              </w:rPr>
              <w:t>Polarity</w:t>
            </w:r>
            <w:proofErr w:type="spellEnd"/>
          </w:p>
        </w:tc>
      </w:tr>
      <w:tr w:rsidR="008422F6" w:rsidRPr="00005635" w14:paraId="6C3D043C" w14:textId="77777777" w:rsidTr="008422F6">
        <w:trPr>
          <w:trHeight w:val="300"/>
        </w:trPr>
        <w:tc>
          <w:tcPr>
            <w:tcW w:w="340" w:type="pct"/>
            <w:tcBorders>
              <w:top w:val="single" w:sz="8" w:space="0" w:color="auto"/>
              <w:left w:val="single" w:sz="8" w:space="0" w:color="auto"/>
              <w:bottom w:val="single" w:sz="8" w:space="0" w:color="auto"/>
              <w:right w:val="single" w:sz="8" w:space="0" w:color="auto"/>
            </w:tcBorders>
            <w:vAlign w:val="center"/>
          </w:tcPr>
          <w:p w14:paraId="718A05ED" w14:textId="1D8D05BC" w:rsidR="00741F29" w:rsidRPr="00005635" w:rsidRDefault="00B54EDD" w:rsidP="00B54EDD">
            <w:pPr>
              <w:spacing w:after="0" w:line="240" w:lineRule="auto"/>
              <w:jc w:val="center"/>
              <w:rPr>
                <w:rFonts w:eastAsia="Times New Roman" w:cs="Times New Roman"/>
                <w:color w:val="000000"/>
                <w:kern w:val="0"/>
                <w:lang w:eastAsia="en-GB"/>
                <w14:ligatures w14:val="none"/>
              </w:rPr>
            </w:pPr>
            <w:r>
              <w:rPr>
                <w:rFonts w:eastAsia="Times New Roman" w:cs="Times New Roman"/>
                <w:color w:val="000000"/>
                <w:kern w:val="0"/>
                <w:lang w:eastAsia="en-GB"/>
                <w14:ligatures w14:val="none"/>
              </w:rPr>
              <w:t xml:space="preserve">No </w:t>
            </w:r>
            <w:proofErr w:type="spellStart"/>
            <w:r>
              <w:rPr>
                <w:rFonts w:eastAsia="Times New Roman" w:cs="Times New Roman"/>
                <w:color w:val="000000"/>
                <w:kern w:val="0"/>
                <w:lang w:eastAsia="en-GB"/>
                <w14:ligatures w14:val="none"/>
              </w:rPr>
              <w:t>Poverty</w:t>
            </w:r>
            <w:proofErr w:type="spellEnd"/>
          </w:p>
        </w:tc>
        <w:tc>
          <w:tcPr>
            <w:tcW w:w="340" w:type="pct"/>
            <w:tcBorders>
              <w:top w:val="single" w:sz="8" w:space="0" w:color="auto"/>
              <w:left w:val="single" w:sz="8" w:space="0" w:color="auto"/>
              <w:bottom w:val="single" w:sz="8" w:space="0" w:color="auto"/>
              <w:right w:val="single" w:sz="8" w:space="0" w:color="auto"/>
            </w:tcBorders>
            <w:noWrap/>
            <w:vAlign w:val="bottom"/>
            <w:hideMark/>
          </w:tcPr>
          <w:p w14:paraId="5712585F" w14:textId="77777777" w:rsidR="00741F29" w:rsidRPr="00005635" w:rsidRDefault="00741F29"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1.A.2</w:t>
            </w:r>
          </w:p>
        </w:tc>
        <w:tc>
          <w:tcPr>
            <w:tcW w:w="1021" w:type="pct"/>
            <w:tcBorders>
              <w:top w:val="single" w:sz="8" w:space="0" w:color="auto"/>
              <w:left w:val="single" w:sz="8" w:space="0" w:color="auto"/>
              <w:bottom w:val="single" w:sz="8" w:space="0" w:color="auto"/>
              <w:right w:val="single" w:sz="8" w:space="0" w:color="auto"/>
            </w:tcBorders>
            <w:noWrap/>
            <w:vAlign w:val="bottom"/>
            <w:hideMark/>
          </w:tcPr>
          <w:p w14:paraId="75D51757" w14:textId="77777777" w:rsidR="00741F29" w:rsidRPr="00005635" w:rsidRDefault="00741F29"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global_share_government_expenditure_in_social_benefits</w:t>
            </w:r>
            <w:proofErr w:type="spellEnd"/>
          </w:p>
        </w:tc>
        <w:tc>
          <w:tcPr>
            <w:tcW w:w="2450" w:type="pct"/>
            <w:tcBorders>
              <w:top w:val="single" w:sz="8" w:space="0" w:color="auto"/>
              <w:left w:val="nil"/>
              <w:bottom w:val="single" w:sz="8" w:space="0" w:color="auto"/>
              <w:right w:val="single" w:sz="8" w:space="0" w:color="auto"/>
            </w:tcBorders>
            <w:noWrap/>
            <w:vAlign w:val="bottom"/>
            <w:hideMark/>
          </w:tcPr>
          <w:p w14:paraId="0AED54DA" w14:textId="77777777" w:rsidR="00741F29" w:rsidRPr="00005635" w:rsidRDefault="00741F29"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Share of global government expenditure allocated to social benefits. This indicator is derived from the official SDG Target 1.A and reflects efforts to eradicate poverty.</w:t>
            </w:r>
          </w:p>
        </w:tc>
        <w:tc>
          <w:tcPr>
            <w:tcW w:w="456" w:type="pct"/>
            <w:tcBorders>
              <w:top w:val="single" w:sz="8" w:space="0" w:color="auto"/>
              <w:left w:val="nil"/>
              <w:bottom w:val="single" w:sz="8" w:space="0" w:color="auto"/>
              <w:right w:val="single" w:sz="8" w:space="0" w:color="auto"/>
            </w:tcBorders>
          </w:tcPr>
          <w:p w14:paraId="4DDCE691" w14:textId="77777777" w:rsidR="00741F29" w:rsidRPr="00005635" w:rsidRDefault="00741F29"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Dmnl</w:t>
            </w:r>
          </w:p>
        </w:tc>
        <w:tc>
          <w:tcPr>
            <w:tcW w:w="394" w:type="pct"/>
            <w:tcBorders>
              <w:top w:val="single" w:sz="8" w:space="0" w:color="auto"/>
              <w:left w:val="nil"/>
              <w:bottom w:val="single" w:sz="8" w:space="0" w:color="auto"/>
              <w:right w:val="single" w:sz="8" w:space="0" w:color="auto"/>
            </w:tcBorders>
          </w:tcPr>
          <w:p w14:paraId="2E862B6F" w14:textId="77777777" w:rsidR="00741F29" w:rsidRPr="00005635" w:rsidRDefault="00741F29"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B54EDD" w:rsidRPr="00005635" w14:paraId="333982C0" w14:textId="77777777" w:rsidTr="008422F6">
        <w:trPr>
          <w:trHeight w:val="300"/>
        </w:trPr>
        <w:tc>
          <w:tcPr>
            <w:tcW w:w="340" w:type="pct"/>
            <w:vMerge w:val="restart"/>
            <w:tcBorders>
              <w:top w:val="nil"/>
              <w:left w:val="single" w:sz="8" w:space="0" w:color="auto"/>
              <w:right w:val="single" w:sz="8" w:space="0" w:color="auto"/>
            </w:tcBorders>
            <w:vAlign w:val="center"/>
          </w:tcPr>
          <w:p w14:paraId="7BD85380" w14:textId="723C3562" w:rsidR="00B54EDD" w:rsidRPr="00005635" w:rsidRDefault="00B54EDD" w:rsidP="00B54EDD">
            <w:pPr>
              <w:spacing w:after="0" w:line="240" w:lineRule="auto"/>
              <w:jc w:val="center"/>
              <w:rPr>
                <w:rFonts w:eastAsia="Times New Roman" w:cs="Times New Roman"/>
                <w:color w:val="000000"/>
                <w:kern w:val="0"/>
                <w:lang w:eastAsia="en-GB"/>
                <w14:ligatures w14:val="none"/>
              </w:rPr>
            </w:pPr>
            <w:r>
              <w:rPr>
                <w:rFonts w:eastAsia="Times New Roman" w:cs="Times New Roman"/>
                <w:color w:val="000000"/>
                <w:kern w:val="0"/>
                <w:lang w:eastAsia="en-GB"/>
                <w14:ligatures w14:val="none"/>
              </w:rPr>
              <w:t xml:space="preserve">Zero </w:t>
            </w:r>
            <w:proofErr w:type="spellStart"/>
            <w:r>
              <w:rPr>
                <w:rFonts w:eastAsia="Times New Roman" w:cs="Times New Roman"/>
                <w:color w:val="000000"/>
                <w:kern w:val="0"/>
                <w:lang w:eastAsia="en-GB"/>
                <w14:ligatures w14:val="none"/>
              </w:rPr>
              <w:t>Hunger</w:t>
            </w:r>
            <w:proofErr w:type="spellEnd"/>
          </w:p>
        </w:tc>
        <w:tc>
          <w:tcPr>
            <w:tcW w:w="340" w:type="pct"/>
            <w:tcBorders>
              <w:top w:val="nil"/>
              <w:left w:val="single" w:sz="8" w:space="0" w:color="auto"/>
              <w:bottom w:val="nil"/>
              <w:right w:val="single" w:sz="8" w:space="0" w:color="auto"/>
            </w:tcBorders>
            <w:noWrap/>
            <w:vAlign w:val="bottom"/>
            <w:hideMark/>
          </w:tcPr>
          <w:p w14:paraId="3508504F"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2.4.1</w:t>
            </w:r>
          </w:p>
        </w:tc>
        <w:tc>
          <w:tcPr>
            <w:tcW w:w="1021" w:type="pct"/>
            <w:tcBorders>
              <w:top w:val="nil"/>
              <w:left w:val="single" w:sz="8" w:space="0" w:color="auto"/>
              <w:bottom w:val="nil"/>
              <w:right w:val="single" w:sz="8" w:space="0" w:color="auto"/>
            </w:tcBorders>
            <w:noWrap/>
            <w:vAlign w:val="bottom"/>
            <w:hideMark/>
          </w:tcPr>
          <w:p w14:paraId="1AFDB574"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global_ratio_of_sustainable_agriculture_area</w:t>
            </w:r>
            <w:proofErr w:type="spellEnd"/>
          </w:p>
        </w:tc>
        <w:tc>
          <w:tcPr>
            <w:tcW w:w="2450" w:type="pct"/>
            <w:tcBorders>
              <w:top w:val="nil"/>
              <w:left w:val="nil"/>
              <w:bottom w:val="nil"/>
              <w:right w:val="single" w:sz="8" w:space="0" w:color="auto"/>
            </w:tcBorders>
            <w:noWrap/>
            <w:vAlign w:val="bottom"/>
            <w:hideMark/>
          </w:tcPr>
          <w:p w14:paraId="1226D2F3"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Proportion of global agricultural land managed under sustainable practices. This indicator corresponds to SDG Target 2.4 and captures the environmental dimension of agricultural sustainability, as defined by the official UN framework.</w:t>
            </w:r>
          </w:p>
        </w:tc>
        <w:tc>
          <w:tcPr>
            <w:tcW w:w="456" w:type="pct"/>
            <w:tcBorders>
              <w:top w:val="nil"/>
              <w:left w:val="nil"/>
              <w:bottom w:val="nil"/>
              <w:right w:val="single" w:sz="8" w:space="0" w:color="auto"/>
            </w:tcBorders>
          </w:tcPr>
          <w:p w14:paraId="76776367"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Dmnl</w:t>
            </w:r>
          </w:p>
        </w:tc>
        <w:tc>
          <w:tcPr>
            <w:tcW w:w="394" w:type="pct"/>
            <w:tcBorders>
              <w:top w:val="nil"/>
              <w:left w:val="nil"/>
              <w:bottom w:val="nil"/>
              <w:right w:val="single" w:sz="8" w:space="0" w:color="auto"/>
            </w:tcBorders>
          </w:tcPr>
          <w:p w14:paraId="5D2D7049"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B54EDD" w:rsidRPr="00005635" w14:paraId="0B454258" w14:textId="77777777" w:rsidTr="008422F6">
        <w:trPr>
          <w:trHeight w:val="600"/>
        </w:trPr>
        <w:tc>
          <w:tcPr>
            <w:tcW w:w="340" w:type="pct"/>
            <w:vMerge/>
            <w:tcBorders>
              <w:left w:val="single" w:sz="8" w:space="0" w:color="auto"/>
              <w:right w:val="single" w:sz="8" w:space="0" w:color="auto"/>
            </w:tcBorders>
          </w:tcPr>
          <w:p w14:paraId="4059DE9C"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nil"/>
              <w:right w:val="single" w:sz="8" w:space="0" w:color="auto"/>
            </w:tcBorders>
            <w:noWrap/>
            <w:vAlign w:val="bottom"/>
            <w:hideMark/>
          </w:tcPr>
          <w:p w14:paraId="52BDDEDD"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2.4.1</w:t>
            </w:r>
          </w:p>
        </w:tc>
        <w:tc>
          <w:tcPr>
            <w:tcW w:w="1021" w:type="pct"/>
            <w:tcBorders>
              <w:top w:val="nil"/>
              <w:left w:val="single" w:sz="8" w:space="0" w:color="auto"/>
              <w:bottom w:val="nil"/>
              <w:right w:val="single" w:sz="8" w:space="0" w:color="auto"/>
            </w:tcBorders>
            <w:noWrap/>
            <w:vAlign w:val="bottom"/>
            <w:hideMark/>
          </w:tcPr>
          <w:p w14:paraId="591B961B"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global_ratio_of_productive_agriculture_area</w:t>
            </w:r>
            <w:proofErr w:type="spellEnd"/>
          </w:p>
        </w:tc>
        <w:tc>
          <w:tcPr>
            <w:tcW w:w="2450" w:type="pct"/>
            <w:tcBorders>
              <w:top w:val="nil"/>
              <w:left w:val="nil"/>
              <w:bottom w:val="nil"/>
              <w:right w:val="single" w:sz="8" w:space="0" w:color="auto"/>
            </w:tcBorders>
            <w:noWrap/>
            <w:vAlign w:val="bottom"/>
            <w:hideMark/>
          </w:tcPr>
          <w:p w14:paraId="125A7123"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Proportion of global agricultural land engaged in high-input production. This complements the sustainable agriculture indicator by representing the productivity aspect of SDG Target 2.4.</w:t>
            </w:r>
          </w:p>
        </w:tc>
        <w:tc>
          <w:tcPr>
            <w:tcW w:w="456" w:type="pct"/>
            <w:tcBorders>
              <w:top w:val="nil"/>
              <w:left w:val="nil"/>
              <w:bottom w:val="nil"/>
              <w:right w:val="single" w:sz="8" w:space="0" w:color="auto"/>
            </w:tcBorders>
          </w:tcPr>
          <w:p w14:paraId="32B311B3"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Dmnl</w:t>
            </w:r>
          </w:p>
        </w:tc>
        <w:tc>
          <w:tcPr>
            <w:tcW w:w="394" w:type="pct"/>
            <w:tcBorders>
              <w:top w:val="nil"/>
              <w:left w:val="nil"/>
              <w:bottom w:val="nil"/>
              <w:right w:val="single" w:sz="8" w:space="0" w:color="auto"/>
            </w:tcBorders>
          </w:tcPr>
          <w:p w14:paraId="1ABACC88"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B54EDD" w:rsidRPr="00005635" w14:paraId="7EC8B37D" w14:textId="77777777" w:rsidTr="008422F6">
        <w:trPr>
          <w:trHeight w:val="288"/>
        </w:trPr>
        <w:tc>
          <w:tcPr>
            <w:tcW w:w="340" w:type="pct"/>
            <w:vMerge/>
            <w:tcBorders>
              <w:left w:val="single" w:sz="8" w:space="0" w:color="auto"/>
              <w:right w:val="single" w:sz="8" w:space="0" w:color="auto"/>
            </w:tcBorders>
          </w:tcPr>
          <w:p w14:paraId="7B0EE1A3"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nil"/>
              <w:right w:val="single" w:sz="8" w:space="0" w:color="auto"/>
            </w:tcBorders>
            <w:noWrap/>
            <w:vAlign w:val="bottom"/>
            <w:hideMark/>
          </w:tcPr>
          <w:p w14:paraId="04F328D9"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2.c.1</w:t>
            </w:r>
          </w:p>
        </w:tc>
        <w:tc>
          <w:tcPr>
            <w:tcW w:w="1021" w:type="pct"/>
            <w:tcBorders>
              <w:top w:val="nil"/>
              <w:left w:val="single" w:sz="8" w:space="0" w:color="auto"/>
              <w:bottom w:val="nil"/>
              <w:right w:val="single" w:sz="8" w:space="0" w:color="auto"/>
            </w:tcBorders>
            <w:noWrap/>
            <w:vAlign w:val="bottom"/>
            <w:hideMark/>
          </w:tcPr>
          <w:p w14:paraId="7F72BF68"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global_availability_of_crops_for_food</w:t>
            </w:r>
            <w:proofErr w:type="spellEnd"/>
          </w:p>
        </w:tc>
        <w:tc>
          <w:tcPr>
            <w:tcW w:w="2450" w:type="pct"/>
            <w:tcBorders>
              <w:top w:val="nil"/>
              <w:left w:val="nil"/>
              <w:bottom w:val="nil"/>
              <w:right w:val="single" w:sz="8" w:space="0" w:color="auto"/>
            </w:tcBorders>
            <w:noWrap/>
            <w:vAlign w:val="bottom"/>
            <w:hideMark/>
          </w:tcPr>
          <w:p w14:paraId="7025E9EC" w14:textId="6DE8FF5F"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val="en-GB" w:eastAsia="en-GB"/>
                <w14:ligatures w14:val="none"/>
              </w:rPr>
              <w:t xml:space="preserve">Availability of crops for food consumption at the global level. This proxy indicator addresses the accessibility component of SDG Target 2.1 and, to a lesser extent, SDG Target 2.c on price volatility, acknowledging that limited availability can exacerbate market instability, according to </w:t>
            </w:r>
            <w:proofErr w:type="spellStart"/>
            <w:r w:rsidRPr="00005635">
              <w:rPr>
                <w:rFonts w:eastAsia="Times New Roman" w:cs="Times New Roman"/>
                <w:color w:val="000000"/>
                <w:kern w:val="0"/>
                <w:lang w:val="en-GB" w:eastAsia="en-GB"/>
                <w14:ligatures w14:val="none"/>
              </w:rPr>
              <w:t>Soergel</w:t>
            </w:r>
            <w:proofErr w:type="spellEnd"/>
            <w:r w:rsidRPr="00005635">
              <w:rPr>
                <w:rFonts w:eastAsia="Times New Roman" w:cs="Times New Roman"/>
                <w:color w:val="000000"/>
                <w:kern w:val="0"/>
                <w:lang w:val="en-GB" w:eastAsia="en-GB"/>
                <w14:ligatures w14:val="none"/>
              </w:rPr>
              <w:t xml:space="preserve"> et al. </w:t>
            </w:r>
            <w:r w:rsidRPr="00005635">
              <w:rPr>
                <w:rFonts w:eastAsia="Times New Roman" w:cs="Times New Roman"/>
                <w:color w:val="000000"/>
                <w:kern w:val="0"/>
                <w:lang w:eastAsia="en-GB"/>
                <w14:ligatures w14:val="none"/>
              </w:rPr>
              <w:t>(2021)</w:t>
            </w:r>
            <w:r w:rsidR="00F70FF3">
              <w:rPr>
                <w:rFonts w:eastAsia="Times New Roman" w:cs="Times New Roman"/>
                <w:color w:val="000000"/>
                <w:kern w:val="0"/>
                <w:lang w:eastAsia="en-GB"/>
                <w14:ligatures w14:val="none"/>
              </w:rPr>
              <w:fldChar w:fldCharType="begin"/>
            </w:r>
            <w:r w:rsidR="00F70FF3">
              <w:rPr>
                <w:rFonts w:eastAsia="Times New Roman" w:cs="Times New Roman"/>
                <w:color w:val="000000"/>
                <w:kern w:val="0"/>
                <w:lang w:eastAsia="en-GB"/>
                <w14:ligatures w14:val="none"/>
              </w:rPr>
              <w:instrText xml:space="preserve"> ADDIN ZOTERO_ITEM CSL_CITATION {"citationID":"dV2X3yuD","properties":{"formattedCitation":"\\super 9\\nosupersub{}","plainCitation":"9","noteIndex":0},"citationItems":[{"id":280,"uris":["http://zotero.org/users/11518810/items/3ICHZ5BF"],"itemData":{"id":280,"type":"article-journal","container-title":"Nature Climate Change","DOI":"10.1038/s41558-021-01098-3","ISSN":"1758-678X, 1758-6798","issue":"8","journalAbbreviation":"Nat. Clim. Chang.","language":"en","page":"656-664","source":"DOI.org (Crossref)","title":"A sustainable development pathway for climate action within the UN 2030 Agenda","volume":"11","author":[{"family":"Soergel","given":"Bjoern"},{"family":"Kriegler","given":"Elmar"},{"family":"Weindl","given":"Isabelle"},{"family":"Rauner","given":"Sebastian"},{"family":"Dirnaichner","given":"Alois"},{"family":"Ruhe","given":"Constantin"},{"family":"Hofmann","given":"Matthias"},{"family":"Bauer","given":"Nico"},{"family":"Bertram","given":"Christoph"},{"family":"Bodirsky","given":"Benjamin Leon"},{"family":"Leimbach","given":"Marian"},{"family":"Leininger","given":"Julia"},{"family":"Levesque","given":"Antoine"},{"family":"Luderer","given":"Gunnar"},{"family":"Pehl","given":"Michaja"},{"family":"Wingens","given":"Christopher"},{"family":"Baumstark","given":"Lavinia"},{"family":"Beier","given":"Felicitas"},{"family":"Dietrich","given":"Jan Philipp"},{"family":"Humpenöder","given":"Florian"},{"family":"Von Jeetze","given":"Patrick"},{"family":"Klein","given":"David"},{"family":"Koch","given":"Johannes"},{"family":"Pietzcker","given":"Robert"},{"family":"Strefler","given":"Jessica"},{"family":"Lotze-Campen","given":"Hermann"},{"family":"Popp","given":"Alexander"}],"issued":{"date-parts":[["2021",8]]}}}],"schema":"https://github.com/citation-style-language/schema/raw/master/csl-citation.json"} </w:instrText>
            </w:r>
            <w:r w:rsidR="00F70FF3">
              <w:rPr>
                <w:rFonts w:eastAsia="Times New Roman" w:cs="Times New Roman"/>
                <w:color w:val="000000"/>
                <w:kern w:val="0"/>
                <w:lang w:eastAsia="en-GB"/>
                <w14:ligatures w14:val="none"/>
              </w:rPr>
              <w:fldChar w:fldCharType="separate"/>
            </w:r>
            <w:r w:rsidR="00F70FF3" w:rsidRPr="00F70FF3">
              <w:rPr>
                <w:rFonts w:cs="Times New Roman"/>
                <w:szCs w:val="24"/>
                <w:vertAlign w:val="superscript"/>
              </w:rPr>
              <w:t>9</w:t>
            </w:r>
            <w:r w:rsidR="00F70FF3">
              <w:rPr>
                <w:rFonts w:eastAsia="Times New Roman" w:cs="Times New Roman"/>
                <w:color w:val="000000"/>
                <w:kern w:val="0"/>
                <w:lang w:eastAsia="en-GB"/>
                <w14:ligatures w14:val="none"/>
              </w:rPr>
              <w:fldChar w:fldCharType="end"/>
            </w:r>
            <w:r w:rsidRPr="00005635">
              <w:rPr>
                <w:rFonts w:eastAsia="Times New Roman" w:cs="Times New Roman"/>
                <w:color w:val="000000"/>
                <w:kern w:val="0"/>
                <w:lang w:eastAsia="en-GB"/>
                <w14:ligatures w14:val="none"/>
              </w:rPr>
              <w:t xml:space="preserve"> and Moreno et al. (2023)</w:t>
            </w:r>
            <w:r w:rsidR="00F70FF3">
              <w:rPr>
                <w:rFonts w:eastAsia="Times New Roman" w:cs="Times New Roman"/>
                <w:color w:val="000000"/>
                <w:kern w:val="0"/>
                <w:lang w:eastAsia="en-GB"/>
                <w14:ligatures w14:val="none"/>
              </w:rPr>
              <w:fldChar w:fldCharType="begin"/>
            </w:r>
            <w:r w:rsidR="00F70FF3">
              <w:rPr>
                <w:rFonts w:eastAsia="Times New Roman" w:cs="Times New Roman"/>
                <w:color w:val="000000"/>
                <w:kern w:val="0"/>
                <w:lang w:eastAsia="en-GB"/>
                <w14:ligatures w14:val="none"/>
              </w:rPr>
              <w:instrText xml:space="preserve"> ADDIN ZOTERO_ITEM CSL_CITATION {"citationID":"9djV55fO","properties":{"formattedCitation":"\\super 13\\nosupersub{}","plainCitation":"13","noteIndex":0},"citationItems":[{"id":282,"uris":["http://zotero.org/users/11518810/items/3JXVS7VP"],"itemData":{"id":282,"type":"article-journal","container-title":"Global Environmental Change","DOI":"10.1016/j.gloenvcha.2022.102624","ISSN":"09593780","journalAbbreviation":"Global Environmental Change","language":"en","page":"102624","source":"DOI.org (Crossref)","title":"Assessing synergies and trade-offs of diverging Paris-compliant mitigation strategies with long-term SDG objectives","volume":"78","author":[{"family":"Moreno","given":"Jorge"},{"family":"Van De Ven","given":"Dirk-Jan"},{"family":"Sampedro","given":"Jon"},{"family":"Gambhir","given":"Ajay"},{"family":"Woods","given":"Jem"},{"family":"Gonzalez-Eguino","given":"Mikel"}],"issued":{"date-parts":[["2023",1]]}}}],"schema":"https://github.com/citation-style-language/schema/raw/master/csl-citation.json"} </w:instrText>
            </w:r>
            <w:r w:rsidR="00F70FF3">
              <w:rPr>
                <w:rFonts w:eastAsia="Times New Roman" w:cs="Times New Roman"/>
                <w:color w:val="000000"/>
                <w:kern w:val="0"/>
                <w:lang w:eastAsia="en-GB"/>
                <w14:ligatures w14:val="none"/>
              </w:rPr>
              <w:fldChar w:fldCharType="separate"/>
            </w:r>
            <w:r w:rsidR="00F70FF3" w:rsidRPr="00F70FF3">
              <w:rPr>
                <w:rFonts w:cs="Times New Roman"/>
                <w:szCs w:val="24"/>
                <w:vertAlign w:val="superscript"/>
              </w:rPr>
              <w:t>13</w:t>
            </w:r>
            <w:r w:rsidR="00F70FF3">
              <w:rPr>
                <w:rFonts w:eastAsia="Times New Roman" w:cs="Times New Roman"/>
                <w:color w:val="000000"/>
                <w:kern w:val="0"/>
                <w:lang w:eastAsia="en-GB"/>
                <w14:ligatures w14:val="none"/>
              </w:rPr>
              <w:fldChar w:fldCharType="end"/>
            </w:r>
            <w:r w:rsidRPr="00005635">
              <w:rPr>
                <w:rFonts w:eastAsia="Times New Roman" w:cs="Times New Roman"/>
                <w:color w:val="000000"/>
                <w:kern w:val="0"/>
                <w:lang w:eastAsia="en-GB"/>
                <w14:ligatures w14:val="none"/>
              </w:rPr>
              <w:t>.</w:t>
            </w:r>
          </w:p>
        </w:tc>
        <w:tc>
          <w:tcPr>
            <w:tcW w:w="456" w:type="pct"/>
            <w:tcBorders>
              <w:top w:val="nil"/>
              <w:left w:val="nil"/>
              <w:bottom w:val="nil"/>
              <w:right w:val="single" w:sz="8" w:space="0" w:color="auto"/>
            </w:tcBorders>
          </w:tcPr>
          <w:p w14:paraId="798BE75C"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Dmnl</w:t>
            </w:r>
          </w:p>
        </w:tc>
        <w:tc>
          <w:tcPr>
            <w:tcW w:w="394" w:type="pct"/>
            <w:tcBorders>
              <w:top w:val="nil"/>
              <w:left w:val="nil"/>
              <w:bottom w:val="nil"/>
              <w:right w:val="single" w:sz="8" w:space="0" w:color="auto"/>
            </w:tcBorders>
          </w:tcPr>
          <w:p w14:paraId="0737B288"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B54EDD" w:rsidRPr="00005635" w14:paraId="5FBA9504" w14:textId="77777777" w:rsidTr="008422F6">
        <w:trPr>
          <w:trHeight w:val="300"/>
        </w:trPr>
        <w:tc>
          <w:tcPr>
            <w:tcW w:w="340" w:type="pct"/>
            <w:vMerge/>
            <w:tcBorders>
              <w:left w:val="single" w:sz="8" w:space="0" w:color="auto"/>
              <w:bottom w:val="single" w:sz="8" w:space="0" w:color="auto"/>
              <w:right w:val="single" w:sz="8" w:space="0" w:color="auto"/>
            </w:tcBorders>
          </w:tcPr>
          <w:p w14:paraId="749AC96E"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single" w:sz="8" w:space="0" w:color="auto"/>
              <w:right w:val="single" w:sz="8" w:space="0" w:color="auto"/>
            </w:tcBorders>
            <w:noWrap/>
            <w:vAlign w:val="bottom"/>
            <w:hideMark/>
          </w:tcPr>
          <w:p w14:paraId="712E6716"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2.c.1</w:t>
            </w:r>
          </w:p>
        </w:tc>
        <w:tc>
          <w:tcPr>
            <w:tcW w:w="1021" w:type="pct"/>
            <w:tcBorders>
              <w:top w:val="nil"/>
              <w:left w:val="single" w:sz="8" w:space="0" w:color="auto"/>
              <w:bottom w:val="single" w:sz="8" w:space="0" w:color="auto"/>
              <w:right w:val="single" w:sz="8" w:space="0" w:color="auto"/>
            </w:tcBorders>
            <w:noWrap/>
            <w:vAlign w:val="bottom"/>
            <w:hideMark/>
          </w:tcPr>
          <w:p w14:paraId="1C35A703"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global_daily_nutritional_energy_intake</w:t>
            </w:r>
            <w:proofErr w:type="spellEnd"/>
          </w:p>
        </w:tc>
        <w:tc>
          <w:tcPr>
            <w:tcW w:w="2450" w:type="pct"/>
            <w:tcBorders>
              <w:top w:val="nil"/>
              <w:left w:val="nil"/>
              <w:bottom w:val="single" w:sz="8" w:space="0" w:color="auto"/>
              <w:right w:val="single" w:sz="8" w:space="0" w:color="auto"/>
            </w:tcBorders>
            <w:noWrap/>
            <w:vAlign w:val="bottom"/>
            <w:hideMark/>
          </w:tcPr>
          <w:p w14:paraId="5154E6D8" w14:textId="70E2D0FA"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val="en-GB" w:eastAsia="en-GB"/>
                <w14:ligatures w14:val="none"/>
              </w:rPr>
              <w:t xml:space="preserve">Average daily energy intake per capita from nutrition at the global level. This indicator supports SDG Target 2.1 by serving as a broad proxy for food security and the performance of the food system. It has been previously used in modelling exercises to approximate undernourishment, such as in van Vuuren et al. </w:t>
            </w:r>
            <w:r w:rsidRPr="00005635">
              <w:rPr>
                <w:rFonts w:eastAsia="Times New Roman" w:cs="Times New Roman"/>
                <w:color w:val="000000"/>
                <w:kern w:val="0"/>
                <w:lang w:eastAsia="en-GB"/>
                <w14:ligatures w14:val="none"/>
              </w:rPr>
              <w:t>(2022)</w:t>
            </w:r>
            <w:r w:rsidR="00F70FF3">
              <w:rPr>
                <w:rFonts w:eastAsia="Times New Roman" w:cs="Times New Roman"/>
                <w:color w:val="000000"/>
                <w:kern w:val="0"/>
                <w:lang w:eastAsia="en-GB"/>
                <w14:ligatures w14:val="none"/>
              </w:rPr>
              <w:fldChar w:fldCharType="begin"/>
            </w:r>
            <w:r w:rsidR="00F70FF3">
              <w:rPr>
                <w:rFonts w:eastAsia="Times New Roman" w:cs="Times New Roman"/>
                <w:color w:val="000000"/>
                <w:kern w:val="0"/>
                <w:lang w:eastAsia="en-GB"/>
                <w14:ligatures w14:val="none"/>
              </w:rPr>
              <w:instrText xml:space="preserve"> ADDIN ZOTERO_ITEM CSL_CITATION {"citationID":"9nQ421WI","properties":{"formattedCitation":"\\super 18\\nosupersub{}","plainCitation":"18","noteIndex":0},"citationItems":[{"id":337,"uris":["http://zotero.org/users/11518810/items/998QVNBN"],"itemData":{"id":337,"type":"article-journal","container-title":"One Earth","DOI":"10.1016/j.oneear.2022.01.003","ISSN":"25903322","issue":"2","journalAbbreviation":"One Earth","language":"en","page":"142-156","source":"DOI.org (Crossref)","title":"Defining a sustainable development target space for 2030 and 2050","volume":"5","author":[{"family":"Van Vuuren","given":"Detlef P."},{"family":"Zimm","given":"Caroline"},{"family":"Busch","given":"Sebastian"},{"family":"Kriegler","given":"Elmar"},{"family":"Leininger","given":"Julia"},{"family":"Messner","given":"Dirk"},{"family":"Nakicenovic","given":"Nebojsa"},{"family":"Rockstrom","given":"Johan"},{"family":"Riahi","given":"Keywan"},{"family":"Sperling","given":"Frank"},{"family":"Bosetti","given":"Valentina"},{"family":"Cornell","given":"Sarah"},{"family":"Gaffney","given":"Owen"},{"family":"Lucas","given":"Paul L."},{"family":"Popp","given":"Alexander"},{"family":"Ruhe","given":"Constantin"},{"family":"Von Schiller","given":"Armin"},{"family":"Schmidt","given":"Jörn O."},{"family":"Soergel","given":"Bjoern"}],"issued":{"date-parts":[["2022",2]]}}}],"schema":"https://github.com/citation-style-language/schema/raw/master/csl-citation.json"} </w:instrText>
            </w:r>
            <w:r w:rsidR="00F70FF3">
              <w:rPr>
                <w:rFonts w:eastAsia="Times New Roman" w:cs="Times New Roman"/>
                <w:color w:val="000000"/>
                <w:kern w:val="0"/>
                <w:lang w:eastAsia="en-GB"/>
                <w14:ligatures w14:val="none"/>
              </w:rPr>
              <w:fldChar w:fldCharType="separate"/>
            </w:r>
            <w:r w:rsidR="00F70FF3" w:rsidRPr="00F70FF3">
              <w:rPr>
                <w:rFonts w:cs="Times New Roman"/>
                <w:szCs w:val="24"/>
                <w:vertAlign w:val="superscript"/>
              </w:rPr>
              <w:t>18</w:t>
            </w:r>
            <w:r w:rsidR="00F70FF3">
              <w:rPr>
                <w:rFonts w:eastAsia="Times New Roman" w:cs="Times New Roman"/>
                <w:color w:val="000000"/>
                <w:kern w:val="0"/>
                <w:lang w:eastAsia="en-GB"/>
                <w14:ligatures w14:val="none"/>
              </w:rPr>
              <w:fldChar w:fldCharType="end"/>
            </w:r>
            <w:r w:rsidRPr="00005635">
              <w:rPr>
                <w:rFonts w:eastAsia="Times New Roman" w:cs="Times New Roman"/>
                <w:color w:val="000000"/>
                <w:kern w:val="0"/>
                <w:lang w:eastAsia="en-GB"/>
                <w14:ligatures w14:val="none"/>
              </w:rPr>
              <w:t>.</w:t>
            </w:r>
          </w:p>
        </w:tc>
        <w:tc>
          <w:tcPr>
            <w:tcW w:w="456" w:type="pct"/>
            <w:tcBorders>
              <w:top w:val="nil"/>
              <w:left w:val="nil"/>
              <w:bottom w:val="single" w:sz="8" w:space="0" w:color="auto"/>
              <w:right w:val="single" w:sz="8" w:space="0" w:color="auto"/>
            </w:tcBorders>
          </w:tcPr>
          <w:p w14:paraId="4128D49F"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kcal/(</w:t>
            </w:r>
            <w:proofErr w:type="spellStart"/>
            <w:r w:rsidRPr="00005635">
              <w:rPr>
                <w:rFonts w:eastAsia="Times New Roman" w:cs="Times New Roman"/>
                <w:color w:val="000000"/>
                <w:kern w:val="0"/>
                <w:lang w:eastAsia="en-GB"/>
                <w14:ligatures w14:val="none"/>
              </w:rPr>
              <w:t>person</w:t>
            </w:r>
            <w:proofErr w:type="spellEnd"/>
            <w:r w:rsidRPr="00005635">
              <w:rPr>
                <w:rFonts w:eastAsia="Times New Roman" w:cs="Times New Roman"/>
                <w:color w:val="000000"/>
                <w:kern w:val="0"/>
                <w:lang w:eastAsia="en-GB"/>
                <w14:ligatures w14:val="none"/>
              </w:rPr>
              <w:t>*</w:t>
            </w:r>
            <w:proofErr w:type="spellStart"/>
            <w:r w:rsidRPr="00005635">
              <w:rPr>
                <w:rFonts w:eastAsia="Times New Roman" w:cs="Times New Roman"/>
                <w:color w:val="000000"/>
                <w:kern w:val="0"/>
                <w:lang w:eastAsia="en-GB"/>
                <w14:ligatures w14:val="none"/>
              </w:rPr>
              <w:t>day</w:t>
            </w:r>
            <w:proofErr w:type="spellEnd"/>
            <w:r w:rsidRPr="00005635">
              <w:rPr>
                <w:rFonts w:eastAsia="Times New Roman" w:cs="Times New Roman"/>
                <w:color w:val="000000"/>
                <w:kern w:val="0"/>
                <w:lang w:eastAsia="en-GB"/>
                <w14:ligatures w14:val="none"/>
              </w:rPr>
              <w:t>)</w:t>
            </w:r>
          </w:p>
        </w:tc>
        <w:tc>
          <w:tcPr>
            <w:tcW w:w="394" w:type="pct"/>
            <w:tcBorders>
              <w:top w:val="nil"/>
              <w:left w:val="nil"/>
              <w:bottom w:val="single" w:sz="8" w:space="0" w:color="auto"/>
              <w:right w:val="single" w:sz="8" w:space="0" w:color="auto"/>
            </w:tcBorders>
          </w:tcPr>
          <w:p w14:paraId="56719DAB"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4D6B7FEC" w14:textId="77777777" w:rsidTr="008422F6">
        <w:trPr>
          <w:trHeight w:val="300"/>
        </w:trPr>
        <w:tc>
          <w:tcPr>
            <w:tcW w:w="340" w:type="pct"/>
            <w:tcBorders>
              <w:top w:val="nil"/>
              <w:left w:val="single" w:sz="8" w:space="0" w:color="auto"/>
              <w:bottom w:val="single" w:sz="8" w:space="0" w:color="auto"/>
              <w:right w:val="single" w:sz="8" w:space="0" w:color="auto"/>
            </w:tcBorders>
          </w:tcPr>
          <w:p w14:paraId="13F3A9E0" w14:textId="2F0CFED6" w:rsidR="00741F29" w:rsidRPr="00B54EDD" w:rsidRDefault="00B54EDD" w:rsidP="001335E8">
            <w:pPr>
              <w:spacing w:after="0" w:line="240" w:lineRule="auto"/>
              <w:jc w:val="center"/>
              <w:rPr>
                <w:rFonts w:eastAsia="Times New Roman" w:cs="Times New Roman"/>
                <w:color w:val="000000"/>
                <w:kern w:val="0"/>
                <w:lang w:val="en-GB" w:eastAsia="en-GB"/>
                <w14:ligatures w14:val="none"/>
              </w:rPr>
            </w:pPr>
            <w:r w:rsidRPr="00B54EDD">
              <w:rPr>
                <w:rFonts w:eastAsia="Times New Roman" w:cs="Times New Roman"/>
                <w:color w:val="000000"/>
                <w:kern w:val="0"/>
                <w:lang w:val="en-GB" w:eastAsia="en-GB"/>
                <w14:ligatures w14:val="none"/>
              </w:rPr>
              <w:t>Good Health and Well-b</w:t>
            </w:r>
            <w:r>
              <w:rPr>
                <w:rFonts w:eastAsia="Times New Roman" w:cs="Times New Roman"/>
                <w:color w:val="000000"/>
                <w:kern w:val="0"/>
                <w:lang w:val="en-GB" w:eastAsia="en-GB"/>
                <w14:ligatures w14:val="none"/>
              </w:rPr>
              <w:t>eing</w:t>
            </w:r>
          </w:p>
        </w:tc>
        <w:tc>
          <w:tcPr>
            <w:tcW w:w="340" w:type="pct"/>
            <w:tcBorders>
              <w:top w:val="nil"/>
              <w:left w:val="single" w:sz="8" w:space="0" w:color="auto"/>
              <w:bottom w:val="single" w:sz="8" w:space="0" w:color="auto"/>
              <w:right w:val="single" w:sz="8" w:space="0" w:color="auto"/>
            </w:tcBorders>
            <w:noWrap/>
            <w:vAlign w:val="bottom"/>
            <w:hideMark/>
          </w:tcPr>
          <w:p w14:paraId="05C8ADAD" w14:textId="77777777" w:rsidR="00741F29" w:rsidRPr="00005635" w:rsidRDefault="00741F29"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3.2.1</w:t>
            </w:r>
          </w:p>
        </w:tc>
        <w:tc>
          <w:tcPr>
            <w:tcW w:w="1021" w:type="pct"/>
            <w:tcBorders>
              <w:top w:val="nil"/>
              <w:left w:val="single" w:sz="8" w:space="0" w:color="auto"/>
              <w:bottom w:val="single" w:sz="8" w:space="0" w:color="auto"/>
              <w:right w:val="single" w:sz="8" w:space="0" w:color="auto"/>
            </w:tcBorders>
            <w:noWrap/>
            <w:vAlign w:val="bottom"/>
            <w:hideMark/>
          </w:tcPr>
          <w:p w14:paraId="7EBB7B45" w14:textId="77777777" w:rsidR="00741F29" w:rsidRPr="00005635" w:rsidRDefault="00741F29"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global_under_5_mortality_rate</w:t>
            </w:r>
          </w:p>
        </w:tc>
        <w:tc>
          <w:tcPr>
            <w:tcW w:w="2450" w:type="pct"/>
            <w:tcBorders>
              <w:top w:val="nil"/>
              <w:left w:val="nil"/>
              <w:bottom w:val="single" w:sz="8" w:space="0" w:color="auto"/>
              <w:right w:val="single" w:sz="8" w:space="0" w:color="auto"/>
            </w:tcBorders>
            <w:noWrap/>
            <w:vAlign w:val="bottom"/>
            <w:hideMark/>
          </w:tcPr>
          <w:p w14:paraId="7974F375" w14:textId="77777777" w:rsidR="00741F29" w:rsidRPr="00005635" w:rsidRDefault="00741F29"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Average global under-five mortality rate, expressed as the number of deaths of children under five per 1,000 live births. This official indicator directly tracks SDG Target 3.2, which aims to reduce child mortality.</w:t>
            </w:r>
          </w:p>
        </w:tc>
        <w:tc>
          <w:tcPr>
            <w:tcW w:w="456" w:type="pct"/>
            <w:tcBorders>
              <w:top w:val="nil"/>
              <w:left w:val="nil"/>
              <w:bottom w:val="single" w:sz="8" w:space="0" w:color="auto"/>
              <w:right w:val="single" w:sz="8" w:space="0" w:color="auto"/>
            </w:tcBorders>
          </w:tcPr>
          <w:p w14:paraId="16ACD734" w14:textId="77777777" w:rsidR="00741F29" w:rsidRPr="00005635" w:rsidRDefault="00741F29"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person</w:t>
            </w:r>
            <w:proofErr w:type="spellEnd"/>
            <w:r w:rsidRPr="00005635">
              <w:rPr>
                <w:rFonts w:eastAsia="Times New Roman" w:cs="Times New Roman"/>
                <w:color w:val="000000"/>
                <w:kern w:val="0"/>
                <w:lang w:eastAsia="en-GB"/>
                <w14:ligatures w14:val="none"/>
              </w:rPr>
              <w:t>/</w:t>
            </w:r>
            <w:proofErr w:type="spellStart"/>
            <w:r w:rsidRPr="00005635">
              <w:rPr>
                <w:rFonts w:eastAsia="Times New Roman" w:cs="Times New Roman"/>
                <w:color w:val="000000"/>
                <w:kern w:val="0"/>
                <w:lang w:eastAsia="en-GB"/>
                <w14:ligatures w14:val="none"/>
              </w:rPr>
              <w:t>kpeople</w:t>
            </w:r>
            <w:proofErr w:type="spellEnd"/>
          </w:p>
        </w:tc>
        <w:tc>
          <w:tcPr>
            <w:tcW w:w="394" w:type="pct"/>
            <w:tcBorders>
              <w:top w:val="nil"/>
              <w:left w:val="nil"/>
              <w:bottom w:val="single" w:sz="8" w:space="0" w:color="auto"/>
              <w:right w:val="single" w:sz="8" w:space="0" w:color="auto"/>
            </w:tcBorders>
          </w:tcPr>
          <w:p w14:paraId="7FC89791" w14:textId="77777777" w:rsidR="00741F29" w:rsidRPr="00005635" w:rsidRDefault="00741F29"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B54EDD" w:rsidRPr="00005635" w14:paraId="6DBC7DB3" w14:textId="77777777" w:rsidTr="008422F6">
        <w:trPr>
          <w:trHeight w:val="453"/>
        </w:trPr>
        <w:tc>
          <w:tcPr>
            <w:tcW w:w="340" w:type="pct"/>
            <w:vMerge w:val="restart"/>
            <w:tcBorders>
              <w:top w:val="nil"/>
              <w:left w:val="single" w:sz="8" w:space="0" w:color="auto"/>
              <w:right w:val="single" w:sz="8" w:space="0" w:color="auto"/>
            </w:tcBorders>
            <w:vAlign w:val="center"/>
          </w:tcPr>
          <w:p w14:paraId="30177074" w14:textId="670D6C6D" w:rsidR="00B54EDD" w:rsidRPr="00005635" w:rsidRDefault="00B54EDD" w:rsidP="00B54EDD">
            <w:pPr>
              <w:spacing w:after="0" w:line="240" w:lineRule="auto"/>
              <w:jc w:val="center"/>
              <w:rPr>
                <w:rFonts w:eastAsia="Times New Roman" w:cs="Times New Roman"/>
                <w:color w:val="000000"/>
                <w:kern w:val="0"/>
                <w:lang w:eastAsia="en-GB"/>
                <w14:ligatures w14:val="none"/>
              </w:rPr>
            </w:pPr>
            <w:proofErr w:type="spellStart"/>
            <w:r>
              <w:rPr>
                <w:rFonts w:eastAsia="Times New Roman" w:cs="Times New Roman"/>
                <w:color w:val="000000"/>
                <w:kern w:val="0"/>
                <w:lang w:eastAsia="en-GB"/>
                <w14:ligatures w14:val="none"/>
              </w:rPr>
              <w:lastRenderedPageBreak/>
              <w:t>Clean</w:t>
            </w:r>
            <w:proofErr w:type="spellEnd"/>
            <w:r>
              <w:rPr>
                <w:rFonts w:eastAsia="Times New Roman" w:cs="Times New Roman"/>
                <w:color w:val="000000"/>
                <w:kern w:val="0"/>
                <w:lang w:eastAsia="en-GB"/>
                <w14:ligatures w14:val="none"/>
              </w:rPr>
              <w:t xml:space="preserve"> </w:t>
            </w:r>
            <w:proofErr w:type="spellStart"/>
            <w:r>
              <w:rPr>
                <w:rFonts w:eastAsia="Times New Roman" w:cs="Times New Roman"/>
                <w:color w:val="000000"/>
                <w:kern w:val="0"/>
                <w:lang w:eastAsia="en-GB"/>
                <w14:ligatures w14:val="none"/>
              </w:rPr>
              <w:t>Water</w:t>
            </w:r>
            <w:proofErr w:type="spellEnd"/>
            <w:r>
              <w:rPr>
                <w:rFonts w:eastAsia="Times New Roman" w:cs="Times New Roman"/>
                <w:color w:val="000000"/>
                <w:kern w:val="0"/>
                <w:lang w:eastAsia="en-GB"/>
                <w14:ligatures w14:val="none"/>
              </w:rPr>
              <w:t xml:space="preserve"> and </w:t>
            </w:r>
            <w:proofErr w:type="spellStart"/>
            <w:r>
              <w:rPr>
                <w:rFonts w:eastAsia="Times New Roman" w:cs="Times New Roman"/>
                <w:color w:val="000000"/>
                <w:kern w:val="0"/>
                <w:lang w:eastAsia="en-GB"/>
                <w14:ligatures w14:val="none"/>
              </w:rPr>
              <w:t>Sanitation</w:t>
            </w:r>
            <w:proofErr w:type="spellEnd"/>
          </w:p>
        </w:tc>
        <w:tc>
          <w:tcPr>
            <w:tcW w:w="340" w:type="pct"/>
            <w:tcBorders>
              <w:top w:val="nil"/>
              <w:left w:val="single" w:sz="8" w:space="0" w:color="auto"/>
              <w:bottom w:val="nil"/>
              <w:right w:val="single" w:sz="8" w:space="0" w:color="auto"/>
            </w:tcBorders>
            <w:noWrap/>
            <w:vAlign w:val="bottom"/>
            <w:hideMark/>
          </w:tcPr>
          <w:p w14:paraId="0E41E550"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6</w:t>
            </w:r>
          </w:p>
        </w:tc>
        <w:tc>
          <w:tcPr>
            <w:tcW w:w="1021" w:type="pct"/>
            <w:tcBorders>
              <w:top w:val="nil"/>
              <w:left w:val="single" w:sz="8" w:space="0" w:color="auto"/>
              <w:bottom w:val="nil"/>
              <w:right w:val="single" w:sz="8" w:space="0" w:color="auto"/>
            </w:tcBorders>
            <w:noWrap/>
            <w:vAlign w:val="bottom"/>
            <w:hideMark/>
          </w:tcPr>
          <w:p w14:paraId="1106F95E"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global_effective_blue_water_demanded_for_agriculture</w:t>
            </w:r>
            <w:proofErr w:type="spellEnd"/>
          </w:p>
        </w:tc>
        <w:tc>
          <w:tcPr>
            <w:tcW w:w="2450" w:type="pct"/>
            <w:tcBorders>
              <w:top w:val="nil"/>
              <w:left w:val="nil"/>
              <w:bottom w:val="nil"/>
              <w:right w:val="single" w:sz="8" w:space="0" w:color="auto"/>
            </w:tcBorders>
            <w:noWrap/>
            <w:vAlign w:val="bottom"/>
            <w:hideMark/>
          </w:tcPr>
          <w:p w14:paraId="539953AE" w14:textId="1DA51F61"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val="en-GB" w:eastAsia="en-GB"/>
                <w14:ligatures w14:val="none"/>
              </w:rPr>
              <w:t xml:space="preserve">Effective global blue water demand for agricultural use. This variable proxies SDG Target 6.4, focusing on sustainable freshwater withdrawals, as presented by </w:t>
            </w:r>
            <w:proofErr w:type="spellStart"/>
            <w:r w:rsidRPr="00005635">
              <w:rPr>
                <w:rFonts w:eastAsia="Times New Roman" w:cs="Times New Roman"/>
                <w:color w:val="000000"/>
                <w:kern w:val="0"/>
                <w:lang w:val="en-GB" w:eastAsia="en-GB"/>
                <w14:ligatures w14:val="none"/>
              </w:rPr>
              <w:t>Soergel</w:t>
            </w:r>
            <w:proofErr w:type="spellEnd"/>
            <w:r w:rsidRPr="00005635">
              <w:rPr>
                <w:rFonts w:eastAsia="Times New Roman" w:cs="Times New Roman"/>
                <w:color w:val="000000"/>
                <w:kern w:val="0"/>
                <w:lang w:val="en-GB" w:eastAsia="en-GB"/>
                <w14:ligatures w14:val="none"/>
              </w:rPr>
              <w:t xml:space="preserve"> et al. </w:t>
            </w:r>
            <w:r w:rsidRPr="00005635">
              <w:rPr>
                <w:rFonts w:eastAsia="Times New Roman" w:cs="Times New Roman"/>
                <w:color w:val="000000"/>
                <w:kern w:val="0"/>
                <w:lang w:eastAsia="en-GB"/>
                <w14:ligatures w14:val="none"/>
              </w:rPr>
              <w:t>(2021)</w:t>
            </w:r>
            <w:r w:rsidR="00F70FF3">
              <w:rPr>
                <w:rFonts w:eastAsia="Times New Roman" w:cs="Times New Roman"/>
                <w:color w:val="000000"/>
                <w:kern w:val="0"/>
                <w:lang w:eastAsia="en-GB"/>
                <w14:ligatures w14:val="none"/>
              </w:rPr>
              <w:fldChar w:fldCharType="begin"/>
            </w:r>
            <w:r w:rsidR="00F70FF3">
              <w:rPr>
                <w:rFonts w:eastAsia="Times New Roman" w:cs="Times New Roman"/>
                <w:color w:val="000000"/>
                <w:kern w:val="0"/>
                <w:lang w:eastAsia="en-GB"/>
                <w14:ligatures w14:val="none"/>
              </w:rPr>
              <w:instrText xml:space="preserve"> ADDIN ZOTERO_ITEM CSL_CITATION {"citationID":"4n0DuhcU","properties":{"formattedCitation":"\\super 9\\nosupersub{}","plainCitation":"9","noteIndex":0},"citationItems":[{"id":280,"uris":["http://zotero.org/users/11518810/items/3ICHZ5BF"],"itemData":{"id":280,"type":"article-journal","container-title":"Nature Climate Change","DOI":"10.1038/s41558-021-01098-3","ISSN":"1758-678X, 1758-6798","issue":"8","journalAbbreviation":"Nat. Clim. Chang.","language":"en","page":"656-664","source":"DOI.org (Crossref)","title":"A sustainable development pathway for climate action within the UN 2030 Agenda","volume":"11","author":[{"family":"Soergel","given":"Bjoern"},{"family":"Kriegler","given":"Elmar"},{"family":"Weindl","given":"Isabelle"},{"family":"Rauner","given":"Sebastian"},{"family":"Dirnaichner","given":"Alois"},{"family":"Ruhe","given":"Constantin"},{"family":"Hofmann","given":"Matthias"},{"family":"Bauer","given":"Nico"},{"family":"Bertram","given":"Christoph"},{"family":"Bodirsky","given":"Benjamin Leon"},{"family":"Leimbach","given":"Marian"},{"family":"Leininger","given":"Julia"},{"family":"Levesque","given":"Antoine"},{"family":"Luderer","given":"Gunnar"},{"family":"Pehl","given":"Michaja"},{"family":"Wingens","given":"Christopher"},{"family":"Baumstark","given":"Lavinia"},{"family":"Beier","given":"Felicitas"},{"family":"Dietrich","given":"Jan Philipp"},{"family":"Humpenöder","given":"Florian"},{"family":"Von Jeetze","given":"Patrick"},{"family":"Klein","given":"David"},{"family":"Koch","given":"Johannes"},{"family":"Pietzcker","given":"Robert"},{"family":"Strefler","given":"Jessica"},{"family":"Lotze-Campen","given":"Hermann"},{"family":"Popp","given":"Alexander"}],"issued":{"date-parts":[["2021",8]]}}}],"schema":"https://github.com/citation-style-language/schema/raw/master/csl-citation.json"} </w:instrText>
            </w:r>
            <w:r w:rsidR="00F70FF3">
              <w:rPr>
                <w:rFonts w:eastAsia="Times New Roman" w:cs="Times New Roman"/>
                <w:color w:val="000000"/>
                <w:kern w:val="0"/>
                <w:lang w:eastAsia="en-GB"/>
                <w14:ligatures w14:val="none"/>
              </w:rPr>
              <w:fldChar w:fldCharType="separate"/>
            </w:r>
            <w:r w:rsidR="00F70FF3" w:rsidRPr="00F70FF3">
              <w:rPr>
                <w:rFonts w:cs="Times New Roman"/>
                <w:szCs w:val="24"/>
                <w:vertAlign w:val="superscript"/>
              </w:rPr>
              <w:t>9</w:t>
            </w:r>
            <w:r w:rsidR="00F70FF3">
              <w:rPr>
                <w:rFonts w:eastAsia="Times New Roman" w:cs="Times New Roman"/>
                <w:color w:val="000000"/>
                <w:kern w:val="0"/>
                <w:lang w:eastAsia="en-GB"/>
                <w14:ligatures w14:val="none"/>
              </w:rPr>
              <w:fldChar w:fldCharType="end"/>
            </w:r>
            <w:r w:rsidRPr="00005635">
              <w:rPr>
                <w:rFonts w:eastAsia="Times New Roman" w:cs="Times New Roman"/>
                <w:color w:val="000000"/>
                <w:kern w:val="0"/>
                <w:lang w:eastAsia="en-GB"/>
                <w14:ligatures w14:val="none"/>
              </w:rPr>
              <w:t>.</w:t>
            </w:r>
          </w:p>
        </w:tc>
        <w:tc>
          <w:tcPr>
            <w:tcW w:w="456" w:type="pct"/>
            <w:tcBorders>
              <w:top w:val="nil"/>
              <w:left w:val="nil"/>
              <w:bottom w:val="nil"/>
              <w:right w:val="single" w:sz="8" w:space="0" w:color="auto"/>
            </w:tcBorders>
          </w:tcPr>
          <w:p w14:paraId="3C2C0D75"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hm3</w:t>
            </w:r>
          </w:p>
        </w:tc>
        <w:tc>
          <w:tcPr>
            <w:tcW w:w="394" w:type="pct"/>
            <w:tcBorders>
              <w:top w:val="nil"/>
              <w:left w:val="nil"/>
              <w:bottom w:val="nil"/>
              <w:right w:val="single" w:sz="8" w:space="0" w:color="auto"/>
            </w:tcBorders>
          </w:tcPr>
          <w:p w14:paraId="010D13C8"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B54EDD" w:rsidRPr="00005635" w14:paraId="39045E3E" w14:textId="77777777" w:rsidTr="008422F6">
        <w:trPr>
          <w:trHeight w:val="339"/>
        </w:trPr>
        <w:tc>
          <w:tcPr>
            <w:tcW w:w="340" w:type="pct"/>
            <w:vMerge/>
            <w:tcBorders>
              <w:left w:val="single" w:sz="8" w:space="0" w:color="auto"/>
              <w:right w:val="single" w:sz="8" w:space="0" w:color="auto"/>
            </w:tcBorders>
          </w:tcPr>
          <w:p w14:paraId="732F3602"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nil"/>
              <w:right w:val="single" w:sz="8" w:space="0" w:color="auto"/>
            </w:tcBorders>
            <w:noWrap/>
            <w:vAlign w:val="bottom"/>
            <w:hideMark/>
          </w:tcPr>
          <w:p w14:paraId="7537EB60"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6</w:t>
            </w:r>
          </w:p>
        </w:tc>
        <w:tc>
          <w:tcPr>
            <w:tcW w:w="1021" w:type="pct"/>
            <w:tcBorders>
              <w:top w:val="nil"/>
              <w:left w:val="single" w:sz="8" w:space="0" w:color="auto"/>
              <w:bottom w:val="nil"/>
              <w:right w:val="single" w:sz="8" w:space="0" w:color="auto"/>
            </w:tcBorders>
            <w:noWrap/>
            <w:vAlign w:val="bottom"/>
            <w:hideMark/>
          </w:tcPr>
          <w:p w14:paraId="7D4DBD6E" w14:textId="77777777" w:rsidR="00B54EDD" w:rsidRPr="00005635" w:rsidRDefault="00B54EDD"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global_fertilizers_demanded</w:t>
            </w:r>
            <w:proofErr w:type="spellEnd"/>
          </w:p>
        </w:tc>
        <w:tc>
          <w:tcPr>
            <w:tcW w:w="2450" w:type="pct"/>
            <w:tcBorders>
              <w:top w:val="nil"/>
              <w:left w:val="nil"/>
              <w:bottom w:val="nil"/>
              <w:right w:val="single" w:sz="8" w:space="0" w:color="auto"/>
            </w:tcBorders>
            <w:noWrap/>
            <w:vAlign w:val="bottom"/>
            <w:hideMark/>
          </w:tcPr>
          <w:p w14:paraId="2A691308" w14:textId="05849D9B"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val="en-GB" w:eastAsia="en-GB"/>
                <w14:ligatures w14:val="none"/>
              </w:rPr>
              <w:t xml:space="preserve">Global demand for industrial fertilizers, primarily nitrogen-based. It serves as a proxy for nutrient-related water pollution, relevant to SDG Target 6.3 on improving water quality. </w:t>
            </w:r>
            <w:proofErr w:type="spellStart"/>
            <w:r w:rsidRPr="00005635">
              <w:rPr>
                <w:rFonts w:eastAsia="Times New Roman" w:cs="Times New Roman"/>
                <w:color w:val="000000"/>
                <w:kern w:val="0"/>
                <w:lang w:eastAsia="en-GB"/>
                <w14:ligatures w14:val="none"/>
              </w:rPr>
              <w:t>It</w:t>
            </w:r>
            <w:proofErr w:type="spellEnd"/>
            <w:r w:rsidRPr="00005635">
              <w:rPr>
                <w:rFonts w:eastAsia="Times New Roman" w:cs="Times New Roman"/>
                <w:color w:val="000000"/>
                <w:kern w:val="0"/>
                <w:lang w:eastAsia="en-GB"/>
                <w14:ligatures w14:val="none"/>
              </w:rPr>
              <w:t xml:space="preserve"> </w:t>
            </w:r>
            <w:proofErr w:type="spellStart"/>
            <w:r w:rsidRPr="00005635">
              <w:rPr>
                <w:rFonts w:eastAsia="Times New Roman" w:cs="Times New Roman"/>
                <w:color w:val="000000"/>
                <w:kern w:val="0"/>
                <w:lang w:eastAsia="en-GB"/>
                <w14:ligatures w14:val="none"/>
              </w:rPr>
              <w:t>is</w:t>
            </w:r>
            <w:proofErr w:type="spellEnd"/>
            <w:r w:rsidRPr="00005635">
              <w:rPr>
                <w:rFonts w:eastAsia="Times New Roman" w:cs="Times New Roman"/>
                <w:color w:val="000000"/>
                <w:kern w:val="0"/>
                <w:lang w:eastAsia="en-GB"/>
                <w14:ligatures w14:val="none"/>
              </w:rPr>
              <w:t xml:space="preserve"> </w:t>
            </w:r>
            <w:proofErr w:type="spellStart"/>
            <w:r w:rsidRPr="00005635">
              <w:rPr>
                <w:rFonts w:eastAsia="Times New Roman" w:cs="Times New Roman"/>
                <w:color w:val="000000"/>
                <w:kern w:val="0"/>
                <w:lang w:eastAsia="en-GB"/>
                <w14:ligatures w14:val="none"/>
              </w:rPr>
              <w:t>derived</w:t>
            </w:r>
            <w:proofErr w:type="spellEnd"/>
            <w:r w:rsidRPr="00005635">
              <w:rPr>
                <w:rFonts w:eastAsia="Times New Roman" w:cs="Times New Roman"/>
                <w:color w:val="000000"/>
                <w:kern w:val="0"/>
                <w:lang w:eastAsia="en-GB"/>
                <w14:ligatures w14:val="none"/>
              </w:rPr>
              <w:t xml:space="preserve"> </w:t>
            </w:r>
            <w:proofErr w:type="spellStart"/>
            <w:r w:rsidRPr="00005635">
              <w:rPr>
                <w:rFonts w:eastAsia="Times New Roman" w:cs="Times New Roman"/>
                <w:color w:val="000000"/>
                <w:kern w:val="0"/>
                <w:lang w:eastAsia="en-GB"/>
                <w14:ligatures w14:val="none"/>
              </w:rPr>
              <w:t>from</w:t>
            </w:r>
            <w:proofErr w:type="spellEnd"/>
            <w:r w:rsidRPr="00005635">
              <w:rPr>
                <w:rFonts w:eastAsia="Times New Roman" w:cs="Times New Roman"/>
                <w:color w:val="000000"/>
                <w:kern w:val="0"/>
                <w:lang w:eastAsia="en-GB"/>
                <w14:ligatures w14:val="none"/>
              </w:rPr>
              <w:t xml:space="preserve"> </w:t>
            </w:r>
            <w:proofErr w:type="spellStart"/>
            <w:r w:rsidRPr="00005635">
              <w:rPr>
                <w:rFonts w:eastAsia="Times New Roman" w:cs="Times New Roman"/>
                <w:color w:val="000000"/>
                <w:kern w:val="0"/>
                <w:lang w:eastAsia="en-GB"/>
                <w14:ligatures w14:val="none"/>
              </w:rPr>
              <w:t>Soergel</w:t>
            </w:r>
            <w:proofErr w:type="spellEnd"/>
            <w:r w:rsidRPr="00005635">
              <w:rPr>
                <w:rFonts w:eastAsia="Times New Roman" w:cs="Times New Roman"/>
                <w:color w:val="000000"/>
                <w:kern w:val="0"/>
                <w:lang w:eastAsia="en-GB"/>
                <w14:ligatures w14:val="none"/>
              </w:rPr>
              <w:t xml:space="preserve"> et al. (2021)</w:t>
            </w:r>
            <w:r w:rsidR="00F70FF3">
              <w:rPr>
                <w:rFonts w:eastAsia="Times New Roman" w:cs="Times New Roman"/>
                <w:color w:val="000000"/>
                <w:kern w:val="0"/>
                <w:lang w:eastAsia="en-GB"/>
                <w14:ligatures w14:val="none"/>
              </w:rPr>
              <w:fldChar w:fldCharType="begin"/>
            </w:r>
            <w:r w:rsidR="00F70FF3">
              <w:rPr>
                <w:rFonts w:eastAsia="Times New Roman" w:cs="Times New Roman"/>
                <w:color w:val="000000"/>
                <w:kern w:val="0"/>
                <w:lang w:eastAsia="en-GB"/>
                <w14:ligatures w14:val="none"/>
              </w:rPr>
              <w:instrText xml:space="preserve"> ADDIN ZOTERO_ITEM CSL_CITATION {"citationID":"en1NkIl5","properties":{"formattedCitation":"\\super 9\\nosupersub{}","plainCitation":"9","noteIndex":0},"citationItems":[{"id":280,"uris":["http://zotero.org/users/11518810/items/3ICHZ5BF"],"itemData":{"id":280,"type":"article-journal","container-title":"Nature Climate Change","DOI":"10.1038/s41558-021-01098-3","ISSN":"1758-678X, 1758-6798","issue":"8","journalAbbreviation":"Nat. Clim. Chang.","language":"en","page":"656-664","source":"DOI.org (Crossref)","title":"A sustainable development pathway for climate action within the UN 2030 Agenda","volume":"11","author":[{"family":"Soergel","given":"Bjoern"},{"family":"Kriegler","given":"Elmar"},{"family":"Weindl","given":"Isabelle"},{"family":"Rauner","given":"Sebastian"},{"family":"Dirnaichner","given":"Alois"},{"family":"Ruhe","given":"Constantin"},{"family":"Hofmann","given":"Matthias"},{"family":"Bauer","given":"Nico"},{"family":"Bertram","given":"Christoph"},{"family":"Bodirsky","given":"Benjamin Leon"},{"family":"Leimbach","given":"Marian"},{"family":"Leininger","given":"Julia"},{"family":"Levesque","given":"Antoine"},{"family":"Luderer","given":"Gunnar"},{"family":"Pehl","given":"Michaja"},{"family":"Wingens","given":"Christopher"},{"family":"Baumstark","given":"Lavinia"},{"family":"Beier","given":"Felicitas"},{"family":"Dietrich","given":"Jan Philipp"},{"family":"Humpenöder","given":"Florian"},{"family":"Von Jeetze","given":"Patrick"},{"family":"Klein","given":"David"},{"family":"Koch","given":"Johannes"},{"family":"Pietzcker","given":"Robert"},{"family":"Strefler","given":"Jessica"},{"family":"Lotze-Campen","given":"Hermann"},{"family":"Popp","given":"Alexander"}],"issued":{"date-parts":[["2021",8]]}}}],"schema":"https://github.com/citation-style-language/schema/raw/master/csl-citation.json"} </w:instrText>
            </w:r>
            <w:r w:rsidR="00F70FF3">
              <w:rPr>
                <w:rFonts w:eastAsia="Times New Roman" w:cs="Times New Roman"/>
                <w:color w:val="000000"/>
                <w:kern w:val="0"/>
                <w:lang w:eastAsia="en-GB"/>
                <w14:ligatures w14:val="none"/>
              </w:rPr>
              <w:fldChar w:fldCharType="separate"/>
            </w:r>
            <w:r w:rsidR="00F70FF3" w:rsidRPr="00F70FF3">
              <w:rPr>
                <w:rFonts w:cs="Times New Roman"/>
                <w:szCs w:val="24"/>
                <w:vertAlign w:val="superscript"/>
              </w:rPr>
              <w:t>9</w:t>
            </w:r>
            <w:r w:rsidR="00F70FF3">
              <w:rPr>
                <w:rFonts w:eastAsia="Times New Roman" w:cs="Times New Roman"/>
                <w:color w:val="000000"/>
                <w:kern w:val="0"/>
                <w:lang w:eastAsia="en-GB"/>
                <w14:ligatures w14:val="none"/>
              </w:rPr>
              <w:fldChar w:fldCharType="end"/>
            </w:r>
            <w:r w:rsidRPr="00005635">
              <w:rPr>
                <w:rFonts w:eastAsia="Times New Roman" w:cs="Times New Roman"/>
                <w:color w:val="000000"/>
                <w:kern w:val="0"/>
                <w:lang w:eastAsia="en-GB"/>
                <w14:ligatures w14:val="none"/>
              </w:rPr>
              <w:t>.</w:t>
            </w:r>
          </w:p>
        </w:tc>
        <w:tc>
          <w:tcPr>
            <w:tcW w:w="456" w:type="pct"/>
            <w:tcBorders>
              <w:top w:val="nil"/>
              <w:left w:val="nil"/>
              <w:bottom w:val="nil"/>
              <w:right w:val="single" w:sz="8" w:space="0" w:color="auto"/>
            </w:tcBorders>
          </w:tcPr>
          <w:p w14:paraId="1C0BED4E" w14:textId="77777777" w:rsidR="00B54EDD" w:rsidRPr="00005635" w:rsidRDefault="00B54EDD"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tonnes</w:t>
            </w:r>
            <w:proofErr w:type="spellEnd"/>
          </w:p>
        </w:tc>
        <w:tc>
          <w:tcPr>
            <w:tcW w:w="394" w:type="pct"/>
            <w:tcBorders>
              <w:top w:val="nil"/>
              <w:left w:val="nil"/>
              <w:bottom w:val="nil"/>
              <w:right w:val="single" w:sz="8" w:space="0" w:color="auto"/>
            </w:tcBorders>
          </w:tcPr>
          <w:p w14:paraId="109B832F"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B54EDD" w:rsidRPr="00005635" w14:paraId="42ECE76C" w14:textId="77777777" w:rsidTr="008422F6">
        <w:trPr>
          <w:trHeight w:val="300"/>
        </w:trPr>
        <w:tc>
          <w:tcPr>
            <w:tcW w:w="340" w:type="pct"/>
            <w:vMerge/>
            <w:tcBorders>
              <w:left w:val="single" w:sz="8" w:space="0" w:color="auto"/>
              <w:bottom w:val="single" w:sz="8" w:space="0" w:color="auto"/>
              <w:right w:val="single" w:sz="8" w:space="0" w:color="auto"/>
            </w:tcBorders>
          </w:tcPr>
          <w:p w14:paraId="77A044E4"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single" w:sz="8" w:space="0" w:color="auto"/>
              <w:right w:val="single" w:sz="8" w:space="0" w:color="auto"/>
            </w:tcBorders>
            <w:noWrap/>
            <w:vAlign w:val="bottom"/>
            <w:hideMark/>
          </w:tcPr>
          <w:p w14:paraId="5A7FCCE6"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6.4.2</w:t>
            </w:r>
          </w:p>
        </w:tc>
        <w:tc>
          <w:tcPr>
            <w:tcW w:w="1021" w:type="pct"/>
            <w:tcBorders>
              <w:top w:val="nil"/>
              <w:left w:val="single" w:sz="8" w:space="0" w:color="auto"/>
              <w:bottom w:val="single" w:sz="8" w:space="0" w:color="auto"/>
              <w:right w:val="single" w:sz="8" w:space="0" w:color="auto"/>
            </w:tcBorders>
            <w:noWrap/>
            <w:vAlign w:val="bottom"/>
            <w:hideMark/>
          </w:tcPr>
          <w:p w14:paraId="73E466F2" w14:textId="77777777" w:rsidR="00B54EDD" w:rsidRPr="00005635" w:rsidRDefault="00B54EDD"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global_water_stress</w:t>
            </w:r>
            <w:proofErr w:type="spellEnd"/>
          </w:p>
        </w:tc>
        <w:tc>
          <w:tcPr>
            <w:tcW w:w="2450" w:type="pct"/>
            <w:tcBorders>
              <w:top w:val="nil"/>
              <w:left w:val="nil"/>
              <w:bottom w:val="single" w:sz="8" w:space="0" w:color="auto"/>
              <w:right w:val="single" w:sz="8" w:space="0" w:color="auto"/>
            </w:tcBorders>
            <w:noWrap/>
            <w:vAlign w:val="bottom"/>
            <w:hideMark/>
          </w:tcPr>
          <w:p w14:paraId="1C4E587D"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Global water stress level, defined as the ratio of total freshwater withdrawn to available renewable water resources. This is a direct official indicator under SDG Target 6.4 addressing sustainable water use.</w:t>
            </w:r>
          </w:p>
        </w:tc>
        <w:tc>
          <w:tcPr>
            <w:tcW w:w="456" w:type="pct"/>
            <w:tcBorders>
              <w:top w:val="nil"/>
              <w:left w:val="nil"/>
              <w:bottom w:val="single" w:sz="8" w:space="0" w:color="auto"/>
              <w:right w:val="single" w:sz="8" w:space="0" w:color="auto"/>
            </w:tcBorders>
          </w:tcPr>
          <w:p w14:paraId="04A56F95"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w:t>
            </w:r>
          </w:p>
        </w:tc>
        <w:tc>
          <w:tcPr>
            <w:tcW w:w="394" w:type="pct"/>
            <w:tcBorders>
              <w:top w:val="nil"/>
              <w:left w:val="nil"/>
              <w:bottom w:val="single" w:sz="8" w:space="0" w:color="auto"/>
              <w:right w:val="single" w:sz="8" w:space="0" w:color="auto"/>
            </w:tcBorders>
          </w:tcPr>
          <w:p w14:paraId="59B65522"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B54EDD" w:rsidRPr="00005635" w14:paraId="0C0478F7" w14:textId="77777777" w:rsidTr="008422F6">
        <w:trPr>
          <w:trHeight w:val="317"/>
        </w:trPr>
        <w:tc>
          <w:tcPr>
            <w:tcW w:w="340" w:type="pct"/>
            <w:vMerge w:val="restart"/>
            <w:tcBorders>
              <w:top w:val="nil"/>
              <w:left w:val="single" w:sz="8" w:space="0" w:color="auto"/>
              <w:right w:val="single" w:sz="8" w:space="0" w:color="auto"/>
            </w:tcBorders>
            <w:vAlign w:val="center"/>
          </w:tcPr>
          <w:p w14:paraId="1576ED8F" w14:textId="1C77E246" w:rsidR="00B54EDD" w:rsidRPr="00005635" w:rsidRDefault="00B54EDD" w:rsidP="00B54EDD">
            <w:pPr>
              <w:spacing w:after="0" w:line="240" w:lineRule="auto"/>
              <w:jc w:val="center"/>
              <w:rPr>
                <w:rFonts w:eastAsia="Times New Roman" w:cs="Times New Roman"/>
                <w:color w:val="000000"/>
                <w:kern w:val="0"/>
                <w:lang w:eastAsia="en-GB"/>
                <w14:ligatures w14:val="none"/>
              </w:rPr>
            </w:pPr>
            <w:proofErr w:type="spellStart"/>
            <w:r>
              <w:rPr>
                <w:rFonts w:eastAsia="Times New Roman" w:cs="Times New Roman"/>
                <w:color w:val="000000"/>
                <w:kern w:val="0"/>
                <w:lang w:eastAsia="en-GB"/>
                <w14:ligatures w14:val="none"/>
              </w:rPr>
              <w:t>Affordable</w:t>
            </w:r>
            <w:proofErr w:type="spellEnd"/>
            <w:r>
              <w:rPr>
                <w:rFonts w:eastAsia="Times New Roman" w:cs="Times New Roman"/>
                <w:color w:val="000000"/>
                <w:kern w:val="0"/>
                <w:lang w:eastAsia="en-GB"/>
                <w14:ligatures w14:val="none"/>
              </w:rPr>
              <w:t xml:space="preserve"> and </w:t>
            </w:r>
            <w:proofErr w:type="spellStart"/>
            <w:r>
              <w:rPr>
                <w:rFonts w:eastAsia="Times New Roman" w:cs="Times New Roman"/>
                <w:color w:val="000000"/>
                <w:kern w:val="0"/>
                <w:lang w:eastAsia="en-GB"/>
                <w14:ligatures w14:val="none"/>
              </w:rPr>
              <w:t>Clean</w:t>
            </w:r>
            <w:proofErr w:type="spellEnd"/>
            <w:r>
              <w:rPr>
                <w:rFonts w:eastAsia="Times New Roman" w:cs="Times New Roman"/>
                <w:color w:val="000000"/>
                <w:kern w:val="0"/>
                <w:lang w:eastAsia="en-GB"/>
                <w14:ligatures w14:val="none"/>
              </w:rPr>
              <w:t xml:space="preserve"> Energy</w:t>
            </w:r>
          </w:p>
        </w:tc>
        <w:tc>
          <w:tcPr>
            <w:tcW w:w="340" w:type="pct"/>
            <w:tcBorders>
              <w:top w:val="nil"/>
              <w:left w:val="single" w:sz="8" w:space="0" w:color="auto"/>
              <w:bottom w:val="nil"/>
              <w:right w:val="single" w:sz="8" w:space="0" w:color="auto"/>
            </w:tcBorders>
            <w:noWrap/>
            <w:vAlign w:val="bottom"/>
            <w:hideMark/>
          </w:tcPr>
          <w:p w14:paraId="0E8439D4"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7.2.1</w:t>
            </w:r>
          </w:p>
        </w:tc>
        <w:tc>
          <w:tcPr>
            <w:tcW w:w="1021" w:type="pct"/>
            <w:tcBorders>
              <w:top w:val="nil"/>
              <w:left w:val="single" w:sz="8" w:space="0" w:color="auto"/>
              <w:bottom w:val="nil"/>
              <w:right w:val="single" w:sz="8" w:space="0" w:color="auto"/>
            </w:tcBorders>
            <w:noWrap/>
            <w:vAlign w:val="bottom"/>
            <w:hideMark/>
          </w:tcPr>
          <w:p w14:paraId="01AB3A4F"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global_share_RES_in_FE</w:t>
            </w:r>
            <w:proofErr w:type="spellEnd"/>
          </w:p>
        </w:tc>
        <w:tc>
          <w:tcPr>
            <w:tcW w:w="2450" w:type="pct"/>
            <w:tcBorders>
              <w:top w:val="nil"/>
              <w:left w:val="nil"/>
              <w:bottom w:val="nil"/>
              <w:right w:val="single" w:sz="8" w:space="0" w:color="auto"/>
            </w:tcBorders>
            <w:noWrap/>
            <w:vAlign w:val="bottom"/>
            <w:hideMark/>
          </w:tcPr>
          <w:p w14:paraId="20E89655"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Global share of renewable energy in total final consumption. This directly reflects progress towards SDG Target 7.2, which seeks to increase the share of renewables in the energy mix.</w:t>
            </w:r>
          </w:p>
        </w:tc>
        <w:tc>
          <w:tcPr>
            <w:tcW w:w="456" w:type="pct"/>
            <w:tcBorders>
              <w:top w:val="nil"/>
              <w:left w:val="nil"/>
              <w:bottom w:val="nil"/>
              <w:right w:val="single" w:sz="8" w:space="0" w:color="auto"/>
            </w:tcBorders>
          </w:tcPr>
          <w:p w14:paraId="15DC061D"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Dmnl</w:t>
            </w:r>
          </w:p>
        </w:tc>
        <w:tc>
          <w:tcPr>
            <w:tcW w:w="394" w:type="pct"/>
            <w:tcBorders>
              <w:top w:val="nil"/>
              <w:left w:val="nil"/>
              <w:bottom w:val="nil"/>
              <w:right w:val="single" w:sz="8" w:space="0" w:color="auto"/>
            </w:tcBorders>
          </w:tcPr>
          <w:p w14:paraId="34E338BD"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B54EDD" w:rsidRPr="00005635" w14:paraId="53C485BF" w14:textId="77777777" w:rsidTr="008422F6">
        <w:trPr>
          <w:trHeight w:val="288"/>
        </w:trPr>
        <w:tc>
          <w:tcPr>
            <w:tcW w:w="340" w:type="pct"/>
            <w:vMerge/>
            <w:tcBorders>
              <w:left w:val="single" w:sz="8" w:space="0" w:color="auto"/>
              <w:right w:val="single" w:sz="8" w:space="0" w:color="auto"/>
            </w:tcBorders>
            <w:vAlign w:val="center"/>
          </w:tcPr>
          <w:p w14:paraId="22A14817" w14:textId="77777777" w:rsidR="00B54EDD" w:rsidRPr="00005635" w:rsidRDefault="00B54EDD" w:rsidP="00B54EDD">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nil"/>
              <w:right w:val="single" w:sz="8" w:space="0" w:color="auto"/>
            </w:tcBorders>
            <w:noWrap/>
            <w:vAlign w:val="bottom"/>
            <w:hideMark/>
          </w:tcPr>
          <w:p w14:paraId="20576237"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7.3.1</w:t>
            </w:r>
          </w:p>
        </w:tc>
        <w:tc>
          <w:tcPr>
            <w:tcW w:w="1021" w:type="pct"/>
            <w:tcBorders>
              <w:top w:val="nil"/>
              <w:left w:val="single" w:sz="8" w:space="0" w:color="auto"/>
              <w:bottom w:val="nil"/>
              <w:right w:val="single" w:sz="8" w:space="0" w:color="auto"/>
            </w:tcBorders>
            <w:noWrap/>
            <w:vAlign w:val="bottom"/>
            <w:hideMark/>
          </w:tcPr>
          <w:p w14:paraId="535F92E0" w14:textId="77777777" w:rsidR="00B54EDD" w:rsidRPr="00005635" w:rsidRDefault="00B54EDD"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global_PE_GDP_intensity</w:t>
            </w:r>
            <w:proofErr w:type="spellEnd"/>
          </w:p>
        </w:tc>
        <w:tc>
          <w:tcPr>
            <w:tcW w:w="2450" w:type="pct"/>
            <w:tcBorders>
              <w:top w:val="nil"/>
              <w:left w:val="nil"/>
              <w:bottom w:val="nil"/>
              <w:right w:val="single" w:sz="8" w:space="0" w:color="auto"/>
            </w:tcBorders>
            <w:noWrap/>
            <w:vAlign w:val="bottom"/>
            <w:hideMark/>
          </w:tcPr>
          <w:p w14:paraId="14926C60"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Primary energy consumption per unit of GDP (PPP-adjusted, 2015 dollars). This is the official indicator for SDG Target 7.3, aiming to improve global energy efficiency.</w:t>
            </w:r>
          </w:p>
        </w:tc>
        <w:tc>
          <w:tcPr>
            <w:tcW w:w="456" w:type="pct"/>
            <w:tcBorders>
              <w:top w:val="nil"/>
              <w:left w:val="nil"/>
              <w:bottom w:val="nil"/>
              <w:right w:val="single" w:sz="8" w:space="0" w:color="auto"/>
            </w:tcBorders>
          </w:tcPr>
          <w:p w14:paraId="50545FE9"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TJ/Mdollars_2015</w:t>
            </w:r>
          </w:p>
        </w:tc>
        <w:tc>
          <w:tcPr>
            <w:tcW w:w="394" w:type="pct"/>
            <w:tcBorders>
              <w:top w:val="nil"/>
              <w:left w:val="nil"/>
              <w:bottom w:val="nil"/>
              <w:right w:val="single" w:sz="8" w:space="0" w:color="auto"/>
            </w:tcBorders>
          </w:tcPr>
          <w:p w14:paraId="4FF060F5"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B54EDD" w:rsidRPr="00005635" w14:paraId="29F58CAC" w14:textId="77777777" w:rsidTr="008422F6">
        <w:trPr>
          <w:trHeight w:val="300"/>
        </w:trPr>
        <w:tc>
          <w:tcPr>
            <w:tcW w:w="340" w:type="pct"/>
            <w:vMerge/>
            <w:tcBorders>
              <w:left w:val="single" w:sz="8" w:space="0" w:color="auto"/>
              <w:bottom w:val="single" w:sz="8" w:space="0" w:color="auto"/>
              <w:right w:val="single" w:sz="8" w:space="0" w:color="auto"/>
            </w:tcBorders>
            <w:vAlign w:val="center"/>
          </w:tcPr>
          <w:p w14:paraId="354BDC0F" w14:textId="77777777" w:rsidR="00B54EDD" w:rsidRPr="00005635" w:rsidRDefault="00B54EDD" w:rsidP="00B54EDD">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single" w:sz="8" w:space="0" w:color="auto"/>
              <w:right w:val="single" w:sz="8" w:space="0" w:color="auto"/>
            </w:tcBorders>
            <w:noWrap/>
            <w:vAlign w:val="bottom"/>
            <w:hideMark/>
          </w:tcPr>
          <w:p w14:paraId="3A4605F7"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7</w:t>
            </w:r>
          </w:p>
        </w:tc>
        <w:tc>
          <w:tcPr>
            <w:tcW w:w="1021" w:type="pct"/>
            <w:tcBorders>
              <w:top w:val="nil"/>
              <w:left w:val="single" w:sz="8" w:space="0" w:color="auto"/>
              <w:bottom w:val="single" w:sz="8" w:space="0" w:color="auto"/>
              <w:right w:val="single" w:sz="8" w:space="0" w:color="auto"/>
            </w:tcBorders>
            <w:noWrap/>
            <w:vAlign w:val="bottom"/>
            <w:hideMark/>
          </w:tcPr>
          <w:p w14:paraId="2B5F9864" w14:textId="77777777" w:rsidR="00B54EDD" w:rsidRPr="00005635" w:rsidRDefault="00B54EDD"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global_PROTRA_RES_capacity_stock_per_capita</w:t>
            </w:r>
            <w:proofErr w:type="spellEnd"/>
          </w:p>
        </w:tc>
        <w:tc>
          <w:tcPr>
            <w:tcW w:w="2450" w:type="pct"/>
            <w:tcBorders>
              <w:top w:val="nil"/>
              <w:left w:val="nil"/>
              <w:bottom w:val="single" w:sz="8" w:space="0" w:color="auto"/>
              <w:right w:val="single" w:sz="8" w:space="0" w:color="auto"/>
            </w:tcBorders>
            <w:noWrap/>
            <w:vAlign w:val="bottom"/>
            <w:hideMark/>
          </w:tcPr>
          <w:p w14:paraId="0D660EFF"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val="en-GB" w:eastAsia="en-GB"/>
                <w14:ligatures w14:val="none"/>
              </w:rPr>
              <w:t xml:space="preserve">Per capita installed renewable energy capacity worldwide. This indicator serves as a proxy for energy access and infrastructure readiness, aligning with SDG 7's overarching goal. </w:t>
            </w:r>
            <w:proofErr w:type="spellStart"/>
            <w:r w:rsidRPr="00005635">
              <w:rPr>
                <w:rFonts w:eastAsia="Times New Roman" w:cs="Times New Roman"/>
                <w:color w:val="000000"/>
                <w:kern w:val="0"/>
                <w:lang w:eastAsia="en-GB"/>
                <w14:ligatures w14:val="none"/>
              </w:rPr>
              <w:t>It</w:t>
            </w:r>
            <w:proofErr w:type="spellEnd"/>
            <w:r w:rsidRPr="00005635">
              <w:rPr>
                <w:rFonts w:eastAsia="Times New Roman" w:cs="Times New Roman"/>
                <w:color w:val="000000"/>
                <w:kern w:val="0"/>
                <w:lang w:eastAsia="en-GB"/>
                <w14:ligatures w14:val="none"/>
              </w:rPr>
              <w:t xml:space="preserve"> </w:t>
            </w:r>
            <w:proofErr w:type="spellStart"/>
            <w:r w:rsidRPr="00005635">
              <w:rPr>
                <w:rFonts w:eastAsia="Times New Roman" w:cs="Times New Roman"/>
                <w:color w:val="000000"/>
                <w:kern w:val="0"/>
                <w:lang w:eastAsia="en-GB"/>
                <w14:ligatures w14:val="none"/>
              </w:rPr>
              <w:t>covers</w:t>
            </w:r>
            <w:proofErr w:type="spellEnd"/>
            <w:r w:rsidRPr="00005635">
              <w:rPr>
                <w:rFonts w:eastAsia="Times New Roman" w:cs="Times New Roman"/>
                <w:color w:val="000000"/>
                <w:kern w:val="0"/>
                <w:lang w:eastAsia="en-GB"/>
                <w14:ligatures w14:val="none"/>
              </w:rPr>
              <w:t xml:space="preserve"> </w:t>
            </w:r>
            <w:proofErr w:type="spellStart"/>
            <w:r w:rsidRPr="00005635">
              <w:rPr>
                <w:rFonts w:eastAsia="Times New Roman" w:cs="Times New Roman"/>
                <w:color w:val="000000"/>
                <w:kern w:val="0"/>
                <w:lang w:eastAsia="en-GB"/>
                <w14:ligatures w14:val="none"/>
              </w:rPr>
              <w:t>all</w:t>
            </w:r>
            <w:proofErr w:type="spellEnd"/>
            <w:r w:rsidRPr="00005635">
              <w:rPr>
                <w:rFonts w:eastAsia="Times New Roman" w:cs="Times New Roman"/>
                <w:color w:val="000000"/>
                <w:kern w:val="0"/>
                <w:lang w:eastAsia="en-GB"/>
                <w14:ligatures w14:val="none"/>
              </w:rPr>
              <w:t xml:space="preserve"> </w:t>
            </w:r>
            <w:proofErr w:type="spellStart"/>
            <w:r w:rsidRPr="00005635">
              <w:rPr>
                <w:rFonts w:eastAsia="Times New Roman" w:cs="Times New Roman"/>
                <w:color w:val="000000"/>
                <w:kern w:val="0"/>
                <w:lang w:eastAsia="en-GB"/>
                <w14:ligatures w14:val="none"/>
              </w:rPr>
              <w:t>countries</w:t>
            </w:r>
            <w:proofErr w:type="spellEnd"/>
            <w:r w:rsidRPr="00005635">
              <w:rPr>
                <w:rFonts w:eastAsia="Times New Roman" w:cs="Times New Roman"/>
                <w:color w:val="000000"/>
                <w:kern w:val="0"/>
                <w:lang w:eastAsia="en-GB"/>
                <w14:ligatures w14:val="none"/>
              </w:rPr>
              <w:t xml:space="preserve">, </w:t>
            </w:r>
            <w:proofErr w:type="spellStart"/>
            <w:r w:rsidRPr="00005635">
              <w:rPr>
                <w:rFonts w:eastAsia="Times New Roman" w:cs="Times New Roman"/>
                <w:color w:val="000000"/>
                <w:kern w:val="0"/>
                <w:lang w:eastAsia="en-GB"/>
                <w14:ligatures w14:val="none"/>
              </w:rPr>
              <w:t>developed</w:t>
            </w:r>
            <w:proofErr w:type="spellEnd"/>
            <w:r w:rsidRPr="00005635">
              <w:rPr>
                <w:rFonts w:eastAsia="Times New Roman" w:cs="Times New Roman"/>
                <w:color w:val="000000"/>
                <w:kern w:val="0"/>
                <w:lang w:eastAsia="en-GB"/>
                <w14:ligatures w14:val="none"/>
              </w:rPr>
              <w:t xml:space="preserve"> and </w:t>
            </w:r>
            <w:proofErr w:type="spellStart"/>
            <w:r w:rsidRPr="00005635">
              <w:rPr>
                <w:rFonts w:eastAsia="Times New Roman" w:cs="Times New Roman"/>
                <w:color w:val="000000"/>
                <w:kern w:val="0"/>
                <w:lang w:eastAsia="en-GB"/>
                <w14:ligatures w14:val="none"/>
              </w:rPr>
              <w:t>developing</w:t>
            </w:r>
            <w:proofErr w:type="spellEnd"/>
            <w:r w:rsidRPr="00005635">
              <w:rPr>
                <w:rFonts w:eastAsia="Times New Roman" w:cs="Times New Roman"/>
                <w:color w:val="000000"/>
                <w:kern w:val="0"/>
                <w:lang w:eastAsia="en-GB"/>
                <w14:ligatures w14:val="none"/>
              </w:rPr>
              <w:t>.</w:t>
            </w:r>
          </w:p>
        </w:tc>
        <w:tc>
          <w:tcPr>
            <w:tcW w:w="456" w:type="pct"/>
            <w:tcBorders>
              <w:top w:val="nil"/>
              <w:left w:val="nil"/>
              <w:bottom w:val="single" w:sz="8" w:space="0" w:color="auto"/>
              <w:right w:val="single" w:sz="8" w:space="0" w:color="auto"/>
            </w:tcBorders>
          </w:tcPr>
          <w:p w14:paraId="1F59F7DF"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w/</w:t>
            </w:r>
            <w:proofErr w:type="spellStart"/>
            <w:r w:rsidRPr="00005635">
              <w:rPr>
                <w:rFonts w:eastAsia="Times New Roman" w:cs="Times New Roman"/>
                <w:color w:val="000000"/>
                <w:kern w:val="0"/>
                <w:lang w:eastAsia="en-GB"/>
                <w14:ligatures w14:val="none"/>
              </w:rPr>
              <w:t>person</w:t>
            </w:r>
            <w:proofErr w:type="spellEnd"/>
          </w:p>
        </w:tc>
        <w:tc>
          <w:tcPr>
            <w:tcW w:w="394" w:type="pct"/>
            <w:tcBorders>
              <w:top w:val="nil"/>
              <w:left w:val="nil"/>
              <w:bottom w:val="single" w:sz="8" w:space="0" w:color="auto"/>
              <w:right w:val="single" w:sz="8" w:space="0" w:color="auto"/>
            </w:tcBorders>
          </w:tcPr>
          <w:p w14:paraId="5986F86E"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B54EDD" w:rsidRPr="00005635" w14:paraId="10AEBE8B" w14:textId="77777777" w:rsidTr="008422F6">
        <w:trPr>
          <w:trHeight w:val="520"/>
        </w:trPr>
        <w:tc>
          <w:tcPr>
            <w:tcW w:w="340" w:type="pct"/>
            <w:vMerge w:val="restart"/>
            <w:tcBorders>
              <w:top w:val="nil"/>
              <w:left w:val="single" w:sz="8" w:space="0" w:color="auto"/>
              <w:right w:val="single" w:sz="8" w:space="0" w:color="auto"/>
            </w:tcBorders>
            <w:vAlign w:val="center"/>
          </w:tcPr>
          <w:p w14:paraId="4C226DDD" w14:textId="79B4D6C6" w:rsidR="00B54EDD" w:rsidRPr="00B54EDD" w:rsidRDefault="00B54EDD" w:rsidP="00B54EDD">
            <w:pPr>
              <w:spacing w:after="0" w:line="240" w:lineRule="auto"/>
              <w:jc w:val="center"/>
              <w:rPr>
                <w:rFonts w:eastAsia="Times New Roman" w:cs="Times New Roman"/>
                <w:color w:val="000000"/>
                <w:kern w:val="0"/>
                <w:lang w:val="en-GB" w:eastAsia="en-GB"/>
                <w14:ligatures w14:val="none"/>
              </w:rPr>
            </w:pPr>
            <w:r w:rsidRPr="00B54EDD">
              <w:rPr>
                <w:rFonts w:eastAsia="Times New Roman" w:cs="Times New Roman"/>
                <w:color w:val="000000"/>
                <w:kern w:val="0"/>
                <w:lang w:val="en-GB" w:eastAsia="en-GB"/>
                <w14:ligatures w14:val="none"/>
              </w:rPr>
              <w:t>Decent Work and Economic G</w:t>
            </w:r>
            <w:r>
              <w:rPr>
                <w:rFonts w:eastAsia="Times New Roman" w:cs="Times New Roman"/>
                <w:color w:val="000000"/>
                <w:kern w:val="0"/>
                <w:lang w:val="en-GB" w:eastAsia="en-GB"/>
                <w14:ligatures w14:val="none"/>
              </w:rPr>
              <w:t>rowth</w:t>
            </w:r>
          </w:p>
        </w:tc>
        <w:tc>
          <w:tcPr>
            <w:tcW w:w="340" w:type="pct"/>
            <w:tcBorders>
              <w:top w:val="nil"/>
              <w:left w:val="single" w:sz="8" w:space="0" w:color="auto"/>
              <w:bottom w:val="nil"/>
              <w:right w:val="single" w:sz="8" w:space="0" w:color="auto"/>
            </w:tcBorders>
            <w:noWrap/>
            <w:vAlign w:val="bottom"/>
            <w:hideMark/>
          </w:tcPr>
          <w:p w14:paraId="5FDD86C8"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8.1.1</w:t>
            </w:r>
          </w:p>
        </w:tc>
        <w:tc>
          <w:tcPr>
            <w:tcW w:w="1021" w:type="pct"/>
            <w:tcBorders>
              <w:top w:val="nil"/>
              <w:left w:val="single" w:sz="8" w:space="0" w:color="auto"/>
              <w:bottom w:val="nil"/>
              <w:right w:val="single" w:sz="8" w:space="0" w:color="auto"/>
            </w:tcBorders>
            <w:noWrap/>
            <w:vAlign w:val="bottom"/>
            <w:hideMark/>
          </w:tcPr>
          <w:p w14:paraId="50889C25"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global_annual_growth_rate_GDPpc_real</w:t>
            </w:r>
            <w:proofErr w:type="spellEnd"/>
          </w:p>
        </w:tc>
        <w:tc>
          <w:tcPr>
            <w:tcW w:w="2450" w:type="pct"/>
            <w:tcBorders>
              <w:top w:val="nil"/>
              <w:left w:val="nil"/>
              <w:bottom w:val="nil"/>
              <w:right w:val="single" w:sz="8" w:space="0" w:color="auto"/>
            </w:tcBorders>
            <w:noWrap/>
            <w:vAlign w:val="bottom"/>
            <w:hideMark/>
          </w:tcPr>
          <w:p w14:paraId="23DB0A17"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r w:rsidRPr="00005635">
              <w:rPr>
                <w:rStyle w:val="normaltextrun"/>
                <w:rFonts w:cs="Times New Roman"/>
                <w:color w:val="000000"/>
                <w:bdr w:val="none" w:sz="0" w:space="0" w:color="auto" w:frame="1"/>
                <w:lang w:val="en-GB"/>
              </w:rPr>
              <w:t>Annual growth rate of global real GDP per capita. Although SDG Target 8.1 explicitly mentions least developed countries, this broader indicator allows for assessment across all global regions.</w:t>
            </w:r>
          </w:p>
        </w:tc>
        <w:tc>
          <w:tcPr>
            <w:tcW w:w="456" w:type="pct"/>
            <w:tcBorders>
              <w:top w:val="nil"/>
              <w:left w:val="nil"/>
              <w:bottom w:val="nil"/>
              <w:right w:val="single" w:sz="8" w:space="0" w:color="auto"/>
            </w:tcBorders>
          </w:tcPr>
          <w:p w14:paraId="251ED53F"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Dmnl</w:t>
            </w:r>
          </w:p>
        </w:tc>
        <w:tc>
          <w:tcPr>
            <w:tcW w:w="394" w:type="pct"/>
            <w:tcBorders>
              <w:top w:val="nil"/>
              <w:left w:val="nil"/>
              <w:bottom w:val="nil"/>
              <w:right w:val="single" w:sz="8" w:space="0" w:color="auto"/>
            </w:tcBorders>
          </w:tcPr>
          <w:p w14:paraId="2AE790E7"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B54EDD" w:rsidRPr="00005635" w14:paraId="0A6638A7" w14:textId="77777777" w:rsidTr="008422F6">
        <w:trPr>
          <w:trHeight w:val="300"/>
        </w:trPr>
        <w:tc>
          <w:tcPr>
            <w:tcW w:w="340" w:type="pct"/>
            <w:vMerge/>
            <w:tcBorders>
              <w:left w:val="single" w:sz="8" w:space="0" w:color="auto"/>
              <w:right w:val="single" w:sz="8" w:space="0" w:color="auto"/>
            </w:tcBorders>
            <w:vAlign w:val="center"/>
          </w:tcPr>
          <w:p w14:paraId="1AD09F0F" w14:textId="77777777" w:rsidR="00B54EDD" w:rsidRPr="00005635" w:rsidRDefault="00B54EDD" w:rsidP="00B54EDD">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nil"/>
              <w:right w:val="single" w:sz="8" w:space="0" w:color="auto"/>
            </w:tcBorders>
            <w:noWrap/>
            <w:vAlign w:val="bottom"/>
            <w:hideMark/>
          </w:tcPr>
          <w:p w14:paraId="5072BDA4"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8.2.1</w:t>
            </w:r>
          </w:p>
        </w:tc>
        <w:tc>
          <w:tcPr>
            <w:tcW w:w="1021" w:type="pct"/>
            <w:tcBorders>
              <w:top w:val="nil"/>
              <w:left w:val="single" w:sz="8" w:space="0" w:color="auto"/>
              <w:bottom w:val="nil"/>
              <w:right w:val="single" w:sz="8" w:space="0" w:color="auto"/>
            </w:tcBorders>
            <w:noWrap/>
            <w:vAlign w:val="bottom"/>
            <w:hideMark/>
          </w:tcPr>
          <w:p w14:paraId="5CE22973"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global_annual_growth_rate_GDPpw_real</w:t>
            </w:r>
            <w:proofErr w:type="spellEnd"/>
          </w:p>
        </w:tc>
        <w:tc>
          <w:tcPr>
            <w:tcW w:w="2450" w:type="pct"/>
            <w:tcBorders>
              <w:top w:val="nil"/>
              <w:left w:val="nil"/>
              <w:bottom w:val="nil"/>
              <w:right w:val="single" w:sz="8" w:space="0" w:color="auto"/>
            </w:tcBorders>
            <w:noWrap/>
            <w:vAlign w:val="bottom"/>
            <w:hideMark/>
          </w:tcPr>
          <w:p w14:paraId="6B5CF7B1"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Annual growth rate of real GDP per worker. This indicator tracks labour productivity growth, in line with SDG Target 8.2 on increasing economic productivity.</w:t>
            </w:r>
          </w:p>
        </w:tc>
        <w:tc>
          <w:tcPr>
            <w:tcW w:w="456" w:type="pct"/>
            <w:tcBorders>
              <w:top w:val="nil"/>
              <w:left w:val="nil"/>
              <w:bottom w:val="nil"/>
              <w:right w:val="single" w:sz="8" w:space="0" w:color="auto"/>
            </w:tcBorders>
          </w:tcPr>
          <w:p w14:paraId="6897361D"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Dmnl</w:t>
            </w:r>
          </w:p>
        </w:tc>
        <w:tc>
          <w:tcPr>
            <w:tcW w:w="394" w:type="pct"/>
            <w:tcBorders>
              <w:top w:val="nil"/>
              <w:left w:val="nil"/>
              <w:bottom w:val="nil"/>
              <w:right w:val="single" w:sz="8" w:space="0" w:color="auto"/>
            </w:tcBorders>
          </w:tcPr>
          <w:p w14:paraId="0C03D745"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B54EDD" w:rsidRPr="00005635" w14:paraId="0A50B67B" w14:textId="77777777" w:rsidTr="008422F6">
        <w:trPr>
          <w:trHeight w:val="630"/>
        </w:trPr>
        <w:tc>
          <w:tcPr>
            <w:tcW w:w="340" w:type="pct"/>
            <w:vMerge/>
            <w:tcBorders>
              <w:left w:val="single" w:sz="8" w:space="0" w:color="auto"/>
              <w:right w:val="single" w:sz="8" w:space="0" w:color="auto"/>
            </w:tcBorders>
            <w:vAlign w:val="center"/>
          </w:tcPr>
          <w:p w14:paraId="0E981631" w14:textId="77777777" w:rsidR="00B54EDD" w:rsidRPr="00005635" w:rsidRDefault="00B54EDD" w:rsidP="00B54EDD">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nil"/>
              <w:right w:val="single" w:sz="8" w:space="0" w:color="auto"/>
            </w:tcBorders>
            <w:noWrap/>
            <w:vAlign w:val="bottom"/>
            <w:hideMark/>
          </w:tcPr>
          <w:p w14:paraId="7B982020"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8.4.1</w:t>
            </w:r>
          </w:p>
        </w:tc>
        <w:tc>
          <w:tcPr>
            <w:tcW w:w="1021" w:type="pct"/>
            <w:tcBorders>
              <w:top w:val="nil"/>
              <w:left w:val="single" w:sz="8" w:space="0" w:color="auto"/>
              <w:bottom w:val="nil"/>
              <w:right w:val="single" w:sz="8" w:space="0" w:color="auto"/>
            </w:tcBorders>
            <w:noWrap/>
            <w:vAlign w:val="bottom"/>
            <w:hideMark/>
          </w:tcPr>
          <w:p w14:paraId="16157306" w14:textId="77777777" w:rsidR="00B54EDD" w:rsidRPr="00005635" w:rsidRDefault="00B54EDD"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global_material_footprint_per_capita</w:t>
            </w:r>
            <w:proofErr w:type="spellEnd"/>
          </w:p>
        </w:tc>
        <w:tc>
          <w:tcPr>
            <w:tcW w:w="2450" w:type="pct"/>
            <w:tcBorders>
              <w:top w:val="nil"/>
              <w:left w:val="nil"/>
              <w:bottom w:val="nil"/>
              <w:right w:val="single" w:sz="8" w:space="0" w:color="auto"/>
            </w:tcBorders>
            <w:noWrap/>
            <w:vAlign w:val="bottom"/>
            <w:hideMark/>
          </w:tcPr>
          <w:p w14:paraId="4FEA6959"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Material footprint per capita. This indicator approximates SDG Target 8.4, which promotes efficient resource use and sustainable consumption and production patterns.</w:t>
            </w:r>
          </w:p>
        </w:tc>
        <w:tc>
          <w:tcPr>
            <w:tcW w:w="456" w:type="pct"/>
            <w:tcBorders>
              <w:top w:val="nil"/>
              <w:left w:val="nil"/>
              <w:bottom w:val="nil"/>
              <w:right w:val="single" w:sz="8" w:space="0" w:color="auto"/>
            </w:tcBorders>
          </w:tcPr>
          <w:p w14:paraId="6ED84FB3"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Mt/(</w:t>
            </w:r>
            <w:proofErr w:type="spellStart"/>
            <w:r w:rsidRPr="00005635">
              <w:rPr>
                <w:rFonts w:eastAsia="Times New Roman" w:cs="Times New Roman"/>
                <w:color w:val="000000"/>
                <w:kern w:val="0"/>
                <w:lang w:eastAsia="en-GB"/>
                <w14:ligatures w14:val="none"/>
              </w:rPr>
              <w:t>Year</w:t>
            </w:r>
            <w:proofErr w:type="spellEnd"/>
            <w:r w:rsidRPr="00005635">
              <w:rPr>
                <w:rFonts w:eastAsia="Times New Roman" w:cs="Times New Roman"/>
                <w:color w:val="000000"/>
                <w:kern w:val="0"/>
                <w:lang w:eastAsia="en-GB"/>
                <w14:ligatures w14:val="none"/>
              </w:rPr>
              <w:t>*</w:t>
            </w:r>
            <w:proofErr w:type="spellStart"/>
            <w:r w:rsidRPr="00005635">
              <w:rPr>
                <w:rFonts w:eastAsia="Times New Roman" w:cs="Times New Roman"/>
                <w:color w:val="000000"/>
                <w:kern w:val="0"/>
                <w:lang w:eastAsia="en-GB"/>
                <w14:ligatures w14:val="none"/>
              </w:rPr>
              <w:t>person</w:t>
            </w:r>
            <w:proofErr w:type="spellEnd"/>
            <w:r w:rsidRPr="00005635">
              <w:rPr>
                <w:rFonts w:eastAsia="Times New Roman" w:cs="Times New Roman"/>
                <w:color w:val="000000"/>
                <w:kern w:val="0"/>
                <w:lang w:eastAsia="en-GB"/>
                <w14:ligatures w14:val="none"/>
              </w:rPr>
              <w:t>)</w:t>
            </w:r>
          </w:p>
        </w:tc>
        <w:tc>
          <w:tcPr>
            <w:tcW w:w="394" w:type="pct"/>
            <w:tcBorders>
              <w:top w:val="nil"/>
              <w:left w:val="nil"/>
              <w:bottom w:val="nil"/>
              <w:right w:val="single" w:sz="8" w:space="0" w:color="auto"/>
            </w:tcBorders>
          </w:tcPr>
          <w:p w14:paraId="7B767418"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B54EDD" w:rsidRPr="00005635" w14:paraId="22AD2989" w14:textId="77777777" w:rsidTr="008422F6">
        <w:trPr>
          <w:trHeight w:val="630"/>
        </w:trPr>
        <w:tc>
          <w:tcPr>
            <w:tcW w:w="340" w:type="pct"/>
            <w:vMerge/>
            <w:tcBorders>
              <w:left w:val="single" w:sz="8" w:space="0" w:color="auto"/>
              <w:right w:val="single" w:sz="8" w:space="0" w:color="auto"/>
            </w:tcBorders>
            <w:vAlign w:val="center"/>
          </w:tcPr>
          <w:p w14:paraId="5575469A" w14:textId="77777777" w:rsidR="00B54EDD" w:rsidRPr="00005635" w:rsidRDefault="00B54EDD" w:rsidP="00B54EDD">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nil"/>
              <w:right w:val="single" w:sz="8" w:space="0" w:color="auto"/>
            </w:tcBorders>
            <w:noWrap/>
            <w:vAlign w:val="bottom"/>
          </w:tcPr>
          <w:p w14:paraId="0F226B73"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8.4.1</w:t>
            </w:r>
          </w:p>
        </w:tc>
        <w:tc>
          <w:tcPr>
            <w:tcW w:w="1021" w:type="pct"/>
            <w:tcBorders>
              <w:top w:val="nil"/>
              <w:left w:val="single" w:sz="8" w:space="0" w:color="auto"/>
              <w:bottom w:val="nil"/>
              <w:right w:val="single" w:sz="8" w:space="0" w:color="auto"/>
            </w:tcBorders>
            <w:noWrap/>
            <w:vAlign w:val="bottom"/>
          </w:tcPr>
          <w:p w14:paraId="3680C4AA"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global_material_footprint_per_GDP</w:t>
            </w:r>
            <w:proofErr w:type="spellEnd"/>
          </w:p>
        </w:tc>
        <w:tc>
          <w:tcPr>
            <w:tcW w:w="2450" w:type="pct"/>
            <w:tcBorders>
              <w:top w:val="nil"/>
              <w:left w:val="nil"/>
              <w:bottom w:val="nil"/>
              <w:right w:val="single" w:sz="8" w:space="0" w:color="auto"/>
            </w:tcBorders>
            <w:noWrap/>
            <w:vAlign w:val="bottom"/>
          </w:tcPr>
          <w:p w14:paraId="050575D8"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Material footprint per gross domestic product. This indicator approximates SDG Target 8.4, which promotes efficient resource use and sustainable consumption and production patterns.</w:t>
            </w:r>
          </w:p>
        </w:tc>
        <w:tc>
          <w:tcPr>
            <w:tcW w:w="456" w:type="pct"/>
            <w:tcBorders>
              <w:top w:val="nil"/>
              <w:left w:val="nil"/>
              <w:bottom w:val="nil"/>
              <w:right w:val="single" w:sz="8" w:space="0" w:color="auto"/>
            </w:tcBorders>
          </w:tcPr>
          <w:p w14:paraId="3D8688E8"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Mt/Mdollars_2015</w:t>
            </w:r>
          </w:p>
        </w:tc>
        <w:tc>
          <w:tcPr>
            <w:tcW w:w="394" w:type="pct"/>
            <w:tcBorders>
              <w:top w:val="nil"/>
              <w:left w:val="nil"/>
              <w:bottom w:val="nil"/>
              <w:right w:val="single" w:sz="8" w:space="0" w:color="auto"/>
            </w:tcBorders>
          </w:tcPr>
          <w:p w14:paraId="6D3EF0EA"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B54EDD" w:rsidRPr="00005635" w14:paraId="4173F596" w14:textId="77777777" w:rsidTr="008422F6">
        <w:trPr>
          <w:trHeight w:val="288"/>
        </w:trPr>
        <w:tc>
          <w:tcPr>
            <w:tcW w:w="340" w:type="pct"/>
            <w:vMerge/>
            <w:tcBorders>
              <w:left w:val="single" w:sz="8" w:space="0" w:color="auto"/>
              <w:right w:val="single" w:sz="8" w:space="0" w:color="auto"/>
            </w:tcBorders>
            <w:vAlign w:val="center"/>
          </w:tcPr>
          <w:p w14:paraId="681F2F3B" w14:textId="77777777" w:rsidR="00B54EDD" w:rsidRPr="00005635" w:rsidRDefault="00B54EDD" w:rsidP="00B54EDD">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nil"/>
              <w:right w:val="single" w:sz="8" w:space="0" w:color="auto"/>
            </w:tcBorders>
            <w:noWrap/>
            <w:vAlign w:val="bottom"/>
            <w:hideMark/>
          </w:tcPr>
          <w:p w14:paraId="0F63C8B2"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8.5.1</w:t>
            </w:r>
          </w:p>
        </w:tc>
        <w:tc>
          <w:tcPr>
            <w:tcW w:w="1021" w:type="pct"/>
            <w:tcBorders>
              <w:top w:val="nil"/>
              <w:left w:val="single" w:sz="8" w:space="0" w:color="auto"/>
              <w:bottom w:val="nil"/>
              <w:right w:val="single" w:sz="8" w:space="0" w:color="auto"/>
            </w:tcBorders>
            <w:noWrap/>
            <w:vAlign w:val="bottom"/>
            <w:hideMark/>
          </w:tcPr>
          <w:p w14:paraId="02171B7A" w14:textId="77777777" w:rsidR="00B54EDD" w:rsidRPr="00005635" w:rsidRDefault="00B54EDD"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global_average_wage_hour</w:t>
            </w:r>
            <w:proofErr w:type="spellEnd"/>
          </w:p>
        </w:tc>
        <w:tc>
          <w:tcPr>
            <w:tcW w:w="2450" w:type="pct"/>
            <w:tcBorders>
              <w:top w:val="nil"/>
              <w:left w:val="nil"/>
              <w:bottom w:val="nil"/>
              <w:right w:val="single" w:sz="8" w:space="0" w:color="auto"/>
            </w:tcBorders>
            <w:noWrap/>
            <w:vAlign w:val="bottom"/>
            <w:hideMark/>
          </w:tcPr>
          <w:p w14:paraId="4B85BD62"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Average hourly wage at the global level. While aligned with SDG Target 8.5 on promoting decent work and equal pay, this indicator does not disaggregate by sex or occupation.</w:t>
            </w:r>
          </w:p>
        </w:tc>
        <w:tc>
          <w:tcPr>
            <w:tcW w:w="456" w:type="pct"/>
            <w:tcBorders>
              <w:top w:val="nil"/>
              <w:left w:val="nil"/>
              <w:bottom w:val="nil"/>
              <w:right w:val="single" w:sz="8" w:space="0" w:color="auto"/>
            </w:tcBorders>
          </w:tcPr>
          <w:p w14:paraId="64BF3CEE"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$/h</w:t>
            </w:r>
          </w:p>
        </w:tc>
        <w:tc>
          <w:tcPr>
            <w:tcW w:w="394" w:type="pct"/>
            <w:tcBorders>
              <w:top w:val="nil"/>
              <w:left w:val="nil"/>
              <w:bottom w:val="nil"/>
              <w:right w:val="single" w:sz="8" w:space="0" w:color="auto"/>
            </w:tcBorders>
          </w:tcPr>
          <w:p w14:paraId="17916F9F"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B54EDD" w:rsidRPr="00005635" w14:paraId="00DD6280" w14:textId="77777777" w:rsidTr="008422F6">
        <w:trPr>
          <w:trHeight w:val="288"/>
        </w:trPr>
        <w:tc>
          <w:tcPr>
            <w:tcW w:w="340" w:type="pct"/>
            <w:vMerge/>
            <w:tcBorders>
              <w:left w:val="single" w:sz="8" w:space="0" w:color="auto"/>
              <w:right w:val="single" w:sz="8" w:space="0" w:color="auto"/>
            </w:tcBorders>
            <w:vAlign w:val="center"/>
          </w:tcPr>
          <w:p w14:paraId="18A158A1" w14:textId="77777777" w:rsidR="00B54EDD" w:rsidRPr="00005635" w:rsidRDefault="00B54EDD" w:rsidP="00B54EDD">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nil"/>
              <w:right w:val="single" w:sz="8" w:space="0" w:color="auto"/>
            </w:tcBorders>
            <w:noWrap/>
            <w:vAlign w:val="bottom"/>
            <w:hideMark/>
          </w:tcPr>
          <w:p w14:paraId="00D1E9DD"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8.5.2</w:t>
            </w:r>
          </w:p>
        </w:tc>
        <w:tc>
          <w:tcPr>
            <w:tcW w:w="1021" w:type="pct"/>
            <w:tcBorders>
              <w:top w:val="nil"/>
              <w:left w:val="single" w:sz="8" w:space="0" w:color="auto"/>
              <w:bottom w:val="nil"/>
              <w:right w:val="single" w:sz="8" w:space="0" w:color="auto"/>
            </w:tcBorders>
            <w:noWrap/>
            <w:vAlign w:val="bottom"/>
            <w:hideMark/>
          </w:tcPr>
          <w:p w14:paraId="100580CE" w14:textId="77777777" w:rsidR="00B54EDD" w:rsidRPr="00005635" w:rsidRDefault="00B54EDD"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global_unemployment_rate</w:t>
            </w:r>
            <w:proofErr w:type="spellEnd"/>
          </w:p>
        </w:tc>
        <w:tc>
          <w:tcPr>
            <w:tcW w:w="2450" w:type="pct"/>
            <w:tcBorders>
              <w:top w:val="nil"/>
              <w:left w:val="nil"/>
              <w:bottom w:val="nil"/>
              <w:right w:val="single" w:sz="8" w:space="0" w:color="auto"/>
            </w:tcBorders>
            <w:noWrap/>
            <w:vAlign w:val="bottom"/>
            <w:hideMark/>
          </w:tcPr>
          <w:p w14:paraId="3E2B172F" w14:textId="77777777" w:rsidR="00B54EDD" w:rsidRPr="00005635" w:rsidRDefault="00B54EDD"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Global average unemployment rate. This proxy contributes to monitoring SDG Target 8.5, although it lacks detailed breakdowns by sex, age, etc.</w:t>
            </w:r>
          </w:p>
        </w:tc>
        <w:tc>
          <w:tcPr>
            <w:tcW w:w="456" w:type="pct"/>
            <w:tcBorders>
              <w:top w:val="nil"/>
              <w:left w:val="nil"/>
              <w:bottom w:val="nil"/>
              <w:right w:val="single" w:sz="8" w:space="0" w:color="auto"/>
            </w:tcBorders>
          </w:tcPr>
          <w:p w14:paraId="16253BD5"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Dmnl</w:t>
            </w:r>
          </w:p>
        </w:tc>
        <w:tc>
          <w:tcPr>
            <w:tcW w:w="394" w:type="pct"/>
            <w:tcBorders>
              <w:top w:val="nil"/>
              <w:left w:val="nil"/>
              <w:bottom w:val="nil"/>
              <w:right w:val="single" w:sz="8" w:space="0" w:color="auto"/>
            </w:tcBorders>
          </w:tcPr>
          <w:p w14:paraId="2D751CC4"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B54EDD" w:rsidRPr="00005635" w14:paraId="081FEC96" w14:textId="77777777" w:rsidTr="008422F6">
        <w:trPr>
          <w:trHeight w:val="300"/>
        </w:trPr>
        <w:tc>
          <w:tcPr>
            <w:tcW w:w="340" w:type="pct"/>
            <w:vMerge/>
            <w:tcBorders>
              <w:left w:val="single" w:sz="8" w:space="0" w:color="auto"/>
              <w:bottom w:val="single" w:sz="8" w:space="0" w:color="auto"/>
              <w:right w:val="single" w:sz="8" w:space="0" w:color="auto"/>
            </w:tcBorders>
            <w:vAlign w:val="center"/>
          </w:tcPr>
          <w:p w14:paraId="48186D11" w14:textId="77777777" w:rsidR="00B54EDD" w:rsidRPr="00005635" w:rsidRDefault="00B54EDD" w:rsidP="00B54EDD">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single" w:sz="8" w:space="0" w:color="auto"/>
              <w:right w:val="single" w:sz="8" w:space="0" w:color="auto"/>
            </w:tcBorders>
            <w:noWrap/>
            <w:vAlign w:val="bottom"/>
            <w:hideMark/>
          </w:tcPr>
          <w:p w14:paraId="6C1CF13A" w14:textId="77777777" w:rsidR="00B54EDD" w:rsidRPr="00005635" w:rsidRDefault="00B54EDD"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8.9.1</w:t>
            </w:r>
          </w:p>
        </w:tc>
        <w:tc>
          <w:tcPr>
            <w:tcW w:w="1021" w:type="pct"/>
            <w:tcBorders>
              <w:top w:val="nil"/>
              <w:left w:val="single" w:sz="8" w:space="0" w:color="auto"/>
              <w:bottom w:val="single" w:sz="8" w:space="0" w:color="auto"/>
              <w:right w:val="single" w:sz="8" w:space="0" w:color="auto"/>
            </w:tcBorders>
            <w:noWrap/>
            <w:vAlign w:val="bottom"/>
            <w:hideMark/>
          </w:tcPr>
          <w:p w14:paraId="2D5F3163" w14:textId="77777777" w:rsidR="00B54EDD" w:rsidRPr="00005635" w:rsidRDefault="00B54EDD"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global_GDP_pc_vs_GDP_pc_OECD</w:t>
            </w:r>
            <w:proofErr w:type="spellEnd"/>
          </w:p>
        </w:tc>
        <w:tc>
          <w:tcPr>
            <w:tcW w:w="2450" w:type="pct"/>
            <w:tcBorders>
              <w:top w:val="nil"/>
              <w:left w:val="nil"/>
              <w:bottom w:val="single" w:sz="8" w:space="0" w:color="auto"/>
              <w:right w:val="single" w:sz="8" w:space="0" w:color="auto"/>
            </w:tcBorders>
            <w:noWrap/>
            <w:vAlign w:val="bottom"/>
            <w:hideMark/>
          </w:tcPr>
          <w:p w14:paraId="37F66B6C" w14:textId="4B9D3412" w:rsidR="00B54EDD" w:rsidRPr="00B53137" w:rsidRDefault="00B54EDD" w:rsidP="001335E8">
            <w:pPr>
              <w:spacing w:after="0" w:line="240" w:lineRule="auto"/>
              <w:rPr>
                <w:rFonts w:eastAsia="Times New Roman" w:cs="Times New Roman"/>
                <w:color w:val="000000"/>
                <w:kern w:val="0"/>
                <w:lang w:val="en-US" w:eastAsia="en-GB"/>
                <w14:ligatures w14:val="none"/>
              </w:rPr>
            </w:pPr>
            <w:r w:rsidRPr="00005635">
              <w:rPr>
                <w:rFonts w:eastAsia="Times New Roman" w:cs="Times New Roman"/>
                <w:color w:val="000000"/>
                <w:kern w:val="0"/>
                <w:lang w:val="en-GB" w:eastAsia="en-GB"/>
                <w14:ligatures w14:val="none"/>
              </w:rPr>
              <w:t xml:space="preserve">Ratio between per capita GDP in a region and the OECD average. </w:t>
            </w:r>
            <w:r w:rsidRPr="00005635">
              <w:rPr>
                <w:rFonts w:eastAsia="Times New Roman" w:cs="Times New Roman"/>
                <w:color w:val="000000"/>
                <w:kern w:val="0"/>
                <w:lang w:val="nl-NL" w:eastAsia="en-GB"/>
                <w14:ligatures w14:val="none"/>
              </w:rPr>
              <w:t>Suggested by Soergel et al. (2021)</w:t>
            </w:r>
            <w:r w:rsidR="00F70FF3">
              <w:rPr>
                <w:rFonts w:eastAsia="Times New Roman" w:cs="Times New Roman"/>
                <w:color w:val="000000"/>
                <w:kern w:val="0"/>
                <w:lang w:val="nl-NL" w:eastAsia="en-GB"/>
                <w14:ligatures w14:val="none"/>
              </w:rPr>
              <w:fldChar w:fldCharType="begin"/>
            </w:r>
            <w:r w:rsidR="00F70FF3">
              <w:rPr>
                <w:rFonts w:eastAsia="Times New Roman" w:cs="Times New Roman"/>
                <w:color w:val="000000"/>
                <w:kern w:val="0"/>
                <w:lang w:val="nl-NL" w:eastAsia="en-GB"/>
                <w14:ligatures w14:val="none"/>
              </w:rPr>
              <w:instrText xml:space="preserve"> ADDIN ZOTERO_ITEM CSL_CITATION {"citationID":"CdNIl9ef","properties":{"formattedCitation":"\\super 9\\nosupersub{}","plainCitation":"9","noteIndex":0},"citationItems":[{"id":280,"uris":["http://zotero.org/users/11518810/items/3ICHZ5BF"],"itemData":{"id":280,"type":"article-journal","container-title":"Nature Climate Change","DOI":"10.1038/s41558-021-01098-3","ISSN":"1758-678X, 1758-6798","issue":"8","journalAbbreviation":"Nat. Clim. Chang.","language":"en","page":"656-664","source":"DOI.org (Crossref)","title":"A sustainable development pathway for climate action within the UN 2030 Agenda","volume":"11","author":[{"family":"Soergel","given":"Bjoern"},{"family":"Kriegler","given":"Elmar"},{"family":"Weindl","given":"Isabelle"},{"family":"Rauner","given":"Sebastian"},{"family":"Dirnaichner","given":"Alois"},{"family":"Ruhe","given":"Constantin"},{"family":"Hofmann","given":"Matthias"},{"family":"Bauer","given":"Nico"},{"family":"Bertram","given":"Christoph"},{"family":"Bodirsky","given":"Benjamin Leon"},{"family":"Leimbach","given":"Marian"},{"family":"Leininger","given":"Julia"},{"family":"Levesque","given":"Antoine"},{"family":"Luderer","given":"Gunnar"},{"family":"Pehl","given":"Michaja"},{"family":"Wingens","given":"Christopher"},{"family":"Baumstark","given":"Lavinia"},{"family":"Beier","given":"Felicitas"},{"family":"Dietrich","given":"Jan Philipp"},{"family":"Humpenöder","given":"Florian"},{"family":"Von Jeetze","given":"Patrick"},{"family":"Klein","given":"David"},{"family":"Koch","given":"Johannes"},{"family":"Pietzcker","given":"Robert"},{"family":"Strefler","given":"Jessica"},{"family":"Lotze-Campen","given":"Hermann"},{"family":"Popp","given":"Alexander"}],"issued":{"date-parts":[["2021",8]]}}}],"schema":"https://github.com/citation-style-language/schema/raw/master/csl-citation.json"} </w:instrText>
            </w:r>
            <w:r w:rsidR="00F70FF3">
              <w:rPr>
                <w:rFonts w:eastAsia="Times New Roman" w:cs="Times New Roman"/>
                <w:color w:val="000000"/>
                <w:kern w:val="0"/>
                <w:lang w:val="nl-NL" w:eastAsia="en-GB"/>
                <w14:ligatures w14:val="none"/>
              </w:rPr>
              <w:fldChar w:fldCharType="separate"/>
            </w:r>
            <w:r w:rsidR="00F70FF3" w:rsidRPr="00F70FF3">
              <w:rPr>
                <w:rFonts w:cs="Times New Roman"/>
                <w:szCs w:val="24"/>
                <w:vertAlign w:val="superscript"/>
              </w:rPr>
              <w:t>9</w:t>
            </w:r>
            <w:r w:rsidR="00F70FF3">
              <w:rPr>
                <w:rFonts w:eastAsia="Times New Roman" w:cs="Times New Roman"/>
                <w:color w:val="000000"/>
                <w:kern w:val="0"/>
                <w:lang w:val="nl-NL" w:eastAsia="en-GB"/>
                <w14:ligatures w14:val="none"/>
              </w:rPr>
              <w:fldChar w:fldCharType="end"/>
            </w:r>
            <w:r w:rsidRPr="00005635">
              <w:rPr>
                <w:rFonts w:eastAsia="Times New Roman" w:cs="Times New Roman"/>
                <w:color w:val="000000"/>
                <w:kern w:val="0"/>
                <w:lang w:val="nl-NL" w:eastAsia="en-GB"/>
                <w14:ligatures w14:val="none"/>
              </w:rPr>
              <w:t xml:space="preserve"> and van Vuuren et al. </w:t>
            </w:r>
            <w:r w:rsidRPr="00B53137">
              <w:rPr>
                <w:rFonts w:eastAsia="Times New Roman" w:cs="Times New Roman"/>
                <w:color w:val="000000"/>
                <w:kern w:val="0"/>
                <w:lang w:val="en-US" w:eastAsia="en-GB"/>
                <w14:ligatures w14:val="none"/>
              </w:rPr>
              <w:t>(2022)</w:t>
            </w:r>
            <w:r w:rsidR="00F70FF3">
              <w:rPr>
                <w:rFonts w:eastAsia="Times New Roman" w:cs="Times New Roman"/>
                <w:color w:val="000000"/>
                <w:kern w:val="0"/>
                <w:lang w:val="en-US" w:eastAsia="en-GB"/>
                <w14:ligatures w14:val="none"/>
              </w:rPr>
              <w:fldChar w:fldCharType="begin"/>
            </w:r>
            <w:r w:rsidR="00F70FF3">
              <w:rPr>
                <w:rFonts w:eastAsia="Times New Roman" w:cs="Times New Roman"/>
                <w:color w:val="000000"/>
                <w:kern w:val="0"/>
                <w:lang w:val="en-US" w:eastAsia="en-GB"/>
                <w14:ligatures w14:val="none"/>
              </w:rPr>
              <w:instrText xml:space="preserve"> ADDIN ZOTERO_ITEM CSL_CITATION {"citationID":"HV62UvpJ","properties":{"formattedCitation":"\\super 18\\nosupersub{}","plainCitation":"18","noteIndex":0},"citationItems":[{"id":337,"uris":["http://zotero.org/users/11518810/items/998QVNBN"],"itemData":{"id":337,"type":"article-journal","container-title":"One Earth","DOI":"10.1016/j.oneear.2022.01.003","ISSN":"25903322","issue":"2","journalAbbreviation":"One Earth","language":"en","page":"142-156","source":"DOI.org (Crossref)","title":"Defining a sustainable development target space for 2030 and 2050","volume":"5","author":[{"family":"Van Vuuren","given":"Detlef P."},{"family":"Zimm","given":"Caroline"},{"family":"Busch","given":"Sebastian"},{"family":"Kriegler","given":"Elmar"},{"family":"Leininger","given":"Julia"},{"family":"Messner","given":"Dirk"},{"family":"Nakicenovic","given":"Nebojsa"},{"family":"Rockstrom","given":"Johan"},{"family":"Riahi","given":"Keywan"},{"family":"Sperling","given":"Frank"},{"family":"Bosetti","given":"Valentina"},{"family":"Cornell","given":"Sarah"},{"family":"Gaffney","given":"Owen"},{"family":"Lucas","given":"Paul L."},{"family":"Popp","given":"Alexander"},{"family":"Ruhe","given":"Constantin"},{"family":"Von Schiller","given":"Armin"},{"family":"Schmidt","given":"Jörn O."},{"family":"Soergel","given":"Bjoern"}],"issued":{"date-parts":[["2022",2]]}}}],"schema":"https://github.com/citation-style-language/schema/raw/master/csl-citation.json"} </w:instrText>
            </w:r>
            <w:r w:rsidR="00F70FF3">
              <w:rPr>
                <w:rFonts w:eastAsia="Times New Roman" w:cs="Times New Roman"/>
                <w:color w:val="000000"/>
                <w:kern w:val="0"/>
                <w:lang w:val="en-US" w:eastAsia="en-GB"/>
                <w14:ligatures w14:val="none"/>
              </w:rPr>
              <w:fldChar w:fldCharType="separate"/>
            </w:r>
            <w:r w:rsidR="00F70FF3" w:rsidRPr="00F70FF3">
              <w:rPr>
                <w:rFonts w:cs="Times New Roman"/>
                <w:szCs w:val="24"/>
                <w:vertAlign w:val="superscript"/>
              </w:rPr>
              <w:t>18</w:t>
            </w:r>
            <w:r w:rsidR="00F70FF3">
              <w:rPr>
                <w:rFonts w:eastAsia="Times New Roman" w:cs="Times New Roman"/>
                <w:color w:val="000000"/>
                <w:kern w:val="0"/>
                <w:lang w:val="en-US" w:eastAsia="en-GB"/>
                <w14:ligatures w14:val="none"/>
              </w:rPr>
              <w:fldChar w:fldCharType="end"/>
            </w:r>
            <w:r w:rsidRPr="00B53137">
              <w:rPr>
                <w:rFonts w:eastAsia="Times New Roman" w:cs="Times New Roman"/>
                <w:color w:val="000000"/>
                <w:kern w:val="0"/>
                <w:lang w:val="en-US" w:eastAsia="en-GB"/>
                <w14:ligatures w14:val="none"/>
              </w:rPr>
              <w:t>, this indicator serves as a proxy for economic convergence under SDG Target 8.1.</w:t>
            </w:r>
          </w:p>
        </w:tc>
        <w:tc>
          <w:tcPr>
            <w:tcW w:w="456" w:type="pct"/>
            <w:tcBorders>
              <w:top w:val="nil"/>
              <w:left w:val="nil"/>
              <w:bottom w:val="single" w:sz="8" w:space="0" w:color="auto"/>
              <w:right w:val="single" w:sz="8" w:space="0" w:color="auto"/>
            </w:tcBorders>
          </w:tcPr>
          <w:p w14:paraId="0383DA84"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w:t>
            </w:r>
          </w:p>
        </w:tc>
        <w:tc>
          <w:tcPr>
            <w:tcW w:w="394" w:type="pct"/>
            <w:tcBorders>
              <w:top w:val="nil"/>
              <w:left w:val="nil"/>
              <w:bottom w:val="single" w:sz="8" w:space="0" w:color="auto"/>
              <w:right w:val="single" w:sz="8" w:space="0" w:color="auto"/>
            </w:tcBorders>
          </w:tcPr>
          <w:p w14:paraId="7462A9FB" w14:textId="77777777" w:rsidR="00B54EDD" w:rsidRPr="00005635" w:rsidRDefault="00B54EDD"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1EFB5BE8" w14:textId="77777777" w:rsidTr="008422F6">
        <w:trPr>
          <w:trHeight w:val="288"/>
        </w:trPr>
        <w:tc>
          <w:tcPr>
            <w:tcW w:w="340" w:type="pct"/>
            <w:vMerge w:val="restart"/>
            <w:tcBorders>
              <w:top w:val="nil"/>
              <w:left w:val="single" w:sz="8" w:space="0" w:color="auto"/>
              <w:right w:val="single" w:sz="8" w:space="0" w:color="auto"/>
            </w:tcBorders>
            <w:vAlign w:val="center"/>
          </w:tcPr>
          <w:p w14:paraId="4BC3E745" w14:textId="2392C3BF" w:rsidR="008422F6" w:rsidRPr="00005635" w:rsidRDefault="008422F6" w:rsidP="008422F6">
            <w:pPr>
              <w:spacing w:after="0" w:line="240" w:lineRule="auto"/>
              <w:jc w:val="center"/>
              <w:rPr>
                <w:rFonts w:eastAsia="Times New Roman" w:cs="Times New Roman"/>
                <w:color w:val="000000"/>
                <w:kern w:val="0"/>
                <w:lang w:eastAsia="en-GB"/>
                <w14:ligatures w14:val="none"/>
              </w:rPr>
            </w:pPr>
            <w:proofErr w:type="spellStart"/>
            <w:r>
              <w:rPr>
                <w:rFonts w:eastAsia="Times New Roman" w:cs="Times New Roman"/>
                <w:color w:val="000000"/>
                <w:kern w:val="0"/>
                <w:lang w:eastAsia="en-GB"/>
                <w14:ligatures w14:val="none"/>
              </w:rPr>
              <w:t>Industry</w:t>
            </w:r>
            <w:proofErr w:type="spellEnd"/>
            <w:r>
              <w:rPr>
                <w:rFonts w:eastAsia="Times New Roman" w:cs="Times New Roman"/>
                <w:color w:val="000000"/>
                <w:kern w:val="0"/>
                <w:lang w:eastAsia="en-GB"/>
                <w14:ligatures w14:val="none"/>
              </w:rPr>
              <w:t xml:space="preserve">, </w:t>
            </w:r>
            <w:proofErr w:type="spellStart"/>
            <w:r>
              <w:rPr>
                <w:rFonts w:eastAsia="Times New Roman" w:cs="Times New Roman"/>
                <w:color w:val="000000"/>
                <w:kern w:val="0"/>
                <w:lang w:eastAsia="en-GB"/>
                <w14:ligatures w14:val="none"/>
              </w:rPr>
              <w:t>Innovation</w:t>
            </w:r>
            <w:proofErr w:type="spellEnd"/>
            <w:r>
              <w:rPr>
                <w:rFonts w:eastAsia="Times New Roman" w:cs="Times New Roman"/>
                <w:color w:val="000000"/>
                <w:kern w:val="0"/>
                <w:lang w:eastAsia="en-GB"/>
                <w14:ligatures w14:val="none"/>
              </w:rPr>
              <w:t xml:space="preserve"> and </w:t>
            </w:r>
            <w:proofErr w:type="spellStart"/>
            <w:r>
              <w:rPr>
                <w:rFonts w:eastAsia="Times New Roman" w:cs="Times New Roman"/>
                <w:color w:val="000000"/>
                <w:kern w:val="0"/>
                <w:lang w:eastAsia="en-GB"/>
                <w14:ligatures w14:val="none"/>
              </w:rPr>
              <w:t>Infrastructure</w:t>
            </w:r>
            <w:proofErr w:type="spellEnd"/>
          </w:p>
        </w:tc>
        <w:tc>
          <w:tcPr>
            <w:tcW w:w="340" w:type="pct"/>
            <w:tcBorders>
              <w:top w:val="nil"/>
              <w:left w:val="single" w:sz="8" w:space="0" w:color="auto"/>
              <w:bottom w:val="nil"/>
              <w:right w:val="single" w:sz="8" w:space="0" w:color="auto"/>
            </w:tcBorders>
            <w:noWrap/>
            <w:vAlign w:val="bottom"/>
            <w:hideMark/>
          </w:tcPr>
          <w:p w14:paraId="358C256C"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9.2.1</w:t>
            </w:r>
          </w:p>
        </w:tc>
        <w:tc>
          <w:tcPr>
            <w:tcW w:w="1021" w:type="pct"/>
            <w:tcBorders>
              <w:top w:val="nil"/>
              <w:left w:val="single" w:sz="8" w:space="0" w:color="auto"/>
              <w:bottom w:val="nil"/>
              <w:right w:val="single" w:sz="8" w:space="0" w:color="auto"/>
            </w:tcBorders>
            <w:noWrap/>
            <w:vAlign w:val="bottom"/>
            <w:hideMark/>
          </w:tcPr>
          <w:p w14:paraId="5C847487"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global_share_manufacturing_value_added_per_GDP</w:t>
            </w:r>
            <w:proofErr w:type="spellEnd"/>
          </w:p>
        </w:tc>
        <w:tc>
          <w:tcPr>
            <w:tcW w:w="2450" w:type="pct"/>
            <w:tcBorders>
              <w:top w:val="nil"/>
              <w:left w:val="nil"/>
              <w:bottom w:val="nil"/>
              <w:right w:val="single" w:sz="8" w:space="0" w:color="auto"/>
            </w:tcBorders>
            <w:noWrap/>
            <w:vAlign w:val="bottom"/>
            <w:hideMark/>
          </w:tcPr>
          <w:p w14:paraId="60774625"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Global share of manufacturing value added in GDP. This is the official indicator for SDG Target 9.2, promoting inclusive and sustainable industrial development.</w:t>
            </w:r>
          </w:p>
        </w:tc>
        <w:tc>
          <w:tcPr>
            <w:tcW w:w="456" w:type="pct"/>
            <w:tcBorders>
              <w:top w:val="nil"/>
              <w:left w:val="nil"/>
              <w:bottom w:val="nil"/>
              <w:right w:val="single" w:sz="8" w:space="0" w:color="auto"/>
            </w:tcBorders>
          </w:tcPr>
          <w:p w14:paraId="5ACAD0E2"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Dmnl</w:t>
            </w:r>
          </w:p>
        </w:tc>
        <w:tc>
          <w:tcPr>
            <w:tcW w:w="394" w:type="pct"/>
            <w:tcBorders>
              <w:top w:val="nil"/>
              <w:left w:val="nil"/>
              <w:bottom w:val="nil"/>
              <w:right w:val="single" w:sz="8" w:space="0" w:color="auto"/>
            </w:tcBorders>
          </w:tcPr>
          <w:p w14:paraId="31BC46F8"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24B62B2C" w14:textId="77777777" w:rsidTr="008422F6">
        <w:trPr>
          <w:trHeight w:val="300"/>
        </w:trPr>
        <w:tc>
          <w:tcPr>
            <w:tcW w:w="340" w:type="pct"/>
            <w:vMerge/>
            <w:tcBorders>
              <w:left w:val="single" w:sz="8" w:space="0" w:color="auto"/>
              <w:right w:val="single" w:sz="8" w:space="0" w:color="auto"/>
            </w:tcBorders>
          </w:tcPr>
          <w:p w14:paraId="2C019585"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nil"/>
              <w:right w:val="single" w:sz="8" w:space="0" w:color="auto"/>
            </w:tcBorders>
            <w:noWrap/>
            <w:vAlign w:val="bottom"/>
            <w:hideMark/>
          </w:tcPr>
          <w:p w14:paraId="53D1D8AC"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9.2.1</w:t>
            </w:r>
          </w:p>
        </w:tc>
        <w:tc>
          <w:tcPr>
            <w:tcW w:w="1021" w:type="pct"/>
            <w:tcBorders>
              <w:top w:val="nil"/>
              <w:left w:val="single" w:sz="8" w:space="0" w:color="auto"/>
              <w:bottom w:val="nil"/>
              <w:right w:val="single" w:sz="8" w:space="0" w:color="auto"/>
            </w:tcBorders>
            <w:noWrap/>
            <w:vAlign w:val="bottom"/>
            <w:hideMark/>
          </w:tcPr>
          <w:p w14:paraId="347211A8"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global_manufacturing_value_added_per_capita</w:t>
            </w:r>
            <w:proofErr w:type="spellEnd"/>
          </w:p>
        </w:tc>
        <w:tc>
          <w:tcPr>
            <w:tcW w:w="2450" w:type="pct"/>
            <w:tcBorders>
              <w:top w:val="nil"/>
              <w:left w:val="nil"/>
              <w:bottom w:val="nil"/>
              <w:right w:val="single" w:sz="8" w:space="0" w:color="auto"/>
            </w:tcBorders>
            <w:noWrap/>
            <w:vAlign w:val="bottom"/>
            <w:hideMark/>
          </w:tcPr>
          <w:p w14:paraId="171C2556"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Manufacturing value added per capita, in constant 2015 international dollars. This complements the previous indicator under SDG Target 9.2 by providing an income-based per person perspective.</w:t>
            </w:r>
          </w:p>
        </w:tc>
        <w:tc>
          <w:tcPr>
            <w:tcW w:w="456" w:type="pct"/>
            <w:tcBorders>
              <w:top w:val="nil"/>
              <w:left w:val="nil"/>
              <w:bottom w:val="nil"/>
              <w:right w:val="single" w:sz="8" w:space="0" w:color="auto"/>
            </w:tcBorders>
          </w:tcPr>
          <w:p w14:paraId="2DD11CC6"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Mdollars_2015/</w:t>
            </w:r>
          </w:p>
          <w:p w14:paraId="4A49AB2D"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w:t>
            </w:r>
            <w:proofErr w:type="spellStart"/>
            <w:r w:rsidRPr="00005635">
              <w:rPr>
                <w:rFonts w:eastAsia="Times New Roman" w:cs="Times New Roman"/>
                <w:color w:val="000000"/>
                <w:kern w:val="0"/>
                <w:lang w:eastAsia="en-GB"/>
                <w14:ligatures w14:val="none"/>
              </w:rPr>
              <w:t>Year</w:t>
            </w:r>
            <w:proofErr w:type="spellEnd"/>
            <w:r w:rsidRPr="00005635">
              <w:rPr>
                <w:rFonts w:eastAsia="Times New Roman" w:cs="Times New Roman"/>
                <w:color w:val="000000"/>
                <w:kern w:val="0"/>
                <w:lang w:eastAsia="en-GB"/>
                <w14:ligatures w14:val="none"/>
              </w:rPr>
              <w:t>*</w:t>
            </w:r>
            <w:proofErr w:type="spellStart"/>
            <w:r w:rsidRPr="00005635">
              <w:rPr>
                <w:rFonts w:eastAsia="Times New Roman" w:cs="Times New Roman"/>
                <w:color w:val="000000"/>
                <w:kern w:val="0"/>
                <w:lang w:eastAsia="en-GB"/>
                <w14:ligatures w14:val="none"/>
              </w:rPr>
              <w:t>person</w:t>
            </w:r>
            <w:proofErr w:type="spellEnd"/>
            <w:r w:rsidRPr="00005635">
              <w:rPr>
                <w:rFonts w:eastAsia="Times New Roman" w:cs="Times New Roman"/>
                <w:color w:val="000000"/>
                <w:kern w:val="0"/>
                <w:lang w:eastAsia="en-GB"/>
                <w14:ligatures w14:val="none"/>
              </w:rPr>
              <w:t>)</w:t>
            </w:r>
          </w:p>
        </w:tc>
        <w:tc>
          <w:tcPr>
            <w:tcW w:w="394" w:type="pct"/>
            <w:tcBorders>
              <w:top w:val="nil"/>
              <w:left w:val="nil"/>
              <w:bottom w:val="nil"/>
              <w:right w:val="single" w:sz="8" w:space="0" w:color="auto"/>
            </w:tcBorders>
          </w:tcPr>
          <w:p w14:paraId="0738AF9F"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3CF0A767" w14:textId="77777777" w:rsidTr="008422F6">
        <w:trPr>
          <w:trHeight w:val="792"/>
        </w:trPr>
        <w:tc>
          <w:tcPr>
            <w:tcW w:w="340" w:type="pct"/>
            <w:vMerge/>
            <w:tcBorders>
              <w:left w:val="single" w:sz="8" w:space="0" w:color="auto"/>
              <w:right w:val="single" w:sz="8" w:space="0" w:color="auto"/>
            </w:tcBorders>
          </w:tcPr>
          <w:p w14:paraId="7BA30A9A"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nil"/>
              <w:right w:val="single" w:sz="8" w:space="0" w:color="auto"/>
            </w:tcBorders>
            <w:noWrap/>
            <w:vAlign w:val="bottom"/>
            <w:hideMark/>
          </w:tcPr>
          <w:p w14:paraId="38DAAB0F"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9.2.2</w:t>
            </w:r>
          </w:p>
        </w:tc>
        <w:tc>
          <w:tcPr>
            <w:tcW w:w="1021" w:type="pct"/>
            <w:tcBorders>
              <w:top w:val="nil"/>
              <w:left w:val="single" w:sz="8" w:space="0" w:color="auto"/>
              <w:bottom w:val="nil"/>
              <w:right w:val="single" w:sz="8" w:space="0" w:color="auto"/>
            </w:tcBorders>
            <w:noWrap/>
            <w:vAlign w:val="bottom"/>
            <w:hideMark/>
          </w:tcPr>
          <w:p w14:paraId="37E134B1" w14:textId="77777777" w:rsidR="008422F6" w:rsidRPr="00005635" w:rsidRDefault="008422F6"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global_manufacturing_employment_ratio</w:t>
            </w:r>
            <w:proofErr w:type="spellEnd"/>
          </w:p>
        </w:tc>
        <w:tc>
          <w:tcPr>
            <w:tcW w:w="2450" w:type="pct"/>
            <w:tcBorders>
              <w:top w:val="nil"/>
              <w:left w:val="nil"/>
              <w:bottom w:val="nil"/>
              <w:right w:val="single" w:sz="8" w:space="0" w:color="auto"/>
            </w:tcBorders>
            <w:noWrap/>
            <w:vAlign w:val="bottom"/>
            <w:hideMark/>
          </w:tcPr>
          <w:p w14:paraId="55AF46C3"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Proportion of global employment in the manufacturing sector. This is another official UN indicator associated with SDG Target 9.2.</w:t>
            </w:r>
          </w:p>
        </w:tc>
        <w:tc>
          <w:tcPr>
            <w:tcW w:w="456" w:type="pct"/>
            <w:tcBorders>
              <w:top w:val="nil"/>
              <w:left w:val="nil"/>
              <w:bottom w:val="nil"/>
              <w:right w:val="single" w:sz="8" w:space="0" w:color="auto"/>
            </w:tcBorders>
          </w:tcPr>
          <w:p w14:paraId="403A8639"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Dmnl</w:t>
            </w:r>
          </w:p>
        </w:tc>
        <w:tc>
          <w:tcPr>
            <w:tcW w:w="394" w:type="pct"/>
            <w:tcBorders>
              <w:top w:val="nil"/>
              <w:left w:val="nil"/>
              <w:bottom w:val="nil"/>
              <w:right w:val="single" w:sz="8" w:space="0" w:color="auto"/>
            </w:tcBorders>
          </w:tcPr>
          <w:p w14:paraId="203C1B51"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733A6C30" w14:textId="77777777" w:rsidTr="008422F6">
        <w:trPr>
          <w:trHeight w:val="300"/>
        </w:trPr>
        <w:tc>
          <w:tcPr>
            <w:tcW w:w="340" w:type="pct"/>
            <w:vMerge/>
            <w:tcBorders>
              <w:left w:val="single" w:sz="8" w:space="0" w:color="auto"/>
              <w:bottom w:val="single" w:sz="8" w:space="0" w:color="auto"/>
              <w:right w:val="single" w:sz="8" w:space="0" w:color="auto"/>
            </w:tcBorders>
          </w:tcPr>
          <w:p w14:paraId="7752DE00"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single" w:sz="8" w:space="0" w:color="auto"/>
              <w:right w:val="single" w:sz="8" w:space="0" w:color="auto"/>
            </w:tcBorders>
            <w:noWrap/>
            <w:vAlign w:val="bottom"/>
            <w:hideMark/>
          </w:tcPr>
          <w:p w14:paraId="411BA00F"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9</w:t>
            </w:r>
          </w:p>
        </w:tc>
        <w:tc>
          <w:tcPr>
            <w:tcW w:w="1021" w:type="pct"/>
            <w:tcBorders>
              <w:top w:val="nil"/>
              <w:left w:val="single" w:sz="8" w:space="0" w:color="auto"/>
              <w:bottom w:val="single" w:sz="8" w:space="0" w:color="auto"/>
              <w:right w:val="single" w:sz="8" w:space="0" w:color="auto"/>
            </w:tcBorders>
            <w:noWrap/>
            <w:vAlign w:val="bottom"/>
            <w:hideMark/>
          </w:tcPr>
          <w:p w14:paraId="5BD8353E"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global_CO2_industry_direct_emissions</w:t>
            </w:r>
          </w:p>
        </w:tc>
        <w:tc>
          <w:tcPr>
            <w:tcW w:w="2450" w:type="pct"/>
            <w:tcBorders>
              <w:top w:val="nil"/>
              <w:left w:val="nil"/>
              <w:bottom w:val="single" w:sz="8" w:space="0" w:color="auto"/>
              <w:right w:val="single" w:sz="8" w:space="0" w:color="auto"/>
            </w:tcBorders>
            <w:noWrap/>
            <w:vAlign w:val="bottom"/>
            <w:hideMark/>
          </w:tcPr>
          <w:p w14:paraId="107F648B" w14:textId="53D1511D"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val="en-GB" w:eastAsia="en-GB"/>
                <w14:ligatures w14:val="none"/>
              </w:rPr>
              <w:t xml:space="preserve">Total direct CO₂ emissions from industrial activities globally. This proxy supports SDG Target 9.4 on sustainable industrial practices and is aligned with the approach in </w:t>
            </w:r>
            <w:proofErr w:type="spellStart"/>
            <w:r w:rsidRPr="00005635">
              <w:rPr>
                <w:rFonts w:eastAsia="Times New Roman" w:cs="Times New Roman"/>
                <w:color w:val="000000"/>
                <w:kern w:val="0"/>
                <w:lang w:val="en-GB" w:eastAsia="en-GB"/>
                <w14:ligatures w14:val="none"/>
              </w:rPr>
              <w:t>Soergel</w:t>
            </w:r>
            <w:proofErr w:type="spellEnd"/>
            <w:r w:rsidRPr="00005635">
              <w:rPr>
                <w:rFonts w:eastAsia="Times New Roman" w:cs="Times New Roman"/>
                <w:color w:val="000000"/>
                <w:kern w:val="0"/>
                <w:lang w:val="en-GB" w:eastAsia="en-GB"/>
                <w14:ligatures w14:val="none"/>
              </w:rPr>
              <w:t xml:space="preserve"> et al. </w:t>
            </w:r>
            <w:r w:rsidRPr="00005635">
              <w:rPr>
                <w:rFonts w:eastAsia="Times New Roman" w:cs="Times New Roman"/>
                <w:color w:val="000000"/>
                <w:kern w:val="0"/>
                <w:lang w:eastAsia="en-GB"/>
                <w14:ligatures w14:val="none"/>
              </w:rPr>
              <w:t>(2021)</w:t>
            </w:r>
            <w:r w:rsidR="00F70FF3">
              <w:rPr>
                <w:rFonts w:eastAsia="Times New Roman" w:cs="Times New Roman"/>
                <w:color w:val="000000"/>
                <w:kern w:val="0"/>
                <w:lang w:eastAsia="en-GB"/>
                <w14:ligatures w14:val="none"/>
              </w:rPr>
              <w:fldChar w:fldCharType="begin"/>
            </w:r>
            <w:r w:rsidR="00F70FF3">
              <w:rPr>
                <w:rFonts w:eastAsia="Times New Roman" w:cs="Times New Roman"/>
                <w:color w:val="000000"/>
                <w:kern w:val="0"/>
                <w:lang w:eastAsia="en-GB"/>
                <w14:ligatures w14:val="none"/>
              </w:rPr>
              <w:instrText xml:space="preserve"> ADDIN ZOTERO_ITEM CSL_CITATION {"citationID":"6z6xK2kx","properties":{"formattedCitation":"\\super 9\\nosupersub{}","plainCitation":"9","noteIndex":0},"citationItems":[{"id":280,"uris":["http://zotero.org/users/11518810/items/3ICHZ5BF"],"itemData":{"id":280,"type":"article-journal","container-title":"Nature Climate Change","DOI":"10.1038/s41558-021-01098-3","ISSN":"1758-678X, 1758-6798","issue":"8","journalAbbreviation":"Nat. Clim. Chang.","language":"en","page":"656-664","source":"DOI.org (Crossref)","title":"A sustainable development pathway for climate action within the UN 2030 Agenda","volume":"11","author":[{"family":"Soergel","given":"Bjoern"},{"family":"Kriegler","given":"Elmar"},{"family":"Weindl","given":"Isabelle"},{"family":"Rauner","given":"Sebastian"},{"family":"Dirnaichner","given":"Alois"},{"family":"Ruhe","given":"Constantin"},{"family":"Hofmann","given":"Matthias"},{"family":"Bauer","given":"Nico"},{"family":"Bertram","given":"Christoph"},{"family":"Bodirsky","given":"Benjamin Leon"},{"family":"Leimbach","given":"Marian"},{"family":"Leininger","given":"Julia"},{"family":"Levesque","given":"Antoine"},{"family":"Luderer","given":"Gunnar"},{"family":"Pehl","given":"Michaja"},{"family":"Wingens","given":"Christopher"},{"family":"Baumstark","given":"Lavinia"},{"family":"Beier","given":"Felicitas"},{"family":"Dietrich","given":"Jan Philipp"},{"family":"Humpenöder","given":"Florian"},{"family":"Von Jeetze","given":"Patrick"},{"family":"Klein","given":"David"},{"family":"Koch","given":"Johannes"},{"family":"Pietzcker","given":"Robert"},{"family":"Strefler","given":"Jessica"},{"family":"Lotze-Campen","given":"Hermann"},{"family":"Popp","given":"Alexander"}],"issued":{"date-parts":[["2021",8]]}}}],"schema":"https://github.com/citation-style-language/schema/raw/master/csl-citation.json"} </w:instrText>
            </w:r>
            <w:r w:rsidR="00F70FF3">
              <w:rPr>
                <w:rFonts w:eastAsia="Times New Roman" w:cs="Times New Roman"/>
                <w:color w:val="000000"/>
                <w:kern w:val="0"/>
                <w:lang w:eastAsia="en-GB"/>
                <w14:ligatures w14:val="none"/>
              </w:rPr>
              <w:fldChar w:fldCharType="separate"/>
            </w:r>
            <w:r w:rsidR="00F70FF3" w:rsidRPr="00F70FF3">
              <w:rPr>
                <w:rFonts w:cs="Times New Roman"/>
                <w:szCs w:val="24"/>
                <w:vertAlign w:val="superscript"/>
              </w:rPr>
              <w:t>9</w:t>
            </w:r>
            <w:r w:rsidR="00F70FF3">
              <w:rPr>
                <w:rFonts w:eastAsia="Times New Roman" w:cs="Times New Roman"/>
                <w:color w:val="000000"/>
                <w:kern w:val="0"/>
                <w:lang w:eastAsia="en-GB"/>
                <w14:ligatures w14:val="none"/>
              </w:rPr>
              <w:fldChar w:fldCharType="end"/>
            </w:r>
            <w:r w:rsidRPr="00005635">
              <w:rPr>
                <w:rFonts w:eastAsia="Times New Roman" w:cs="Times New Roman"/>
                <w:color w:val="000000"/>
                <w:kern w:val="0"/>
                <w:lang w:eastAsia="en-GB"/>
                <w14:ligatures w14:val="none"/>
              </w:rPr>
              <w:t>.</w:t>
            </w:r>
          </w:p>
        </w:tc>
        <w:tc>
          <w:tcPr>
            <w:tcW w:w="456" w:type="pct"/>
            <w:tcBorders>
              <w:top w:val="nil"/>
              <w:left w:val="nil"/>
              <w:bottom w:val="single" w:sz="8" w:space="0" w:color="auto"/>
              <w:right w:val="single" w:sz="8" w:space="0" w:color="auto"/>
            </w:tcBorders>
          </w:tcPr>
          <w:p w14:paraId="0240D3E2" w14:textId="77777777" w:rsidR="008422F6" w:rsidRPr="00005635" w:rsidRDefault="008422F6"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Gt</w:t>
            </w:r>
            <w:proofErr w:type="spellEnd"/>
            <w:r w:rsidRPr="00005635">
              <w:rPr>
                <w:rFonts w:eastAsia="Times New Roman" w:cs="Times New Roman"/>
                <w:color w:val="000000"/>
                <w:kern w:val="0"/>
                <w:lang w:eastAsia="en-GB"/>
                <w14:ligatures w14:val="none"/>
              </w:rPr>
              <w:t>/</w:t>
            </w:r>
            <w:proofErr w:type="spellStart"/>
            <w:r w:rsidRPr="00005635">
              <w:rPr>
                <w:rFonts w:eastAsia="Times New Roman" w:cs="Times New Roman"/>
                <w:color w:val="000000"/>
                <w:kern w:val="0"/>
                <w:lang w:eastAsia="en-GB"/>
                <w14:ligatures w14:val="none"/>
              </w:rPr>
              <w:t>Year</w:t>
            </w:r>
            <w:proofErr w:type="spellEnd"/>
          </w:p>
        </w:tc>
        <w:tc>
          <w:tcPr>
            <w:tcW w:w="394" w:type="pct"/>
            <w:tcBorders>
              <w:top w:val="nil"/>
              <w:left w:val="nil"/>
              <w:bottom w:val="single" w:sz="8" w:space="0" w:color="auto"/>
              <w:right w:val="single" w:sz="8" w:space="0" w:color="auto"/>
            </w:tcBorders>
          </w:tcPr>
          <w:p w14:paraId="0C0D3F19"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05DD0475" w14:textId="77777777" w:rsidTr="008422F6">
        <w:trPr>
          <w:trHeight w:val="885"/>
        </w:trPr>
        <w:tc>
          <w:tcPr>
            <w:tcW w:w="340" w:type="pct"/>
            <w:vMerge w:val="restart"/>
            <w:tcBorders>
              <w:top w:val="nil"/>
              <w:left w:val="single" w:sz="8" w:space="0" w:color="auto"/>
              <w:right w:val="single" w:sz="8" w:space="0" w:color="auto"/>
            </w:tcBorders>
            <w:vAlign w:val="center"/>
          </w:tcPr>
          <w:p w14:paraId="2355508F" w14:textId="67EF00F6" w:rsidR="008422F6" w:rsidRPr="00005635" w:rsidRDefault="008422F6" w:rsidP="008422F6">
            <w:pPr>
              <w:spacing w:after="0" w:line="240" w:lineRule="auto"/>
              <w:jc w:val="center"/>
              <w:rPr>
                <w:rFonts w:eastAsia="Times New Roman" w:cs="Times New Roman"/>
                <w:color w:val="000000"/>
                <w:kern w:val="0"/>
                <w:lang w:eastAsia="en-GB"/>
                <w14:ligatures w14:val="none"/>
              </w:rPr>
            </w:pPr>
            <w:proofErr w:type="spellStart"/>
            <w:r>
              <w:rPr>
                <w:rFonts w:eastAsia="Times New Roman" w:cs="Times New Roman"/>
                <w:color w:val="000000"/>
                <w:kern w:val="0"/>
                <w:lang w:eastAsia="en-GB"/>
                <w14:ligatures w14:val="none"/>
              </w:rPr>
              <w:t>Reduced</w:t>
            </w:r>
            <w:proofErr w:type="spellEnd"/>
            <w:r>
              <w:rPr>
                <w:rFonts w:eastAsia="Times New Roman" w:cs="Times New Roman"/>
                <w:color w:val="000000"/>
                <w:kern w:val="0"/>
                <w:lang w:eastAsia="en-GB"/>
                <w14:ligatures w14:val="none"/>
              </w:rPr>
              <w:t xml:space="preserve"> </w:t>
            </w:r>
            <w:proofErr w:type="spellStart"/>
            <w:r>
              <w:rPr>
                <w:rFonts w:eastAsia="Times New Roman" w:cs="Times New Roman"/>
                <w:color w:val="000000"/>
                <w:kern w:val="0"/>
                <w:lang w:eastAsia="en-GB"/>
                <w14:ligatures w14:val="none"/>
              </w:rPr>
              <w:t>Inequalities</w:t>
            </w:r>
            <w:proofErr w:type="spellEnd"/>
          </w:p>
        </w:tc>
        <w:tc>
          <w:tcPr>
            <w:tcW w:w="340" w:type="pct"/>
            <w:tcBorders>
              <w:top w:val="nil"/>
              <w:left w:val="single" w:sz="8" w:space="0" w:color="auto"/>
              <w:bottom w:val="nil"/>
              <w:right w:val="single" w:sz="8" w:space="0" w:color="auto"/>
            </w:tcBorders>
            <w:noWrap/>
            <w:vAlign w:val="bottom"/>
            <w:hideMark/>
          </w:tcPr>
          <w:p w14:paraId="1B00547E"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10.4.1</w:t>
            </w:r>
          </w:p>
        </w:tc>
        <w:tc>
          <w:tcPr>
            <w:tcW w:w="1021" w:type="pct"/>
            <w:tcBorders>
              <w:top w:val="nil"/>
              <w:left w:val="single" w:sz="8" w:space="0" w:color="auto"/>
              <w:bottom w:val="nil"/>
              <w:right w:val="single" w:sz="8" w:space="0" w:color="auto"/>
            </w:tcBorders>
            <w:noWrap/>
            <w:vAlign w:val="bottom"/>
            <w:hideMark/>
          </w:tcPr>
          <w:p w14:paraId="76B637BE" w14:textId="77777777" w:rsidR="008422F6" w:rsidRPr="00005635" w:rsidRDefault="008422F6"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global_labour_compensation_share</w:t>
            </w:r>
            <w:proofErr w:type="spellEnd"/>
          </w:p>
        </w:tc>
        <w:tc>
          <w:tcPr>
            <w:tcW w:w="2450" w:type="pct"/>
            <w:tcBorders>
              <w:top w:val="nil"/>
              <w:left w:val="nil"/>
              <w:bottom w:val="nil"/>
              <w:right w:val="single" w:sz="8" w:space="0" w:color="auto"/>
            </w:tcBorders>
            <w:noWrap/>
            <w:vAlign w:val="bottom"/>
            <w:hideMark/>
          </w:tcPr>
          <w:p w14:paraId="47856949"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Share of labour compensation in global GDP. This indicator reflects the distributive dimension of SDG Target 10.4, which aims to reduce inequality through fiscal and labour policy.</w:t>
            </w:r>
          </w:p>
        </w:tc>
        <w:tc>
          <w:tcPr>
            <w:tcW w:w="456" w:type="pct"/>
            <w:tcBorders>
              <w:top w:val="nil"/>
              <w:left w:val="nil"/>
              <w:bottom w:val="nil"/>
              <w:right w:val="single" w:sz="8" w:space="0" w:color="auto"/>
            </w:tcBorders>
          </w:tcPr>
          <w:p w14:paraId="6424F9B2" w14:textId="77777777" w:rsidR="008422F6" w:rsidRPr="00005635" w:rsidRDefault="008422F6"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Mdollars</w:t>
            </w:r>
            <w:proofErr w:type="spellEnd"/>
            <w:r w:rsidRPr="00005635">
              <w:rPr>
                <w:rFonts w:eastAsia="Times New Roman" w:cs="Times New Roman"/>
                <w:color w:val="000000"/>
                <w:kern w:val="0"/>
                <w:lang w:eastAsia="en-GB"/>
                <w14:ligatures w14:val="none"/>
              </w:rPr>
              <w:t>/</w:t>
            </w:r>
          </w:p>
          <w:p w14:paraId="798C1C3E"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Mdollars_2015</w:t>
            </w:r>
          </w:p>
        </w:tc>
        <w:tc>
          <w:tcPr>
            <w:tcW w:w="394" w:type="pct"/>
            <w:tcBorders>
              <w:top w:val="nil"/>
              <w:left w:val="nil"/>
              <w:bottom w:val="nil"/>
              <w:right w:val="single" w:sz="8" w:space="0" w:color="auto"/>
            </w:tcBorders>
          </w:tcPr>
          <w:p w14:paraId="0F247D06"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3CA1DD3C" w14:textId="77777777" w:rsidTr="008422F6">
        <w:trPr>
          <w:trHeight w:val="300"/>
        </w:trPr>
        <w:tc>
          <w:tcPr>
            <w:tcW w:w="340" w:type="pct"/>
            <w:vMerge/>
            <w:tcBorders>
              <w:left w:val="single" w:sz="8" w:space="0" w:color="auto"/>
              <w:bottom w:val="single" w:sz="8" w:space="0" w:color="auto"/>
              <w:right w:val="single" w:sz="8" w:space="0" w:color="auto"/>
            </w:tcBorders>
            <w:vAlign w:val="center"/>
          </w:tcPr>
          <w:p w14:paraId="0B00B59A" w14:textId="77777777" w:rsidR="008422F6" w:rsidRPr="00005635" w:rsidRDefault="008422F6" w:rsidP="008422F6">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single" w:sz="8" w:space="0" w:color="auto"/>
              <w:right w:val="single" w:sz="8" w:space="0" w:color="auto"/>
            </w:tcBorders>
            <w:noWrap/>
            <w:vAlign w:val="bottom"/>
            <w:hideMark/>
          </w:tcPr>
          <w:p w14:paraId="35439828"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10</w:t>
            </w:r>
          </w:p>
        </w:tc>
        <w:tc>
          <w:tcPr>
            <w:tcW w:w="1021" w:type="pct"/>
            <w:tcBorders>
              <w:top w:val="nil"/>
              <w:left w:val="single" w:sz="8" w:space="0" w:color="auto"/>
              <w:bottom w:val="single" w:sz="8" w:space="0" w:color="auto"/>
              <w:right w:val="single" w:sz="8" w:space="0" w:color="auto"/>
            </w:tcBorders>
            <w:noWrap/>
            <w:vAlign w:val="bottom"/>
            <w:hideMark/>
          </w:tcPr>
          <w:p w14:paraId="7D310DBF" w14:textId="77777777" w:rsidR="008422F6" w:rsidRPr="00005635" w:rsidRDefault="008422F6"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global_GINI_GDPpc_regions</w:t>
            </w:r>
            <w:proofErr w:type="spellEnd"/>
          </w:p>
        </w:tc>
        <w:tc>
          <w:tcPr>
            <w:tcW w:w="2450" w:type="pct"/>
            <w:tcBorders>
              <w:top w:val="nil"/>
              <w:left w:val="nil"/>
              <w:bottom w:val="single" w:sz="8" w:space="0" w:color="auto"/>
              <w:right w:val="single" w:sz="8" w:space="0" w:color="auto"/>
            </w:tcBorders>
            <w:noWrap/>
            <w:vAlign w:val="bottom"/>
            <w:hideMark/>
          </w:tcPr>
          <w:p w14:paraId="5DE942B5"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GINI coefficient of per capita GDP across WILIAM regions. A value of 0 implies perfect equality and 1 indicates maximal inequality. This intrinsic WILIAM indicator serves as a proxy for SDG Target 10.2, although focused solely on economic disparities.</w:t>
            </w:r>
          </w:p>
        </w:tc>
        <w:tc>
          <w:tcPr>
            <w:tcW w:w="456" w:type="pct"/>
            <w:tcBorders>
              <w:top w:val="nil"/>
              <w:left w:val="nil"/>
              <w:bottom w:val="single" w:sz="8" w:space="0" w:color="auto"/>
              <w:right w:val="single" w:sz="8" w:space="0" w:color="auto"/>
            </w:tcBorders>
          </w:tcPr>
          <w:p w14:paraId="58B1105D"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Dmnl</w:t>
            </w:r>
          </w:p>
        </w:tc>
        <w:tc>
          <w:tcPr>
            <w:tcW w:w="394" w:type="pct"/>
            <w:tcBorders>
              <w:top w:val="nil"/>
              <w:left w:val="nil"/>
              <w:bottom w:val="single" w:sz="8" w:space="0" w:color="auto"/>
              <w:right w:val="single" w:sz="8" w:space="0" w:color="auto"/>
            </w:tcBorders>
          </w:tcPr>
          <w:p w14:paraId="1BCDAE3B"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58623C87" w14:textId="77777777" w:rsidTr="008422F6">
        <w:trPr>
          <w:trHeight w:val="300"/>
        </w:trPr>
        <w:tc>
          <w:tcPr>
            <w:tcW w:w="340" w:type="pct"/>
            <w:tcBorders>
              <w:top w:val="nil"/>
              <w:left w:val="single" w:sz="8" w:space="0" w:color="auto"/>
              <w:bottom w:val="single" w:sz="8" w:space="0" w:color="auto"/>
              <w:right w:val="single" w:sz="8" w:space="0" w:color="auto"/>
            </w:tcBorders>
          </w:tcPr>
          <w:p w14:paraId="28B10B6F" w14:textId="7D7C3046" w:rsidR="00741F29" w:rsidRPr="00005635" w:rsidRDefault="008422F6" w:rsidP="001335E8">
            <w:pPr>
              <w:spacing w:after="0" w:line="240" w:lineRule="auto"/>
              <w:jc w:val="center"/>
              <w:rPr>
                <w:rFonts w:eastAsia="Times New Roman" w:cs="Times New Roman"/>
                <w:color w:val="000000"/>
                <w:kern w:val="0"/>
                <w:lang w:eastAsia="en-GB"/>
                <w14:ligatures w14:val="none"/>
              </w:rPr>
            </w:pPr>
            <w:proofErr w:type="spellStart"/>
            <w:r>
              <w:rPr>
                <w:rFonts w:eastAsia="Times New Roman" w:cs="Times New Roman"/>
                <w:color w:val="000000"/>
                <w:kern w:val="0"/>
                <w:lang w:eastAsia="en-GB"/>
                <w14:ligatures w14:val="none"/>
              </w:rPr>
              <w:t>Sustainable</w:t>
            </w:r>
            <w:proofErr w:type="spellEnd"/>
            <w:r>
              <w:rPr>
                <w:rFonts w:eastAsia="Times New Roman" w:cs="Times New Roman"/>
                <w:color w:val="000000"/>
                <w:kern w:val="0"/>
                <w:lang w:eastAsia="en-GB"/>
                <w14:ligatures w14:val="none"/>
              </w:rPr>
              <w:t xml:space="preserve"> </w:t>
            </w:r>
            <w:proofErr w:type="spellStart"/>
            <w:r>
              <w:rPr>
                <w:rFonts w:eastAsia="Times New Roman" w:cs="Times New Roman"/>
                <w:color w:val="000000"/>
                <w:kern w:val="0"/>
                <w:lang w:eastAsia="en-GB"/>
                <w14:ligatures w14:val="none"/>
              </w:rPr>
              <w:t>Cities</w:t>
            </w:r>
            <w:proofErr w:type="spellEnd"/>
            <w:r>
              <w:rPr>
                <w:rFonts w:eastAsia="Times New Roman" w:cs="Times New Roman"/>
                <w:color w:val="000000"/>
                <w:kern w:val="0"/>
                <w:lang w:eastAsia="en-GB"/>
                <w14:ligatures w14:val="none"/>
              </w:rPr>
              <w:t xml:space="preserve"> </w:t>
            </w:r>
            <w:r>
              <w:rPr>
                <w:rFonts w:eastAsia="Times New Roman" w:cs="Times New Roman"/>
                <w:color w:val="000000"/>
                <w:kern w:val="0"/>
                <w:lang w:eastAsia="en-GB"/>
                <w14:ligatures w14:val="none"/>
              </w:rPr>
              <w:lastRenderedPageBreak/>
              <w:t xml:space="preserve">and </w:t>
            </w:r>
            <w:proofErr w:type="spellStart"/>
            <w:r>
              <w:rPr>
                <w:rFonts w:eastAsia="Times New Roman" w:cs="Times New Roman"/>
                <w:color w:val="000000"/>
                <w:kern w:val="0"/>
                <w:lang w:eastAsia="en-GB"/>
                <w14:ligatures w14:val="none"/>
              </w:rPr>
              <w:t>Communities</w:t>
            </w:r>
            <w:proofErr w:type="spellEnd"/>
          </w:p>
        </w:tc>
        <w:tc>
          <w:tcPr>
            <w:tcW w:w="340" w:type="pct"/>
            <w:tcBorders>
              <w:top w:val="nil"/>
              <w:left w:val="single" w:sz="8" w:space="0" w:color="auto"/>
              <w:bottom w:val="single" w:sz="8" w:space="0" w:color="auto"/>
              <w:right w:val="single" w:sz="8" w:space="0" w:color="auto"/>
            </w:tcBorders>
            <w:noWrap/>
            <w:vAlign w:val="bottom"/>
            <w:hideMark/>
          </w:tcPr>
          <w:p w14:paraId="2B10637D" w14:textId="77777777" w:rsidR="00741F29" w:rsidRPr="00005635" w:rsidRDefault="00741F29"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lastRenderedPageBreak/>
              <w:t>11.3.1</w:t>
            </w:r>
          </w:p>
        </w:tc>
        <w:tc>
          <w:tcPr>
            <w:tcW w:w="1021" w:type="pct"/>
            <w:tcBorders>
              <w:top w:val="nil"/>
              <w:left w:val="single" w:sz="8" w:space="0" w:color="auto"/>
              <w:bottom w:val="single" w:sz="8" w:space="0" w:color="auto"/>
              <w:right w:val="single" w:sz="8" w:space="0" w:color="auto"/>
            </w:tcBorders>
            <w:noWrap/>
            <w:vAlign w:val="bottom"/>
            <w:hideMark/>
          </w:tcPr>
          <w:p w14:paraId="2EC574CC" w14:textId="77777777" w:rsidR="00741F29" w:rsidRPr="00005635" w:rsidRDefault="00741F29"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global_ratio_land_consumption_rate_to_population_growth_rate</w:t>
            </w:r>
            <w:proofErr w:type="spellEnd"/>
          </w:p>
        </w:tc>
        <w:tc>
          <w:tcPr>
            <w:tcW w:w="2450" w:type="pct"/>
            <w:tcBorders>
              <w:top w:val="nil"/>
              <w:left w:val="nil"/>
              <w:bottom w:val="single" w:sz="8" w:space="0" w:color="auto"/>
              <w:right w:val="single" w:sz="8" w:space="0" w:color="auto"/>
            </w:tcBorders>
            <w:noWrap/>
            <w:vAlign w:val="bottom"/>
            <w:hideMark/>
          </w:tcPr>
          <w:p w14:paraId="681E8D66" w14:textId="77777777" w:rsidR="00741F29" w:rsidRPr="00005635" w:rsidRDefault="00741F29"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 xml:space="preserve">Ratio between the rate of land consumption and the rate of population growth globally. This official indicator monitors urban sprawl in the </w:t>
            </w:r>
            <w:r w:rsidRPr="00005635">
              <w:rPr>
                <w:rFonts w:eastAsia="Times New Roman" w:cs="Times New Roman"/>
                <w:color w:val="000000"/>
                <w:kern w:val="0"/>
                <w:lang w:val="en-GB" w:eastAsia="en-GB"/>
                <w14:ligatures w14:val="none"/>
              </w:rPr>
              <w:lastRenderedPageBreak/>
              <w:t>context of SDG Target 11.3, which promotes sustainable urban development.</w:t>
            </w:r>
          </w:p>
        </w:tc>
        <w:tc>
          <w:tcPr>
            <w:tcW w:w="456" w:type="pct"/>
            <w:tcBorders>
              <w:top w:val="nil"/>
              <w:left w:val="nil"/>
              <w:bottom w:val="single" w:sz="8" w:space="0" w:color="auto"/>
              <w:right w:val="single" w:sz="8" w:space="0" w:color="auto"/>
            </w:tcBorders>
          </w:tcPr>
          <w:p w14:paraId="77237358" w14:textId="77777777" w:rsidR="00741F29" w:rsidRPr="00005635" w:rsidRDefault="00741F29"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lastRenderedPageBreak/>
              <w:t>km</w:t>
            </w:r>
            <w:r w:rsidRPr="00005635">
              <w:rPr>
                <w:rFonts w:eastAsia="Times New Roman" w:cs="Times New Roman"/>
                <w:color w:val="000000"/>
                <w:kern w:val="0"/>
                <w:vertAlign w:val="superscript"/>
                <w:lang w:eastAsia="en-GB"/>
                <w14:ligatures w14:val="none"/>
              </w:rPr>
              <w:t>2</w:t>
            </w:r>
          </w:p>
        </w:tc>
        <w:tc>
          <w:tcPr>
            <w:tcW w:w="394" w:type="pct"/>
            <w:tcBorders>
              <w:top w:val="nil"/>
              <w:left w:val="nil"/>
              <w:bottom w:val="single" w:sz="8" w:space="0" w:color="auto"/>
              <w:right w:val="single" w:sz="8" w:space="0" w:color="auto"/>
            </w:tcBorders>
          </w:tcPr>
          <w:p w14:paraId="260CE963" w14:textId="77777777" w:rsidR="00741F29" w:rsidRPr="00005635" w:rsidRDefault="00741F29"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5755D938" w14:textId="77777777" w:rsidTr="008422F6">
        <w:trPr>
          <w:trHeight w:val="300"/>
        </w:trPr>
        <w:tc>
          <w:tcPr>
            <w:tcW w:w="340" w:type="pct"/>
            <w:vMerge w:val="restart"/>
            <w:tcBorders>
              <w:top w:val="nil"/>
              <w:left w:val="single" w:sz="8" w:space="0" w:color="auto"/>
              <w:right w:val="single" w:sz="8" w:space="0" w:color="auto"/>
            </w:tcBorders>
            <w:vAlign w:val="center"/>
          </w:tcPr>
          <w:p w14:paraId="4BB8DE69" w14:textId="7D7FDBCC" w:rsidR="008422F6" w:rsidRPr="00005635" w:rsidRDefault="008422F6" w:rsidP="008422F6">
            <w:pPr>
              <w:spacing w:after="0" w:line="240" w:lineRule="auto"/>
              <w:jc w:val="center"/>
              <w:rPr>
                <w:rFonts w:eastAsia="Times New Roman" w:cs="Times New Roman"/>
                <w:color w:val="000000"/>
                <w:kern w:val="0"/>
                <w:lang w:eastAsia="en-GB"/>
                <w14:ligatures w14:val="none"/>
              </w:rPr>
            </w:pPr>
            <w:proofErr w:type="spellStart"/>
            <w:r>
              <w:rPr>
                <w:rFonts w:eastAsia="Times New Roman" w:cs="Times New Roman"/>
                <w:color w:val="000000"/>
                <w:kern w:val="0"/>
                <w:lang w:eastAsia="en-GB"/>
                <w14:ligatures w14:val="none"/>
              </w:rPr>
              <w:t>Responsible</w:t>
            </w:r>
            <w:proofErr w:type="spellEnd"/>
            <w:r>
              <w:rPr>
                <w:rFonts w:eastAsia="Times New Roman" w:cs="Times New Roman"/>
                <w:color w:val="000000"/>
                <w:kern w:val="0"/>
                <w:lang w:eastAsia="en-GB"/>
                <w14:ligatures w14:val="none"/>
              </w:rPr>
              <w:t xml:space="preserve"> </w:t>
            </w:r>
            <w:proofErr w:type="spellStart"/>
            <w:r>
              <w:rPr>
                <w:rFonts w:eastAsia="Times New Roman" w:cs="Times New Roman"/>
                <w:color w:val="000000"/>
                <w:kern w:val="0"/>
                <w:lang w:eastAsia="en-GB"/>
                <w14:ligatures w14:val="none"/>
              </w:rPr>
              <w:t>Consumption</w:t>
            </w:r>
            <w:proofErr w:type="spellEnd"/>
            <w:r>
              <w:rPr>
                <w:rFonts w:eastAsia="Times New Roman" w:cs="Times New Roman"/>
                <w:color w:val="000000"/>
                <w:kern w:val="0"/>
                <w:lang w:eastAsia="en-GB"/>
                <w14:ligatures w14:val="none"/>
              </w:rPr>
              <w:t xml:space="preserve"> and </w:t>
            </w:r>
            <w:proofErr w:type="spellStart"/>
            <w:r>
              <w:rPr>
                <w:rFonts w:eastAsia="Times New Roman" w:cs="Times New Roman"/>
                <w:color w:val="000000"/>
                <w:kern w:val="0"/>
                <w:lang w:eastAsia="en-GB"/>
                <w14:ligatures w14:val="none"/>
              </w:rPr>
              <w:t>Production</w:t>
            </w:r>
            <w:proofErr w:type="spellEnd"/>
          </w:p>
        </w:tc>
        <w:tc>
          <w:tcPr>
            <w:tcW w:w="340" w:type="pct"/>
            <w:tcBorders>
              <w:top w:val="nil"/>
              <w:left w:val="single" w:sz="8" w:space="0" w:color="auto"/>
              <w:bottom w:val="single" w:sz="8" w:space="0" w:color="auto"/>
              <w:right w:val="single" w:sz="8" w:space="0" w:color="auto"/>
            </w:tcBorders>
            <w:noWrap/>
            <w:vAlign w:val="bottom"/>
            <w:hideMark/>
          </w:tcPr>
          <w:p w14:paraId="0E39340B"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12.a.1</w:t>
            </w:r>
          </w:p>
        </w:tc>
        <w:tc>
          <w:tcPr>
            <w:tcW w:w="1021" w:type="pct"/>
            <w:tcBorders>
              <w:top w:val="nil"/>
              <w:left w:val="single" w:sz="8" w:space="0" w:color="auto"/>
              <w:bottom w:val="single" w:sz="8" w:space="0" w:color="auto"/>
              <w:right w:val="single" w:sz="8" w:space="0" w:color="auto"/>
            </w:tcBorders>
            <w:noWrap/>
            <w:vAlign w:val="bottom"/>
            <w:hideMark/>
          </w:tcPr>
          <w:p w14:paraId="438E51ED"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global_capacity_renewables_installations_pc_developing_regions</w:t>
            </w:r>
            <w:proofErr w:type="spellEnd"/>
          </w:p>
        </w:tc>
        <w:tc>
          <w:tcPr>
            <w:tcW w:w="2450" w:type="pct"/>
            <w:tcBorders>
              <w:top w:val="nil"/>
              <w:left w:val="nil"/>
              <w:bottom w:val="single" w:sz="8" w:space="0" w:color="auto"/>
              <w:right w:val="single" w:sz="8" w:space="0" w:color="auto"/>
            </w:tcBorders>
            <w:noWrap/>
            <w:vAlign w:val="bottom"/>
            <w:hideMark/>
          </w:tcPr>
          <w:p w14:paraId="45E9D953"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Per capita renewable energy infrastructure capacity in developing regions. This aligns with SDG Target 12.A, focusing on technology and capacity-building support for renewable energy in developing countries. Developing regions are defined here as EASOC (East of Asia and Oceania), LATAM (Latin America), and LROW (Rest of the World).</w:t>
            </w:r>
          </w:p>
        </w:tc>
        <w:tc>
          <w:tcPr>
            <w:tcW w:w="456" w:type="pct"/>
            <w:tcBorders>
              <w:top w:val="nil"/>
              <w:left w:val="nil"/>
              <w:bottom w:val="single" w:sz="8" w:space="0" w:color="auto"/>
              <w:right w:val="single" w:sz="8" w:space="0" w:color="auto"/>
            </w:tcBorders>
          </w:tcPr>
          <w:p w14:paraId="37431208"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w/</w:t>
            </w:r>
            <w:proofErr w:type="spellStart"/>
            <w:r w:rsidRPr="00005635">
              <w:rPr>
                <w:rFonts w:eastAsia="Times New Roman" w:cs="Times New Roman"/>
                <w:color w:val="000000"/>
                <w:kern w:val="0"/>
                <w:lang w:eastAsia="en-GB"/>
                <w14:ligatures w14:val="none"/>
              </w:rPr>
              <w:t>person</w:t>
            </w:r>
            <w:proofErr w:type="spellEnd"/>
          </w:p>
        </w:tc>
        <w:tc>
          <w:tcPr>
            <w:tcW w:w="394" w:type="pct"/>
            <w:tcBorders>
              <w:top w:val="nil"/>
              <w:left w:val="nil"/>
              <w:bottom w:val="single" w:sz="8" w:space="0" w:color="auto"/>
              <w:right w:val="single" w:sz="8" w:space="0" w:color="auto"/>
            </w:tcBorders>
          </w:tcPr>
          <w:p w14:paraId="23177E52"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5BC1B26A" w14:textId="77777777" w:rsidTr="008422F6">
        <w:trPr>
          <w:trHeight w:val="300"/>
        </w:trPr>
        <w:tc>
          <w:tcPr>
            <w:tcW w:w="340" w:type="pct"/>
            <w:vMerge/>
            <w:tcBorders>
              <w:left w:val="single" w:sz="8" w:space="0" w:color="auto"/>
              <w:right w:val="single" w:sz="8" w:space="0" w:color="auto"/>
            </w:tcBorders>
            <w:vAlign w:val="center"/>
          </w:tcPr>
          <w:p w14:paraId="137B137C" w14:textId="77777777" w:rsidR="008422F6" w:rsidRPr="00005635" w:rsidRDefault="008422F6" w:rsidP="008422F6">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single" w:sz="8" w:space="0" w:color="auto"/>
              <w:right w:val="single" w:sz="8" w:space="0" w:color="auto"/>
            </w:tcBorders>
            <w:noWrap/>
            <w:vAlign w:val="bottom"/>
          </w:tcPr>
          <w:p w14:paraId="73A7433A"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12.2.1</w:t>
            </w:r>
          </w:p>
        </w:tc>
        <w:tc>
          <w:tcPr>
            <w:tcW w:w="1021" w:type="pct"/>
            <w:tcBorders>
              <w:top w:val="nil"/>
              <w:left w:val="single" w:sz="8" w:space="0" w:color="auto"/>
              <w:bottom w:val="single" w:sz="8" w:space="0" w:color="auto"/>
              <w:right w:val="single" w:sz="8" w:space="0" w:color="auto"/>
            </w:tcBorders>
            <w:noWrap/>
            <w:vAlign w:val="bottom"/>
          </w:tcPr>
          <w:p w14:paraId="72CAF756" w14:textId="77777777" w:rsidR="008422F6" w:rsidRPr="00005635" w:rsidRDefault="008422F6"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global_material_footprint_per_capita</w:t>
            </w:r>
            <w:proofErr w:type="spellEnd"/>
          </w:p>
        </w:tc>
        <w:tc>
          <w:tcPr>
            <w:tcW w:w="2450" w:type="pct"/>
            <w:tcBorders>
              <w:top w:val="nil"/>
              <w:left w:val="nil"/>
              <w:bottom w:val="single" w:sz="8" w:space="0" w:color="auto"/>
              <w:right w:val="single" w:sz="8" w:space="0" w:color="auto"/>
            </w:tcBorders>
            <w:noWrap/>
            <w:vAlign w:val="bottom"/>
          </w:tcPr>
          <w:p w14:paraId="6F7F9467"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Material footprint per capita. This indicator approximates SDG Target 12.1 and 12.2, which promotes efficient resource use and sustainable consumption and production patterns.</w:t>
            </w:r>
          </w:p>
        </w:tc>
        <w:tc>
          <w:tcPr>
            <w:tcW w:w="456" w:type="pct"/>
            <w:tcBorders>
              <w:top w:val="nil"/>
              <w:left w:val="nil"/>
              <w:bottom w:val="single" w:sz="8" w:space="0" w:color="auto"/>
              <w:right w:val="single" w:sz="8" w:space="0" w:color="auto"/>
            </w:tcBorders>
          </w:tcPr>
          <w:p w14:paraId="0C6D1E7E"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Mt/(</w:t>
            </w:r>
            <w:proofErr w:type="spellStart"/>
            <w:r w:rsidRPr="00005635">
              <w:rPr>
                <w:rFonts w:eastAsia="Times New Roman" w:cs="Times New Roman"/>
                <w:color w:val="000000"/>
                <w:kern w:val="0"/>
                <w:lang w:eastAsia="en-GB"/>
                <w14:ligatures w14:val="none"/>
              </w:rPr>
              <w:t>Year</w:t>
            </w:r>
            <w:proofErr w:type="spellEnd"/>
            <w:r w:rsidRPr="00005635">
              <w:rPr>
                <w:rFonts w:eastAsia="Times New Roman" w:cs="Times New Roman"/>
                <w:color w:val="000000"/>
                <w:kern w:val="0"/>
                <w:lang w:eastAsia="en-GB"/>
                <w14:ligatures w14:val="none"/>
              </w:rPr>
              <w:t>*</w:t>
            </w:r>
            <w:proofErr w:type="spellStart"/>
            <w:r w:rsidRPr="00005635">
              <w:rPr>
                <w:rFonts w:eastAsia="Times New Roman" w:cs="Times New Roman"/>
                <w:color w:val="000000"/>
                <w:kern w:val="0"/>
                <w:lang w:eastAsia="en-GB"/>
                <w14:ligatures w14:val="none"/>
              </w:rPr>
              <w:t>person</w:t>
            </w:r>
            <w:proofErr w:type="spellEnd"/>
            <w:r w:rsidRPr="00005635">
              <w:rPr>
                <w:rFonts w:eastAsia="Times New Roman" w:cs="Times New Roman"/>
                <w:color w:val="000000"/>
                <w:kern w:val="0"/>
                <w:lang w:eastAsia="en-GB"/>
                <w14:ligatures w14:val="none"/>
              </w:rPr>
              <w:t>)</w:t>
            </w:r>
          </w:p>
        </w:tc>
        <w:tc>
          <w:tcPr>
            <w:tcW w:w="394" w:type="pct"/>
            <w:tcBorders>
              <w:top w:val="nil"/>
              <w:left w:val="nil"/>
              <w:bottom w:val="single" w:sz="8" w:space="0" w:color="auto"/>
              <w:right w:val="single" w:sz="8" w:space="0" w:color="auto"/>
            </w:tcBorders>
          </w:tcPr>
          <w:p w14:paraId="513790FA"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0469990C" w14:textId="77777777" w:rsidTr="008422F6">
        <w:trPr>
          <w:trHeight w:val="300"/>
        </w:trPr>
        <w:tc>
          <w:tcPr>
            <w:tcW w:w="340" w:type="pct"/>
            <w:vMerge/>
            <w:tcBorders>
              <w:left w:val="single" w:sz="8" w:space="0" w:color="auto"/>
              <w:bottom w:val="single" w:sz="8" w:space="0" w:color="auto"/>
              <w:right w:val="single" w:sz="8" w:space="0" w:color="auto"/>
            </w:tcBorders>
            <w:vAlign w:val="center"/>
          </w:tcPr>
          <w:p w14:paraId="30E6866B" w14:textId="77777777" w:rsidR="008422F6" w:rsidRPr="00005635" w:rsidRDefault="008422F6" w:rsidP="008422F6">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single" w:sz="8" w:space="0" w:color="auto"/>
              <w:right w:val="single" w:sz="8" w:space="0" w:color="auto"/>
            </w:tcBorders>
            <w:noWrap/>
            <w:vAlign w:val="bottom"/>
          </w:tcPr>
          <w:p w14:paraId="16BF7EA8"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12.2.1</w:t>
            </w:r>
          </w:p>
        </w:tc>
        <w:tc>
          <w:tcPr>
            <w:tcW w:w="1021" w:type="pct"/>
            <w:tcBorders>
              <w:top w:val="nil"/>
              <w:left w:val="single" w:sz="8" w:space="0" w:color="auto"/>
              <w:bottom w:val="single" w:sz="8" w:space="0" w:color="auto"/>
              <w:right w:val="single" w:sz="8" w:space="0" w:color="auto"/>
            </w:tcBorders>
            <w:noWrap/>
            <w:vAlign w:val="bottom"/>
          </w:tcPr>
          <w:p w14:paraId="4B6AA6F5"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global_material_footprint_per_GDP</w:t>
            </w:r>
            <w:proofErr w:type="spellEnd"/>
          </w:p>
        </w:tc>
        <w:tc>
          <w:tcPr>
            <w:tcW w:w="2450" w:type="pct"/>
            <w:tcBorders>
              <w:top w:val="nil"/>
              <w:left w:val="nil"/>
              <w:bottom w:val="single" w:sz="8" w:space="0" w:color="auto"/>
              <w:right w:val="single" w:sz="8" w:space="0" w:color="auto"/>
            </w:tcBorders>
            <w:noWrap/>
            <w:vAlign w:val="bottom"/>
          </w:tcPr>
          <w:p w14:paraId="5593DA1F"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Material footprint per gross domestic product. This indicator approximates SDG Target 12.1 and 12.2, which promotes efficient resource use and sustainable consumption and production patterns.</w:t>
            </w:r>
          </w:p>
        </w:tc>
        <w:tc>
          <w:tcPr>
            <w:tcW w:w="456" w:type="pct"/>
            <w:tcBorders>
              <w:top w:val="nil"/>
              <w:left w:val="nil"/>
              <w:bottom w:val="single" w:sz="8" w:space="0" w:color="auto"/>
              <w:right w:val="single" w:sz="8" w:space="0" w:color="auto"/>
            </w:tcBorders>
          </w:tcPr>
          <w:p w14:paraId="2423BE4A"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Mt/Mdollars_2015</w:t>
            </w:r>
          </w:p>
        </w:tc>
        <w:tc>
          <w:tcPr>
            <w:tcW w:w="394" w:type="pct"/>
            <w:tcBorders>
              <w:top w:val="nil"/>
              <w:left w:val="nil"/>
              <w:bottom w:val="single" w:sz="8" w:space="0" w:color="auto"/>
              <w:right w:val="single" w:sz="8" w:space="0" w:color="auto"/>
            </w:tcBorders>
          </w:tcPr>
          <w:p w14:paraId="0A47ED5C"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656DD20B" w14:textId="77777777" w:rsidTr="008422F6">
        <w:trPr>
          <w:trHeight w:val="885"/>
        </w:trPr>
        <w:tc>
          <w:tcPr>
            <w:tcW w:w="340" w:type="pct"/>
            <w:vMerge w:val="restart"/>
            <w:tcBorders>
              <w:top w:val="nil"/>
              <w:left w:val="single" w:sz="8" w:space="0" w:color="auto"/>
              <w:right w:val="single" w:sz="8" w:space="0" w:color="auto"/>
            </w:tcBorders>
            <w:vAlign w:val="center"/>
          </w:tcPr>
          <w:p w14:paraId="622124CB" w14:textId="73F8BEB2" w:rsidR="008422F6" w:rsidRPr="00005635" w:rsidRDefault="008422F6" w:rsidP="008422F6">
            <w:pPr>
              <w:spacing w:after="0" w:line="240" w:lineRule="auto"/>
              <w:jc w:val="center"/>
              <w:rPr>
                <w:rFonts w:eastAsia="Times New Roman" w:cs="Times New Roman"/>
                <w:color w:val="000000"/>
                <w:kern w:val="0"/>
                <w:lang w:eastAsia="en-GB"/>
                <w14:ligatures w14:val="none"/>
              </w:rPr>
            </w:pPr>
            <w:proofErr w:type="spellStart"/>
            <w:r>
              <w:rPr>
                <w:rFonts w:eastAsia="Times New Roman" w:cs="Times New Roman"/>
                <w:color w:val="000000"/>
                <w:kern w:val="0"/>
                <w:lang w:eastAsia="en-GB"/>
                <w14:ligatures w14:val="none"/>
              </w:rPr>
              <w:t>Climate</w:t>
            </w:r>
            <w:proofErr w:type="spellEnd"/>
            <w:r>
              <w:rPr>
                <w:rFonts w:eastAsia="Times New Roman" w:cs="Times New Roman"/>
                <w:color w:val="000000"/>
                <w:kern w:val="0"/>
                <w:lang w:eastAsia="en-GB"/>
                <w14:ligatures w14:val="none"/>
              </w:rPr>
              <w:t xml:space="preserve"> </w:t>
            </w:r>
            <w:proofErr w:type="spellStart"/>
            <w:r>
              <w:rPr>
                <w:rFonts w:eastAsia="Times New Roman" w:cs="Times New Roman"/>
                <w:color w:val="000000"/>
                <w:kern w:val="0"/>
                <w:lang w:eastAsia="en-GB"/>
                <w14:ligatures w14:val="none"/>
              </w:rPr>
              <w:t>Action</w:t>
            </w:r>
            <w:proofErr w:type="spellEnd"/>
          </w:p>
        </w:tc>
        <w:tc>
          <w:tcPr>
            <w:tcW w:w="340" w:type="pct"/>
            <w:tcBorders>
              <w:top w:val="nil"/>
              <w:left w:val="single" w:sz="8" w:space="0" w:color="auto"/>
              <w:bottom w:val="nil"/>
              <w:right w:val="single" w:sz="8" w:space="0" w:color="auto"/>
            </w:tcBorders>
            <w:noWrap/>
            <w:vAlign w:val="bottom"/>
            <w:hideMark/>
          </w:tcPr>
          <w:p w14:paraId="2C8D6BDE"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13.2.2</w:t>
            </w:r>
          </w:p>
        </w:tc>
        <w:tc>
          <w:tcPr>
            <w:tcW w:w="1021" w:type="pct"/>
            <w:tcBorders>
              <w:top w:val="nil"/>
              <w:left w:val="single" w:sz="8" w:space="0" w:color="auto"/>
              <w:bottom w:val="nil"/>
              <w:right w:val="single" w:sz="8" w:space="0" w:color="auto"/>
            </w:tcBorders>
            <w:noWrap/>
            <w:vAlign w:val="bottom"/>
            <w:hideMark/>
          </w:tcPr>
          <w:p w14:paraId="4870019C"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global_total_CO2e_emissions_per_capita</w:t>
            </w:r>
          </w:p>
        </w:tc>
        <w:tc>
          <w:tcPr>
            <w:tcW w:w="2450" w:type="pct"/>
            <w:tcBorders>
              <w:top w:val="nil"/>
              <w:left w:val="nil"/>
              <w:bottom w:val="nil"/>
              <w:right w:val="single" w:sz="8" w:space="0" w:color="auto"/>
            </w:tcBorders>
            <w:noWrap/>
            <w:vAlign w:val="bottom"/>
            <w:hideMark/>
          </w:tcPr>
          <w:p w14:paraId="0BFA8EF9"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Per capita total greenhouse gas emissions, expressed in CO₂-equivalent using global warming potentials. While SDG Target 13.2 addresses national policies, this variable offers a per capita perspective on climate impact.</w:t>
            </w:r>
          </w:p>
        </w:tc>
        <w:tc>
          <w:tcPr>
            <w:tcW w:w="456" w:type="pct"/>
            <w:tcBorders>
              <w:top w:val="nil"/>
              <w:left w:val="nil"/>
              <w:bottom w:val="nil"/>
              <w:right w:val="single" w:sz="8" w:space="0" w:color="auto"/>
            </w:tcBorders>
          </w:tcPr>
          <w:p w14:paraId="264B9D02"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t/(</w:t>
            </w:r>
            <w:proofErr w:type="spellStart"/>
            <w:r w:rsidRPr="00005635">
              <w:rPr>
                <w:rFonts w:eastAsia="Times New Roman" w:cs="Times New Roman"/>
                <w:color w:val="000000"/>
                <w:kern w:val="0"/>
                <w:lang w:eastAsia="en-GB"/>
                <w14:ligatures w14:val="none"/>
              </w:rPr>
              <w:t>Year</w:t>
            </w:r>
            <w:proofErr w:type="spellEnd"/>
            <w:r w:rsidRPr="00005635">
              <w:rPr>
                <w:rFonts w:eastAsia="Times New Roman" w:cs="Times New Roman"/>
                <w:color w:val="000000"/>
                <w:kern w:val="0"/>
                <w:lang w:eastAsia="en-GB"/>
                <w14:ligatures w14:val="none"/>
              </w:rPr>
              <w:t>*</w:t>
            </w:r>
            <w:proofErr w:type="spellStart"/>
            <w:r w:rsidRPr="00005635">
              <w:rPr>
                <w:rFonts w:eastAsia="Times New Roman" w:cs="Times New Roman"/>
                <w:color w:val="000000"/>
                <w:kern w:val="0"/>
                <w:lang w:eastAsia="en-GB"/>
                <w14:ligatures w14:val="none"/>
              </w:rPr>
              <w:t>person</w:t>
            </w:r>
            <w:proofErr w:type="spellEnd"/>
            <w:r w:rsidRPr="00005635">
              <w:rPr>
                <w:rFonts w:eastAsia="Times New Roman" w:cs="Times New Roman"/>
                <w:color w:val="000000"/>
                <w:kern w:val="0"/>
                <w:lang w:eastAsia="en-GB"/>
                <w14:ligatures w14:val="none"/>
              </w:rPr>
              <w:t>)</w:t>
            </w:r>
          </w:p>
        </w:tc>
        <w:tc>
          <w:tcPr>
            <w:tcW w:w="394" w:type="pct"/>
            <w:tcBorders>
              <w:top w:val="nil"/>
              <w:left w:val="nil"/>
              <w:bottom w:val="nil"/>
              <w:right w:val="single" w:sz="8" w:space="0" w:color="auto"/>
            </w:tcBorders>
          </w:tcPr>
          <w:p w14:paraId="3DD31232"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4D7935CF" w14:textId="77777777" w:rsidTr="008422F6">
        <w:trPr>
          <w:trHeight w:val="288"/>
        </w:trPr>
        <w:tc>
          <w:tcPr>
            <w:tcW w:w="340" w:type="pct"/>
            <w:vMerge/>
            <w:tcBorders>
              <w:left w:val="single" w:sz="8" w:space="0" w:color="auto"/>
              <w:right w:val="single" w:sz="8" w:space="0" w:color="auto"/>
            </w:tcBorders>
            <w:vAlign w:val="center"/>
          </w:tcPr>
          <w:p w14:paraId="411FCD95" w14:textId="77777777" w:rsidR="008422F6" w:rsidRPr="00005635" w:rsidRDefault="008422F6" w:rsidP="008422F6">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nil"/>
              <w:right w:val="single" w:sz="8" w:space="0" w:color="auto"/>
            </w:tcBorders>
            <w:noWrap/>
            <w:vAlign w:val="bottom"/>
            <w:hideMark/>
          </w:tcPr>
          <w:p w14:paraId="7C1EA1F2"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13</w:t>
            </w:r>
          </w:p>
        </w:tc>
        <w:tc>
          <w:tcPr>
            <w:tcW w:w="1021" w:type="pct"/>
            <w:tcBorders>
              <w:top w:val="nil"/>
              <w:left w:val="single" w:sz="8" w:space="0" w:color="auto"/>
              <w:bottom w:val="nil"/>
              <w:right w:val="single" w:sz="8" w:space="0" w:color="auto"/>
            </w:tcBorders>
            <w:noWrap/>
            <w:vAlign w:val="bottom"/>
            <w:hideMark/>
          </w:tcPr>
          <w:p w14:paraId="3E37B26E" w14:textId="77777777" w:rsidR="008422F6" w:rsidRPr="00005635" w:rsidRDefault="008422F6"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global_temperature_change</w:t>
            </w:r>
            <w:proofErr w:type="spellEnd"/>
          </w:p>
        </w:tc>
        <w:tc>
          <w:tcPr>
            <w:tcW w:w="2450" w:type="pct"/>
            <w:tcBorders>
              <w:top w:val="nil"/>
              <w:left w:val="nil"/>
              <w:bottom w:val="nil"/>
              <w:right w:val="single" w:sz="8" w:space="0" w:color="auto"/>
            </w:tcBorders>
            <w:noWrap/>
            <w:vAlign w:val="bottom"/>
            <w:hideMark/>
          </w:tcPr>
          <w:p w14:paraId="79C506FD" w14:textId="4071146C"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val="en-GB" w:eastAsia="en-GB"/>
                <w14:ligatures w14:val="none"/>
              </w:rPr>
              <w:t xml:space="preserve">Global average temperature anomaly (atmosphere and upper ocean) relative to the pre-industrial baseline (1850). This proxy is consistent with the objectives of the Paris Agreement and has been adopted in </w:t>
            </w:r>
            <w:proofErr w:type="spellStart"/>
            <w:r w:rsidRPr="00005635">
              <w:rPr>
                <w:rFonts w:eastAsia="Times New Roman" w:cs="Times New Roman"/>
                <w:color w:val="000000"/>
                <w:kern w:val="0"/>
                <w:lang w:val="en-GB" w:eastAsia="en-GB"/>
                <w14:ligatures w14:val="none"/>
              </w:rPr>
              <w:t>Soergel</w:t>
            </w:r>
            <w:proofErr w:type="spellEnd"/>
            <w:r w:rsidRPr="00005635">
              <w:rPr>
                <w:rFonts w:eastAsia="Times New Roman" w:cs="Times New Roman"/>
                <w:color w:val="000000"/>
                <w:kern w:val="0"/>
                <w:lang w:val="en-GB" w:eastAsia="en-GB"/>
                <w14:ligatures w14:val="none"/>
              </w:rPr>
              <w:t xml:space="preserve"> et al. </w:t>
            </w:r>
            <w:r w:rsidRPr="00005635">
              <w:rPr>
                <w:rFonts w:eastAsia="Times New Roman" w:cs="Times New Roman"/>
                <w:color w:val="000000"/>
                <w:kern w:val="0"/>
                <w:lang w:eastAsia="en-GB"/>
                <w14:ligatures w14:val="none"/>
              </w:rPr>
              <w:t>(2021)</w:t>
            </w:r>
            <w:r w:rsidR="00F70FF3">
              <w:rPr>
                <w:rFonts w:eastAsia="Times New Roman" w:cs="Times New Roman"/>
                <w:color w:val="000000"/>
                <w:kern w:val="0"/>
                <w:lang w:eastAsia="en-GB"/>
                <w14:ligatures w14:val="none"/>
              </w:rPr>
              <w:fldChar w:fldCharType="begin"/>
            </w:r>
            <w:r w:rsidR="00F70FF3">
              <w:rPr>
                <w:rFonts w:eastAsia="Times New Roman" w:cs="Times New Roman"/>
                <w:color w:val="000000"/>
                <w:kern w:val="0"/>
                <w:lang w:eastAsia="en-GB"/>
                <w14:ligatures w14:val="none"/>
              </w:rPr>
              <w:instrText xml:space="preserve"> ADDIN ZOTERO_ITEM CSL_CITATION {"citationID":"rxly9h4j","properties":{"formattedCitation":"\\super 9\\nosupersub{}","plainCitation":"9","noteIndex":0},"citationItems":[{"id":280,"uris":["http://zotero.org/users/11518810/items/3ICHZ5BF"],"itemData":{"id":280,"type":"article-journal","container-title":"Nature Climate Change","DOI":"10.1038/s41558-021-01098-3","ISSN":"1758-678X, 1758-6798","issue":"8","journalAbbreviation":"Nat. Clim. Chang.","language":"en","page":"656-664","source":"DOI.org (Crossref)","title":"A sustainable development pathway for climate action within the UN 2030 Agenda","volume":"11","author":[{"family":"Soergel","given":"Bjoern"},{"family":"Kriegler","given":"Elmar"},{"family":"Weindl","given":"Isabelle"},{"family":"Rauner","given":"Sebastian"},{"family":"Dirnaichner","given":"Alois"},{"family":"Ruhe","given":"Constantin"},{"family":"Hofmann","given":"Matthias"},{"family":"Bauer","given":"Nico"},{"family":"Bertram","given":"Christoph"},{"family":"Bodirsky","given":"Benjamin Leon"},{"family":"Leimbach","given":"Marian"},{"family":"Leininger","given":"Julia"},{"family":"Levesque","given":"Antoine"},{"family":"Luderer","given":"Gunnar"},{"family":"Pehl","given":"Michaja"},{"family":"Wingens","given":"Christopher"},{"family":"Baumstark","given":"Lavinia"},{"family":"Beier","given":"Felicitas"},{"family":"Dietrich","given":"Jan Philipp"},{"family":"Humpenöder","given":"Florian"},{"family":"Von Jeetze","given":"Patrick"},{"family":"Klein","given":"David"},{"family":"Koch","given":"Johannes"},{"family":"Pietzcker","given":"Robert"},{"family":"Strefler","given":"Jessica"},{"family":"Lotze-Campen","given":"Hermann"},{"family":"Popp","given":"Alexander"}],"issued":{"date-parts":[["2021",8]]}}}],"schema":"https://github.com/citation-style-language/schema/raw/master/csl-citation.json"} </w:instrText>
            </w:r>
            <w:r w:rsidR="00F70FF3">
              <w:rPr>
                <w:rFonts w:eastAsia="Times New Roman" w:cs="Times New Roman"/>
                <w:color w:val="000000"/>
                <w:kern w:val="0"/>
                <w:lang w:eastAsia="en-GB"/>
                <w14:ligatures w14:val="none"/>
              </w:rPr>
              <w:fldChar w:fldCharType="separate"/>
            </w:r>
            <w:r w:rsidR="00F70FF3" w:rsidRPr="00F70FF3">
              <w:rPr>
                <w:rFonts w:cs="Times New Roman"/>
                <w:szCs w:val="24"/>
                <w:vertAlign w:val="superscript"/>
              </w:rPr>
              <w:t>9</w:t>
            </w:r>
            <w:r w:rsidR="00F70FF3">
              <w:rPr>
                <w:rFonts w:eastAsia="Times New Roman" w:cs="Times New Roman"/>
                <w:color w:val="000000"/>
                <w:kern w:val="0"/>
                <w:lang w:eastAsia="en-GB"/>
                <w14:ligatures w14:val="none"/>
              </w:rPr>
              <w:fldChar w:fldCharType="end"/>
            </w:r>
            <w:r w:rsidRPr="00005635">
              <w:rPr>
                <w:rFonts w:eastAsia="Times New Roman" w:cs="Times New Roman"/>
                <w:color w:val="000000"/>
                <w:kern w:val="0"/>
                <w:lang w:eastAsia="en-GB"/>
                <w14:ligatures w14:val="none"/>
              </w:rPr>
              <w:t xml:space="preserve"> and van </w:t>
            </w:r>
            <w:proofErr w:type="spellStart"/>
            <w:r w:rsidRPr="00005635">
              <w:rPr>
                <w:rFonts w:eastAsia="Times New Roman" w:cs="Times New Roman"/>
                <w:color w:val="000000"/>
                <w:kern w:val="0"/>
                <w:lang w:eastAsia="en-GB"/>
                <w14:ligatures w14:val="none"/>
              </w:rPr>
              <w:t>Vuuren</w:t>
            </w:r>
            <w:proofErr w:type="spellEnd"/>
            <w:r w:rsidRPr="00005635">
              <w:rPr>
                <w:rFonts w:eastAsia="Times New Roman" w:cs="Times New Roman"/>
                <w:color w:val="000000"/>
                <w:kern w:val="0"/>
                <w:lang w:eastAsia="en-GB"/>
                <w14:ligatures w14:val="none"/>
              </w:rPr>
              <w:t xml:space="preserve"> et al. (2022)</w:t>
            </w:r>
            <w:r w:rsidR="00F70FF3">
              <w:rPr>
                <w:rFonts w:eastAsia="Times New Roman" w:cs="Times New Roman"/>
                <w:color w:val="000000"/>
                <w:kern w:val="0"/>
                <w:lang w:eastAsia="en-GB"/>
                <w14:ligatures w14:val="none"/>
              </w:rPr>
              <w:fldChar w:fldCharType="begin"/>
            </w:r>
            <w:r w:rsidR="00F70FF3">
              <w:rPr>
                <w:rFonts w:eastAsia="Times New Roman" w:cs="Times New Roman"/>
                <w:color w:val="000000"/>
                <w:kern w:val="0"/>
                <w:lang w:eastAsia="en-GB"/>
                <w14:ligatures w14:val="none"/>
              </w:rPr>
              <w:instrText xml:space="preserve"> ADDIN ZOTERO_ITEM CSL_CITATION {"citationID":"EIUkhtIQ","properties":{"formattedCitation":"\\super 18\\nosupersub{}","plainCitation":"18","noteIndex":0},"citationItems":[{"id":337,"uris":["http://zotero.org/users/11518810/items/998QVNBN"],"itemData":{"id":337,"type":"article-journal","container-title":"One Earth","DOI":"10.1016/j.oneear.2022.01.003","ISSN":"25903322","issue":"2","journalAbbreviation":"One Earth","language":"en","page":"142-156","source":"DOI.org (Crossref)","title":"Defining a sustainable development target space for 2030 and 2050","volume":"5","author":[{"family":"Van Vuuren","given":"Detlef P."},{"family":"Zimm","given":"Caroline"},{"family":"Busch","given":"Sebastian"},{"family":"Kriegler","given":"Elmar"},{"family":"Leininger","given":"Julia"},{"family":"Messner","given":"Dirk"},{"family":"Nakicenovic","given":"Nebojsa"},{"family":"Rockstrom","given":"Johan"},{"family":"Riahi","given":"Keywan"},{"family":"Sperling","given":"Frank"},{"family":"Bosetti","given":"Valentina"},{"family":"Cornell","given":"Sarah"},{"family":"Gaffney","given":"Owen"},{"family":"Lucas","given":"Paul L."},{"family":"Popp","given":"Alexander"},{"family":"Ruhe","given":"Constantin"},{"family":"Von Schiller","given":"Armin"},{"family":"Schmidt","given":"Jörn O."},{"family":"Soergel","given":"Bjoern"}],"issued":{"date-parts":[["2022",2]]}}}],"schema":"https://github.com/citation-style-language/schema/raw/master/csl-citation.json"} </w:instrText>
            </w:r>
            <w:r w:rsidR="00F70FF3">
              <w:rPr>
                <w:rFonts w:eastAsia="Times New Roman" w:cs="Times New Roman"/>
                <w:color w:val="000000"/>
                <w:kern w:val="0"/>
                <w:lang w:eastAsia="en-GB"/>
                <w14:ligatures w14:val="none"/>
              </w:rPr>
              <w:fldChar w:fldCharType="separate"/>
            </w:r>
            <w:r w:rsidR="00F70FF3" w:rsidRPr="00F70FF3">
              <w:rPr>
                <w:rFonts w:cs="Times New Roman"/>
                <w:szCs w:val="24"/>
                <w:vertAlign w:val="superscript"/>
              </w:rPr>
              <w:t>18</w:t>
            </w:r>
            <w:r w:rsidR="00F70FF3">
              <w:rPr>
                <w:rFonts w:eastAsia="Times New Roman" w:cs="Times New Roman"/>
                <w:color w:val="000000"/>
                <w:kern w:val="0"/>
                <w:lang w:eastAsia="en-GB"/>
                <w14:ligatures w14:val="none"/>
              </w:rPr>
              <w:fldChar w:fldCharType="end"/>
            </w:r>
            <w:r w:rsidRPr="00005635">
              <w:rPr>
                <w:rFonts w:eastAsia="Times New Roman" w:cs="Times New Roman"/>
                <w:color w:val="000000"/>
                <w:kern w:val="0"/>
                <w:lang w:eastAsia="en-GB"/>
                <w14:ligatures w14:val="none"/>
              </w:rPr>
              <w:t>.</w:t>
            </w:r>
          </w:p>
        </w:tc>
        <w:tc>
          <w:tcPr>
            <w:tcW w:w="456" w:type="pct"/>
            <w:tcBorders>
              <w:top w:val="nil"/>
              <w:left w:val="nil"/>
              <w:bottom w:val="nil"/>
              <w:right w:val="single" w:sz="8" w:space="0" w:color="auto"/>
            </w:tcBorders>
          </w:tcPr>
          <w:p w14:paraId="16AA20BB"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°C</w:t>
            </w:r>
          </w:p>
        </w:tc>
        <w:tc>
          <w:tcPr>
            <w:tcW w:w="394" w:type="pct"/>
            <w:tcBorders>
              <w:top w:val="nil"/>
              <w:left w:val="nil"/>
              <w:bottom w:val="nil"/>
              <w:right w:val="single" w:sz="8" w:space="0" w:color="auto"/>
            </w:tcBorders>
          </w:tcPr>
          <w:p w14:paraId="17B6737D"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1DF2F91B" w14:textId="77777777" w:rsidTr="008422F6">
        <w:trPr>
          <w:trHeight w:val="288"/>
        </w:trPr>
        <w:tc>
          <w:tcPr>
            <w:tcW w:w="340" w:type="pct"/>
            <w:vMerge/>
            <w:tcBorders>
              <w:left w:val="single" w:sz="8" w:space="0" w:color="auto"/>
              <w:right w:val="single" w:sz="8" w:space="0" w:color="auto"/>
            </w:tcBorders>
            <w:vAlign w:val="center"/>
          </w:tcPr>
          <w:p w14:paraId="3E123744" w14:textId="77777777" w:rsidR="008422F6" w:rsidRPr="00005635" w:rsidRDefault="008422F6" w:rsidP="008422F6">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nil"/>
              <w:right w:val="single" w:sz="8" w:space="0" w:color="auto"/>
            </w:tcBorders>
            <w:noWrap/>
            <w:vAlign w:val="bottom"/>
            <w:hideMark/>
          </w:tcPr>
          <w:p w14:paraId="5BDF0936"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13</w:t>
            </w:r>
          </w:p>
        </w:tc>
        <w:tc>
          <w:tcPr>
            <w:tcW w:w="1021" w:type="pct"/>
            <w:tcBorders>
              <w:top w:val="nil"/>
              <w:left w:val="single" w:sz="8" w:space="0" w:color="auto"/>
              <w:bottom w:val="nil"/>
              <w:right w:val="single" w:sz="8" w:space="0" w:color="auto"/>
            </w:tcBorders>
            <w:noWrap/>
            <w:vAlign w:val="bottom"/>
            <w:hideMark/>
          </w:tcPr>
          <w:p w14:paraId="167150D5"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global_total_CO2_emissions_from_2020</w:t>
            </w:r>
          </w:p>
        </w:tc>
        <w:tc>
          <w:tcPr>
            <w:tcW w:w="2450" w:type="pct"/>
            <w:tcBorders>
              <w:top w:val="nil"/>
              <w:left w:val="nil"/>
              <w:bottom w:val="nil"/>
              <w:right w:val="single" w:sz="8" w:space="0" w:color="auto"/>
            </w:tcBorders>
            <w:noWrap/>
            <w:vAlign w:val="bottom"/>
            <w:hideMark/>
          </w:tcPr>
          <w:p w14:paraId="1436CAA8" w14:textId="24BFB06A" w:rsidR="008422F6" w:rsidRPr="00005635" w:rsidRDefault="008422F6"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Total CO</w:t>
            </w:r>
            <w:r w:rsidRPr="00005635">
              <w:rPr>
                <w:rFonts w:eastAsia="Times New Roman" w:cs="Times New Roman"/>
                <w:color w:val="000000"/>
                <w:kern w:val="0"/>
                <w:vertAlign w:val="subscript"/>
                <w:lang w:val="en-GB" w:eastAsia="en-GB"/>
                <w14:ligatures w14:val="none"/>
              </w:rPr>
              <w:t>2</w:t>
            </w:r>
            <w:r w:rsidRPr="00005635">
              <w:rPr>
                <w:rFonts w:eastAsia="Times New Roman" w:cs="Times New Roman"/>
                <w:color w:val="000000"/>
                <w:kern w:val="0"/>
                <w:lang w:val="en-GB" w:eastAsia="en-GB"/>
                <w14:ligatures w14:val="none"/>
              </w:rPr>
              <w:t xml:space="preserve"> emissions from simulation since 2023 to calculate remaining carbon budget. Historical emissions in 2020, 2021, 2022 comes from Global Carbon Budget (GCB) data</w:t>
            </w:r>
            <w:r w:rsidR="007230EE">
              <w:rPr>
                <w:rFonts w:eastAsia="Times New Roman" w:cs="Times New Roman"/>
                <w:color w:val="000000"/>
                <w:kern w:val="0"/>
                <w:lang w:val="en-GB" w:eastAsia="en-GB"/>
                <w14:ligatures w14:val="none"/>
              </w:rPr>
              <w:fldChar w:fldCharType="begin"/>
            </w:r>
            <w:r w:rsidR="007230EE">
              <w:rPr>
                <w:rFonts w:eastAsia="Times New Roman" w:cs="Times New Roman"/>
                <w:color w:val="000000"/>
                <w:kern w:val="0"/>
                <w:lang w:val="en-GB" w:eastAsia="en-GB"/>
                <w14:ligatures w14:val="none"/>
              </w:rPr>
              <w:instrText xml:space="preserve"> ADDIN ZOTERO_ITEM CSL_CITATION {"citationID":"aIcNDiFU","properties":{"formattedCitation":"\\super 19\\nosupersub{}","plainCitation":"19","noteIndex":0},"citationItems":[{"id":357,"uris":["http://zotero.org/users/11518810/items/UH8GPC2G"],"itemData":{"id":357,"type":"article-journal","abstract":"Abstract. Accurate assessment of anthropogenic carbon dioxide (CO2) emissions and their redistribution among the atmosphere, ocean, and terrestrial biosphere in a changing climate is critical to better understand the global carbon cycle, support the development of climate policies, and project future climate change. Here we describe and synthesize data sets and methodology to quantify the five major components of the global carbon budget and their uncertainties. Fossil CO2 emissions (EFOS) are based on energy statistics and cement production data, while emissions from land-use change (ELUC), mainly deforestation, are based on land-use and land-use change data and bookkeeping models. Atmospheric CO2 concentration is measured directly, and its growth rate (GATM) is computed from the annual changes in concentration. The ocean CO2 sink (SOCEAN) is estimated with global ocean biogeochemistry models and observation-based fCO2 products. The terrestrial CO2 sink (SLAND) is estimated with dynamic global vegetation models. Additional lines of evidence on land and ocean sinks are provided by atmospheric inversions, atmospheric oxygen measurements, and Earth system models. The resulting carbon budget imbalance (BIM), the difference between the estimated total emissions and the estimated changes in the atmosphere, ocean, and terrestrial biosphere, is a measure of imperfect data and incomplete understanding of the contemporary carbon cycle. All uncertainties are reported as ±1σ. For the year 2022, EFOS increased by 0.9 % relative to 2021, with fossil emissions at 9.9±0.5 Gt C yr−1 (10.2±0.5 Gt C yr−1 when the cement carbonation sink is not included), and ELUC was 1.2±0.7 Gt C yr−1, for a total anthropogenic CO2 emission (including the cement carbonation sink) of 11.1±0.8 Gt C yr−1 (40.7±3.2 Gt CO2 yr−1). Also, for 2022, GATM was 4.6±0.2 Gt C yr−1 (2.18±0.1 ppm yr−1; ppm denotes parts per million), SOCEAN was 2.8±0.4 Gt C yr−1, and SLAND was 3.8±0.8 Gt C yr−1, with a BIM of −0.1 Gt C yr−1 (i.e. total estimated sources marginally too low or sinks marginally too high). The global atmospheric CO2 concentration averaged over 2022 reached 417.1±0.1 ppm. Preliminary data for 2023 suggest an increase in EFOS relative to 2022 of +1.1 % (0.0 % to 2.1 %) globally and atmospheric CO2 concentration reaching 419.3 ppm, 51 % above the pre-industrial level (around 278 ppm in 1750). Overall, the mean of and trend in the components of the global carbon budget are consistently estimated over the period 1959–2022, with a near-zero overall budget imbalance, although discrepancies of up to around 1 Gt C yr−1 persist for the representation of annual to semi-decadal variability in CO2 fluxes. Comparison of estimates from multiple approaches and observations shows the following: (1) a persistent large uncertainty in the estimate of land-use changes emissions, (2) a low agreement between the different methods on the magnitude of the land CO2 flux in the northern extra-tropics, and (3) a discrepancy between the different methods on the strength of the ocean sink over the last decade. This living-data update documents changes in methods and data sets applied to this most recent global carbon budget as well as evolving community understanding of the global carbon cycle. The data presented in this work are available at https://doi.org/10.18160/GCP-2023 (Friedlingstein et al., 2023).","container-title":"Earth System Science Data","DOI":"10.5194/essd-15-5301-2023","ISSN":"1866-3516","issue":"12","journalAbbreviation":"Earth Syst. Sci. Data","language":"en","license":"https://creativecommons.org/licenses/by/4.0/","page":"5301-5369","source":"DOI.org (Crossref)","title":"Global Carbon Budget 2023","volume":"15","author":[{"family":"Friedlingstein","given":"Pierre"},{"family":"O'Sullivan","given":"Michael"},{"family":"Jones","given":"Matthew W."},{"family":"Andrew","given":"Robbie M."},{"family":"Bakker","given":"Dorothee C. E."},{"family":"Hauck","given":"Judith"},{"family":"Landschützer","given":"Peter"},{"family":"Le Quéré","given":"Corinne"},{"family":"Luijkx","given":"Ingrid T."},{"family":"Peters","given":"Glen P."},{"family":"Peters","given":"Wouter"},{"family":"Pongratz","given":"Julia"},{"family":"Schwingshackl","given":"Clemens"},{"family":"Sitch","given":"Stephen"},{"family":"Canadell","given":"Josep G."},{"family":"Ciais","given":"Philippe"},{"family":"Jackson","given":"Robert B."},{"family":"Alin","given":"Simone R."},{"family":"Anthoni","given":"Peter"},{"family":"Barbero","given":"Leticia"},{"family":"Bates","given":"Nicholas R."},{"family":"Becker","given":"Meike"},{"family":"Bellouin","given":"Nicolas"},{"family":"Decharme","given":"Bertrand"},{"family":"Bopp","given":"Laurent"},{"family":"Brasika","given":"Ida Bagus Mandhara"},{"family":"Cadule","given":"Patricia"},{"family":"Chamberlain","given":"Matthew A."},{"family":"Chandra","given":"Naveen"},{"family":"Chau","given":"Thi-Tuyet-Trang"},{"family":"Chevallier","given":"Frédéric"},{"family":"Chini","given":"Louise P."},{"family":"Cronin","given":"Margot"},{"family":"Dou","given":"Xinyu"},{"family":"Enyo","given":"Kazutaka"},{"family":"Evans","given":"Wiley"},{"family":"Falk","given":"Stefanie"},{"family":"Feely","given":"Richard A."},{"family":"Feng","given":"Liang"},{"family":"Ford","given":"Daniel J."},{"family":"Gasser","given":"Thomas"},{"family":"Ghattas","given":"Josefine"},{"family":"Gkritzalis","given":"Thanos"},{"family":"Grassi","given":"Giacomo"},{"family":"Gregor","given":"Luke"},{"family":"Gruber","given":"Nicolas"},{"family":"Gürses","given":"Özgür"},{"family":"Harris","given":"Ian"},{"family":"Hefner","given":"Matthew"},{"family":"Heinke","given":"Jens"},{"family":"Houghton","given":"Richard A."},{"family":"Hurtt","given":"George C."},{"family":"Iida","given":"Yosuke"},{"family":"Ilyina","given":"Tatiana"},{"family":"Jacobson","given":"Andrew R."},{"family":"Jain","given":"Atul"},{"family":"Jarníková","given":"Tereza"},{"family":"Jersild","given":"Annika"},{"family":"Jiang","given":"Fei"},{"family":"Jin","given":"Zhe"},{"family":"Joos","given":"Fortunat"},{"family":"Kato","given":"Etsushi"},{"family":"Keeling","given":"Ralph F."},{"family":"Kennedy","given":"Daniel"},{"family":"Klein Goldewijk","given":"Kees"},{"family":"Knauer","given":"Jürgen"},{"family":"Korsbakken","given":"Jan Ivar"},{"family":"Körtzinger","given":"Arne"},{"family":"Lan","given":"Xin"},{"family":"Lefèvre","given":"Nathalie"},{"family":"Li","given":"Hongmei"},{"family":"Liu","given":"Junjie"},{"family":"Liu","given":"Zhiqiang"},{"family":"Ma","given":"Lei"},{"family":"Marland","given":"Greg"},{"family":"Mayot","given":"Nicolas"},{"family":"McGuire","given":"Patrick C."},{"family":"McKinley","given":"Galen A."},{"family":"Meyer","given":"Gesa"},{"family":"Morgan","given":"Eric J."},{"family":"Munro","given":"David R."},{"family":"Nakaoka","given":"Shin-Ichiro"},{"family":"Niwa","given":"Yosuke"},{"family":"O'Brien","given":"Kevin M."},{"family":"Olsen","given":"Are"},{"family":"Omar","given":"Abdirahman M."},{"family":"Ono","given":"Tsuneo"},{"family":"Paulsen","given":"Melf"},{"family":"Pierrot","given":"Denis"},{"family":"Pocock","given":"Katie"},{"family":"Poulter","given":"Benjamin"},{"family":"Powis","given":"Carter M."},{"family":"Rehder","given":"Gregor"},{"family":"Resplandy","given":"Laure"},{"family":"Robertson","given":"Eddy"},{"family":"Rödenbeck","given":"Christian"},{"family":"Rosan","given":"Thais M."},{"family":"Schwinger","given":"Jörg"},{"family":"Séférian","given":"Roland"},{"family":"Smallman","given":"T. Luke"},{"family":"Smith","given":"Stephen M."},{"family":"Sospedra-Alfonso","given":"Reinel"},{"family":"Sun","given":"Qing"},{"family":"Sutton","given":"Adrienne J."},{"family":"Sweeney","given":"Colm"},{"family":"Takao","given":"Shintaro"},{"family":"Tans","given":"Pieter P."},{"family":"Tian","given":"Hanqin"},{"family":"Tilbrook","given":"Bronte"},{"family":"Tsujino","given":"Hiroyuki"},{"family":"Tubiello","given":"Francesco"},{"family":"Van Der Werf","given":"Guido R."},{"family":"Van Ooijen","given":"Erik"},{"family":"Wanninkhof","given":"Rik"},{"family":"Watanabe","given":"Michio"},{"family":"Wimart-Rousseau","given":"Cathy"},{"family":"Yang","given":"Dongxu"},{"family":"Yang","given":"Xiaojuan"},{"family":"Yuan","given":"Wenping"},{"family":"Yue","given":"Xu"},{"family":"Zaehle","given":"Sönke"},{"family":"Zeng","given":"Jiye"},{"family":"Zheng","given":"Bo"}],"issued":{"date-parts":[["2023",12,5]]}}}],"schema":"https://github.com/citation-style-language/schema/raw/master/csl-citation.json"} </w:instrText>
            </w:r>
            <w:r w:rsidR="007230EE">
              <w:rPr>
                <w:rFonts w:eastAsia="Times New Roman" w:cs="Times New Roman"/>
                <w:color w:val="000000"/>
                <w:kern w:val="0"/>
                <w:lang w:val="en-GB" w:eastAsia="en-GB"/>
                <w14:ligatures w14:val="none"/>
              </w:rPr>
              <w:fldChar w:fldCharType="separate"/>
            </w:r>
            <w:r w:rsidR="007230EE" w:rsidRPr="007230EE">
              <w:rPr>
                <w:rFonts w:cs="Times New Roman"/>
                <w:szCs w:val="24"/>
                <w:vertAlign w:val="superscript"/>
              </w:rPr>
              <w:t>19</w:t>
            </w:r>
            <w:r w:rsidR="007230EE">
              <w:rPr>
                <w:rFonts w:eastAsia="Times New Roman" w:cs="Times New Roman"/>
                <w:color w:val="000000"/>
                <w:kern w:val="0"/>
                <w:lang w:val="en-GB" w:eastAsia="en-GB"/>
                <w14:ligatures w14:val="none"/>
              </w:rPr>
              <w:fldChar w:fldCharType="end"/>
            </w:r>
            <w:r w:rsidRPr="00005635">
              <w:rPr>
                <w:rFonts w:eastAsia="Times New Roman" w:cs="Times New Roman"/>
                <w:color w:val="000000"/>
                <w:kern w:val="0"/>
                <w:lang w:val="en-GB" w:eastAsia="en-GB"/>
                <w14:ligatures w14:val="none"/>
              </w:rPr>
              <w:t>.</w:t>
            </w:r>
          </w:p>
        </w:tc>
        <w:tc>
          <w:tcPr>
            <w:tcW w:w="456" w:type="pct"/>
            <w:tcBorders>
              <w:top w:val="nil"/>
              <w:left w:val="nil"/>
              <w:bottom w:val="nil"/>
              <w:right w:val="single" w:sz="8" w:space="0" w:color="auto"/>
            </w:tcBorders>
          </w:tcPr>
          <w:p w14:paraId="15094941" w14:textId="77777777" w:rsidR="008422F6" w:rsidRPr="00005635" w:rsidRDefault="008422F6"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Gt</w:t>
            </w:r>
            <w:proofErr w:type="spellEnd"/>
          </w:p>
        </w:tc>
        <w:tc>
          <w:tcPr>
            <w:tcW w:w="394" w:type="pct"/>
            <w:tcBorders>
              <w:top w:val="nil"/>
              <w:left w:val="nil"/>
              <w:bottom w:val="nil"/>
              <w:right w:val="single" w:sz="8" w:space="0" w:color="auto"/>
            </w:tcBorders>
          </w:tcPr>
          <w:p w14:paraId="204BFB43"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3D7CE0F1" w14:textId="77777777" w:rsidTr="008422F6">
        <w:trPr>
          <w:trHeight w:val="450"/>
        </w:trPr>
        <w:tc>
          <w:tcPr>
            <w:tcW w:w="340" w:type="pct"/>
            <w:vMerge/>
            <w:tcBorders>
              <w:left w:val="single" w:sz="8" w:space="0" w:color="auto"/>
              <w:bottom w:val="single" w:sz="8" w:space="0" w:color="auto"/>
              <w:right w:val="single" w:sz="8" w:space="0" w:color="auto"/>
            </w:tcBorders>
            <w:vAlign w:val="center"/>
          </w:tcPr>
          <w:p w14:paraId="0D4B4A64" w14:textId="77777777" w:rsidR="008422F6" w:rsidRPr="00005635" w:rsidRDefault="008422F6" w:rsidP="008422F6">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single" w:sz="8" w:space="0" w:color="auto"/>
              <w:right w:val="single" w:sz="8" w:space="0" w:color="auto"/>
            </w:tcBorders>
            <w:noWrap/>
            <w:vAlign w:val="bottom"/>
            <w:hideMark/>
          </w:tcPr>
          <w:p w14:paraId="1C71A00B"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13</w:t>
            </w:r>
          </w:p>
        </w:tc>
        <w:tc>
          <w:tcPr>
            <w:tcW w:w="1021" w:type="pct"/>
            <w:tcBorders>
              <w:top w:val="nil"/>
              <w:left w:val="single" w:sz="8" w:space="0" w:color="auto"/>
              <w:bottom w:val="single" w:sz="8" w:space="0" w:color="auto"/>
              <w:right w:val="single" w:sz="8" w:space="0" w:color="auto"/>
            </w:tcBorders>
            <w:noWrap/>
            <w:vAlign w:val="bottom"/>
            <w:hideMark/>
          </w:tcPr>
          <w:p w14:paraId="4E1584EF"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global_C_emissions_LUC_and_cropland_management</w:t>
            </w:r>
            <w:proofErr w:type="spellEnd"/>
          </w:p>
        </w:tc>
        <w:tc>
          <w:tcPr>
            <w:tcW w:w="2450" w:type="pct"/>
            <w:tcBorders>
              <w:top w:val="nil"/>
              <w:left w:val="nil"/>
              <w:bottom w:val="single" w:sz="8" w:space="0" w:color="auto"/>
              <w:right w:val="single" w:sz="8" w:space="0" w:color="auto"/>
            </w:tcBorders>
            <w:noWrap/>
            <w:vAlign w:val="bottom"/>
            <w:hideMark/>
          </w:tcPr>
          <w:p w14:paraId="2A99B4D8" w14:textId="522B6EDD"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val="en-GB" w:eastAsia="en-GB"/>
                <w14:ligatures w14:val="none"/>
              </w:rPr>
              <w:t xml:space="preserve">Annual CO₂ emissions from land-use change and cropland management. This variable serves as a proxy for land-based mitigation challenges, in line with </w:t>
            </w:r>
            <w:proofErr w:type="spellStart"/>
            <w:r w:rsidRPr="00005635">
              <w:rPr>
                <w:rFonts w:eastAsia="Times New Roman" w:cs="Times New Roman"/>
                <w:color w:val="000000"/>
                <w:kern w:val="0"/>
                <w:lang w:val="en-GB" w:eastAsia="en-GB"/>
                <w14:ligatures w14:val="none"/>
              </w:rPr>
              <w:t>Soergel</w:t>
            </w:r>
            <w:proofErr w:type="spellEnd"/>
            <w:r w:rsidRPr="00005635">
              <w:rPr>
                <w:rFonts w:eastAsia="Times New Roman" w:cs="Times New Roman"/>
                <w:color w:val="000000"/>
                <w:kern w:val="0"/>
                <w:lang w:val="en-GB" w:eastAsia="en-GB"/>
                <w14:ligatures w14:val="none"/>
              </w:rPr>
              <w:t xml:space="preserve"> et al. </w:t>
            </w:r>
            <w:r w:rsidRPr="00005635">
              <w:rPr>
                <w:rFonts w:eastAsia="Times New Roman" w:cs="Times New Roman"/>
                <w:color w:val="000000"/>
                <w:kern w:val="0"/>
                <w:lang w:eastAsia="en-GB"/>
                <w14:ligatures w14:val="none"/>
              </w:rPr>
              <w:t>(2021)</w:t>
            </w:r>
            <w:r w:rsidR="007230EE">
              <w:rPr>
                <w:rFonts w:eastAsia="Times New Roman" w:cs="Times New Roman"/>
                <w:color w:val="000000"/>
                <w:kern w:val="0"/>
                <w:lang w:eastAsia="en-GB"/>
                <w14:ligatures w14:val="none"/>
              </w:rPr>
              <w:fldChar w:fldCharType="begin"/>
            </w:r>
            <w:r w:rsidR="007230EE">
              <w:rPr>
                <w:rFonts w:eastAsia="Times New Roman" w:cs="Times New Roman"/>
                <w:color w:val="000000"/>
                <w:kern w:val="0"/>
                <w:lang w:eastAsia="en-GB"/>
                <w14:ligatures w14:val="none"/>
              </w:rPr>
              <w:instrText xml:space="preserve"> ADDIN ZOTERO_ITEM CSL_CITATION {"citationID":"TgYAl2lp","properties":{"formattedCitation":"\\super 9\\nosupersub{}","plainCitation":"9","noteIndex":0},"citationItems":[{"id":280,"uris":["http://zotero.org/users/11518810/items/3ICHZ5BF"],"itemData":{"id":280,"type":"article-journal","container-title":"Nature Climate Change","DOI":"10.1038/s41558-021-01098-3","ISSN":"1758-678X, 1758-6798","issue":"8","journalAbbreviation":"Nat. Clim. Chang.","language":"en","page":"656-664","source":"DOI.org (Crossref)","title":"A sustainable development pathway for climate action within the UN 2030 Agenda","volume":"11","author":[{"family":"Soergel","given":"Bjoern"},{"family":"Kriegler","given":"Elmar"},{"family":"Weindl","given":"Isabelle"},{"family":"Rauner","given":"Sebastian"},{"family":"Dirnaichner","given":"Alois"},{"family":"Ruhe","given":"Constantin"},{"family":"Hofmann","given":"Matthias"},{"family":"Bauer","given":"Nico"},{"family":"Bertram","given":"Christoph"},{"family":"Bodirsky","given":"Benjamin Leon"},{"family":"Leimbach","given":"Marian"},{"family":"Leininger","given":"Julia"},{"family":"Levesque","given":"Antoine"},{"family":"Luderer","given":"Gunnar"},{"family":"Pehl","given":"Michaja"},{"family":"Wingens","given":"Christopher"},{"family":"Baumstark","given":"Lavinia"},{"family":"Beier","given":"Felicitas"},{"family":"Dietrich","given":"Jan Philipp"},{"family":"Humpenöder","given":"Florian"},{"family":"Von Jeetze","given":"Patrick"},{"family":"Klein","given":"David"},{"family":"Koch","given":"Johannes"},{"family":"Pietzcker","given":"Robert"},{"family":"Strefler","given":"Jessica"},{"family":"Lotze-Campen","given":"Hermann"},{"family":"Popp","given":"Alexander"}],"issued":{"date-parts":[["2021",8]]}}}],"schema":"https://github.com/citation-style-language/schema/raw/master/csl-citation.json"} </w:instrText>
            </w:r>
            <w:r w:rsidR="007230EE">
              <w:rPr>
                <w:rFonts w:eastAsia="Times New Roman" w:cs="Times New Roman"/>
                <w:color w:val="000000"/>
                <w:kern w:val="0"/>
                <w:lang w:eastAsia="en-GB"/>
                <w14:ligatures w14:val="none"/>
              </w:rPr>
              <w:fldChar w:fldCharType="separate"/>
            </w:r>
            <w:r w:rsidR="007230EE" w:rsidRPr="007230EE">
              <w:rPr>
                <w:rFonts w:cs="Times New Roman"/>
                <w:szCs w:val="24"/>
                <w:vertAlign w:val="superscript"/>
              </w:rPr>
              <w:t>9</w:t>
            </w:r>
            <w:r w:rsidR="007230EE">
              <w:rPr>
                <w:rFonts w:eastAsia="Times New Roman" w:cs="Times New Roman"/>
                <w:color w:val="000000"/>
                <w:kern w:val="0"/>
                <w:lang w:eastAsia="en-GB"/>
                <w14:ligatures w14:val="none"/>
              </w:rPr>
              <w:fldChar w:fldCharType="end"/>
            </w:r>
            <w:r w:rsidRPr="00005635">
              <w:rPr>
                <w:rFonts w:eastAsia="Times New Roman" w:cs="Times New Roman"/>
                <w:color w:val="000000"/>
                <w:kern w:val="0"/>
                <w:lang w:eastAsia="en-GB"/>
                <w14:ligatures w14:val="none"/>
              </w:rPr>
              <w:t>.</w:t>
            </w:r>
          </w:p>
        </w:tc>
        <w:tc>
          <w:tcPr>
            <w:tcW w:w="456" w:type="pct"/>
            <w:tcBorders>
              <w:top w:val="nil"/>
              <w:left w:val="nil"/>
              <w:bottom w:val="single" w:sz="8" w:space="0" w:color="auto"/>
              <w:right w:val="single" w:sz="8" w:space="0" w:color="auto"/>
            </w:tcBorders>
          </w:tcPr>
          <w:p w14:paraId="65BB8B26" w14:textId="77777777" w:rsidR="008422F6" w:rsidRPr="00005635" w:rsidRDefault="008422F6"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Gt</w:t>
            </w:r>
            <w:proofErr w:type="spellEnd"/>
            <w:r w:rsidRPr="00005635">
              <w:rPr>
                <w:rFonts w:eastAsia="Times New Roman" w:cs="Times New Roman"/>
                <w:color w:val="000000"/>
                <w:kern w:val="0"/>
                <w:lang w:eastAsia="en-GB"/>
                <w14:ligatures w14:val="none"/>
              </w:rPr>
              <w:t>/</w:t>
            </w:r>
            <w:proofErr w:type="spellStart"/>
            <w:r w:rsidRPr="00005635">
              <w:rPr>
                <w:rFonts w:eastAsia="Times New Roman" w:cs="Times New Roman"/>
                <w:color w:val="000000"/>
                <w:kern w:val="0"/>
                <w:lang w:eastAsia="en-GB"/>
                <w14:ligatures w14:val="none"/>
              </w:rPr>
              <w:t>Year</w:t>
            </w:r>
            <w:proofErr w:type="spellEnd"/>
          </w:p>
        </w:tc>
        <w:tc>
          <w:tcPr>
            <w:tcW w:w="394" w:type="pct"/>
            <w:tcBorders>
              <w:top w:val="nil"/>
              <w:left w:val="nil"/>
              <w:bottom w:val="single" w:sz="8" w:space="0" w:color="auto"/>
              <w:right w:val="single" w:sz="8" w:space="0" w:color="auto"/>
            </w:tcBorders>
          </w:tcPr>
          <w:p w14:paraId="66D611FC"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42D1551F" w14:textId="77777777" w:rsidTr="008422F6">
        <w:trPr>
          <w:trHeight w:val="300"/>
        </w:trPr>
        <w:tc>
          <w:tcPr>
            <w:tcW w:w="340" w:type="pct"/>
            <w:tcBorders>
              <w:top w:val="nil"/>
              <w:left w:val="single" w:sz="8" w:space="0" w:color="auto"/>
              <w:bottom w:val="single" w:sz="8" w:space="0" w:color="auto"/>
              <w:right w:val="single" w:sz="8" w:space="0" w:color="auto"/>
            </w:tcBorders>
          </w:tcPr>
          <w:p w14:paraId="7ACE42B5" w14:textId="6A760DC3" w:rsidR="00741F29" w:rsidRPr="00005635" w:rsidRDefault="008422F6" w:rsidP="001335E8">
            <w:pPr>
              <w:spacing w:after="0" w:line="240" w:lineRule="auto"/>
              <w:jc w:val="center"/>
              <w:rPr>
                <w:rFonts w:eastAsia="Times New Roman" w:cs="Times New Roman"/>
                <w:color w:val="000000"/>
                <w:kern w:val="0"/>
                <w:lang w:eastAsia="en-GB"/>
                <w14:ligatures w14:val="none"/>
              </w:rPr>
            </w:pPr>
            <w:proofErr w:type="spellStart"/>
            <w:r>
              <w:rPr>
                <w:rFonts w:eastAsia="Times New Roman" w:cs="Times New Roman"/>
                <w:color w:val="000000"/>
                <w:kern w:val="0"/>
                <w:lang w:eastAsia="en-GB"/>
                <w14:ligatures w14:val="none"/>
              </w:rPr>
              <w:t>Life</w:t>
            </w:r>
            <w:proofErr w:type="spellEnd"/>
            <w:r>
              <w:rPr>
                <w:rFonts w:eastAsia="Times New Roman" w:cs="Times New Roman"/>
                <w:color w:val="000000"/>
                <w:kern w:val="0"/>
                <w:lang w:eastAsia="en-GB"/>
                <w14:ligatures w14:val="none"/>
              </w:rPr>
              <w:t xml:space="preserve"> </w:t>
            </w:r>
            <w:proofErr w:type="spellStart"/>
            <w:r>
              <w:rPr>
                <w:rFonts w:eastAsia="Times New Roman" w:cs="Times New Roman"/>
                <w:color w:val="000000"/>
                <w:kern w:val="0"/>
                <w:lang w:eastAsia="en-GB"/>
                <w14:ligatures w14:val="none"/>
              </w:rPr>
              <w:t>Below</w:t>
            </w:r>
            <w:proofErr w:type="spellEnd"/>
            <w:r>
              <w:rPr>
                <w:rFonts w:eastAsia="Times New Roman" w:cs="Times New Roman"/>
                <w:color w:val="000000"/>
                <w:kern w:val="0"/>
                <w:lang w:eastAsia="en-GB"/>
                <w14:ligatures w14:val="none"/>
              </w:rPr>
              <w:t xml:space="preserve"> </w:t>
            </w:r>
            <w:proofErr w:type="spellStart"/>
            <w:r>
              <w:rPr>
                <w:rFonts w:eastAsia="Times New Roman" w:cs="Times New Roman"/>
                <w:color w:val="000000"/>
                <w:kern w:val="0"/>
                <w:lang w:eastAsia="en-GB"/>
                <w14:ligatures w14:val="none"/>
              </w:rPr>
              <w:t>Water</w:t>
            </w:r>
            <w:proofErr w:type="spellEnd"/>
          </w:p>
        </w:tc>
        <w:tc>
          <w:tcPr>
            <w:tcW w:w="340" w:type="pct"/>
            <w:tcBorders>
              <w:top w:val="nil"/>
              <w:left w:val="single" w:sz="8" w:space="0" w:color="auto"/>
              <w:bottom w:val="single" w:sz="8" w:space="0" w:color="auto"/>
              <w:right w:val="single" w:sz="8" w:space="0" w:color="auto"/>
            </w:tcBorders>
            <w:noWrap/>
            <w:vAlign w:val="bottom"/>
            <w:hideMark/>
          </w:tcPr>
          <w:p w14:paraId="55E20CB1" w14:textId="77777777" w:rsidR="00741F29" w:rsidRPr="00005635" w:rsidRDefault="00741F29"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14.3.1</w:t>
            </w:r>
          </w:p>
        </w:tc>
        <w:tc>
          <w:tcPr>
            <w:tcW w:w="1021" w:type="pct"/>
            <w:tcBorders>
              <w:top w:val="nil"/>
              <w:left w:val="single" w:sz="8" w:space="0" w:color="auto"/>
              <w:bottom w:val="single" w:sz="8" w:space="0" w:color="auto"/>
              <w:right w:val="single" w:sz="8" w:space="0" w:color="auto"/>
            </w:tcBorders>
            <w:noWrap/>
            <w:vAlign w:val="bottom"/>
            <w:hideMark/>
          </w:tcPr>
          <w:p w14:paraId="5C0DD4B7" w14:textId="77777777" w:rsidR="00741F29" w:rsidRPr="00005635" w:rsidRDefault="00741F29"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global_pH_ocean</w:t>
            </w:r>
            <w:proofErr w:type="spellEnd"/>
          </w:p>
        </w:tc>
        <w:tc>
          <w:tcPr>
            <w:tcW w:w="2450" w:type="pct"/>
            <w:tcBorders>
              <w:top w:val="nil"/>
              <w:left w:val="nil"/>
              <w:bottom w:val="single" w:sz="8" w:space="0" w:color="auto"/>
              <w:right w:val="single" w:sz="8" w:space="0" w:color="auto"/>
            </w:tcBorders>
            <w:noWrap/>
            <w:vAlign w:val="bottom"/>
            <w:hideMark/>
          </w:tcPr>
          <w:p w14:paraId="19A65855" w14:textId="77777777" w:rsidR="00741F29" w:rsidRPr="00005635" w:rsidRDefault="00741F29"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Ocean surface pH level, indicating acidification trends. This official indicator under SDG Target 14.3 tracks progress in minimising the impacts of ocean acidification.</w:t>
            </w:r>
          </w:p>
        </w:tc>
        <w:tc>
          <w:tcPr>
            <w:tcW w:w="456" w:type="pct"/>
            <w:tcBorders>
              <w:top w:val="nil"/>
              <w:left w:val="nil"/>
              <w:bottom w:val="single" w:sz="8" w:space="0" w:color="auto"/>
              <w:right w:val="single" w:sz="8" w:space="0" w:color="auto"/>
            </w:tcBorders>
          </w:tcPr>
          <w:p w14:paraId="1D978548" w14:textId="77777777" w:rsidR="00741F29" w:rsidRPr="00005635" w:rsidRDefault="00741F29"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pH</w:t>
            </w:r>
          </w:p>
        </w:tc>
        <w:tc>
          <w:tcPr>
            <w:tcW w:w="394" w:type="pct"/>
            <w:tcBorders>
              <w:top w:val="nil"/>
              <w:left w:val="nil"/>
              <w:bottom w:val="single" w:sz="8" w:space="0" w:color="auto"/>
              <w:right w:val="single" w:sz="8" w:space="0" w:color="auto"/>
            </w:tcBorders>
          </w:tcPr>
          <w:p w14:paraId="58E0CACF" w14:textId="77777777" w:rsidR="00741F29" w:rsidRPr="00005635" w:rsidRDefault="00741F29"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2582C831" w14:textId="77777777" w:rsidTr="008422F6">
        <w:trPr>
          <w:trHeight w:val="288"/>
        </w:trPr>
        <w:tc>
          <w:tcPr>
            <w:tcW w:w="340" w:type="pct"/>
            <w:vMerge w:val="restart"/>
            <w:tcBorders>
              <w:top w:val="nil"/>
              <w:left w:val="single" w:sz="8" w:space="0" w:color="auto"/>
              <w:right w:val="single" w:sz="8" w:space="0" w:color="auto"/>
            </w:tcBorders>
            <w:vAlign w:val="center"/>
          </w:tcPr>
          <w:p w14:paraId="73BB4BA4" w14:textId="55952DF6" w:rsidR="008422F6" w:rsidRPr="00005635" w:rsidRDefault="008422F6" w:rsidP="008422F6">
            <w:pPr>
              <w:spacing w:after="0" w:line="240" w:lineRule="auto"/>
              <w:jc w:val="center"/>
              <w:rPr>
                <w:rFonts w:eastAsia="Times New Roman" w:cs="Times New Roman"/>
                <w:color w:val="000000"/>
                <w:kern w:val="0"/>
                <w:lang w:eastAsia="en-GB"/>
                <w14:ligatures w14:val="none"/>
              </w:rPr>
            </w:pPr>
            <w:proofErr w:type="spellStart"/>
            <w:r>
              <w:rPr>
                <w:rFonts w:eastAsia="Times New Roman" w:cs="Times New Roman"/>
                <w:color w:val="000000"/>
                <w:kern w:val="0"/>
                <w:lang w:eastAsia="en-GB"/>
                <w14:ligatures w14:val="none"/>
              </w:rPr>
              <w:lastRenderedPageBreak/>
              <w:t>Life</w:t>
            </w:r>
            <w:proofErr w:type="spellEnd"/>
            <w:r>
              <w:rPr>
                <w:rFonts w:eastAsia="Times New Roman" w:cs="Times New Roman"/>
                <w:color w:val="000000"/>
                <w:kern w:val="0"/>
                <w:lang w:eastAsia="en-GB"/>
                <w14:ligatures w14:val="none"/>
              </w:rPr>
              <w:t xml:space="preserve"> </w:t>
            </w:r>
            <w:proofErr w:type="spellStart"/>
            <w:r>
              <w:rPr>
                <w:rFonts w:eastAsia="Times New Roman" w:cs="Times New Roman"/>
                <w:color w:val="000000"/>
                <w:kern w:val="0"/>
                <w:lang w:eastAsia="en-GB"/>
                <w14:ligatures w14:val="none"/>
              </w:rPr>
              <w:t>on</w:t>
            </w:r>
            <w:proofErr w:type="spellEnd"/>
            <w:r>
              <w:rPr>
                <w:rFonts w:eastAsia="Times New Roman" w:cs="Times New Roman"/>
                <w:color w:val="000000"/>
                <w:kern w:val="0"/>
                <w:lang w:eastAsia="en-GB"/>
                <w14:ligatures w14:val="none"/>
              </w:rPr>
              <w:t xml:space="preserve"> </w:t>
            </w:r>
            <w:proofErr w:type="spellStart"/>
            <w:r>
              <w:rPr>
                <w:rFonts w:eastAsia="Times New Roman" w:cs="Times New Roman"/>
                <w:color w:val="000000"/>
                <w:kern w:val="0"/>
                <w:lang w:eastAsia="en-GB"/>
                <w14:ligatures w14:val="none"/>
              </w:rPr>
              <w:t>Land</w:t>
            </w:r>
            <w:proofErr w:type="spellEnd"/>
          </w:p>
        </w:tc>
        <w:tc>
          <w:tcPr>
            <w:tcW w:w="340" w:type="pct"/>
            <w:tcBorders>
              <w:top w:val="nil"/>
              <w:left w:val="single" w:sz="8" w:space="0" w:color="auto"/>
              <w:bottom w:val="nil"/>
              <w:right w:val="single" w:sz="8" w:space="0" w:color="auto"/>
            </w:tcBorders>
            <w:noWrap/>
            <w:vAlign w:val="bottom"/>
            <w:hideMark/>
          </w:tcPr>
          <w:p w14:paraId="7351DA6C"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15.1.1</w:t>
            </w:r>
          </w:p>
        </w:tc>
        <w:tc>
          <w:tcPr>
            <w:tcW w:w="1021" w:type="pct"/>
            <w:tcBorders>
              <w:top w:val="nil"/>
              <w:left w:val="single" w:sz="8" w:space="0" w:color="auto"/>
              <w:bottom w:val="nil"/>
              <w:right w:val="single" w:sz="8" w:space="0" w:color="auto"/>
            </w:tcBorders>
            <w:noWrap/>
            <w:vAlign w:val="bottom"/>
            <w:hideMark/>
          </w:tcPr>
          <w:p w14:paraId="26354737"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global_forest_area_vs_total_area</w:t>
            </w:r>
            <w:proofErr w:type="spellEnd"/>
          </w:p>
        </w:tc>
        <w:tc>
          <w:tcPr>
            <w:tcW w:w="2450" w:type="pct"/>
            <w:tcBorders>
              <w:top w:val="nil"/>
              <w:left w:val="nil"/>
              <w:bottom w:val="nil"/>
              <w:right w:val="single" w:sz="8" w:space="0" w:color="auto"/>
            </w:tcBorders>
            <w:noWrap/>
            <w:vAlign w:val="bottom"/>
            <w:hideMark/>
          </w:tcPr>
          <w:p w14:paraId="64F9C4B2"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Forest area as a proportion of total land surface. This indicator directly corresponds to SDG Target 15.1, promoting sustainable terrestrial management with a focus on forest coverage.</w:t>
            </w:r>
          </w:p>
        </w:tc>
        <w:tc>
          <w:tcPr>
            <w:tcW w:w="456" w:type="pct"/>
            <w:tcBorders>
              <w:top w:val="nil"/>
              <w:left w:val="nil"/>
              <w:bottom w:val="nil"/>
              <w:right w:val="single" w:sz="8" w:space="0" w:color="auto"/>
            </w:tcBorders>
          </w:tcPr>
          <w:p w14:paraId="5CFBD7F3"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Dmnl</w:t>
            </w:r>
          </w:p>
        </w:tc>
        <w:tc>
          <w:tcPr>
            <w:tcW w:w="394" w:type="pct"/>
            <w:tcBorders>
              <w:top w:val="nil"/>
              <w:left w:val="nil"/>
              <w:bottom w:val="nil"/>
              <w:right w:val="single" w:sz="8" w:space="0" w:color="auto"/>
            </w:tcBorders>
          </w:tcPr>
          <w:p w14:paraId="449865B6"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120C9828" w14:textId="77777777" w:rsidTr="008422F6">
        <w:trPr>
          <w:trHeight w:val="288"/>
        </w:trPr>
        <w:tc>
          <w:tcPr>
            <w:tcW w:w="340" w:type="pct"/>
            <w:vMerge/>
            <w:tcBorders>
              <w:left w:val="single" w:sz="8" w:space="0" w:color="auto"/>
              <w:right w:val="single" w:sz="8" w:space="0" w:color="auto"/>
            </w:tcBorders>
          </w:tcPr>
          <w:p w14:paraId="2546C7CF"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nil"/>
              <w:right w:val="single" w:sz="8" w:space="0" w:color="auto"/>
            </w:tcBorders>
            <w:noWrap/>
            <w:vAlign w:val="bottom"/>
            <w:hideMark/>
          </w:tcPr>
          <w:p w14:paraId="276C1908"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15.2.1</w:t>
            </w:r>
          </w:p>
        </w:tc>
        <w:tc>
          <w:tcPr>
            <w:tcW w:w="1021" w:type="pct"/>
            <w:tcBorders>
              <w:top w:val="nil"/>
              <w:left w:val="single" w:sz="8" w:space="0" w:color="auto"/>
              <w:bottom w:val="nil"/>
              <w:right w:val="single" w:sz="8" w:space="0" w:color="auto"/>
            </w:tcBorders>
            <w:noWrap/>
            <w:vAlign w:val="bottom"/>
            <w:hideMark/>
          </w:tcPr>
          <w:p w14:paraId="790910A9"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global_index_of_forest_stock_per_area</w:t>
            </w:r>
            <w:proofErr w:type="spellEnd"/>
          </w:p>
        </w:tc>
        <w:tc>
          <w:tcPr>
            <w:tcW w:w="2450" w:type="pct"/>
            <w:tcBorders>
              <w:top w:val="nil"/>
              <w:left w:val="nil"/>
              <w:bottom w:val="nil"/>
              <w:right w:val="single" w:sz="8" w:space="0" w:color="auto"/>
            </w:tcBorders>
            <w:noWrap/>
            <w:vAlign w:val="bottom"/>
            <w:hideMark/>
          </w:tcPr>
          <w:p w14:paraId="6BD10B8B"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Index of forest stock per unit area. Derived from WILIAM model outputs, this proxy assesses forest productivity and management sustainability under SDG Target 15.2.</w:t>
            </w:r>
          </w:p>
        </w:tc>
        <w:tc>
          <w:tcPr>
            <w:tcW w:w="456" w:type="pct"/>
            <w:tcBorders>
              <w:top w:val="nil"/>
              <w:left w:val="nil"/>
              <w:bottom w:val="nil"/>
              <w:right w:val="single" w:sz="8" w:space="0" w:color="auto"/>
            </w:tcBorders>
          </w:tcPr>
          <w:p w14:paraId="4DB4BFEB"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Dmnl</w:t>
            </w:r>
          </w:p>
        </w:tc>
        <w:tc>
          <w:tcPr>
            <w:tcW w:w="394" w:type="pct"/>
            <w:tcBorders>
              <w:top w:val="nil"/>
              <w:left w:val="nil"/>
              <w:bottom w:val="nil"/>
              <w:right w:val="single" w:sz="8" w:space="0" w:color="auto"/>
            </w:tcBorders>
          </w:tcPr>
          <w:p w14:paraId="2A336DEB"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54BF035E" w14:textId="77777777" w:rsidTr="008422F6">
        <w:trPr>
          <w:trHeight w:val="288"/>
        </w:trPr>
        <w:tc>
          <w:tcPr>
            <w:tcW w:w="340" w:type="pct"/>
            <w:vMerge/>
            <w:tcBorders>
              <w:left w:val="single" w:sz="8" w:space="0" w:color="auto"/>
              <w:right w:val="single" w:sz="8" w:space="0" w:color="auto"/>
            </w:tcBorders>
          </w:tcPr>
          <w:p w14:paraId="0835EA76"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nil"/>
              <w:right w:val="single" w:sz="8" w:space="0" w:color="auto"/>
            </w:tcBorders>
            <w:noWrap/>
            <w:vAlign w:val="bottom"/>
            <w:hideMark/>
          </w:tcPr>
          <w:p w14:paraId="17705FA0"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15.2.2</w:t>
            </w:r>
          </w:p>
        </w:tc>
        <w:tc>
          <w:tcPr>
            <w:tcW w:w="1021" w:type="pct"/>
            <w:tcBorders>
              <w:top w:val="nil"/>
              <w:left w:val="single" w:sz="8" w:space="0" w:color="auto"/>
              <w:bottom w:val="nil"/>
              <w:right w:val="single" w:sz="8" w:space="0" w:color="auto"/>
            </w:tcBorders>
            <w:noWrap/>
            <w:vAlign w:val="bottom"/>
            <w:hideMark/>
          </w:tcPr>
          <w:p w14:paraId="4D113DCA"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global_index_of_forest_area</w:t>
            </w:r>
            <w:proofErr w:type="spellEnd"/>
          </w:p>
        </w:tc>
        <w:tc>
          <w:tcPr>
            <w:tcW w:w="2450" w:type="pct"/>
            <w:tcBorders>
              <w:top w:val="nil"/>
              <w:left w:val="nil"/>
              <w:bottom w:val="nil"/>
              <w:right w:val="single" w:sz="8" w:space="0" w:color="auto"/>
            </w:tcBorders>
            <w:noWrap/>
            <w:vAlign w:val="bottom"/>
            <w:hideMark/>
          </w:tcPr>
          <w:p w14:paraId="297C3EDC"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Global index of forest area relative to its initial value. This WILIAM-based proxy tracks trends in forest expansion or loss and is relevant to SDG Target 15.2 on halting deforestation.</w:t>
            </w:r>
          </w:p>
        </w:tc>
        <w:tc>
          <w:tcPr>
            <w:tcW w:w="456" w:type="pct"/>
            <w:tcBorders>
              <w:top w:val="nil"/>
              <w:left w:val="nil"/>
              <w:bottom w:val="nil"/>
              <w:right w:val="single" w:sz="8" w:space="0" w:color="auto"/>
            </w:tcBorders>
          </w:tcPr>
          <w:p w14:paraId="1E84348C"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Dmnl</w:t>
            </w:r>
          </w:p>
        </w:tc>
        <w:tc>
          <w:tcPr>
            <w:tcW w:w="394" w:type="pct"/>
            <w:tcBorders>
              <w:top w:val="nil"/>
              <w:left w:val="nil"/>
              <w:bottom w:val="nil"/>
              <w:right w:val="single" w:sz="8" w:space="0" w:color="auto"/>
            </w:tcBorders>
          </w:tcPr>
          <w:p w14:paraId="50E0A24B"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55F08F86" w14:textId="77777777" w:rsidTr="008422F6">
        <w:trPr>
          <w:trHeight w:val="300"/>
        </w:trPr>
        <w:tc>
          <w:tcPr>
            <w:tcW w:w="340" w:type="pct"/>
            <w:vMerge/>
            <w:tcBorders>
              <w:left w:val="single" w:sz="8" w:space="0" w:color="auto"/>
              <w:bottom w:val="single" w:sz="8" w:space="0" w:color="auto"/>
              <w:right w:val="single" w:sz="8" w:space="0" w:color="auto"/>
            </w:tcBorders>
          </w:tcPr>
          <w:p w14:paraId="3EF10B1C"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p>
        </w:tc>
        <w:tc>
          <w:tcPr>
            <w:tcW w:w="340" w:type="pct"/>
            <w:tcBorders>
              <w:top w:val="nil"/>
              <w:left w:val="single" w:sz="8" w:space="0" w:color="auto"/>
              <w:bottom w:val="single" w:sz="8" w:space="0" w:color="auto"/>
              <w:right w:val="single" w:sz="8" w:space="0" w:color="auto"/>
            </w:tcBorders>
            <w:noWrap/>
            <w:vAlign w:val="bottom"/>
            <w:hideMark/>
          </w:tcPr>
          <w:p w14:paraId="40440278" w14:textId="77777777" w:rsidR="008422F6" w:rsidRPr="00005635" w:rsidRDefault="008422F6"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15.3.1</w:t>
            </w:r>
          </w:p>
        </w:tc>
        <w:tc>
          <w:tcPr>
            <w:tcW w:w="1021" w:type="pct"/>
            <w:tcBorders>
              <w:top w:val="nil"/>
              <w:left w:val="single" w:sz="8" w:space="0" w:color="auto"/>
              <w:bottom w:val="single" w:sz="8" w:space="0" w:color="auto"/>
              <w:right w:val="single" w:sz="8" w:space="0" w:color="auto"/>
            </w:tcBorders>
            <w:noWrap/>
            <w:vAlign w:val="bottom"/>
            <w:hideMark/>
          </w:tcPr>
          <w:p w14:paraId="0C1F9282"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global_degraded_land_over_total_land</w:t>
            </w:r>
            <w:proofErr w:type="spellEnd"/>
          </w:p>
        </w:tc>
        <w:tc>
          <w:tcPr>
            <w:tcW w:w="2450" w:type="pct"/>
            <w:tcBorders>
              <w:top w:val="nil"/>
              <w:left w:val="nil"/>
              <w:bottom w:val="single" w:sz="8" w:space="0" w:color="auto"/>
              <w:right w:val="single" w:sz="8" w:space="0" w:color="auto"/>
            </w:tcBorders>
            <w:noWrap/>
            <w:vAlign w:val="bottom"/>
            <w:hideMark/>
          </w:tcPr>
          <w:p w14:paraId="324441B2" w14:textId="77777777" w:rsidR="008422F6" w:rsidRPr="00005635" w:rsidRDefault="008422F6"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Proportion of total land considered degraded. This proxy is based on land classified as 'other' (e.g., deserts, ice, waterbodies) and areas with primary forest loss. It contributes to SDG Target 15.3, though degradation requires further specification.</w:t>
            </w:r>
          </w:p>
        </w:tc>
        <w:tc>
          <w:tcPr>
            <w:tcW w:w="456" w:type="pct"/>
            <w:tcBorders>
              <w:top w:val="nil"/>
              <w:left w:val="nil"/>
              <w:bottom w:val="single" w:sz="8" w:space="0" w:color="auto"/>
              <w:right w:val="single" w:sz="8" w:space="0" w:color="auto"/>
            </w:tcBorders>
          </w:tcPr>
          <w:p w14:paraId="7F99138A"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Dmnl</w:t>
            </w:r>
          </w:p>
        </w:tc>
        <w:tc>
          <w:tcPr>
            <w:tcW w:w="394" w:type="pct"/>
            <w:tcBorders>
              <w:top w:val="nil"/>
              <w:left w:val="nil"/>
              <w:bottom w:val="single" w:sz="8" w:space="0" w:color="auto"/>
              <w:right w:val="single" w:sz="8" w:space="0" w:color="auto"/>
            </w:tcBorders>
          </w:tcPr>
          <w:p w14:paraId="2E8F9915" w14:textId="77777777" w:rsidR="008422F6" w:rsidRPr="00005635" w:rsidRDefault="008422F6"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r w:rsidR="008422F6" w:rsidRPr="00005635" w14:paraId="3E72CE53" w14:textId="77777777" w:rsidTr="008422F6">
        <w:trPr>
          <w:trHeight w:val="288"/>
        </w:trPr>
        <w:tc>
          <w:tcPr>
            <w:tcW w:w="340" w:type="pct"/>
            <w:tcBorders>
              <w:top w:val="nil"/>
              <w:left w:val="single" w:sz="8" w:space="0" w:color="auto"/>
              <w:bottom w:val="nil"/>
              <w:right w:val="single" w:sz="8" w:space="0" w:color="auto"/>
            </w:tcBorders>
          </w:tcPr>
          <w:p w14:paraId="08BED9CE" w14:textId="27003E80" w:rsidR="00741F29" w:rsidRPr="00005635" w:rsidRDefault="008422F6" w:rsidP="001335E8">
            <w:pPr>
              <w:spacing w:after="0" w:line="240" w:lineRule="auto"/>
              <w:jc w:val="center"/>
              <w:rPr>
                <w:rFonts w:eastAsia="Times New Roman" w:cs="Times New Roman"/>
                <w:color w:val="000000"/>
                <w:kern w:val="0"/>
                <w:lang w:eastAsia="en-GB"/>
                <w14:ligatures w14:val="none"/>
              </w:rPr>
            </w:pPr>
            <w:proofErr w:type="spellStart"/>
            <w:r>
              <w:rPr>
                <w:rFonts w:eastAsia="Times New Roman" w:cs="Times New Roman"/>
                <w:color w:val="000000"/>
                <w:kern w:val="0"/>
                <w:lang w:eastAsia="en-GB"/>
                <w14:ligatures w14:val="none"/>
              </w:rPr>
              <w:t>Partnerships</w:t>
            </w:r>
            <w:proofErr w:type="spellEnd"/>
            <w:r>
              <w:rPr>
                <w:rFonts w:eastAsia="Times New Roman" w:cs="Times New Roman"/>
                <w:color w:val="000000"/>
                <w:kern w:val="0"/>
                <w:lang w:eastAsia="en-GB"/>
                <w14:ligatures w14:val="none"/>
              </w:rPr>
              <w:t xml:space="preserve"> </w:t>
            </w:r>
            <w:proofErr w:type="spellStart"/>
            <w:r>
              <w:rPr>
                <w:rFonts w:eastAsia="Times New Roman" w:cs="Times New Roman"/>
                <w:color w:val="000000"/>
                <w:kern w:val="0"/>
                <w:lang w:eastAsia="en-GB"/>
                <w14:ligatures w14:val="none"/>
              </w:rPr>
              <w:t>for</w:t>
            </w:r>
            <w:proofErr w:type="spellEnd"/>
            <w:r>
              <w:rPr>
                <w:rFonts w:eastAsia="Times New Roman" w:cs="Times New Roman"/>
                <w:color w:val="000000"/>
                <w:kern w:val="0"/>
                <w:lang w:eastAsia="en-GB"/>
                <w14:ligatures w14:val="none"/>
              </w:rPr>
              <w:t xml:space="preserve"> </w:t>
            </w:r>
            <w:proofErr w:type="spellStart"/>
            <w:r>
              <w:rPr>
                <w:rFonts w:eastAsia="Times New Roman" w:cs="Times New Roman"/>
                <w:color w:val="000000"/>
                <w:kern w:val="0"/>
                <w:lang w:eastAsia="en-GB"/>
                <w14:ligatures w14:val="none"/>
              </w:rPr>
              <w:t>the</w:t>
            </w:r>
            <w:proofErr w:type="spellEnd"/>
            <w:r>
              <w:rPr>
                <w:rFonts w:eastAsia="Times New Roman" w:cs="Times New Roman"/>
                <w:color w:val="000000"/>
                <w:kern w:val="0"/>
                <w:lang w:eastAsia="en-GB"/>
                <w14:ligatures w14:val="none"/>
              </w:rPr>
              <w:t xml:space="preserve"> </w:t>
            </w:r>
            <w:proofErr w:type="spellStart"/>
            <w:r>
              <w:rPr>
                <w:rFonts w:eastAsia="Times New Roman" w:cs="Times New Roman"/>
                <w:color w:val="000000"/>
                <w:kern w:val="0"/>
                <w:lang w:eastAsia="en-GB"/>
                <w14:ligatures w14:val="none"/>
              </w:rPr>
              <w:t>Goals</w:t>
            </w:r>
            <w:proofErr w:type="spellEnd"/>
          </w:p>
        </w:tc>
        <w:tc>
          <w:tcPr>
            <w:tcW w:w="340" w:type="pct"/>
            <w:tcBorders>
              <w:top w:val="nil"/>
              <w:left w:val="single" w:sz="8" w:space="0" w:color="auto"/>
              <w:bottom w:val="nil"/>
              <w:right w:val="single" w:sz="8" w:space="0" w:color="auto"/>
            </w:tcBorders>
            <w:noWrap/>
            <w:vAlign w:val="bottom"/>
            <w:hideMark/>
          </w:tcPr>
          <w:p w14:paraId="1CB66A50" w14:textId="77777777" w:rsidR="00741F29" w:rsidRPr="00005635" w:rsidRDefault="00741F29" w:rsidP="001335E8">
            <w:pPr>
              <w:spacing w:after="0" w:line="240" w:lineRule="auto"/>
              <w:jc w:val="center"/>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17.1.1</w:t>
            </w:r>
          </w:p>
        </w:tc>
        <w:tc>
          <w:tcPr>
            <w:tcW w:w="1021" w:type="pct"/>
            <w:tcBorders>
              <w:top w:val="nil"/>
              <w:left w:val="single" w:sz="8" w:space="0" w:color="auto"/>
              <w:bottom w:val="nil"/>
              <w:right w:val="single" w:sz="8" w:space="0" w:color="auto"/>
            </w:tcBorders>
            <w:noWrap/>
            <w:vAlign w:val="bottom"/>
            <w:hideMark/>
          </w:tcPr>
          <w:p w14:paraId="1D193490" w14:textId="77777777" w:rsidR="00741F29" w:rsidRPr="00005635" w:rsidRDefault="00741F29" w:rsidP="001335E8">
            <w:pPr>
              <w:spacing w:after="0" w:line="240" w:lineRule="auto"/>
              <w:rPr>
                <w:rFonts w:eastAsia="Times New Roman" w:cs="Times New Roman"/>
                <w:color w:val="000000"/>
                <w:kern w:val="0"/>
                <w:lang w:val="en-GB" w:eastAsia="en-GB"/>
                <w14:ligatures w14:val="none"/>
              </w:rPr>
            </w:pPr>
            <w:proofErr w:type="spellStart"/>
            <w:r w:rsidRPr="00005635">
              <w:rPr>
                <w:rFonts w:eastAsia="Times New Roman" w:cs="Times New Roman"/>
                <w:color w:val="000000"/>
                <w:kern w:val="0"/>
                <w:lang w:val="en-GB" w:eastAsia="en-GB"/>
                <w14:ligatures w14:val="none"/>
              </w:rPr>
              <w:t>global_governmental_revenue_by_GDP</w:t>
            </w:r>
            <w:proofErr w:type="spellEnd"/>
          </w:p>
        </w:tc>
        <w:tc>
          <w:tcPr>
            <w:tcW w:w="2450" w:type="pct"/>
            <w:tcBorders>
              <w:top w:val="nil"/>
              <w:left w:val="nil"/>
              <w:bottom w:val="nil"/>
              <w:right w:val="single" w:sz="8" w:space="0" w:color="auto"/>
            </w:tcBorders>
            <w:noWrap/>
            <w:vAlign w:val="bottom"/>
            <w:hideMark/>
          </w:tcPr>
          <w:p w14:paraId="6B024650" w14:textId="77777777" w:rsidR="00741F29" w:rsidRPr="00005635" w:rsidRDefault="00741F29" w:rsidP="001335E8">
            <w:pPr>
              <w:spacing w:after="0" w:line="240" w:lineRule="auto"/>
              <w:rPr>
                <w:rFonts w:eastAsia="Times New Roman" w:cs="Times New Roman"/>
                <w:color w:val="000000"/>
                <w:kern w:val="0"/>
                <w:lang w:val="en-GB" w:eastAsia="en-GB"/>
                <w14:ligatures w14:val="none"/>
              </w:rPr>
            </w:pPr>
            <w:r w:rsidRPr="00005635">
              <w:rPr>
                <w:rFonts w:eastAsia="Times New Roman" w:cs="Times New Roman"/>
                <w:color w:val="000000"/>
                <w:kern w:val="0"/>
                <w:lang w:val="en-GB" w:eastAsia="en-GB"/>
                <w14:ligatures w14:val="none"/>
              </w:rPr>
              <w:t>Total government revenue by gross domestic product at the global scale. This indicator aligns with SDG Target 17.1, which seeks to enhance domestic resource mobilization, although it does not distinguish revenue sources.</w:t>
            </w:r>
          </w:p>
        </w:tc>
        <w:tc>
          <w:tcPr>
            <w:tcW w:w="456" w:type="pct"/>
            <w:tcBorders>
              <w:top w:val="nil"/>
              <w:left w:val="nil"/>
              <w:bottom w:val="nil"/>
              <w:right w:val="single" w:sz="8" w:space="0" w:color="auto"/>
            </w:tcBorders>
          </w:tcPr>
          <w:p w14:paraId="51504846" w14:textId="77777777" w:rsidR="00741F29" w:rsidRPr="00005635" w:rsidRDefault="00741F29" w:rsidP="001335E8">
            <w:pPr>
              <w:spacing w:after="0" w:line="240" w:lineRule="auto"/>
              <w:rPr>
                <w:rFonts w:eastAsia="Times New Roman" w:cs="Times New Roman"/>
                <w:color w:val="000000"/>
                <w:kern w:val="0"/>
                <w:lang w:eastAsia="en-GB"/>
                <w14:ligatures w14:val="none"/>
              </w:rPr>
            </w:pPr>
            <w:proofErr w:type="spellStart"/>
            <w:r w:rsidRPr="00005635">
              <w:rPr>
                <w:rFonts w:eastAsia="Times New Roman" w:cs="Times New Roman"/>
                <w:color w:val="000000"/>
                <w:kern w:val="0"/>
                <w:lang w:eastAsia="en-GB"/>
                <w14:ligatures w14:val="none"/>
              </w:rPr>
              <w:t>Mdollars</w:t>
            </w:r>
            <w:proofErr w:type="spellEnd"/>
            <w:r w:rsidRPr="00005635">
              <w:rPr>
                <w:rFonts w:eastAsia="Times New Roman" w:cs="Times New Roman"/>
                <w:color w:val="000000"/>
                <w:kern w:val="0"/>
                <w:lang w:eastAsia="en-GB"/>
                <w14:ligatures w14:val="none"/>
              </w:rPr>
              <w:t>/</w:t>
            </w:r>
            <w:proofErr w:type="spellStart"/>
            <w:r w:rsidRPr="00005635">
              <w:rPr>
                <w:rFonts w:eastAsia="Times New Roman" w:cs="Times New Roman"/>
                <w:color w:val="000000"/>
                <w:kern w:val="0"/>
                <w:lang w:eastAsia="en-GB"/>
                <w14:ligatures w14:val="none"/>
              </w:rPr>
              <w:t>Year</w:t>
            </w:r>
            <w:proofErr w:type="spellEnd"/>
          </w:p>
        </w:tc>
        <w:tc>
          <w:tcPr>
            <w:tcW w:w="394" w:type="pct"/>
            <w:tcBorders>
              <w:top w:val="nil"/>
              <w:left w:val="nil"/>
              <w:bottom w:val="nil"/>
              <w:right w:val="single" w:sz="8" w:space="0" w:color="auto"/>
            </w:tcBorders>
          </w:tcPr>
          <w:p w14:paraId="0FF17DC6" w14:textId="77777777" w:rsidR="00741F29" w:rsidRPr="00005635" w:rsidRDefault="00741F29" w:rsidP="001335E8">
            <w:pPr>
              <w:spacing w:after="0" w:line="240" w:lineRule="auto"/>
              <w:rPr>
                <w:rFonts w:eastAsia="Times New Roman" w:cs="Times New Roman"/>
                <w:color w:val="000000"/>
                <w:kern w:val="0"/>
                <w:lang w:eastAsia="en-GB"/>
                <w14:ligatures w14:val="none"/>
              </w:rPr>
            </w:pPr>
            <w:r w:rsidRPr="00005635">
              <w:rPr>
                <w:rFonts w:eastAsia="Times New Roman" w:cs="Times New Roman"/>
                <w:color w:val="000000"/>
                <w:kern w:val="0"/>
                <w:lang w:eastAsia="en-GB"/>
                <w14:ligatures w14:val="none"/>
              </w:rPr>
              <w:t>1</w:t>
            </w:r>
          </w:p>
        </w:tc>
      </w:tr>
    </w:tbl>
    <w:p w14:paraId="1E595143" w14:textId="77777777" w:rsidR="00186150" w:rsidRDefault="00186150" w:rsidP="00973049">
      <w:pPr>
        <w:rPr>
          <w:b/>
          <w:bCs/>
          <w:sz w:val="24"/>
          <w:szCs w:val="24"/>
          <w:lang w:val="en-GB"/>
        </w:rPr>
        <w:sectPr w:rsidR="00186150" w:rsidSect="00186150">
          <w:pgSz w:w="16838" w:h="11906" w:orient="landscape"/>
          <w:pgMar w:top="1701" w:right="1417" w:bottom="1701" w:left="1417" w:header="708" w:footer="708" w:gutter="0"/>
          <w:cols w:space="708"/>
          <w:docGrid w:linePitch="360"/>
        </w:sectPr>
      </w:pPr>
    </w:p>
    <w:p w14:paraId="0301EE05" w14:textId="12CD13FF" w:rsidR="00185C55" w:rsidRPr="00185C55" w:rsidRDefault="00675B8D" w:rsidP="00185C55">
      <w:pPr>
        <w:pStyle w:val="Descripcin"/>
        <w:rPr>
          <w:b/>
          <w:bCs/>
          <w:i w:val="0"/>
          <w:iCs w:val="0"/>
          <w:color w:val="auto"/>
          <w:sz w:val="24"/>
          <w:szCs w:val="24"/>
          <w:lang w:val="en-GB"/>
        </w:rPr>
      </w:pPr>
      <w:r w:rsidRPr="00C95E29">
        <w:rPr>
          <w:b/>
          <w:bCs/>
          <w:i w:val="0"/>
          <w:iCs w:val="0"/>
          <w:sz w:val="24"/>
          <w:szCs w:val="24"/>
          <w:lang w:val="en-GB"/>
        </w:rPr>
        <w:lastRenderedPageBreak/>
        <w:t xml:space="preserve">Supplementary Note </w:t>
      </w:r>
      <w:r>
        <w:rPr>
          <w:b/>
          <w:bCs/>
          <w:i w:val="0"/>
          <w:iCs w:val="0"/>
          <w:color w:val="auto"/>
          <w:sz w:val="24"/>
          <w:szCs w:val="24"/>
          <w:lang w:val="en-GB"/>
        </w:rPr>
        <w:t>3</w:t>
      </w:r>
      <w:r w:rsidR="00185C55" w:rsidRPr="00185C55">
        <w:rPr>
          <w:b/>
          <w:bCs/>
          <w:i w:val="0"/>
          <w:iCs w:val="0"/>
          <w:color w:val="auto"/>
          <w:sz w:val="24"/>
          <w:szCs w:val="24"/>
          <w:lang w:val="en-GB"/>
        </w:rPr>
        <w:t>. Stochastic Multicriteria Acceptability Assessment (SMAA)</w:t>
      </w:r>
    </w:p>
    <w:p w14:paraId="203D7067" w14:textId="77777777" w:rsidR="00675B8D" w:rsidRDefault="00675B8D" w:rsidP="00675B8D">
      <w:pPr>
        <w:pStyle w:val="Descripcin"/>
        <w:keepNext/>
        <w:jc w:val="center"/>
        <w:rPr>
          <w:i w:val="0"/>
          <w:iCs w:val="0"/>
          <w:color w:val="auto"/>
          <w:sz w:val="20"/>
          <w:szCs w:val="20"/>
          <w:lang w:val="en-GB"/>
        </w:rPr>
      </w:pPr>
    </w:p>
    <w:p w14:paraId="274560D6" w14:textId="79791AE9" w:rsidR="00675B8D" w:rsidRPr="00510AF0" w:rsidRDefault="00675B8D" w:rsidP="00675B8D">
      <w:pPr>
        <w:pStyle w:val="Descripcin"/>
        <w:keepNext/>
        <w:jc w:val="center"/>
        <w:rPr>
          <w:b/>
          <w:bCs/>
          <w:lang w:val="en-GB"/>
        </w:rPr>
      </w:pPr>
      <w:r w:rsidRPr="00510AF0">
        <w:rPr>
          <w:b/>
          <w:bCs/>
          <w:i w:val="0"/>
          <w:iCs w:val="0"/>
          <w:color w:val="auto"/>
          <w:sz w:val="20"/>
          <w:szCs w:val="20"/>
          <w:lang w:val="en-GB"/>
        </w:rPr>
        <w:t>Table S</w:t>
      </w:r>
      <w:r w:rsidRPr="00510AF0">
        <w:rPr>
          <w:b/>
          <w:bCs/>
          <w:i w:val="0"/>
          <w:iCs w:val="0"/>
          <w:color w:val="auto"/>
          <w:sz w:val="20"/>
          <w:szCs w:val="20"/>
          <w:lang w:val="en-GB"/>
        </w:rPr>
        <w:fldChar w:fldCharType="begin"/>
      </w:r>
      <w:r w:rsidRPr="00510AF0">
        <w:rPr>
          <w:b/>
          <w:bCs/>
          <w:i w:val="0"/>
          <w:iCs w:val="0"/>
          <w:color w:val="auto"/>
          <w:sz w:val="20"/>
          <w:szCs w:val="20"/>
          <w:lang w:val="en-GB"/>
        </w:rPr>
        <w:instrText xml:space="preserve"> SEQ Table_S \* ARABIC </w:instrText>
      </w:r>
      <w:r w:rsidRPr="00510AF0">
        <w:rPr>
          <w:b/>
          <w:bCs/>
          <w:i w:val="0"/>
          <w:iCs w:val="0"/>
          <w:color w:val="auto"/>
          <w:sz w:val="20"/>
          <w:szCs w:val="20"/>
          <w:lang w:val="en-GB"/>
        </w:rPr>
        <w:fldChar w:fldCharType="separate"/>
      </w:r>
      <w:r w:rsidR="00C26182">
        <w:rPr>
          <w:b/>
          <w:bCs/>
          <w:i w:val="0"/>
          <w:iCs w:val="0"/>
          <w:noProof/>
          <w:color w:val="auto"/>
          <w:sz w:val="20"/>
          <w:szCs w:val="20"/>
          <w:lang w:val="en-GB"/>
        </w:rPr>
        <w:t>5</w:t>
      </w:r>
      <w:r w:rsidRPr="00510AF0">
        <w:rPr>
          <w:b/>
          <w:bCs/>
          <w:i w:val="0"/>
          <w:iCs w:val="0"/>
          <w:color w:val="auto"/>
          <w:sz w:val="20"/>
          <w:szCs w:val="20"/>
          <w:lang w:val="en-GB"/>
        </w:rPr>
        <w:fldChar w:fldCharType="end"/>
      </w:r>
      <w:r w:rsidRPr="00510AF0">
        <w:rPr>
          <w:b/>
          <w:bCs/>
          <w:i w:val="0"/>
          <w:iCs w:val="0"/>
          <w:color w:val="auto"/>
          <w:sz w:val="20"/>
          <w:szCs w:val="20"/>
          <w:lang w:val="en-GB"/>
        </w:rPr>
        <w:t>. The equations used to calculate the criteria for SDGs in the SMAA methods.</w:t>
      </w:r>
    </w:p>
    <w:tbl>
      <w:tblPr>
        <w:tblW w:w="5000" w:type="pct"/>
        <w:tblLook w:val="04A0" w:firstRow="1" w:lastRow="0" w:firstColumn="1" w:lastColumn="0" w:noHBand="0" w:noVBand="1"/>
      </w:tblPr>
      <w:tblGrid>
        <w:gridCol w:w="1603"/>
        <w:gridCol w:w="1401"/>
        <w:gridCol w:w="2166"/>
        <w:gridCol w:w="3334"/>
      </w:tblGrid>
      <w:tr w:rsidR="00185C55" w:rsidRPr="00F34D3E" w14:paraId="7FA4218C" w14:textId="77777777" w:rsidTr="001335E8">
        <w:trPr>
          <w:trHeight w:val="278"/>
        </w:trPr>
        <w:tc>
          <w:tcPr>
            <w:tcW w:w="942" w:type="pct"/>
            <w:tcBorders>
              <w:top w:val="nil"/>
              <w:left w:val="nil"/>
              <w:bottom w:val="single" w:sz="8" w:space="0" w:color="auto"/>
              <w:right w:val="single" w:sz="4" w:space="0" w:color="auto"/>
            </w:tcBorders>
            <w:noWrap/>
            <w:vAlign w:val="center"/>
            <w:hideMark/>
          </w:tcPr>
          <w:p w14:paraId="54ABE02D" w14:textId="77777777" w:rsidR="00185C55" w:rsidRPr="00F34D3E" w:rsidRDefault="00185C55" w:rsidP="00675B8D">
            <w:pPr>
              <w:spacing w:after="0" w:line="240" w:lineRule="auto"/>
              <w:jc w:val="center"/>
              <w:rPr>
                <w:rFonts w:asciiTheme="majorBidi" w:eastAsia="Times New Roman" w:hAnsiTheme="majorBidi" w:cstheme="majorBidi"/>
                <w:b/>
                <w:bCs/>
                <w:color w:val="000000"/>
                <w:kern w:val="0"/>
                <w:sz w:val="18"/>
                <w:szCs w:val="18"/>
                <w:lang w:val="en-US"/>
                <w14:ligatures w14:val="none"/>
              </w:rPr>
            </w:pPr>
            <w:r w:rsidRPr="00F34D3E">
              <w:rPr>
                <w:rFonts w:asciiTheme="majorBidi" w:eastAsia="Times New Roman" w:hAnsiTheme="majorBidi" w:cstheme="majorBidi"/>
                <w:b/>
                <w:bCs/>
                <w:color w:val="000000"/>
                <w:kern w:val="0"/>
                <w:sz w:val="18"/>
                <w:szCs w:val="18"/>
                <w:lang w:val="en-US"/>
                <w14:ligatures w14:val="none"/>
              </w:rPr>
              <w:t>SDG</w:t>
            </w:r>
            <w:r>
              <w:rPr>
                <w:rFonts w:asciiTheme="majorBidi" w:eastAsia="Times New Roman" w:hAnsiTheme="majorBidi" w:cstheme="majorBidi"/>
                <w:b/>
                <w:bCs/>
                <w:color w:val="000000"/>
                <w:kern w:val="0"/>
                <w:sz w:val="18"/>
                <w:szCs w:val="18"/>
                <w:lang w:val="en-US"/>
                <w14:ligatures w14:val="none"/>
              </w:rPr>
              <w:t xml:space="preserve"> Variable in WILIAM</w:t>
            </w:r>
          </w:p>
        </w:tc>
        <w:tc>
          <w:tcPr>
            <w:tcW w:w="824" w:type="pct"/>
            <w:tcBorders>
              <w:top w:val="nil"/>
              <w:left w:val="nil"/>
              <w:bottom w:val="single" w:sz="8" w:space="0" w:color="auto"/>
              <w:right w:val="single" w:sz="4" w:space="0" w:color="auto"/>
            </w:tcBorders>
            <w:noWrap/>
            <w:vAlign w:val="center"/>
            <w:hideMark/>
          </w:tcPr>
          <w:p w14:paraId="60C408D2" w14:textId="77777777" w:rsidR="00185C55" w:rsidRPr="00F34D3E" w:rsidRDefault="00185C55" w:rsidP="00675B8D">
            <w:pPr>
              <w:spacing w:after="0" w:line="240" w:lineRule="auto"/>
              <w:jc w:val="center"/>
              <w:rPr>
                <w:rFonts w:asciiTheme="majorBidi" w:eastAsia="Times New Roman" w:hAnsiTheme="majorBidi" w:cstheme="majorBidi"/>
                <w:b/>
                <w:bCs/>
                <w:color w:val="000000"/>
                <w:kern w:val="0"/>
                <w:sz w:val="18"/>
                <w:szCs w:val="18"/>
                <w:lang w:val="en-US"/>
                <w14:ligatures w14:val="none"/>
              </w:rPr>
            </w:pPr>
            <w:r w:rsidRPr="00F34D3E">
              <w:rPr>
                <w:rFonts w:asciiTheme="majorBidi" w:eastAsia="Times New Roman" w:hAnsiTheme="majorBidi" w:cstheme="majorBidi"/>
                <w:b/>
                <w:bCs/>
                <w:color w:val="000000"/>
                <w:kern w:val="0"/>
                <w:sz w:val="18"/>
                <w:szCs w:val="18"/>
                <w:lang w:val="en-US"/>
                <w14:ligatures w14:val="none"/>
              </w:rPr>
              <w:t>Indicator</w:t>
            </w:r>
          </w:p>
        </w:tc>
        <w:tc>
          <w:tcPr>
            <w:tcW w:w="1274" w:type="pct"/>
            <w:tcBorders>
              <w:top w:val="nil"/>
              <w:left w:val="nil"/>
              <w:bottom w:val="single" w:sz="8" w:space="0" w:color="auto"/>
              <w:right w:val="single" w:sz="4" w:space="0" w:color="auto"/>
            </w:tcBorders>
            <w:noWrap/>
            <w:vAlign w:val="center"/>
            <w:hideMark/>
          </w:tcPr>
          <w:p w14:paraId="5B933E66" w14:textId="77777777" w:rsidR="00185C55" w:rsidRPr="00F34D3E" w:rsidRDefault="00185C55" w:rsidP="00675B8D">
            <w:pPr>
              <w:spacing w:after="0" w:line="240" w:lineRule="auto"/>
              <w:jc w:val="center"/>
              <w:rPr>
                <w:rFonts w:asciiTheme="majorBidi" w:eastAsia="Times New Roman" w:hAnsiTheme="majorBidi" w:cstheme="majorBidi"/>
                <w:b/>
                <w:bCs/>
                <w:color w:val="000000"/>
                <w:kern w:val="0"/>
                <w:sz w:val="18"/>
                <w:szCs w:val="18"/>
                <w:lang w:val="en-US"/>
                <w14:ligatures w14:val="none"/>
              </w:rPr>
            </w:pPr>
            <w:r w:rsidRPr="00F34D3E">
              <w:rPr>
                <w:rFonts w:asciiTheme="majorBidi" w:eastAsia="Times New Roman" w:hAnsiTheme="majorBidi" w:cstheme="majorBidi"/>
                <w:b/>
                <w:bCs/>
                <w:color w:val="000000"/>
                <w:kern w:val="0"/>
                <w:sz w:val="18"/>
                <w:szCs w:val="18"/>
                <w:lang w:val="en-US"/>
                <w14:ligatures w14:val="none"/>
              </w:rPr>
              <w:t>Sub-criterion</w:t>
            </w:r>
          </w:p>
        </w:tc>
        <w:tc>
          <w:tcPr>
            <w:tcW w:w="1960" w:type="pct"/>
            <w:tcBorders>
              <w:top w:val="nil"/>
              <w:left w:val="nil"/>
              <w:bottom w:val="single" w:sz="8" w:space="0" w:color="auto"/>
              <w:right w:val="nil"/>
            </w:tcBorders>
            <w:noWrap/>
            <w:vAlign w:val="center"/>
            <w:hideMark/>
          </w:tcPr>
          <w:p w14:paraId="3ACDAE4A" w14:textId="77777777" w:rsidR="00185C55" w:rsidRPr="00F34D3E" w:rsidRDefault="00185C55" w:rsidP="00675B8D">
            <w:pPr>
              <w:spacing w:after="0" w:line="240" w:lineRule="auto"/>
              <w:jc w:val="center"/>
              <w:rPr>
                <w:rFonts w:asciiTheme="majorBidi" w:eastAsia="Times New Roman" w:hAnsiTheme="majorBidi" w:cstheme="majorBidi"/>
                <w:b/>
                <w:bCs/>
                <w:color w:val="000000"/>
                <w:kern w:val="0"/>
                <w:sz w:val="18"/>
                <w:szCs w:val="18"/>
                <w:lang w:val="en-US"/>
                <w14:ligatures w14:val="none"/>
              </w:rPr>
            </w:pPr>
            <w:r w:rsidRPr="00F34D3E">
              <w:rPr>
                <w:rFonts w:asciiTheme="majorBidi" w:eastAsia="Times New Roman" w:hAnsiTheme="majorBidi" w:cstheme="majorBidi"/>
                <w:b/>
                <w:bCs/>
                <w:color w:val="000000"/>
                <w:kern w:val="0"/>
                <w:sz w:val="18"/>
                <w:szCs w:val="18"/>
                <w:lang w:val="en-US"/>
                <w14:ligatures w14:val="none"/>
              </w:rPr>
              <w:t>Criterion</w:t>
            </w:r>
          </w:p>
        </w:tc>
      </w:tr>
      <w:tr w:rsidR="00185C55" w:rsidRPr="00F34D3E" w14:paraId="5F3DF1EE" w14:textId="77777777" w:rsidTr="001335E8">
        <w:trPr>
          <w:trHeight w:val="278"/>
        </w:trPr>
        <w:tc>
          <w:tcPr>
            <w:tcW w:w="942" w:type="pct"/>
            <w:tcBorders>
              <w:top w:val="nil"/>
              <w:left w:val="nil"/>
              <w:bottom w:val="single" w:sz="8" w:space="0" w:color="auto"/>
              <w:right w:val="single" w:sz="4" w:space="0" w:color="auto"/>
            </w:tcBorders>
            <w:noWrap/>
            <w:vAlign w:val="center"/>
            <w:hideMark/>
          </w:tcPr>
          <w:p w14:paraId="56A801CD"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1.A.2</m:t>
                    </m:r>
                  </m:sub>
                </m:sSub>
              </m:oMath>
            </m:oMathPara>
          </w:p>
        </w:tc>
        <w:tc>
          <w:tcPr>
            <w:tcW w:w="824" w:type="pct"/>
            <w:tcBorders>
              <w:top w:val="nil"/>
              <w:left w:val="nil"/>
              <w:bottom w:val="single" w:sz="8" w:space="0" w:color="auto"/>
              <w:right w:val="single" w:sz="4" w:space="0" w:color="auto"/>
            </w:tcBorders>
            <w:noWrap/>
            <w:vAlign w:val="center"/>
            <w:hideMark/>
          </w:tcPr>
          <w:p w14:paraId="0659FEC0"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4"/>
                        <w:szCs w:val="14"/>
                      </w:rPr>
                    </m:ctrlPr>
                  </m:sSubPr>
                  <m:e>
                    <m:r>
                      <w:rPr>
                        <w:rFonts w:ascii="Cambria Math" w:hAnsi="Cambria Math" w:cs="Times New Roman"/>
                        <w:sz w:val="14"/>
                        <w:szCs w:val="14"/>
                      </w:rPr>
                      <m:t>I</m:t>
                    </m:r>
                  </m:e>
                  <m:sub>
                    <m:r>
                      <w:rPr>
                        <w:rFonts w:ascii="Cambria Math" w:hAnsi="Cambria Math" w:cs="Times New Roman"/>
                        <w:sz w:val="14"/>
                        <w:szCs w:val="14"/>
                      </w:rPr>
                      <m:t>1.A.2</m:t>
                    </m:r>
                  </m:sub>
                </m:sSub>
                <m:r>
                  <w:rPr>
                    <w:rFonts w:ascii="Cambria Math" w:eastAsia="Times New Roman" w:hAnsi="Cambria Math" w:cstheme="majorBidi"/>
                    <w:color w:val="000000"/>
                    <w:kern w:val="0"/>
                    <w:sz w:val="16"/>
                    <w:szCs w:val="16"/>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1.A.2</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8" w:space="0" w:color="auto"/>
              <w:right w:val="single" w:sz="4" w:space="0" w:color="auto"/>
            </w:tcBorders>
            <w:noWrap/>
            <w:vAlign w:val="center"/>
            <w:hideMark/>
          </w:tcPr>
          <w:p w14:paraId="458EC718"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1.A.2</m:t>
                        </m:r>
                      </m:sub>
                    </m:sSub>
                  </m:e>
                  <m:sub>
                    <m:r>
                      <w:rPr>
                        <w:rFonts w:ascii="Cambria Math" w:hAnsi="Cambria Math" w:cs="Times New Roman"/>
                        <w:sz w:val="16"/>
                        <w:szCs w:val="16"/>
                      </w:rPr>
                      <m:t>s</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hAnsi="Cambria Math" w:cs="Times New Roman"/>
                                <w:sz w:val="16"/>
                                <w:szCs w:val="16"/>
                              </w:rPr>
                              <m:t>1.A.2</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hAnsi="Cambria Math" w:cs="Times New Roman"/>
                                    <w:sz w:val="16"/>
                                    <w:szCs w:val="16"/>
                                  </w:rPr>
                                  <m:t>1.A.2</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hAnsi="Cambria Math" w:cs="Times New Roman"/>
                                    <w:sz w:val="16"/>
                                    <w:szCs w:val="16"/>
                                  </w:rPr>
                                  <m:t>1.A.2</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hAnsi="Cambria Math" w:cs="Times New Roman"/>
                                    <w:sz w:val="16"/>
                                    <w:szCs w:val="16"/>
                                  </w:rPr>
                                  <m:t>1.A.2</m:t>
                                </m:r>
                              </m:sub>
                            </m:sSub>
                          </m:e>
                          <m:sub>
                            <m:r>
                              <w:rPr>
                                <w:rFonts w:ascii="Cambria Math" w:hAnsi="Cambria Math" w:cs="Times New Roman"/>
                                <w:sz w:val="16"/>
                                <w:szCs w:val="16"/>
                              </w:rPr>
                              <m:t>s</m:t>
                            </m:r>
                          </m:sub>
                        </m:sSub>
                      </m:e>
                    </m:func>
                  </m:den>
                </m:f>
              </m:oMath>
            </m:oMathPara>
          </w:p>
        </w:tc>
        <w:tc>
          <w:tcPr>
            <w:tcW w:w="1960" w:type="pct"/>
            <w:tcBorders>
              <w:top w:val="nil"/>
              <w:left w:val="nil"/>
              <w:bottom w:val="single" w:sz="8" w:space="0" w:color="auto"/>
              <w:right w:val="nil"/>
            </w:tcBorders>
            <w:noWrap/>
            <w:vAlign w:val="center"/>
            <w:hideMark/>
          </w:tcPr>
          <w:p w14:paraId="1178B82B"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C</m:t>
                    </m:r>
                  </m:e>
                  <m:sub>
                    <m:r>
                      <w:rPr>
                        <w:rFonts w:ascii="Cambria Math" w:eastAsia="Times New Roman" w:hAnsi="Cambria Math" w:cstheme="majorBidi"/>
                        <w:color w:val="000000"/>
                        <w:kern w:val="0"/>
                        <w:sz w:val="16"/>
                        <w:szCs w:val="16"/>
                        <w:lang w:val="en-US"/>
                        <w14:ligatures w14:val="none"/>
                      </w:rPr>
                      <m:t>1</m:t>
                    </m:r>
                  </m:sub>
                </m:sSub>
                <m:r>
                  <w:rPr>
                    <w:rFonts w:ascii="Cambria Math" w:eastAsia="Times New Roman" w:hAnsi="Cambria Math" w:cstheme="majorBidi"/>
                    <w:color w:val="000000"/>
                    <w:kern w:val="0"/>
                    <w:sz w:val="16"/>
                    <w:szCs w:val="16"/>
                    <w:lang w:val="en-US"/>
                    <w14:ligatures w14:val="none"/>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1.A.2</m:t>
                    </m:r>
                  </m:sub>
                </m:sSub>
              </m:oMath>
            </m:oMathPara>
          </w:p>
        </w:tc>
      </w:tr>
      <w:tr w:rsidR="00185C55" w:rsidRPr="00F34D3E" w14:paraId="4C16B03D" w14:textId="77777777" w:rsidTr="001335E8">
        <w:trPr>
          <w:trHeight w:val="270"/>
        </w:trPr>
        <w:tc>
          <w:tcPr>
            <w:tcW w:w="942" w:type="pct"/>
            <w:tcBorders>
              <w:top w:val="single" w:sz="8" w:space="0" w:color="auto"/>
              <w:left w:val="nil"/>
              <w:bottom w:val="nil"/>
              <w:right w:val="single" w:sz="4" w:space="0" w:color="auto"/>
            </w:tcBorders>
            <w:noWrap/>
            <w:vAlign w:val="center"/>
            <w:hideMark/>
          </w:tcPr>
          <w:p w14:paraId="66772D05"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2.4.1-1</m:t>
                    </m:r>
                  </m:sub>
                </m:sSub>
              </m:oMath>
            </m:oMathPara>
          </w:p>
        </w:tc>
        <w:tc>
          <w:tcPr>
            <w:tcW w:w="824" w:type="pct"/>
            <w:tcBorders>
              <w:top w:val="nil"/>
              <w:left w:val="nil"/>
              <w:bottom w:val="single" w:sz="4" w:space="0" w:color="auto"/>
              <w:right w:val="single" w:sz="4" w:space="0" w:color="auto"/>
            </w:tcBorders>
            <w:noWrap/>
            <w:vAlign w:val="center"/>
            <w:hideMark/>
          </w:tcPr>
          <w:p w14:paraId="050718CC"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2.4.1-1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2.4.1-1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7C4F06DF"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2.4.1-1</m:t>
                        </m:r>
                      </m:sub>
                    </m:sSub>
                  </m:e>
                  <m:sub>
                    <m:r>
                      <w:rPr>
                        <w:rFonts w:ascii="Cambria Math" w:hAnsi="Cambria Math" w:cs="Times New Roman"/>
                        <w:sz w:val="16"/>
                        <w:szCs w:val="16"/>
                      </w:rPr>
                      <m:t>s</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2.4.1-1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2.4.1-1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2.4.1-1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2.4.1-1</m:t>
                                </m:r>
                              </m:sub>
                            </m:sSub>
                          </m:e>
                          <m:sub>
                            <m:r>
                              <w:rPr>
                                <w:rFonts w:ascii="Cambria Math" w:hAnsi="Cambria Math" w:cs="Times New Roman"/>
                                <w:sz w:val="16"/>
                                <w:szCs w:val="16"/>
                              </w:rPr>
                              <m:t>s</m:t>
                            </m:r>
                          </m:sub>
                        </m:sSub>
                      </m:e>
                    </m:func>
                  </m:den>
                </m:f>
              </m:oMath>
            </m:oMathPara>
          </w:p>
        </w:tc>
        <w:tc>
          <w:tcPr>
            <w:tcW w:w="1960" w:type="pct"/>
            <w:vMerge w:val="restart"/>
            <w:tcBorders>
              <w:top w:val="nil"/>
              <w:left w:val="nil"/>
              <w:right w:val="nil"/>
            </w:tcBorders>
            <w:noWrap/>
            <w:vAlign w:val="center"/>
            <w:hideMark/>
          </w:tcPr>
          <w:p w14:paraId="7EC7A520"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C</m:t>
                    </m:r>
                  </m:e>
                  <m:sub>
                    <m:r>
                      <w:rPr>
                        <w:rFonts w:ascii="Cambria Math" w:eastAsia="Times New Roman" w:hAnsi="Cambria Math" w:cstheme="majorBidi"/>
                        <w:color w:val="000000"/>
                        <w:kern w:val="0"/>
                        <w:sz w:val="16"/>
                        <w:szCs w:val="16"/>
                        <w:lang w:val="en-US"/>
                        <w14:ligatures w14:val="none"/>
                      </w:rPr>
                      <m:t>2</m:t>
                    </m:r>
                  </m:sub>
                </m:sSub>
                <m:r>
                  <w:rPr>
                    <w:rFonts w:ascii="Cambria Math" w:eastAsia="Times New Roman" w:hAnsi="Cambria Math" w:cstheme="majorBidi"/>
                    <w:color w:val="000000"/>
                    <w:kern w:val="0"/>
                    <w:sz w:val="16"/>
                    <w:szCs w:val="16"/>
                    <w:lang w:val="en-US"/>
                    <w14:ligatures w14:val="none"/>
                  </w:rPr>
                  <m:t>=</m:t>
                </m:r>
                <m:sSub>
                  <m:sSubPr>
                    <m:ctrlPr>
                      <w:rPr>
                        <w:rFonts w:ascii="Cambria Math" w:hAnsi="Cambria Math" w:cs="Times New Roman"/>
                        <w:i/>
                        <w:sz w:val="16"/>
                        <w:szCs w:val="16"/>
                      </w:rPr>
                    </m:ctrlPr>
                  </m:sSubPr>
                  <m:e>
                    <m:r>
                      <w:rPr>
                        <w:rFonts w:ascii="Cambria Math" w:hAnsi="Cambria Math" w:cs="Times New Roman"/>
                        <w:sz w:val="16"/>
                        <w:szCs w:val="16"/>
                      </w:rPr>
                      <m:t>Average(SC</m:t>
                    </m:r>
                  </m:e>
                  <m:sub>
                    <m:r>
                      <w:rPr>
                        <w:rFonts w:ascii="Cambria Math" w:hAnsi="Cambria Math" w:cs="Times New Roman"/>
                        <w:sz w:val="16"/>
                        <w:szCs w:val="16"/>
                      </w:rPr>
                      <m:t>2.4.1-1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2.4.1-2</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2.c.1-1</m:t>
                    </m:r>
                  </m:sub>
                </m:sSub>
                <m:r>
                  <w:rPr>
                    <w:rFonts w:ascii="Cambria Math" w:hAnsi="Cambria Math" w:cs="Times New Roman"/>
                    <w:sz w:val="16"/>
                    <w:szCs w:val="16"/>
                  </w:rPr>
                  <m:t xml:space="preserve">, </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2.c.1-2</m:t>
                    </m:r>
                  </m:sub>
                </m:sSub>
                <m:r>
                  <w:rPr>
                    <w:rFonts w:ascii="Cambria Math" w:hAnsi="Cambria Math" w:cs="Times New Roman"/>
                    <w:sz w:val="16"/>
                    <w:szCs w:val="16"/>
                  </w:rPr>
                  <m:t>)</m:t>
                </m:r>
              </m:oMath>
            </m:oMathPara>
          </w:p>
        </w:tc>
      </w:tr>
      <w:tr w:rsidR="00185C55" w:rsidRPr="00F34D3E" w14:paraId="30B1645C" w14:textId="77777777" w:rsidTr="001335E8">
        <w:trPr>
          <w:trHeight w:val="270"/>
        </w:trPr>
        <w:tc>
          <w:tcPr>
            <w:tcW w:w="942" w:type="pct"/>
            <w:tcBorders>
              <w:top w:val="nil"/>
              <w:left w:val="nil"/>
              <w:bottom w:val="nil"/>
              <w:right w:val="single" w:sz="4" w:space="0" w:color="auto"/>
            </w:tcBorders>
            <w:noWrap/>
            <w:vAlign w:val="center"/>
            <w:hideMark/>
          </w:tcPr>
          <w:p w14:paraId="1D73F87E"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2.4.1-2</m:t>
                    </m:r>
                  </m:sub>
                </m:sSub>
              </m:oMath>
            </m:oMathPara>
          </w:p>
        </w:tc>
        <w:tc>
          <w:tcPr>
            <w:tcW w:w="824" w:type="pct"/>
            <w:tcBorders>
              <w:top w:val="nil"/>
              <w:left w:val="nil"/>
              <w:bottom w:val="single" w:sz="4" w:space="0" w:color="auto"/>
              <w:right w:val="single" w:sz="4" w:space="0" w:color="auto"/>
            </w:tcBorders>
            <w:noWrap/>
            <w:vAlign w:val="center"/>
            <w:hideMark/>
          </w:tcPr>
          <w:p w14:paraId="0510B592"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2.4.1-2</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2.4.1-2</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6D125390"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2.4.1-2</m:t>
                        </m:r>
                      </m:sub>
                    </m:sSub>
                  </m:e>
                  <m:sub>
                    <m:r>
                      <w:rPr>
                        <w:rFonts w:ascii="Cambria Math" w:hAnsi="Cambria Math" w:cs="Times New Roman"/>
                        <w:sz w:val="16"/>
                        <w:szCs w:val="16"/>
                      </w:rPr>
                      <m:t>s</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2.4.1-2</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2.4.1-2</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2.4.1-2</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2.4.1-2</m:t>
                                </m:r>
                              </m:sub>
                            </m:sSub>
                          </m:e>
                          <m:sub>
                            <m:r>
                              <w:rPr>
                                <w:rFonts w:ascii="Cambria Math" w:hAnsi="Cambria Math" w:cs="Times New Roman"/>
                                <w:sz w:val="16"/>
                                <w:szCs w:val="16"/>
                              </w:rPr>
                              <m:t>s</m:t>
                            </m:r>
                          </m:sub>
                        </m:sSub>
                      </m:e>
                    </m:func>
                  </m:den>
                </m:f>
              </m:oMath>
            </m:oMathPara>
          </w:p>
        </w:tc>
        <w:tc>
          <w:tcPr>
            <w:tcW w:w="1960" w:type="pct"/>
            <w:vMerge/>
            <w:tcBorders>
              <w:left w:val="nil"/>
              <w:right w:val="nil"/>
            </w:tcBorders>
            <w:noWrap/>
            <w:vAlign w:val="center"/>
            <w:hideMark/>
          </w:tcPr>
          <w:p w14:paraId="731CBDFC"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41DE349A" w14:textId="77777777" w:rsidTr="001335E8">
        <w:trPr>
          <w:trHeight w:val="270"/>
        </w:trPr>
        <w:tc>
          <w:tcPr>
            <w:tcW w:w="942" w:type="pct"/>
            <w:tcBorders>
              <w:top w:val="nil"/>
              <w:left w:val="nil"/>
              <w:bottom w:val="nil"/>
              <w:right w:val="single" w:sz="4" w:space="0" w:color="auto"/>
            </w:tcBorders>
            <w:noWrap/>
            <w:vAlign w:val="center"/>
            <w:hideMark/>
          </w:tcPr>
          <w:p w14:paraId="2063E1FC"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2.c.1-1</m:t>
                    </m:r>
                  </m:sub>
                </m:sSub>
              </m:oMath>
            </m:oMathPara>
          </w:p>
        </w:tc>
        <w:tc>
          <w:tcPr>
            <w:tcW w:w="824" w:type="pct"/>
            <w:tcBorders>
              <w:top w:val="nil"/>
              <w:left w:val="nil"/>
              <w:bottom w:val="single" w:sz="4" w:space="0" w:color="auto"/>
              <w:right w:val="single" w:sz="4" w:space="0" w:color="auto"/>
            </w:tcBorders>
            <w:noWrap/>
            <w:vAlign w:val="center"/>
            <w:hideMark/>
          </w:tcPr>
          <w:p w14:paraId="32E13BBE"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2.c.1-1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2.c.1-1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05BDAE89"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2.c.1-1</m:t>
                        </m:r>
                      </m:sub>
                    </m:sSub>
                  </m:e>
                  <m:sub>
                    <m:r>
                      <w:rPr>
                        <w:rFonts w:ascii="Cambria Math" w:hAnsi="Cambria Math" w:cs="Times New Roman"/>
                        <w:sz w:val="16"/>
                        <w:szCs w:val="16"/>
                      </w:rPr>
                      <m:t>s</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2.c.1-1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2.c.1-1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2.c.1-1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2.c.1-1</m:t>
                                </m:r>
                              </m:sub>
                            </m:sSub>
                          </m:e>
                          <m:sub>
                            <m:r>
                              <w:rPr>
                                <w:rFonts w:ascii="Cambria Math" w:hAnsi="Cambria Math" w:cs="Times New Roman"/>
                                <w:sz w:val="16"/>
                                <w:szCs w:val="16"/>
                              </w:rPr>
                              <m:t>s</m:t>
                            </m:r>
                          </m:sub>
                        </m:sSub>
                      </m:e>
                    </m:func>
                  </m:den>
                </m:f>
              </m:oMath>
            </m:oMathPara>
          </w:p>
        </w:tc>
        <w:tc>
          <w:tcPr>
            <w:tcW w:w="1960" w:type="pct"/>
            <w:vMerge/>
            <w:tcBorders>
              <w:left w:val="nil"/>
              <w:right w:val="nil"/>
            </w:tcBorders>
            <w:noWrap/>
            <w:vAlign w:val="center"/>
            <w:hideMark/>
          </w:tcPr>
          <w:p w14:paraId="58DD6E52"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0F080174" w14:textId="77777777" w:rsidTr="001335E8">
        <w:trPr>
          <w:trHeight w:val="278"/>
        </w:trPr>
        <w:tc>
          <w:tcPr>
            <w:tcW w:w="942" w:type="pct"/>
            <w:tcBorders>
              <w:top w:val="nil"/>
              <w:left w:val="nil"/>
              <w:bottom w:val="single" w:sz="8" w:space="0" w:color="auto"/>
              <w:right w:val="single" w:sz="4" w:space="0" w:color="auto"/>
            </w:tcBorders>
            <w:noWrap/>
            <w:vAlign w:val="center"/>
            <w:hideMark/>
          </w:tcPr>
          <w:p w14:paraId="0494D89B"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2.c.1-2</m:t>
                    </m:r>
                  </m:sub>
                </m:sSub>
              </m:oMath>
            </m:oMathPara>
          </w:p>
        </w:tc>
        <w:tc>
          <w:tcPr>
            <w:tcW w:w="824" w:type="pct"/>
            <w:tcBorders>
              <w:top w:val="nil"/>
              <w:left w:val="nil"/>
              <w:bottom w:val="single" w:sz="8" w:space="0" w:color="auto"/>
              <w:right w:val="single" w:sz="4" w:space="0" w:color="auto"/>
            </w:tcBorders>
            <w:noWrap/>
            <w:vAlign w:val="center"/>
            <w:hideMark/>
          </w:tcPr>
          <w:p w14:paraId="5D4671EC"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2.c.1-2</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2.c.1-2</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8" w:space="0" w:color="auto"/>
              <w:right w:val="single" w:sz="4" w:space="0" w:color="auto"/>
            </w:tcBorders>
            <w:noWrap/>
            <w:vAlign w:val="center"/>
            <w:hideMark/>
          </w:tcPr>
          <w:p w14:paraId="728D4CBD"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2.c.1-2</m:t>
                        </m:r>
                      </m:sub>
                    </m:sSub>
                  </m:e>
                  <m:sub>
                    <m:r>
                      <w:rPr>
                        <w:rFonts w:ascii="Cambria Math" w:hAnsi="Cambria Math" w:cs="Times New Roman"/>
                        <w:sz w:val="16"/>
                        <w:szCs w:val="16"/>
                      </w:rPr>
                      <m:t>s</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2.c.1-2</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2.c.1-2</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2.c.1-2</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2.c.1-2</m:t>
                                </m:r>
                              </m:sub>
                            </m:sSub>
                          </m:e>
                          <m:sub>
                            <m:r>
                              <w:rPr>
                                <w:rFonts w:ascii="Cambria Math" w:hAnsi="Cambria Math" w:cs="Times New Roman"/>
                                <w:sz w:val="16"/>
                                <w:szCs w:val="16"/>
                              </w:rPr>
                              <m:t>s</m:t>
                            </m:r>
                          </m:sub>
                        </m:sSub>
                      </m:e>
                    </m:func>
                  </m:den>
                </m:f>
              </m:oMath>
            </m:oMathPara>
          </w:p>
        </w:tc>
        <w:tc>
          <w:tcPr>
            <w:tcW w:w="1960" w:type="pct"/>
            <w:vMerge/>
            <w:tcBorders>
              <w:left w:val="nil"/>
              <w:bottom w:val="single" w:sz="8" w:space="0" w:color="auto"/>
              <w:right w:val="nil"/>
            </w:tcBorders>
            <w:noWrap/>
            <w:vAlign w:val="center"/>
            <w:hideMark/>
          </w:tcPr>
          <w:p w14:paraId="31C5DEFB"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6A430E10" w14:textId="77777777" w:rsidTr="001335E8">
        <w:trPr>
          <w:trHeight w:val="278"/>
        </w:trPr>
        <w:tc>
          <w:tcPr>
            <w:tcW w:w="942" w:type="pct"/>
            <w:tcBorders>
              <w:top w:val="nil"/>
              <w:left w:val="nil"/>
              <w:bottom w:val="single" w:sz="8" w:space="0" w:color="auto"/>
              <w:right w:val="single" w:sz="4" w:space="0" w:color="auto"/>
            </w:tcBorders>
            <w:noWrap/>
            <w:vAlign w:val="center"/>
            <w:hideMark/>
          </w:tcPr>
          <w:p w14:paraId="412C7072"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3.2.1</m:t>
                    </m:r>
                  </m:sub>
                </m:sSub>
              </m:oMath>
            </m:oMathPara>
          </w:p>
        </w:tc>
        <w:tc>
          <w:tcPr>
            <w:tcW w:w="824" w:type="pct"/>
            <w:tcBorders>
              <w:top w:val="nil"/>
              <w:left w:val="nil"/>
              <w:bottom w:val="single" w:sz="8" w:space="0" w:color="auto"/>
              <w:right w:val="single" w:sz="4" w:space="0" w:color="auto"/>
            </w:tcBorders>
            <w:noWrap/>
            <w:vAlign w:val="center"/>
            <w:hideMark/>
          </w:tcPr>
          <w:p w14:paraId="60E28CD2"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3.2.1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3.2.1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8" w:space="0" w:color="auto"/>
              <w:right w:val="single" w:sz="4" w:space="0" w:color="auto"/>
            </w:tcBorders>
            <w:noWrap/>
            <w:vAlign w:val="center"/>
            <w:hideMark/>
          </w:tcPr>
          <w:p w14:paraId="6E413219"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3.2.1</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3.2.1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3.2.1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3.2.1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3.2.1</m:t>
                                </m:r>
                              </m:sub>
                            </m:sSub>
                          </m:e>
                          <m:sub>
                            <m:r>
                              <w:rPr>
                                <w:rFonts w:ascii="Cambria Math" w:hAnsi="Cambria Math" w:cs="Times New Roman"/>
                                <w:sz w:val="16"/>
                                <w:szCs w:val="16"/>
                              </w:rPr>
                              <m:t>s</m:t>
                            </m:r>
                          </m:sub>
                        </m:sSub>
                      </m:e>
                    </m:func>
                  </m:den>
                </m:f>
              </m:oMath>
            </m:oMathPara>
          </w:p>
        </w:tc>
        <w:tc>
          <w:tcPr>
            <w:tcW w:w="1960" w:type="pct"/>
            <w:tcBorders>
              <w:top w:val="nil"/>
              <w:left w:val="nil"/>
              <w:bottom w:val="single" w:sz="8" w:space="0" w:color="auto"/>
              <w:right w:val="nil"/>
            </w:tcBorders>
            <w:noWrap/>
            <w:vAlign w:val="center"/>
            <w:hideMark/>
          </w:tcPr>
          <w:p w14:paraId="562BD2CE"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C</m:t>
                    </m:r>
                  </m:e>
                  <m:sub>
                    <m:r>
                      <w:rPr>
                        <w:rFonts w:ascii="Cambria Math" w:eastAsia="Times New Roman" w:hAnsi="Cambria Math" w:cstheme="majorBidi"/>
                        <w:color w:val="000000"/>
                        <w:kern w:val="0"/>
                        <w:sz w:val="16"/>
                        <w:szCs w:val="16"/>
                        <w:lang w:val="en-US"/>
                        <w14:ligatures w14:val="none"/>
                      </w:rPr>
                      <m:t>3</m:t>
                    </m:r>
                  </m:sub>
                </m:sSub>
                <m:r>
                  <w:rPr>
                    <w:rFonts w:ascii="Cambria Math" w:eastAsia="Times New Roman" w:hAnsi="Cambria Math" w:cstheme="majorBidi"/>
                    <w:color w:val="000000"/>
                    <w:kern w:val="0"/>
                    <w:sz w:val="16"/>
                    <w:szCs w:val="16"/>
                    <w:lang w:val="en-US"/>
                    <w14:ligatures w14:val="none"/>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3.2.1</m:t>
                    </m:r>
                  </m:sub>
                </m:sSub>
              </m:oMath>
            </m:oMathPara>
          </w:p>
        </w:tc>
      </w:tr>
      <w:tr w:rsidR="00185C55" w:rsidRPr="00F34D3E" w14:paraId="52BDF29E" w14:textId="77777777" w:rsidTr="001335E8">
        <w:trPr>
          <w:trHeight w:val="270"/>
        </w:trPr>
        <w:tc>
          <w:tcPr>
            <w:tcW w:w="942" w:type="pct"/>
            <w:tcBorders>
              <w:top w:val="nil"/>
              <w:left w:val="nil"/>
              <w:bottom w:val="nil"/>
              <w:right w:val="single" w:sz="4" w:space="0" w:color="auto"/>
            </w:tcBorders>
            <w:noWrap/>
            <w:vAlign w:val="center"/>
            <w:hideMark/>
          </w:tcPr>
          <w:p w14:paraId="297F64DD"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6-1</m:t>
                    </m:r>
                  </m:sub>
                </m:sSub>
              </m:oMath>
            </m:oMathPara>
          </w:p>
        </w:tc>
        <w:tc>
          <w:tcPr>
            <w:tcW w:w="824" w:type="pct"/>
            <w:tcBorders>
              <w:top w:val="nil"/>
              <w:left w:val="nil"/>
              <w:bottom w:val="single" w:sz="4" w:space="0" w:color="auto"/>
              <w:right w:val="single" w:sz="4" w:space="0" w:color="auto"/>
            </w:tcBorders>
            <w:noWrap/>
            <w:vAlign w:val="center"/>
            <w:hideMark/>
          </w:tcPr>
          <w:p w14:paraId="174D3F17"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6-1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6-1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097A0FCE"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6-1</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6-1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6-1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6-1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6-1</m:t>
                                </m:r>
                              </m:sub>
                            </m:sSub>
                          </m:e>
                          <m:sub>
                            <m:r>
                              <w:rPr>
                                <w:rFonts w:ascii="Cambria Math" w:hAnsi="Cambria Math" w:cs="Times New Roman"/>
                                <w:sz w:val="16"/>
                                <w:szCs w:val="16"/>
                              </w:rPr>
                              <m:t>s</m:t>
                            </m:r>
                          </m:sub>
                        </m:sSub>
                      </m:e>
                    </m:func>
                  </m:den>
                </m:f>
              </m:oMath>
            </m:oMathPara>
          </w:p>
        </w:tc>
        <w:tc>
          <w:tcPr>
            <w:tcW w:w="1960" w:type="pct"/>
            <w:vMerge w:val="restart"/>
            <w:tcBorders>
              <w:top w:val="nil"/>
              <w:left w:val="nil"/>
              <w:right w:val="nil"/>
            </w:tcBorders>
            <w:noWrap/>
            <w:vAlign w:val="center"/>
            <w:hideMark/>
          </w:tcPr>
          <w:p w14:paraId="2ABCF906"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C</m:t>
                    </m:r>
                  </m:e>
                  <m:sub>
                    <m:r>
                      <w:rPr>
                        <w:rFonts w:ascii="Cambria Math" w:eastAsia="Times New Roman" w:hAnsi="Cambria Math" w:cstheme="majorBidi"/>
                        <w:color w:val="000000"/>
                        <w:kern w:val="0"/>
                        <w:sz w:val="16"/>
                        <w:szCs w:val="16"/>
                        <w:lang w:val="en-US"/>
                        <w14:ligatures w14:val="none"/>
                      </w:rPr>
                      <m:t>6</m:t>
                    </m:r>
                  </m:sub>
                </m:sSub>
                <m:r>
                  <w:rPr>
                    <w:rFonts w:ascii="Cambria Math" w:eastAsia="Times New Roman" w:hAnsi="Cambria Math" w:cstheme="majorBidi"/>
                    <w:color w:val="000000"/>
                    <w:kern w:val="0"/>
                    <w:sz w:val="16"/>
                    <w:szCs w:val="16"/>
                    <w:lang w:val="en-US"/>
                    <w14:ligatures w14:val="none"/>
                  </w:rPr>
                  <m:t>=</m:t>
                </m:r>
                <m:sSub>
                  <m:sSubPr>
                    <m:ctrlPr>
                      <w:rPr>
                        <w:rFonts w:ascii="Cambria Math" w:hAnsi="Cambria Math" w:cs="Times New Roman"/>
                        <w:i/>
                        <w:sz w:val="16"/>
                        <w:szCs w:val="16"/>
                      </w:rPr>
                    </m:ctrlPr>
                  </m:sSubPr>
                  <m:e>
                    <m:r>
                      <w:rPr>
                        <w:rFonts w:ascii="Cambria Math" w:hAnsi="Cambria Math" w:cs="Times New Roman"/>
                        <w:sz w:val="16"/>
                        <w:szCs w:val="16"/>
                      </w:rPr>
                      <m:t>Average(SC</m:t>
                    </m:r>
                  </m:e>
                  <m:sub>
                    <m:r>
                      <w:rPr>
                        <w:rFonts w:ascii="Cambria Math" w:hAnsi="Cambria Math" w:cs="Times New Roman"/>
                        <w:sz w:val="16"/>
                        <w:szCs w:val="16"/>
                      </w:rPr>
                      <m:t>6-1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6-2</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6-3</m:t>
                    </m:r>
                  </m:sub>
                </m:sSub>
                <m:r>
                  <w:rPr>
                    <w:rFonts w:ascii="Cambria Math" w:hAnsi="Cambria Math" w:cs="Times New Roman"/>
                    <w:sz w:val="16"/>
                    <w:szCs w:val="16"/>
                  </w:rPr>
                  <m:t>)</m:t>
                </m:r>
              </m:oMath>
            </m:oMathPara>
          </w:p>
          <w:p w14:paraId="2EAA34F2"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r w:rsidRPr="00F34D3E">
              <w:rPr>
                <w:rFonts w:asciiTheme="majorBidi" w:eastAsia="Times New Roman" w:hAnsiTheme="majorBidi" w:cstheme="majorBidi"/>
                <w:color w:val="000000"/>
                <w:kern w:val="0"/>
                <w:sz w:val="16"/>
                <w:szCs w:val="16"/>
                <w:lang w:val="en-US"/>
                <w14:ligatures w14:val="none"/>
              </w:rPr>
              <w:t> </w:t>
            </w:r>
          </w:p>
        </w:tc>
      </w:tr>
      <w:tr w:rsidR="00185C55" w:rsidRPr="00F34D3E" w14:paraId="120A8595" w14:textId="77777777" w:rsidTr="001335E8">
        <w:trPr>
          <w:trHeight w:val="270"/>
        </w:trPr>
        <w:tc>
          <w:tcPr>
            <w:tcW w:w="942" w:type="pct"/>
            <w:tcBorders>
              <w:top w:val="nil"/>
              <w:left w:val="nil"/>
              <w:bottom w:val="nil"/>
              <w:right w:val="single" w:sz="4" w:space="0" w:color="auto"/>
            </w:tcBorders>
            <w:noWrap/>
            <w:vAlign w:val="center"/>
            <w:hideMark/>
          </w:tcPr>
          <w:p w14:paraId="5C1174E8"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6-2</m:t>
                    </m:r>
                  </m:sub>
                </m:sSub>
              </m:oMath>
            </m:oMathPara>
          </w:p>
        </w:tc>
        <w:tc>
          <w:tcPr>
            <w:tcW w:w="824" w:type="pct"/>
            <w:tcBorders>
              <w:top w:val="nil"/>
              <w:left w:val="nil"/>
              <w:bottom w:val="single" w:sz="4" w:space="0" w:color="auto"/>
              <w:right w:val="single" w:sz="4" w:space="0" w:color="auto"/>
            </w:tcBorders>
            <w:noWrap/>
            <w:vAlign w:val="center"/>
            <w:hideMark/>
          </w:tcPr>
          <w:p w14:paraId="24BEDC7F"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6-2</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6-2</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491DC369"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6-2</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6-2</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6-2</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6-2</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6-2</m:t>
                                </m:r>
                              </m:sub>
                            </m:sSub>
                          </m:e>
                          <m:sub>
                            <m:r>
                              <w:rPr>
                                <w:rFonts w:ascii="Cambria Math" w:hAnsi="Cambria Math" w:cs="Times New Roman"/>
                                <w:sz w:val="16"/>
                                <w:szCs w:val="16"/>
                              </w:rPr>
                              <m:t>s</m:t>
                            </m:r>
                          </m:sub>
                        </m:sSub>
                      </m:e>
                    </m:func>
                  </m:den>
                </m:f>
              </m:oMath>
            </m:oMathPara>
          </w:p>
        </w:tc>
        <w:tc>
          <w:tcPr>
            <w:tcW w:w="1960" w:type="pct"/>
            <w:vMerge/>
            <w:tcBorders>
              <w:left w:val="nil"/>
              <w:right w:val="nil"/>
            </w:tcBorders>
            <w:noWrap/>
            <w:vAlign w:val="center"/>
            <w:hideMark/>
          </w:tcPr>
          <w:p w14:paraId="15DE73BB"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3B4FFAC2" w14:textId="77777777" w:rsidTr="001335E8">
        <w:trPr>
          <w:trHeight w:val="278"/>
        </w:trPr>
        <w:tc>
          <w:tcPr>
            <w:tcW w:w="942" w:type="pct"/>
            <w:tcBorders>
              <w:top w:val="nil"/>
              <w:left w:val="nil"/>
              <w:bottom w:val="single" w:sz="8" w:space="0" w:color="auto"/>
              <w:right w:val="single" w:sz="4" w:space="0" w:color="auto"/>
            </w:tcBorders>
            <w:noWrap/>
            <w:vAlign w:val="center"/>
            <w:hideMark/>
          </w:tcPr>
          <w:p w14:paraId="38B364E5"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6-3</m:t>
                    </m:r>
                  </m:sub>
                </m:sSub>
              </m:oMath>
            </m:oMathPara>
          </w:p>
        </w:tc>
        <w:tc>
          <w:tcPr>
            <w:tcW w:w="824" w:type="pct"/>
            <w:tcBorders>
              <w:top w:val="nil"/>
              <w:left w:val="nil"/>
              <w:bottom w:val="single" w:sz="8" w:space="0" w:color="auto"/>
              <w:right w:val="single" w:sz="4" w:space="0" w:color="auto"/>
            </w:tcBorders>
            <w:noWrap/>
            <w:vAlign w:val="center"/>
            <w:hideMark/>
          </w:tcPr>
          <w:p w14:paraId="55326EC5"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6-3</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6-3</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8" w:space="0" w:color="auto"/>
              <w:right w:val="single" w:sz="4" w:space="0" w:color="auto"/>
            </w:tcBorders>
            <w:noWrap/>
            <w:vAlign w:val="center"/>
            <w:hideMark/>
          </w:tcPr>
          <w:p w14:paraId="0AD063A5"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6-3</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6-3</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6-3</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6-3</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6-3</m:t>
                                </m:r>
                              </m:sub>
                            </m:sSub>
                          </m:e>
                          <m:sub>
                            <m:r>
                              <w:rPr>
                                <w:rFonts w:ascii="Cambria Math" w:hAnsi="Cambria Math" w:cs="Times New Roman"/>
                                <w:sz w:val="16"/>
                                <w:szCs w:val="16"/>
                              </w:rPr>
                              <m:t>s</m:t>
                            </m:r>
                          </m:sub>
                        </m:sSub>
                      </m:e>
                    </m:func>
                  </m:den>
                </m:f>
              </m:oMath>
            </m:oMathPara>
          </w:p>
        </w:tc>
        <w:tc>
          <w:tcPr>
            <w:tcW w:w="1960" w:type="pct"/>
            <w:vMerge/>
            <w:tcBorders>
              <w:left w:val="nil"/>
              <w:bottom w:val="single" w:sz="8" w:space="0" w:color="auto"/>
              <w:right w:val="nil"/>
            </w:tcBorders>
            <w:noWrap/>
            <w:vAlign w:val="center"/>
            <w:hideMark/>
          </w:tcPr>
          <w:p w14:paraId="778B6FE1"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29A10B53" w14:textId="77777777" w:rsidTr="001335E8">
        <w:trPr>
          <w:trHeight w:val="270"/>
        </w:trPr>
        <w:tc>
          <w:tcPr>
            <w:tcW w:w="942" w:type="pct"/>
            <w:tcBorders>
              <w:top w:val="nil"/>
              <w:left w:val="nil"/>
              <w:bottom w:val="nil"/>
              <w:right w:val="single" w:sz="4" w:space="0" w:color="auto"/>
            </w:tcBorders>
            <w:noWrap/>
            <w:vAlign w:val="center"/>
            <w:hideMark/>
          </w:tcPr>
          <w:p w14:paraId="0653AD3C"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7.2.1</m:t>
                    </m:r>
                  </m:sub>
                </m:sSub>
              </m:oMath>
            </m:oMathPara>
          </w:p>
        </w:tc>
        <w:tc>
          <w:tcPr>
            <w:tcW w:w="824" w:type="pct"/>
            <w:tcBorders>
              <w:top w:val="nil"/>
              <w:left w:val="nil"/>
              <w:bottom w:val="single" w:sz="4" w:space="0" w:color="auto"/>
              <w:right w:val="single" w:sz="4" w:space="0" w:color="auto"/>
            </w:tcBorders>
            <w:noWrap/>
            <w:vAlign w:val="center"/>
            <w:hideMark/>
          </w:tcPr>
          <w:p w14:paraId="53299895"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7.2.1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7.2.1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7DCF7866"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7.2.1</m:t>
                        </m:r>
                      </m:sub>
                    </m:sSub>
                  </m:e>
                  <m:sub>
                    <m:r>
                      <w:rPr>
                        <w:rFonts w:ascii="Cambria Math" w:hAnsi="Cambria Math" w:cs="Times New Roman"/>
                        <w:sz w:val="16"/>
                        <w:szCs w:val="16"/>
                      </w:rPr>
                      <m:t>s</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7.2.1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7.2.1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7.2.1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7.2.1</m:t>
                                </m:r>
                              </m:sub>
                            </m:sSub>
                          </m:e>
                          <m:sub>
                            <m:r>
                              <w:rPr>
                                <w:rFonts w:ascii="Cambria Math" w:hAnsi="Cambria Math" w:cs="Times New Roman"/>
                                <w:sz w:val="16"/>
                                <w:szCs w:val="16"/>
                              </w:rPr>
                              <m:t>s</m:t>
                            </m:r>
                          </m:sub>
                        </m:sSub>
                      </m:e>
                    </m:func>
                  </m:den>
                </m:f>
              </m:oMath>
            </m:oMathPara>
          </w:p>
        </w:tc>
        <w:tc>
          <w:tcPr>
            <w:tcW w:w="1960" w:type="pct"/>
            <w:vMerge w:val="restart"/>
            <w:tcBorders>
              <w:top w:val="nil"/>
              <w:left w:val="nil"/>
              <w:right w:val="nil"/>
            </w:tcBorders>
            <w:noWrap/>
            <w:vAlign w:val="center"/>
            <w:hideMark/>
          </w:tcPr>
          <w:p w14:paraId="1B4ACCF4"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C</m:t>
                    </m:r>
                  </m:e>
                  <m:sub>
                    <m:r>
                      <w:rPr>
                        <w:rFonts w:ascii="Cambria Math" w:eastAsia="Times New Roman" w:hAnsi="Cambria Math" w:cstheme="majorBidi"/>
                        <w:color w:val="000000"/>
                        <w:kern w:val="0"/>
                        <w:sz w:val="16"/>
                        <w:szCs w:val="16"/>
                        <w:lang w:val="en-US"/>
                        <w14:ligatures w14:val="none"/>
                      </w:rPr>
                      <m:t>7</m:t>
                    </m:r>
                  </m:sub>
                </m:sSub>
                <m:r>
                  <w:rPr>
                    <w:rFonts w:ascii="Cambria Math" w:eastAsia="Times New Roman" w:hAnsi="Cambria Math" w:cstheme="majorBidi"/>
                    <w:color w:val="000000"/>
                    <w:kern w:val="0"/>
                    <w:sz w:val="16"/>
                    <w:szCs w:val="16"/>
                    <w:lang w:val="en-US"/>
                    <w14:ligatures w14:val="none"/>
                  </w:rPr>
                  <m:t>=</m:t>
                </m:r>
                <m:sSub>
                  <m:sSubPr>
                    <m:ctrlPr>
                      <w:rPr>
                        <w:rFonts w:ascii="Cambria Math" w:hAnsi="Cambria Math" w:cs="Times New Roman"/>
                        <w:i/>
                        <w:sz w:val="16"/>
                        <w:szCs w:val="16"/>
                      </w:rPr>
                    </m:ctrlPr>
                  </m:sSubPr>
                  <m:e>
                    <m:r>
                      <w:rPr>
                        <w:rFonts w:ascii="Cambria Math" w:hAnsi="Cambria Math" w:cs="Times New Roman"/>
                        <w:sz w:val="16"/>
                        <w:szCs w:val="16"/>
                      </w:rPr>
                      <m:t>Average(SC</m:t>
                    </m:r>
                  </m:e>
                  <m:sub>
                    <m:r>
                      <w:rPr>
                        <w:rFonts w:ascii="Cambria Math" w:hAnsi="Cambria Math" w:cs="Times New Roman"/>
                        <w:sz w:val="16"/>
                        <w:szCs w:val="16"/>
                      </w:rPr>
                      <m:t>7.2.1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7.3.1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7</m:t>
                    </m:r>
                  </m:sub>
                </m:sSub>
                <m:r>
                  <w:rPr>
                    <w:rFonts w:ascii="Cambria Math" w:hAnsi="Cambria Math" w:cs="Times New Roman"/>
                    <w:sz w:val="16"/>
                    <w:szCs w:val="16"/>
                  </w:rPr>
                  <m:t>)</m:t>
                </m:r>
              </m:oMath>
            </m:oMathPara>
          </w:p>
          <w:p w14:paraId="1FA575B3"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r w:rsidRPr="00F34D3E">
              <w:rPr>
                <w:rFonts w:asciiTheme="majorBidi" w:eastAsia="Times New Roman" w:hAnsiTheme="majorBidi" w:cstheme="majorBidi"/>
                <w:color w:val="000000"/>
                <w:kern w:val="0"/>
                <w:sz w:val="16"/>
                <w:szCs w:val="16"/>
                <w:lang w:val="en-US"/>
                <w14:ligatures w14:val="none"/>
              </w:rPr>
              <w:t> </w:t>
            </w:r>
          </w:p>
        </w:tc>
      </w:tr>
      <w:tr w:rsidR="00185C55" w:rsidRPr="00F34D3E" w14:paraId="7002D787" w14:textId="77777777" w:rsidTr="001335E8">
        <w:trPr>
          <w:trHeight w:val="270"/>
        </w:trPr>
        <w:tc>
          <w:tcPr>
            <w:tcW w:w="942" w:type="pct"/>
            <w:tcBorders>
              <w:top w:val="nil"/>
              <w:left w:val="nil"/>
              <w:bottom w:val="nil"/>
              <w:right w:val="single" w:sz="4" w:space="0" w:color="auto"/>
            </w:tcBorders>
            <w:noWrap/>
            <w:vAlign w:val="center"/>
            <w:hideMark/>
          </w:tcPr>
          <w:p w14:paraId="223C4AF1"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7.3.1</m:t>
                    </m:r>
                  </m:sub>
                </m:sSub>
              </m:oMath>
            </m:oMathPara>
          </w:p>
        </w:tc>
        <w:tc>
          <w:tcPr>
            <w:tcW w:w="824" w:type="pct"/>
            <w:tcBorders>
              <w:top w:val="nil"/>
              <w:left w:val="nil"/>
              <w:bottom w:val="single" w:sz="4" w:space="0" w:color="auto"/>
              <w:right w:val="single" w:sz="4" w:space="0" w:color="auto"/>
            </w:tcBorders>
            <w:noWrap/>
            <w:vAlign w:val="center"/>
            <w:hideMark/>
          </w:tcPr>
          <w:p w14:paraId="7E13C694"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7.3.1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7.3.1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57B62376"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7.3.1</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7.3.1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7.3.1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7.3.1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7.3.1</m:t>
                                </m:r>
                              </m:sub>
                            </m:sSub>
                          </m:e>
                          <m:sub>
                            <m:r>
                              <w:rPr>
                                <w:rFonts w:ascii="Cambria Math" w:hAnsi="Cambria Math" w:cs="Times New Roman"/>
                                <w:sz w:val="16"/>
                                <w:szCs w:val="16"/>
                              </w:rPr>
                              <m:t>s</m:t>
                            </m:r>
                          </m:sub>
                        </m:sSub>
                      </m:e>
                    </m:func>
                  </m:den>
                </m:f>
              </m:oMath>
            </m:oMathPara>
          </w:p>
        </w:tc>
        <w:tc>
          <w:tcPr>
            <w:tcW w:w="1960" w:type="pct"/>
            <w:vMerge/>
            <w:tcBorders>
              <w:left w:val="nil"/>
              <w:right w:val="nil"/>
            </w:tcBorders>
            <w:noWrap/>
            <w:vAlign w:val="center"/>
            <w:hideMark/>
          </w:tcPr>
          <w:p w14:paraId="017B3DE9"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3EEADCA5" w14:textId="77777777" w:rsidTr="001335E8">
        <w:trPr>
          <w:trHeight w:val="278"/>
        </w:trPr>
        <w:tc>
          <w:tcPr>
            <w:tcW w:w="942" w:type="pct"/>
            <w:tcBorders>
              <w:top w:val="nil"/>
              <w:left w:val="nil"/>
              <w:bottom w:val="single" w:sz="8" w:space="0" w:color="auto"/>
              <w:right w:val="single" w:sz="4" w:space="0" w:color="auto"/>
            </w:tcBorders>
            <w:noWrap/>
            <w:vAlign w:val="center"/>
            <w:hideMark/>
          </w:tcPr>
          <w:p w14:paraId="3813459D"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7</m:t>
                    </m:r>
                  </m:sub>
                </m:sSub>
              </m:oMath>
            </m:oMathPara>
          </w:p>
        </w:tc>
        <w:tc>
          <w:tcPr>
            <w:tcW w:w="824" w:type="pct"/>
            <w:tcBorders>
              <w:top w:val="nil"/>
              <w:left w:val="nil"/>
              <w:bottom w:val="single" w:sz="8" w:space="0" w:color="auto"/>
              <w:right w:val="single" w:sz="4" w:space="0" w:color="auto"/>
            </w:tcBorders>
            <w:noWrap/>
            <w:vAlign w:val="center"/>
            <w:hideMark/>
          </w:tcPr>
          <w:p w14:paraId="566268E2"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7</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7</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8" w:space="0" w:color="auto"/>
              <w:right w:val="single" w:sz="4" w:space="0" w:color="auto"/>
            </w:tcBorders>
            <w:noWrap/>
            <w:vAlign w:val="center"/>
            <w:hideMark/>
          </w:tcPr>
          <w:p w14:paraId="185E7F92"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7</m:t>
                        </m:r>
                      </m:sub>
                    </m:sSub>
                  </m:e>
                  <m:sub>
                    <m:r>
                      <w:rPr>
                        <w:rFonts w:ascii="Cambria Math" w:hAnsi="Cambria Math" w:cs="Times New Roman"/>
                        <w:sz w:val="16"/>
                        <w:szCs w:val="16"/>
                      </w:rPr>
                      <m:t>s</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7</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7</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7</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7</m:t>
                                </m:r>
                              </m:sub>
                            </m:sSub>
                          </m:e>
                          <m:sub>
                            <m:r>
                              <w:rPr>
                                <w:rFonts w:ascii="Cambria Math" w:hAnsi="Cambria Math" w:cs="Times New Roman"/>
                                <w:sz w:val="16"/>
                                <w:szCs w:val="16"/>
                              </w:rPr>
                              <m:t>s</m:t>
                            </m:r>
                          </m:sub>
                        </m:sSub>
                      </m:e>
                    </m:func>
                  </m:den>
                </m:f>
              </m:oMath>
            </m:oMathPara>
          </w:p>
        </w:tc>
        <w:tc>
          <w:tcPr>
            <w:tcW w:w="1960" w:type="pct"/>
            <w:vMerge/>
            <w:tcBorders>
              <w:left w:val="nil"/>
              <w:bottom w:val="single" w:sz="8" w:space="0" w:color="auto"/>
              <w:right w:val="nil"/>
            </w:tcBorders>
            <w:noWrap/>
            <w:vAlign w:val="center"/>
            <w:hideMark/>
          </w:tcPr>
          <w:p w14:paraId="7C50B2DE"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1D608A6F" w14:textId="77777777" w:rsidTr="001335E8">
        <w:trPr>
          <w:trHeight w:val="270"/>
        </w:trPr>
        <w:tc>
          <w:tcPr>
            <w:tcW w:w="942" w:type="pct"/>
            <w:tcBorders>
              <w:top w:val="nil"/>
              <w:left w:val="nil"/>
              <w:bottom w:val="nil"/>
              <w:right w:val="single" w:sz="4" w:space="0" w:color="auto"/>
            </w:tcBorders>
            <w:noWrap/>
            <w:vAlign w:val="center"/>
            <w:hideMark/>
          </w:tcPr>
          <w:p w14:paraId="531F724B"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8.1.1</m:t>
                    </m:r>
                  </m:sub>
                </m:sSub>
              </m:oMath>
            </m:oMathPara>
          </w:p>
        </w:tc>
        <w:tc>
          <w:tcPr>
            <w:tcW w:w="824" w:type="pct"/>
            <w:tcBorders>
              <w:top w:val="nil"/>
              <w:left w:val="nil"/>
              <w:bottom w:val="single" w:sz="4" w:space="0" w:color="auto"/>
              <w:right w:val="single" w:sz="4" w:space="0" w:color="auto"/>
            </w:tcBorders>
            <w:noWrap/>
            <w:vAlign w:val="center"/>
            <w:hideMark/>
          </w:tcPr>
          <w:p w14:paraId="7870849B"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8.1.1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8.1.1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0F9C1497"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8.1.1</m:t>
                        </m:r>
                      </m:sub>
                    </m:sSub>
                  </m:e>
                  <m:sub>
                    <m:r>
                      <w:rPr>
                        <w:rFonts w:ascii="Cambria Math" w:hAnsi="Cambria Math" w:cs="Times New Roman"/>
                        <w:sz w:val="16"/>
                        <w:szCs w:val="16"/>
                      </w:rPr>
                      <m:t>s</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8.1.1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8.1.1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8.1.1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8.1.1</m:t>
                                </m:r>
                              </m:sub>
                            </m:sSub>
                          </m:e>
                          <m:sub>
                            <m:r>
                              <w:rPr>
                                <w:rFonts w:ascii="Cambria Math" w:hAnsi="Cambria Math" w:cs="Times New Roman"/>
                                <w:sz w:val="16"/>
                                <w:szCs w:val="16"/>
                              </w:rPr>
                              <m:t>s</m:t>
                            </m:r>
                          </m:sub>
                        </m:sSub>
                      </m:e>
                    </m:func>
                  </m:den>
                </m:f>
              </m:oMath>
            </m:oMathPara>
          </w:p>
        </w:tc>
        <w:tc>
          <w:tcPr>
            <w:tcW w:w="1960" w:type="pct"/>
            <w:vMerge w:val="restart"/>
            <w:tcBorders>
              <w:top w:val="nil"/>
              <w:left w:val="nil"/>
              <w:right w:val="nil"/>
            </w:tcBorders>
            <w:noWrap/>
            <w:vAlign w:val="center"/>
            <w:hideMark/>
          </w:tcPr>
          <w:p w14:paraId="71CE9615"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C</m:t>
                    </m:r>
                  </m:e>
                  <m:sub>
                    <m:r>
                      <w:rPr>
                        <w:rFonts w:ascii="Cambria Math" w:eastAsia="Times New Roman" w:hAnsi="Cambria Math" w:cstheme="majorBidi"/>
                        <w:color w:val="000000"/>
                        <w:kern w:val="0"/>
                        <w:sz w:val="16"/>
                        <w:szCs w:val="16"/>
                        <w:lang w:val="en-US"/>
                        <w14:ligatures w14:val="none"/>
                      </w:rPr>
                      <m:t>8</m:t>
                    </m:r>
                  </m:sub>
                </m:sSub>
                <m:r>
                  <w:rPr>
                    <w:rFonts w:ascii="Cambria Math" w:eastAsia="Times New Roman" w:hAnsi="Cambria Math" w:cstheme="majorBidi"/>
                    <w:color w:val="000000"/>
                    <w:kern w:val="0"/>
                    <w:sz w:val="16"/>
                    <w:szCs w:val="16"/>
                    <w:lang w:val="en-US"/>
                    <w14:ligatures w14:val="none"/>
                  </w:rPr>
                  <m:t>=</m:t>
                </m:r>
                <m:sSub>
                  <m:sSubPr>
                    <m:ctrlPr>
                      <w:rPr>
                        <w:rFonts w:ascii="Cambria Math" w:hAnsi="Cambria Math" w:cs="Times New Roman"/>
                        <w:i/>
                        <w:sz w:val="16"/>
                        <w:szCs w:val="16"/>
                      </w:rPr>
                    </m:ctrlPr>
                  </m:sSubPr>
                  <m:e>
                    <m:r>
                      <w:rPr>
                        <w:rFonts w:ascii="Cambria Math" w:hAnsi="Cambria Math" w:cs="Times New Roman"/>
                        <w:sz w:val="16"/>
                        <w:szCs w:val="16"/>
                      </w:rPr>
                      <m:t>Average(SC</m:t>
                    </m:r>
                  </m:e>
                  <m:sub>
                    <m:r>
                      <w:rPr>
                        <w:rFonts w:ascii="Cambria Math" w:hAnsi="Cambria Math" w:cs="Times New Roman"/>
                        <w:sz w:val="16"/>
                        <w:szCs w:val="16"/>
                      </w:rPr>
                      <m:t>8.1.1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8.2.1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8.4.1-1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8.4.1-2</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8.5.1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8.5.2</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8.9.1</m:t>
                    </m:r>
                  </m:sub>
                </m:sSub>
                <m:r>
                  <w:rPr>
                    <w:rFonts w:ascii="Cambria Math" w:hAnsi="Cambria Math" w:cs="Times New Roman"/>
                    <w:sz w:val="16"/>
                    <w:szCs w:val="16"/>
                  </w:rPr>
                  <m:t>)</m:t>
                </m:r>
              </m:oMath>
            </m:oMathPara>
          </w:p>
        </w:tc>
      </w:tr>
      <w:tr w:rsidR="00185C55" w:rsidRPr="00F34D3E" w14:paraId="187F73EA" w14:textId="77777777" w:rsidTr="001335E8">
        <w:trPr>
          <w:trHeight w:val="270"/>
        </w:trPr>
        <w:tc>
          <w:tcPr>
            <w:tcW w:w="942" w:type="pct"/>
            <w:tcBorders>
              <w:top w:val="nil"/>
              <w:left w:val="nil"/>
              <w:bottom w:val="nil"/>
              <w:right w:val="single" w:sz="4" w:space="0" w:color="auto"/>
            </w:tcBorders>
            <w:noWrap/>
            <w:vAlign w:val="center"/>
            <w:hideMark/>
          </w:tcPr>
          <w:p w14:paraId="1BAB7FE5"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8.2.1</m:t>
                    </m:r>
                  </m:sub>
                </m:sSub>
              </m:oMath>
            </m:oMathPara>
          </w:p>
        </w:tc>
        <w:tc>
          <w:tcPr>
            <w:tcW w:w="824" w:type="pct"/>
            <w:tcBorders>
              <w:top w:val="nil"/>
              <w:left w:val="nil"/>
              <w:bottom w:val="single" w:sz="4" w:space="0" w:color="auto"/>
              <w:right w:val="single" w:sz="4" w:space="0" w:color="auto"/>
            </w:tcBorders>
            <w:noWrap/>
            <w:vAlign w:val="center"/>
            <w:hideMark/>
          </w:tcPr>
          <w:p w14:paraId="1D56372E"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8.2.1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8.2.1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0F8FA207"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8.2.1</m:t>
                        </m:r>
                      </m:sub>
                    </m:sSub>
                  </m:e>
                  <m:sub>
                    <m:r>
                      <w:rPr>
                        <w:rFonts w:ascii="Cambria Math" w:hAnsi="Cambria Math" w:cs="Times New Roman"/>
                        <w:sz w:val="16"/>
                        <w:szCs w:val="16"/>
                      </w:rPr>
                      <m:t>s</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8.2.1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8.2.1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8.2.1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8.2.1</m:t>
                                </m:r>
                              </m:sub>
                            </m:sSub>
                          </m:e>
                          <m:sub>
                            <m:r>
                              <w:rPr>
                                <w:rFonts w:ascii="Cambria Math" w:hAnsi="Cambria Math" w:cs="Times New Roman"/>
                                <w:sz w:val="16"/>
                                <w:szCs w:val="16"/>
                              </w:rPr>
                              <m:t>s</m:t>
                            </m:r>
                          </m:sub>
                        </m:sSub>
                      </m:e>
                    </m:func>
                  </m:den>
                </m:f>
              </m:oMath>
            </m:oMathPara>
          </w:p>
        </w:tc>
        <w:tc>
          <w:tcPr>
            <w:tcW w:w="1960" w:type="pct"/>
            <w:vMerge/>
            <w:tcBorders>
              <w:left w:val="nil"/>
              <w:right w:val="nil"/>
            </w:tcBorders>
            <w:noWrap/>
            <w:vAlign w:val="center"/>
            <w:hideMark/>
          </w:tcPr>
          <w:p w14:paraId="14479081"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33893902" w14:textId="77777777" w:rsidTr="001335E8">
        <w:trPr>
          <w:trHeight w:val="270"/>
        </w:trPr>
        <w:tc>
          <w:tcPr>
            <w:tcW w:w="942" w:type="pct"/>
            <w:tcBorders>
              <w:top w:val="nil"/>
              <w:left w:val="nil"/>
              <w:bottom w:val="nil"/>
              <w:right w:val="single" w:sz="4" w:space="0" w:color="auto"/>
            </w:tcBorders>
            <w:noWrap/>
            <w:vAlign w:val="center"/>
            <w:hideMark/>
          </w:tcPr>
          <w:p w14:paraId="6C8EA3AF"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8.4.1-1</m:t>
                    </m:r>
                  </m:sub>
                </m:sSub>
              </m:oMath>
            </m:oMathPara>
          </w:p>
        </w:tc>
        <w:tc>
          <w:tcPr>
            <w:tcW w:w="824" w:type="pct"/>
            <w:tcBorders>
              <w:top w:val="nil"/>
              <w:left w:val="nil"/>
              <w:bottom w:val="single" w:sz="4" w:space="0" w:color="auto"/>
              <w:right w:val="single" w:sz="4" w:space="0" w:color="auto"/>
            </w:tcBorders>
            <w:noWrap/>
            <w:vAlign w:val="center"/>
            <w:hideMark/>
          </w:tcPr>
          <w:p w14:paraId="372A5BF3"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8.4.1-1</m:t>
                    </m:r>
                  </m:sub>
                </m:sSub>
                <m:r>
                  <w:rPr>
                    <w:rFonts w:ascii="Cambria Math" w:eastAsia="Times New Roman" w:hAnsi="Cambria Math" w:cstheme="majorBidi"/>
                    <w:color w:val="000000"/>
                    <w:kern w:val="0"/>
                    <w:sz w:val="18"/>
                    <w:szCs w:val="18"/>
                    <w:lang w:val="en-US"/>
                    <w14:ligatures w14:val="none"/>
                  </w:rPr>
                  <m:t>=</m:t>
                </m:r>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8.4.1-1</m:t>
                        </m:r>
                      </m:sub>
                    </m:sSub>
                  </m:e>
                  <m:sub>
                    <m:r>
                      <w:rPr>
                        <w:rFonts w:ascii="Cambria Math" w:eastAsia="Times New Roman" w:hAnsi="Cambria Math" w:cstheme="majorBidi"/>
                        <w:color w:val="000000"/>
                        <w:kern w:val="0"/>
                        <w:sz w:val="16"/>
                        <w:szCs w:val="16"/>
                        <w:lang w:val="en-US"/>
                        <w14:ligatures w14:val="none"/>
                      </w:rPr>
                      <m:t>2050</m:t>
                    </m:r>
                  </m:sub>
                </m:sSub>
              </m:oMath>
            </m:oMathPara>
          </w:p>
        </w:tc>
        <w:tc>
          <w:tcPr>
            <w:tcW w:w="1274" w:type="pct"/>
            <w:tcBorders>
              <w:top w:val="nil"/>
              <w:left w:val="nil"/>
              <w:bottom w:val="single" w:sz="4" w:space="0" w:color="auto"/>
              <w:right w:val="single" w:sz="4" w:space="0" w:color="auto"/>
            </w:tcBorders>
            <w:noWrap/>
            <w:vAlign w:val="center"/>
            <w:hideMark/>
          </w:tcPr>
          <w:p w14:paraId="6F1637FD"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8.4.1-1</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8.4.1-1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8.4.1-1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8.4.1-1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8.4.1-1</m:t>
                                </m:r>
                              </m:sub>
                            </m:sSub>
                          </m:e>
                          <m:sub>
                            <m:r>
                              <w:rPr>
                                <w:rFonts w:ascii="Cambria Math" w:hAnsi="Cambria Math" w:cs="Times New Roman"/>
                                <w:sz w:val="16"/>
                                <w:szCs w:val="16"/>
                              </w:rPr>
                              <m:t>s</m:t>
                            </m:r>
                          </m:sub>
                        </m:sSub>
                      </m:e>
                    </m:func>
                  </m:den>
                </m:f>
              </m:oMath>
            </m:oMathPara>
          </w:p>
        </w:tc>
        <w:tc>
          <w:tcPr>
            <w:tcW w:w="1960" w:type="pct"/>
            <w:vMerge/>
            <w:tcBorders>
              <w:left w:val="nil"/>
              <w:right w:val="nil"/>
            </w:tcBorders>
            <w:noWrap/>
            <w:vAlign w:val="center"/>
            <w:hideMark/>
          </w:tcPr>
          <w:p w14:paraId="426EE663"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1340BAB5" w14:textId="77777777" w:rsidTr="001335E8">
        <w:trPr>
          <w:trHeight w:val="270"/>
        </w:trPr>
        <w:tc>
          <w:tcPr>
            <w:tcW w:w="942" w:type="pct"/>
            <w:tcBorders>
              <w:top w:val="nil"/>
              <w:left w:val="nil"/>
              <w:bottom w:val="nil"/>
              <w:right w:val="single" w:sz="4" w:space="0" w:color="auto"/>
            </w:tcBorders>
            <w:noWrap/>
            <w:vAlign w:val="center"/>
            <w:hideMark/>
          </w:tcPr>
          <w:p w14:paraId="325CE1C9"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8.4.1-2</m:t>
                    </m:r>
                  </m:sub>
                </m:sSub>
              </m:oMath>
            </m:oMathPara>
          </w:p>
        </w:tc>
        <w:tc>
          <w:tcPr>
            <w:tcW w:w="824" w:type="pct"/>
            <w:tcBorders>
              <w:top w:val="nil"/>
              <w:left w:val="nil"/>
              <w:bottom w:val="single" w:sz="4" w:space="0" w:color="auto"/>
              <w:right w:val="single" w:sz="4" w:space="0" w:color="auto"/>
            </w:tcBorders>
            <w:noWrap/>
            <w:vAlign w:val="center"/>
            <w:hideMark/>
          </w:tcPr>
          <w:p w14:paraId="304EB09D"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8.4.1-2</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8.4.1-2</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55DA53A5"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8.4.1-2</m:t>
                        </m:r>
                      </m:sub>
                    </m:sSub>
                  </m:e>
                  <m:sub>
                    <m:r>
                      <w:rPr>
                        <w:rFonts w:ascii="Cambria Math" w:hAnsi="Cambria Math" w:cs="Times New Roman"/>
                        <w:sz w:val="16"/>
                        <w:szCs w:val="16"/>
                      </w:rPr>
                      <m:t>s</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8.4.1-2</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8.4.1-2</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8.4.1-2</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8.4.1-2</m:t>
                                </m:r>
                              </m:sub>
                            </m:sSub>
                          </m:e>
                          <m:sub>
                            <m:r>
                              <w:rPr>
                                <w:rFonts w:ascii="Cambria Math" w:hAnsi="Cambria Math" w:cs="Times New Roman"/>
                                <w:sz w:val="16"/>
                                <w:szCs w:val="16"/>
                              </w:rPr>
                              <m:t>s</m:t>
                            </m:r>
                          </m:sub>
                        </m:sSub>
                      </m:e>
                    </m:func>
                  </m:den>
                </m:f>
              </m:oMath>
            </m:oMathPara>
          </w:p>
        </w:tc>
        <w:tc>
          <w:tcPr>
            <w:tcW w:w="1960" w:type="pct"/>
            <w:vMerge/>
            <w:tcBorders>
              <w:left w:val="nil"/>
              <w:right w:val="nil"/>
            </w:tcBorders>
            <w:noWrap/>
            <w:vAlign w:val="center"/>
            <w:hideMark/>
          </w:tcPr>
          <w:p w14:paraId="33C7CE43"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6D11EE15" w14:textId="77777777" w:rsidTr="001335E8">
        <w:trPr>
          <w:trHeight w:val="270"/>
        </w:trPr>
        <w:tc>
          <w:tcPr>
            <w:tcW w:w="942" w:type="pct"/>
            <w:tcBorders>
              <w:top w:val="nil"/>
              <w:left w:val="nil"/>
              <w:bottom w:val="nil"/>
              <w:right w:val="single" w:sz="4" w:space="0" w:color="auto"/>
            </w:tcBorders>
            <w:noWrap/>
            <w:vAlign w:val="center"/>
            <w:hideMark/>
          </w:tcPr>
          <w:p w14:paraId="3547677A"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8.5.1</m:t>
                    </m:r>
                  </m:sub>
                </m:sSub>
              </m:oMath>
            </m:oMathPara>
          </w:p>
        </w:tc>
        <w:tc>
          <w:tcPr>
            <w:tcW w:w="824" w:type="pct"/>
            <w:tcBorders>
              <w:top w:val="nil"/>
              <w:left w:val="nil"/>
              <w:bottom w:val="single" w:sz="4" w:space="0" w:color="auto"/>
              <w:right w:val="single" w:sz="4" w:space="0" w:color="auto"/>
            </w:tcBorders>
            <w:noWrap/>
            <w:vAlign w:val="center"/>
            <w:hideMark/>
          </w:tcPr>
          <w:p w14:paraId="0F59963B"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8.5.1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8.5.1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7AE4FFEA"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8.5.1</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8.5.1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8.5.1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8.5.1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8.5.1</m:t>
                                </m:r>
                              </m:sub>
                            </m:sSub>
                          </m:e>
                          <m:sub>
                            <m:r>
                              <w:rPr>
                                <w:rFonts w:ascii="Cambria Math" w:hAnsi="Cambria Math" w:cs="Times New Roman"/>
                                <w:sz w:val="16"/>
                                <w:szCs w:val="16"/>
                              </w:rPr>
                              <m:t>s</m:t>
                            </m:r>
                          </m:sub>
                        </m:sSub>
                      </m:e>
                    </m:func>
                  </m:den>
                </m:f>
              </m:oMath>
            </m:oMathPara>
          </w:p>
        </w:tc>
        <w:tc>
          <w:tcPr>
            <w:tcW w:w="1960" w:type="pct"/>
            <w:vMerge/>
            <w:tcBorders>
              <w:left w:val="nil"/>
              <w:right w:val="nil"/>
            </w:tcBorders>
            <w:noWrap/>
            <w:vAlign w:val="center"/>
            <w:hideMark/>
          </w:tcPr>
          <w:p w14:paraId="3E3AB3D6"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4A05E6F7" w14:textId="77777777" w:rsidTr="001335E8">
        <w:trPr>
          <w:trHeight w:val="270"/>
        </w:trPr>
        <w:tc>
          <w:tcPr>
            <w:tcW w:w="942" w:type="pct"/>
            <w:tcBorders>
              <w:top w:val="nil"/>
              <w:left w:val="nil"/>
              <w:bottom w:val="nil"/>
              <w:right w:val="single" w:sz="4" w:space="0" w:color="auto"/>
            </w:tcBorders>
            <w:noWrap/>
            <w:vAlign w:val="center"/>
            <w:hideMark/>
          </w:tcPr>
          <w:p w14:paraId="63E7978F"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8.5.2</m:t>
                    </m:r>
                  </m:sub>
                </m:sSub>
              </m:oMath>
            </m:oMathPara>
          </w:p>
        </w:tc>
        <w:tc>
          <w:tcPr>
            <w:tcW w:w="824" w:type="pct"/>
            <w:tcBorders>
              <w:top w:val="nil"/>
              <w:left w:val="nil"/>
              <w:bottom w:val="single" w:sz="4" w:space="0" w:color="auto"/>
              <w:right w:val="single" w:sz="4" w:space="0" w:color="auto"/>
            </w:tcBorders>
            <w:noWrap/>
            <w:vAlign w:val="center"/>
            <w:hideMark/>
          </w:tcPr>
          <w:p w14:paraId="46AE3392"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8.5.2</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8.5.2</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23FD5416"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8.5.2</m:t>
                        </m:r>
                      </m:sub>
                    </m:sSub>
                  </m:e>
                  <m:sub>
                    <m:r>
                      <w:rPr>
                        <w:rFonts w:ascii="Cambria Math" w:hAnsi="Cambria Math" w:cs="Times New Roman"/>
                        <w:sz w:val="16"/>
                        <w:szCs w:val="16"/>
                      </w:rPr>
                      <m:t>s</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8.5.2</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8.5.2</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8.5.2</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8.5.2</m:t>
                                </m:r>
                              </m:sub>
                            </m:sSub>
                          </m:e>
                          <m:sub>
                            <m:r>
                              <w:rPr>
                                <w:rFonts w:ascii="Cambria Math" w:hAnsi="Cambria Math" w:cs="Times New Roman"/>
                                <w:sz w:val="16"/>
                                <w:szCs w:val="16"/>
                              </w:rPr>
                              <m:t>s</m:t>
                            </m:r>
                          </m:sub>
                        </m:sSub>
                      </m:e>
                    </m:func>
                  </m:den>
                </m:f>
              </m:oMath>
            </m:oMathPara>
          </w:p>
        </w:tc>
        <w:tc>
          <w:tcPr>
            <w:tcW w:w="1960" w:type="pct"/>
            <w:vMerge/>
            <w:tcBorders>
              <w:left w:val="nil"/>
              <w:right w:val="nil"/>
            </w:tcBorders>
            <w:noWrap/>
            <w:vAlign w:val="center"/>
            <w:hideMark/>
          </w:tcPr>
          <w:p w14:paraId="488FA6FC"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2E6F080D" w14:textId="77777777" w:rsidTr="001335E8">
        <w:trPr>
          <w:trHeight w:val="278"/>
        </w:trPr>
        <w:tc>
          <w:tcPr>
            <w:tcW w:w="942" w:type="pct"/>
            <w:tcBorders>
              <w:top w:val="nil"/>
              <w:left w:val="nil"/>
              <w:bottom w:val="single" w:sz="8" w:space="0" w:color="auto"/>
              <w:right w:val="single" w:sz="4" w:space="0" w:color="auto"/>
            </w:tcBorders>
            <w:noWrap/>
            <w:vAlign w:val="center"/>
            <w:hideMark/>
          </w:tcPr>
          <w:p w14:paraId="5F7A6E44"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8.9.1</m:t>
                    </m:r>
                  </m:sub>
                </m:sSub>
              </m:oMath>
            </m:oMathPara>
          </w:p>
        </w:tc>
        <w:tc>
          <w:tcPr>
            <w:tcW w:w="824" w:type="pct"/>
            <w:tcBorders>
              <w:top w:val="nil"/>
              <w:left w:val="nil"/>
              <w:bottom w:val="single" w:sz="8" w:space="0" w:color="auto"/>
              <w:right w:val="single" w:sz="4" w:space="0" w:color="auto"/>
            </w:tcBorders>
            <w:noWrap/>
            <w:vAlign w:val="center"/>
            <w:hideMark/>
          </w:tcPr>
          <w:p w14:paraId="76E50D0D"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8.9.1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8.9.1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8" w:space="0" w:color="auto"/>
              <w:right w:val="single" w:sz="4" w:space="0" w:color="auto"/>
            </w:tcBorders>
            <w:noWrap/>
            <w:vAlign w:val="center"/>
            <w:hideMark/>
          </w:tcPr>
          <w:p w14:paraId="4C32B092"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8.9.1</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8.9.1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8.9.1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8.9.1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8.9.1</m:t>
                                </m:r>
                              </m:sub>
                            </m:sSub>
                          </m:e>
                          <m:sub>
                            <m:r>
                              <w:rPr>
                                <w:rFonts w:ascii="Cambria Math" w:hAnsi="Cambria Math" w:cs="Times New Roman"/>
                                <w:sz w:val="16"/>
                                <w:szCs w:val="16"/>
                              </w:rPr>
                              <m:t>s</m:t>
                            </m:r>
                          </m:sub>
                        </m:sSub>
                      </m:e>
                    </m:func>
                  </m:den>
                </m:f>
              </m:oMath>
            </m:oMathPara>
          </w:p>
        </w:tc>
        <w:tc>
          <w:tcPr>
            <w:tcW w:w="1960" w:type="pct"/>
            <w:vMerge/>
            <w:tcBorders>
              <w:left w:val="nil"/>
              <w:bottom w:val="single" w:sz="8" w:space="0" w:color="auto"/>
              <w:right w:val="nil"/>
            </w:tcBorders>
            <w:noWrap/>
            <w:vAlign w:val="center"/>
            <w:hideMark/>
          </w:tcPr>
          <w:p w14:paraId="4FACACD3"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4EF84991" w14:textId="77777777" w:rsidTr="001335E8">
        <w:trPr>
          <w:trHeight w:val="270"/>
        </w:trPr>
        <w:tc>
          <w:tcPr>
            <w:tcW w:w="942" w:type="pct"/>
            <w:tcBorders>
              <w:top w:val="nil"/>
              <w:left w:val="nil"/>
              <w:bottom w:val="nil"/>
              <w:right w:val="single" w:sz="4" w:space="0" w:color="auto"/>
            </w:tcBorders>
            <w:noWrap/>
            <w:vAlign w:val="center"/>
            <w:hideMark/>
          </w:tcPr>
          <w:p w14:paraId="749495B0"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9.2.1-1</m:t>
                    </m:r>
                  </m:sub>
                </m:sSub>
              </m:oMath>
            </m:oMathPara>
          </w:p>
        </w:tc>
        <w:tc>
          <w:tcPr>
            <w:tcW w:w="824" w:type="pct"/>
            <w:tcBorders>
              <w:top w:val="nil"/>
              <w:left w:val="nil"/>
              <w:bottom w:val="single" w:sz="4" w:space="0" w:color="auto"/>
              <w:right w:val="single" w:sz="4" w:space="0" w:color="auto"/>
            </w:tcBorders>
            <w:noWrap/>
            <w:vAlign w:val="center"/>
            <w:hideMark/>
          </w:tcPr>
          <w:p w14:paraId="033F7F45"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9.2.1-1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9.2.1-1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36023722"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9.2.1-1</m:t>
                        </m:r>
                      </m:sub>
                    </m:sSub>
                  </m:e>
                  <m:sub>
                    <m:r>
                      <w:rPr>
                        <w:rFonts w:ascii="Cambria Math" w:hAnsi="Cambria Math" w:cs="Times New Roman"/>
                        <w:sz w:val="16"/>
                        <w:szCs w:val="16"/>
                      </w:rPr>
                      <m:t>s</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8.5.29.2.1-1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9.2.1-1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9.2.1-1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9.2.1-1</m:t>
                                </m:r>
                              </m:sub>
                            </m:sSub>
                          </m:e>
                          <m:sub>
                            <m:r>
                              <w:rPr>
                                <w:rFonts w:ascii="Cambria Math" w:hAnsi="Cambria Math" w:cs="Times New Roman"/>
                                <w:sz w:val="16"/>
                                <w:szCs w:val="16"/>
                              </w:rPr>
                              <m:t>s</m:t>
                            </m:r>
                          </m:sub>
                        </m:sSub>
                      </m:e>
                    </m:func>
                  </m:den>
                </m:f>
              </m:oMath>
            </m:oMathPara>
          </w:p>
        </w:tc>
        <w:tc>
          <w:tcPr>
            <w:tcW w:w="1960" w:type="pct"/>
            <w:vMerge w:val="restart"/>
            <w:tcBorders>
              <w:top w:val="nil"/>
              <w:left w:val="nil"/>
              <w:right w:val="nil"/>
            </w:tcBorders>
            <w:noWrap/>
            <w:vAlign w:val="center"/>
            <w:hideMark/>
          </w:tcPr>
          <w:p w14:paraId="0E09EE9F"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C</m:t>
                    </m:r>
                  </m:e>
                  <m:sub>
                    <m:r>
                      <w:rPr>
                        <w:rFonts w:ascii="Cambria Math" w:eastAsia="Times New Roman" w:hAnsi="Cambria Math" w:cstheme="majorBidi"/>
                        <w:color w:val="000000"/>
                        <w:kern w:val="0"/>
                        <w:sz w:val="16"/>
                        <w:szCs w:val="16"/>
                        <w:lang w:val="en-US"/>
                        <w14:ligatures w14:val="none"/>
                      </w:rPr>
                      <m:t>9</m:t>
                    </m:r>
                  </m:sub>
                </m:sSub>
                <m:r>
                  <w:rPr>
                    <w:rFonts w:ascii="Cambria Math" w:eastAsia="Times New Roman" w:hAnsi="Cambria Math" w:cstheme="majorBidi"/>
                    <w:color w:val="000000"/>
                    <w:kern w:val="0"/>
                    <w:sz w:val="16"/>
                    <w:szCs w:val="16"/>
                    <w:lang w:val="en-US"/>
                    <w14:ligatures w14:val="none"/>
                  </w:rPr>
                  <m:t>=</m:t>
                </m:r>
                <m:sSub>
                  <m:sSubPr>
                    <m:ctrlPr>
                      <w:rPr>
                        <w:rFonts w:ascii="Cambria Math" w:hAnsi="Cambria Math" w:cs="Times New Roman"/>
                        <w:i/>
                        <w:sz w:val="16"/>
                        <w:szCs w:val="16"/>
                      </w:rPr>
                    </m:ctrlPr>
                  </m:sSubPr>
                  <m:e>
                    <m:r>
                      <w:rPr>
                        <w:rFonts w:ascii="Cambria Math" w:hAnsi="Cambria Math" w:cs="Times New Roman"/>
                        <w:sz w:val="16"/>
                        <w:szCs w:val="16"/>
                      </w:rPr>
                      <m:t>Average(SC</m:t>
                    </m:r>
                  </m:e>
                  <m:sub>
                    <m:r>
                      <w:rPr>
                        <w:rFonts w:ascii="Cambria Math" w:hAnsi="Cambria Math" w:cs="Times New Roman"/>
                        <w:sz w:val="16"/>
                        <w:szCs w:val="16"/>
                      </w:rPr>
                      <m:t>9.2.1-1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9.2.1-2</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9.2.2</m:t>
                    </m:r>
                  </m:sub>
                </m:sSub>
                <m:r>
                  <w:rPr>
                    <w:rFonts w:ascii="Cambria Math" w:hAnsi="Cambria Math" w:cs="Times New Roman"/>
                    <w:sz w:val="16"/>
                    <w:szCs w:val="16"/>
                  </w:rPr>
                  <m:t>)</m:t>
                </m:r>
              </m:oMath>
            </m:oMathPara>
          </w:p>
          <w:p w14:paraId="2E13F705"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2E7F0662" w14:textId="77777777" w:rsidTr="001335E8">
        <w:trPr>
          <w:trHeight w:val="270"/>
        </w:trPr>
        <w:tc>
          <w:tcPr>
            <w:tcW w:w="942" w:type="pct"/>
            <w:tcBorders>
              <w:top w:val="nil"/>
              <w:left w:val="nil"/>
              <w:bottom w:val="nil"/>
              <w:right w:val="single" w:sz="4" w:space="0" w:color="auto"/>
            </w:tcBorders>
            <w:noWrap/>
            <w:vAlign w:val="center"/>
            <w:hideMark/>
          </w:tcPr>
          <w:p w14:paraId="262B15D8"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9.2.1-2</m:t>
                    </m:r>
                  </m:sub>
                </m:sSub>
              </m:oMath>
            </m:oMathPara>
          </w:p>
        </w:tc>
        <w:tc>
          <w:tcPr>
            <w:tcW w:w="824" w:type="pct"/>
            <w:tcBorders>
              <w:top w:val="nil"/>
              <w:left w:val="nil"/>
              <w:bottom w:val="single" w:sz="4" w:space="0" w:color="auto"/>
              <w:right w:val="single" w:sz="4" w:space="0" w:color="auto"/>
            </w:tcBorders>
            <w:noWrap/>
            <w:vAlign w:val="center"/>
            <w:hideMark/>
          </w:tcPr>
          <w:p w14:paraId="5DF1D4F6"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9.2.1-2</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9.2.1-2</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2183C4E0"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9.2.1-2</m:t>
                        </m:r>
                      </m:sub>
                    </m:sSub>
                  </m:e>
                  <m:sub>
                    <m:r>
                      <w:rPr>
                        <w:rFonts w:ascii="Cambria Math" w:hAnsi="Cambria Math" w:cs="Times New Roman"/>
                        <w:sz w:val="16"/>
                        <w:szCs w:val="16"/>
                      </w:rPr>
                      <m:t>s</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9.2.1-2</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9.2.1-2</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9.2.1-2</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9.2.1-2</m:t>
                                </m:r>
                              </m:sub>
                            </m:sSub>
                          </m:e>
                          <m:sub>
                            <m:r>
                              <w:rPr>
                                <w:rFonts w:ascii="Cambria Math" w:hAnsi="Cambria Math" w:cs="Times New Roman"/>
                                <w:sz w:val="16"/>
                                <w:szCs w:val="16"/>
                              </w:rPr>
                              <m:t>s</m:t>
                            </m:r>
                          </m:sub>
                        </m:sSub>
                      </m:e>
                    </m:func>
                  </m:den>
                </m:f>
              </m:oMath>
            </m:oMathPara>
          </w:p>
        </w:tc>
        <w:tc>
          <w:tcPr>
            <w:tcW w:w="1960" w:type="pct"/>
            <w:vMerge/>
            <w:tcBorders>
              <w:left w:val="nil"/>
              <w:right w:val="nil"/>
            </w:tcBorders>
            <w:noWrap/>
            <w:vAlign w:val="center"/>
            <w:hideMark/>
          </w:tcPr>
          <w:p w14:paraId="5724813E"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2AEA06D6" w14:textId="77777777" w:rsidTr="001335E8">
        <w:trPr>
          <w:trHeight w:val="278"/>
        </w:trPr>
        <w:tc>
          <w:tcPr>
            <w:tcW w:w="942" w:type="pct"/>
            <w:tcBorders>
              <w:top w:val="nil"/>
              <w:left w:val="nil"/>
              <w:bottom w:val="single" w:sz="8" w:space="0" w:color="auto"/>
              <w:right w:val="single" w:sz="4" w:space="0" w:color="auto"/>
            </w:tcBorders>
            <w:noWrap/>
            <w:vAlign w:val="center"/>
            <w:hideMark/>
          </w:tcPr>
          <w:p w14:paraId="5A24B5CA"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9.2.2</m:t>
                    </m:r>
                  </m:sub>
                </m:sSub>
              </m:oMath>
            </m:oMathPara>
          </w:p>
        </w:tc>
        <w:tc>
          <w:tcPr>
            <w:tcW w:w="824" w:type="pct"/>
            <w:tcBorders>
              <w:top w:val="nil"/>
              <w:left w:val="nil"/>
              <w:bottom w:val="single" w:sz="8" w:space="0" w:color="auto"/>
              <w:right w:val="single" w:sz="4" w:space="0" w:color="auto"/>
            </w:tcBorders>
            <w:noWrap/>
            <w:vAlign w:val="center"/>
            <w:hideMark/>
          </w:tcPr>
          <w:p w14:paraId="4D5EFE91"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9.2.2</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9.2.2</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8" w:space="0" w:color="auto"/>
              <w:right w:val="single" w:sz="4" w:space="0" w:color="auto"/>
            </w:tcBorders>
            <w:noWrap/>
            <w:vAlign w:val="center"/>
            <w:hideMark/>
          </w:tcPr>
          <w:p w14:paraId="5058E800"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9.2.2</m:t>
                        </m:r>
                      </m:sub>
                    </m:sSub>
                  </m:e>
                  <m:sub>
                    <m:r>
                      <w:rPr>
                        <w:rFonts w:ascii="Cambria Math" w:hAnsi="Cambria Math" w:cs="Times New Roman"/>
                        <w:sz w:val="16"/>
                        <w:szCs w:val="16"/>
                      </w:rPr>
                      <m:t>s</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9.2.2</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9.2.2</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9.2.2</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9.2.2</m:t>
                                </m:r>
                              </m:sub>
                            </m:sSub>
                          </m:e>
                          <m:sub>
                            <m:r>
                              <w:rPr>
                                <w:rFonts w:ascii="Cambria Math" w:hAnsi="Cambria Math" w:cs="Times New Roman"/>
                                <w:sz w:val="16"/>
                                <w:szCs w:val="16"/>
                              </w:rPr>
                              <m:t>s</m:t>
                            </m:r>
                          </m:sub>
                        </m:sSub>
                      </m:e>
                    </m:func>
                  </m:den>
                </m:f>
              </m:oMath>
            </m:oMathPara>
          </w:p>
        </w:tc>
        <w:tc>
          <w:tcPr>
            <w:tcW w:w="1960" w:type="pct"/>
            <w:vMerge/>
            <w:tcBorders>
              <w:left w:val="nil"/>
              <w:bottom w:val="single" w:sz="8" w:space="0" w:color="auto"/>
              <w:right w:val="nil"/>
            </w:tcBorders>
            <w:noWrap/>
            <w:vAlign w:val="center"/>
            <w:hideMark/>
          </w:tcPr>
          <w:p w14:paraId="7DC93458"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4BE76808" w14:textId="77777777" w:rsidTr="001335E8">
        <w:trPr>
          <w:trHeight w:val="270"/>
        </w:trPr>
        <w:tc>
          <w:tcPr>
            <w:tcW w:w="942" w:type="pct"/>
            <w:tcBorders>
              <w:top w:val="nil"/>
              <w:left w:val="nil"/>
              <w:bottom w:val="nil"/>
              <w:right w:val="single" w:sz="4" w:space="0" w:color="auto"/>
            </w:tcBorders>
            <w:noWrap/>
            <w:vAlign w:val="center"/>
            <w:hideMark/>
          </w:tcPr>
          <w:p w14:paraId="6F1504C0"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10.4.1</m:t>
                    </m:r>
                  </m:sub>
                </m:sSub>
              </m:oMath>
            </m:oMathPara>
          </w:p>
        </w:tc>
        <w:tc>
          <w:tcPr>
            <w:tcW w:w="824" w:type="pct"/>
            <w:tcBorders>
              <w:top w:val="nil"/>
              <w:left w:val="nil"/>
              <w:bottom w:val="single" w:sz="4" w:space="0" w:color="auto"/>
              <w:right w:val="single" w:sz="4" w:space="0" w:color="auto"/>
            </w:tcBorders>
            <w:noWrap/>
            <w:vAlign w:val="center"/>
            <w:hideMark/>
          </w:tcPr>
          <w:p w14:paraId="14641EC2"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10.4.1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10.4.1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5FFCA642"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10.4.1</m:t>
                        </m:r>
                      </m:sub>
                    </m:sSub>
                  </m:e>
                  <m:sub>
                    <m:r>
                      <w:rPr>
                        <w:rFonts w:ascii="Cambria Math" w:hAnsi="Cambria Math" w:cs="Times New Roman"/>
                        <w:sz w:val="16"/>
                        <w:szCs w:val="16"/>
                      </w:rPr>
                      <m:t>s</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10.4.1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10.4.1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10.4.1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10.4.1</m:t>
                                </m:r>
                              </m:sub>
                            </m:sSub>
                          </m:e>
                          <m:sub>
                            <m:r>
                              <w:rPr>
                                <w:rFonts w:ascii="Cambria Math" w:hAnsi="Cambria Math" w:cs="Times New Roman"/>
                                <w:sz w:val="16"/>
                                <w:szCs w:val="16"/>
                              </w:rPr>
                              <m:t>s</m:t>
                            </m:r>
                          </m:sub>
                        </m:sSub>
                      </m:e>
                    </m:func>
                  </m:den>
                </m:f>
              </m:oMath>
            </m:oMathPara>
          </w:p>
        </w:tc>
        <w:tc>
          <w:tcPr>
            <w:tcW w:w="1960" w:type="pct"/>
            <w:vMerge w:val="restart"/>
            <w:tcBorders>
              <w:top w:val="nil"/>
              <w:left w:val="nil"/>
              <w:right w:val="nil"/>
            </w:tcBorders>
            <w:noWrap/>
            <w:vAlign w:val="center"/>
            <w:hideMark/>
          </w:tcPr>
          <w:p w14:paraId="7A830B23"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C</m:t>
                    </m:r>
                  </m:e>
                  <m:sub>
                    <m:r>
                      <w:rPr>
                        <w:rFonts w:ascii="Cambria Math" w:eastAsia="Times New Roman" w:hAnsi="Cambria Math" w:cstheme="majorBidi"/>
                        <w:color w:val="000000"/>
                        <w:kern w:val="0"/>
                        <w:sz w:val="16"/>
                        <w:szCs w:val="16"/>
                        <w:lang w:val="en-US"/>
                        <w14:ligatures w14:val="none"/>
                      </w:rPr>
                      <m:t>10</m:t>
                    </m:r>
                  </m:sub>
                </m:sSub>
                <m:r>
                  <w:rPr>
                    <w:rFonts w:ascii="Cambria Math" w:eastAsia="Times New Roman" w:hAnsi="Cambria Math" w:cstheme="majorBidi"/>
                    <w:color w:val="000000"/>
                    <w:kern w:val="0"/>
                    <w:sz w:val="16"/>
                    <w:szCs w:val="16"/>
                    <w:lang w:val="en-US"/>
                    <w14:ligatures w14:val="none"/>
                  </w:rPr>
                  <m:t>=</m:t>
                </m:r>
                <m:sSub>
                  <m:sSubPr>
                    <m:ctrlPr>
                      <w:rPr>
                        <w:rFonts w:ascii="Cambria Math" w:hAnsi="Cambria Math" w:cs="Times New Roman"/>
                        <w:i/>
                        <w:sz w:val="16"/>
                        <w:szCs w:val="16"/>
                      </w:rPr>
                    </m:ctrlPr>
                  </m:sSubPr>
                  <m:e>
                    <m:r>
                      <w:rPr>
                        <w:rFonts w:ascii="Cambria Math" w:hAnsi="Cambria Math" w:cs="Times New Roman"/>
                        <w:sz w:val="16"/>
                        <w:szCs w:val="16"/>
                      </w:rPr>
                      <m:t>Average(SC</m:t>
                    </m:r>
                  </m:e>
                  <m:sub>
                    <m:r>
                      <w:rPr>
                        <w:rFonts w:ascii="Cambria Math" w:hAnsi="Cambria Math" w:cs="Times New Roman"/>
                        <w:sz w:val="16"/>
                        <w:szCs w:val="16"/>
                      </w:rPr>
                      <m:t>10.4.1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10</m:t>
                    </m:r>
                  </m:sub>
                </m:sSub>
                <m:r>
                  <w:rPr>
                    <w:rFonts w:ascii="Cambria Math" w:hAnsi="Cambria Math" w:cs="Times New Roman"/>
                    <w:sz w:val="16"/>
                    <w:szCs w:val="16"/>
                  </w:rPr>
                  <m:t>)</m:t>
                </m:r>
              </m:oMath>
            </m:oMathPara>
          </w:p>
          <w:p w14:paraId="104F43C4"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5DAED326" w14:textId="77777777" w:rsidTr="001335E8">
        <w:trPr>
          <w:trHeight w:val="278"/>
        </w:trPr>
        <w:tc>
          <w:tcPr>
            <w:tcW w:w="942" w:type="pct"/>
            <w:tcBorders>
              <w:top w:val="nil"/>
              <w:left w:val="nil"/>
              <w:bottom w:val="single" w:sz="8" w:space="0" w:color="auto"/>
              <w:right w:val="single" w:sz="4" w:space="0" w:color="auto"/>
            </w:tcBorders>
            <w:noWrap/>
            <w:vAlign w:val="center"/>
            <w:hideMark/>
          </w:tcPr>
          <w:p w14:paraId="078ECCBB"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10</m:t>
                    </m:r>
                  </m:sub>
                </m:sSub>
              </m:oMath>
            </m:oMathPara>
          </w:p>
        </w:tc>
        <w:tc>
          <w:tcPr>
            <w:tcW w:w="824" w:type="pct"/>
            <w:tcBorders>
              <w:top w:val="nil"/>
              <w:left w:val="nil"/>
              <w:bottom w:val="single" w:sz="8" w:space="0" w:color="auto"/>
              <w:right w:val="single" w:sz="4" w:space="0" w:color="auto"/>
            </w:tcBorders>
            <w:noWrap/>
            <w:vAlign w:val="center"/>
            <w:hideMark/>
          </w:tcPr>
          <w:p w14:paraId="0C50E2E6"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10</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10</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8" w:space="0" w:color="auto"/>
              <w:right w:val="single" w:sz="4" w:space="0" w:color="auto"/>
            </w:tcBorders>
            <w:noWrap/>
            <w:vAlign w:val="center"/>
            <w:hideMark/>
          </w:tcPr>
          <w:p w14:paraId="161D578A"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10</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10</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10</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10</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10</m:t>
                                </m:r>
                              </m:sub>
                            </m:sSub>
                          </m:e>
                          <m:sub>
                            <m:r>
                              <w:rPr>
                                <w:rFonts w:ascii="Cambria Math" w:hAnsi="Cambria Math" w:cs="Times New Roman"/>
                                <w:sz w:val="16"/>
                                <w:szCs w:val="16"/>
                              </w:rPr>
                              <m:t>s</m:t>
                            </m:r>
                          </m:sub>
                        </m:sSub>
                      </m:e>
                    </m:func>
                  </m:den>
                </m:f>
              </m:oMath>
            </m:oMathPara>
          </w:p>
        </w:tc>
        <w:tc>
          <w:tcPr>
            <w:tcW w:w="1960" w:type="pct"/>
            <w:vMerge/>
            <w:tcBorders>
              <w:left w:val="nil"/>
              <w:bottom w:val="single" w:sz="8" w:space="0" w:color="auto"/>
              <w:right w:val="nil"/>
            </w:tcBorders>
            <w:noWrap/>
            <w:vAlign w:val="center"/>
            <w:hideMark/>
          </w:tcPr>
          <w:p w14:paraId="7EB415A2"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6AC42711" w14:textId="77777777" w:rsidTr="001335E8">
        <w:trPr>
          <w:trHeight w:val="278"/>
        </w:trPr>
        <w:tc>
          <w:tcPr>
            <w:tcW w:w="942" w:type="pct"/>
            <w:tcBorders>
              <w:top w:val="nil"/>
              <w:left w:val="nil"/>
              <w:bottom w:val="single" w:sz="8" w:space="0" w:color="auto"/>
              <w:right w:val="single" w:sz="4" w:space="0" w:color="auto"/>
            </w:tcBorders>
            <w:noWrap/>
            <w:vAlign w:val="center"/>
            <w:hideMark/>
          </w:tcPr>
          <w:p w14:paraId="16E736D8"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11.3.1</m:t>
                    </m:r>
                  </m:sub>
                </m:sSub>
              </m:oMath>
            </m:oMathPara>
          </w:p>
        </w:tc>
        <w:tc>
          <w:tcPr>
            <w:tcW w:w="824" w:type="pct"/>
            <w:tcBorders>
              <w:top w:val="nil"/>
              <w:left w:val="nil"/>
              <w:bottom w:val="single" w:sz="8" w:space="0" w:color="auto"/>
              <w:right w:val="single" w:sz="4" w:space="0" w:color="auto"/>
            </w:tcBorders>
            <w:noWrap/>
            <w:vAlign w:val="center"/>
            <w:hideMark/>
          </w:tcPr>
          <w:p w14:paraId="3F2FAE5F"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11.3.1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11.3.1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8" w:space="0" w:color="auto"/>
              <w:right w:val="single" w:sz="4" w:space="0" w:color="auto"/>
            </w:tcBorders>
            <w:noWrap/>
            <w:vAlign w:val="center"/>
            <w:hideMark/>
          </w:tcPr>
          <w:p w14:paraId="23414B4E"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11.3.1</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11.3.1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11.3.1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11.3.1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11.3.1</m:t>
                                </m:r>
                              </m:sub>
                            </m:sSub>
                          </m:e>
                          <m:sub>
                            <m:r>
                              <w:rPr>
                                <w:rFonts w:ascii="Cambria Math" w:hAnsi="Cambria Math" w:cs="Times New Roman"/>
                                <w:sz w:val="16"/>
                                <w:szCs w:val="16"/>
                              </w:rPr>
                              <m:t>s</m:t>
                            </m:r>
                          </m:sub>
                        </m:sSub>
                      </m:e>
                    </m:func>
                  </m:den>
                </m:f>
              </m:oMath>
            </m:oMathPara>
          </w:p>
        </w:tc>
        <w:tc>
          <w:tcPr>
            <w:tcW w:w="1960" w:type="pct"/>
            <w:tcBorders>
              <w:top w:val="nil"/>
              <w:left w:val="nil"/>
              <w:bottom w:val="single" w:sz="8" w:space="0" w:color="auto"/>
              <w:right w:val="nil"/>
            </w:tcBorders>
            <w:noWrap/>
            <w:vAlign w:val="center"/>
            <w:hideMark/>
          </w:tcPr>
          <w:p w14:paraId="1AF2AC2E"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C</m:t>
                    </m:r>
                  </m:e>
                  <m:sub>
                    <m:r>
                      <w:rPr>
                        <w:rFonts w:ascii="Cambria Math" w:eastAsia="Times New Roman" w:hAnsi="Cambria Math" w:cstheme="majorBidi"/>
                        <w:color w:val="000000"/>
                        <w:kern w:val="0"/>
                        <w:sz w:val="16"/>
                        <w:szCs w:val="16"/>
                        <w:lang w:val="en-US"/>
                        <w14:ligatures w14:val="none"/>
                      </w:rPr>
                      <m:t>11</m:t>
                    </m:r>
                  </m:sub>
                </m:sSub>
                <m:r>
                  <w:rPr>
                    <w:rFonts w:ascii="Cambria Math" w:eastAsia="Times New Roman" w:hAnsi="Cambria Math" w:cstheme="majorBidi"/>
                    <w:color w:val="000000"/>
                    <w:kern w:val="0"/>
                    <w:sz w:val="16"/>
                    <w:szCs w:val="16"/>
                    <w:lang w:val="en-US"/>
                    <w14:ligatures w14:val="none"/>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11.3.1</m:t>
                    </m:r>
                  </m:sub>
                </m:sSub>
              </m:oMath>
            </m:oMathPara>
          </w:p>
        </w:tc>
      </w:tr>
      <w:tr w:rsidR="00185C55" w:rsidRPr="00F34D3E" w14:paraId="7B748E2D" w14:textId="77777777" w:rsidTr="001335E8">
        <w:trPr>
          <w:trHeight w:val="270"/>
        </w:trPr>
        <w:tc>
          <w:tcPr>
            <w:tcW w:w="942" w:type="pct"/>
            <w:tcBorders>
              <w:top w:val="nil"/>
              <w:left w:val="nil"/>
              <w:bottom w:val="nil"/>
              <w:right w:val="single" w:sz="4" w:space="0" w:color="auto"/>
            </w:tcBorders>
            <w:noWrap/>
            <w:vAlign w:val="center"/>
            <w:hideMark/>
          </w:tcPr>
          <w:p w14:paraId="021BA686"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12.5.1</m:t>
                    </m:r>
                  </m:sub>
                </m:sSub>
              </m:oMath>
            </m:oMathPara>
          </w:p>
        </w:tc>
        <w:tc>
          <w:tcPr>
            <w:tcW w:w="824" w:type="pct"/>
            <w:tcBorders>
              <w:top w:val="nil"/>
              <w:left w:val="nil"/>
              <w:bottom w:val="single" w:sz="4" w:space="0" w:color="auto"/>
              <w:right w:val="single" w:sz="4" w:space="0" w:color="auto"/>
            </w:tcBorders>
            <w:noWrap/>
            <w:vAlign w:val="center"/>
            <w:hideMark/>
          </w:tcPr>
          <w:p w14:paraId="79D01301"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12.5.1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12.5.1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3E7613A3"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12.5.1</m:t>
                        </m:r>
                      </m:sub>
                    </m:sSub>
                  </m:e>
                  <m:sub>
                    <m:r>
                      <w:rPr>
                        <w:rFonts w:ascii="Cambria Math" w:hAnsi="Cambria Math" w:cs="Times New Roman"/>
                        <w:sz w:val="16"/>
                        <w:szCs w:val="16"/>
                      </w:rPr>
                      <m:t>s</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12.5.1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12.5.1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12.5.1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12.5.1</m:t>
                                </m:r>
                              </m:sub>
                            </m:sSub>
                          </m:e>
                          <m:sub>
                            <m:r>
                              <w:rPr>
                                <w:rFonts w:ascii="Cambria Math" w:hAnsi="Cambria Math" w:cs="Times New Roman"/>
                                <w:sz w:val="16"/>
                                <w:szCs w:val="16"/>
                              </w:rPr>
                              <m:t>s</m:t>
                            </m:r>
                          </m:sub>
                        </m:sSub>
                      </m:e>
                    </m:func>
                  </m:den>
                </m:f>
              </m:oMath>
            </m:oMathPara>
          </w:p>
        </w:tc>
        <w:tc>
          <w:tcPr>
            <w:tcW w:w="1960" w:type="pct"/>
            <w:vMerge w:val="restart"/>
            <w:tcBorders>
              <w:top w:val="nil"/>
              <w:left w:val="nil"/>
              <w:right w:val="nil"/>
            </w:tcBorders>
            <w:noWrap/>
            <w:vAlign w:val="center"/>
            <w:hideMark/>
          </w:tcPr>
          <w:p w14:paraId="52DC31F3"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C</m:t>
                    </m:r>
                  </m:e>
                  <m:sub>
                    <m:r>
                      <w:rPr>
                        <w:rFonts w:ascii="Cambria Math" w:eastAsia="Times New Roman" w:hAnsi="Cambria Math" w:cstheme="majorBidi"/>
                        <w:color w:val="000000"/>
                        <w:kern w:val="0"/>
                        <w:sz w:val="16"/>
                        <w:szCs w:val="16"/>
                        <w:lang w:val="en-US"/>
                        <w14:ligatures w14:val="none"/>
                      </w:rPr>
                      <m:t>12</m:t>
                    </m:r>
                  </m:sub>
                </m:sSub>
                <m:r>
                  <w:rPr>
                    <w:rFonts w:ascii="Cambria Math" w:eastAsia="Times New Roman" w:hAnsi="Cambria Math" w:cstheme="majorBidi"/>
                    <w:color w:val="000000"/>
                    <w:kern w:val="0"/>
                    <w:sz w:val="16"/>
                    <w:szCs w:val="16"/>
                    <w:lang w:val="en-US"/>
                    <w14:ligatures w14:val="none"/>
                  </w:rPr>
                  <m:t>=</m:t>
                </m:r>
                <m:sSub>
                  <m:sSubPr>
                    <m:ctrlPr>
                      <w:rPr>
                        <w:rFonts w:ascii="Cambria Math" w:hAnsi="Cambria Math" w:cs="Times New Roman"/>
                        <w:i/>
                        <w:sz w:val="16"/>
                        <w:szCs w:val="16"/>
                      </w:rPr>
                    </m:ctrlPr>
                  </m:sSubPr>
                  <m:e>
                    <m:r>
                      <w:rPr>
                        <w:rFonts w:ascii="Cambria Math" w:hAnsi="Cambria Math" w:cs="Times New Roman"/>
                        <w:sz w:val="16"/>
                        <w:szCs w:val="16"/>
                      </w:rPr>
                      <m:t>Average(SC</m:t>
                    </m:r>
                  </m:e>
                  <m:sub>
                    <m:r>
                      <w:rPr>
                        <w:rFonts w:ascii="Cambria Math" w:eastAsia="Times New Roman" w:hAnsi="Cambria Math" w:cstheme="majorBidi"/>
                        <w:color w:val="000000"/>
                        <w:kern w:val="0"/>
                        <w:sz w:val="16"/>
                        <w:szCs w:val="16"/>
                        <w:lang w:val="en-US"/>
                        <w14:ligatures w14:val="none"/>
                      </w:rPr>
                      <m:t>12.5.1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12.a.1</m:t>
                    </m:r>
                  </m:sub>
                </m:sSub>
                <m:r>
                  <w:rPr>
                    <w:rFonts w:ascii="Cambria Math" w:hAnsi="Cambria Math" w:cs="Times New Roman"/>
                    <w:sz w:val="16"/>
                    <w:szCs w:val="16"/>
                  </w:rPr>
                  <m:t>)</m:t>
                </m:r>
              </m:oMath>
            </m:oMathPara>
          </w:p>
          <w:p w14:paraId="64751A08"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1C65668F" w14:textId="77777777" w:rsidTr="001335E8">
        <w:trPr>
          <w:trHeight w:val="278"/>
        </w:trPr>
        <w:tc>
          <w:tcPr>
            <w:tcW w:w="942" w:type="pct"/>
            <w:tcBorders>
              <w:top w:val="nil"/>
              <w:left w:val="nil"/>
              <w:bottom w:val="single" w:sz="8" w:space="0" w:color="auto"/>
              <w:right w:val="single" w:sz="4" w:space="0" w:color="auto"/>
            </w:tcBorders>
            <w:noWrap/>
            <w:vAlign w:val="center"/>
            <w:hideMark/>
          </w:tcPr>
          <w:p w14:paraId="417F5C6B"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12.a.1</m:t>
                    </m:r>
                  </m:sub>
                </m:sSub>
              </m:oMath>
            </m:oMathPara>
          </w:p>
        </w:tc>
        <w:tc>
          <w:tcPr>
            <w:tcW w:w="824" w:type="pct"/>
            <w:tcBorders>
              <w:top w:val="nil"/>
              <w:left w:val="nil"/>
              <w:bottom w:val="single" w:sz="8" w:space="0" w:color="auto"/>
              <w:right w:val="single" w:sz="4" w:space="0" w:color="auto"/>
            </w:tcBorders>
            <w:noWrap/>
            <w:vAlign w:val="center"/>
            <w:hideMark/>
          </w:tcPr>
          <w:p w14:paraId="4E094951"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12.a.1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12.a.1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8" w:space="0" w:color="auto"/>
              <w:right w:val="single" w:sz="4" w:space="0" w:color="auto"/>
            </w:tcBorders>
            <w:noWrap/>
            <w:vAlign w:val="center"/>
            <w:hideMark/>
          </w:tcPr>
          <w:p w14:paraId="554E7719"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12.a.1</m:t>
                        </m:r>
                      </m:sub>
                    </m:sSub>
                  </m:e>
                  <m:sub>
                    <m:r>
                      <w:rPr>
                        <w:rFonts w:ascii="Cambria Math" w:hAnsi="Cambria Math" w:cs="Times New Roman"/>
                        <w:sz w:val="16"/>
                        <w:szCs w:val="16"/>
                      </w:rPr>
                      <m:t>s</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12.a.1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12.a.1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12.a.1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12.a.1</m:t>
                                </m:r>
                              </m:sub>
                            </m:sSub>
                          </m:e>
                          <m:sub>
                            <m:r>
                              <w:rPr>
                                <w:rFonts w:ascii="Cambria Math" w:hAnsi="Cambria Math" w:cs="Times New Roman"/>
                                <w:sz w:val="16"/>
                                <w:szCs w:val="16"/>
                              </w:rPr>
                              <m:t>s</m:t>
                            </m:r>
                          </m:sub>
                        </m:sSub>
                      </m:e>
                    </m:func>
                  </m:den>
                </m:f>
              </m:oMath>
            </m:oMathPara>
          </w:p>
        </w:tc>
        <w:tc>
          <w:tcPr>
            <w:tcW w:w="1960" w:type="pct"/>
            <w:vMerge/>
            <w:tcBorders>
              <w:left w:val="nil"/>
              <w:bottom w:val="single" w:sz="8" w:space="0" w:color="auto"/>
              <w:right w:val="nil"/>
            </w:tcBorders>
            <w:noWrap/>
            <w:vAlign w:val="center"/>
            <w:hideMark/>
          </w:tcPr>
          <w:p w14:paraId="3E3BEFA5"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307EF1B8" w14:textId="77777777" w:rsidTr="001335E8">
        <w:trPr>
          <w:trHeight w:val="270"/>
        </w:trPr>
        <w:tc>
          <w:tcPr>
            <w:tcW w:w="942" w:type="pct"/>
            <w:tcBorders>
              <w:top w:val="nil"/>
              <w:left w:val="nil"/>
              <w:bottom w:val="nil"/>
              <w:right w:val="single" w:sz="4" w:space="0" w:color="auto"/>
            </w:tcBorders>
            <w:noWrap/>
            <w:vAlign w:val="center"/>
            <w:hideMark/>
          </w:tcPr>
          <w:p w14:paraId="791C38B7"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13-1</m:t>
                    </m:r>
                  </m:sub>
                </m:sSub>
              </m:oMath>
            </m:oMathPara>
          </w:p>
        </w:tc>
        <w:tc>
          <w:tcPr>
            <w:tcW w:w="824" w:type="pct"/>
            <w:tcBorders>
              <w:top w:val="nil"/>
              <w:left w:val="nil"/>
              <w:bottom w:val="single" w:sz="4" w:space="0" w:color="auto"/>
              <w:right w:val="single" w:sz="4" w:space="0" w:color="auto"/>
            </w:tcBorders>
            <w:noWrap/>
            <w:vAlign w:val="center"/>
            <w:hideMark/>
          </w:tcPr>
          <w:p w14:paraId="4AB8AA3C"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13-1</m:t>
                    </m:r>
                  </m:sub>
                </m:sSub>
                <m:r>
                  <w:rPr>
                    <w:rFonts w:ascii="Cambria Math" w:eastAsia="Times New Roman" w:hAnsi="Cambria Math" w:cstheme="majorBidi"/>
                    <w:color w:val="000000"/>
                    <w:kern w:val="0"/>
                    <w:sz w:val="18"/>
                    <w:szCs w:val="18"/>
                    <w:lang w:val="en-US"/>
                    <w14:ligatures w14:val="none"/>
                  </w:rPr>
                  <m:t>=</m:t>
                </m:r>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13-1</m:t>
                        </m:r>
                      </m:sub>
                    </m:sSub>
                  </m:e>
                  <m:sub>
                    <m:r>
                      <w:rPr>
                        <w:rFonts w:ascii="Cambria Math" w:eastAsia="Times New Roman" w:hAnsi="Cambria Math" w:cstheme="majorBidi"/>
                        <w:color w:val="000000"/>
                        <w:kern w:val="0"/>
                        <w:sz w:val="16"/>
                        <w:szCs w:val="16"/>
                        <w:lang w:val="en-US"/>
                        <w14:ligatures w14:val="none"/>
                      </w:rPr>
                      <m:t>2050</m:t>
                    </m:r>
                  </m:sub>
                </m:sSub>
              </m:oMath>
            </m:oMathPara>
          </w:p>
        </w:tc>
        <w:tc>
          <w:tcPr>
            <w:tcW w:w="1274" w:type="pct"/>
            <w:tcBorders>
              <w:top w:val="nil"/>
              <w:left w:val="nil"/>
              <w:bottom w:val="single" w:sz="4" w:space="0" w:color="auto"/>
              <w:right w:val="single" w:sz="4" w:space="0" w:color="auto"/>
            </w:tcBorders>
            <w:noWrap/>
            <w:vAlign w:val="center"/>
            <w:hideMark/>
          </w:tcPr>
          <w:p w14:paraId="29678D0D"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13-1</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13-1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13-1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13-1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13-1</m:t>
                                </m:r>
                              </m:sub>
                            </m:sSub>
                          </m:e>
                          <m:sub>
                            <m:r>
                              <w:rPr>
                                <w:rFonts w:ascii="Cambria Math" w:hAnsi="Cambria Math" w:cs="Times New Roman"/>
                                <w:sz w:val="16"/>
                                <w:szCs w:val="16"/>
                              </w:rPr>
                              <m:t>s</m:t>
                            </m:r>
                          </m:sub>
                        </m:sSub>
                      </m:e>
                    </m:func>
                  </m:den>
                </m:f>
              </m:oMath>
            </m:oMathPara>
          </w:p>
        </w:tc>
        <w:tc>
          <w:tcPr>
            <w:tcW w:w="1960" w:type="pct"/>
            <w:vMerge w:val="restart"/>
            <w:tcBorders>
              <w:top w:val="nil"/>
              <w:left w:val="nil"/>
              <w:right w:val="nil"/>
            </w:tcBorders>
            <w:noWrap/>
            <w:vAlign w:val="center"/>
            <w:hideMark/>
          </w:tcPr>
          <w:p w14:paraId="049AE99E"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C</m:t>
                    </m:r>
                  </m:e>
                  <m:sub>
                    <m:r>
                      <w:rPr>
                        <w:rFonts w:ascii="Cambria Math" w:eastAsia="Times New Roman" w:hAnsi="Cambria Math" w:cstheme="majorBidi"/>
                        <w:color w:val="000000"/>
                        <w:kern w:val="0"/>
                        <w:sz w:val="16"/>
                        <w:szCs w:val="16"/>
                        <w:lang w:val="en-US"/>
                        <w14:ligatures w14:val="none"/>
                      </w:rPr>
                      <m:t>13</m:t>
                    </m:r>
                  </m:sub>
                </m:sSub>
                <m:r>
                  <w:rPr>
                    <w:rFonts w:ascii="Cambria Math" w:eastAsia="Times New Roman" w:hAnsi="Cambria Math" w:cstheme="majorBidi"/>
                    <w:color w:val="000000"/>
                    <w:kern w:val="0"/>
                    <w:sz w:val="16"/>
                    <w:szCs w:val="16"/>
                    <w:lang w:val="en-US"/>
                    <w14:ligatures w14:val="none"/>
                  </w:rPr>
                  <m:t>=</m:t>
                </m:r>
                <m:sSub>
                  <m:sSubPr>
                    <m:ctrlPr>
                      <w:rPr>
                        <w:rFonts w:ascii="Cambria Math" w:hAnsi="Cambria Math" w:cs="Times New Roman"/>
                        <w:i/>
                        <w:sz w:val="16"/>
                        <w:szCs w:val="16"/>
                      </w:rPr>
                    </m:ctrlPr>
                  </m:sSubPr>
                  <m:e>
                    <m:r>
                      <w:rPr>
                        <w:rFonts w:ascii="Cambria Math" w:hAnsi="Cambria Math" w:cs="Times New Roman"/>
                        <w:sz w:val="16"/>
                        <w:szCs w:val="16"/>
                      </w:rPr>
                      <m:t>Average(SC</m:t>
                    </m:r>
                  </m:e>
                  <m:sub>
                    <m:r>
                      <w:rPr>
                        <w:rFonts w:ascii="Cambria Math" w:eastAsia="Times New Roman" w:hAnsi="Cambria Math" w:cstheme="majorBidi"/>
                        <w:color w:val="000000"/>
                        <w:kern w:val="0"/>
                        <w:sz w:val="16"/>
                        <w:szCs w:val="16"/>
                        <w:lang w:val="en-US"/>
                        <w14:ligatures w14:val="none"/>
                      </w:rPr>
                      <m:t>13-1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13-2</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13-3</m:t>
                    </m:r>
                  </m:sub>
                </m:sSub>
                <m:r>
                  <w:rPr>
                    <w:rFonts w:ascii="Cambria Math" w:hAnsi="Cambria Math" w:cs="Times New Roman"/>
                    <w:sz w:val="16"/>
                    <w:szCs w:val="16"/>
                  </w:rPr>
                  <m:t>)</m:t>
                </m:r>
              </m:oMath>
            </m:oMathPara>
          </w:p>
          <w:p w14:paraId="46010739"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0B881DE8" w14:textId="77777777" w:rsidTr="001335E8">
        <w:trPr>
          <w:trHeight w:val="270"/>
        </w:trPr>
        <w:tc>
          <w:tcPr>
            <w:tcW w:w="942" w:type="pct"/>
            <w:tcBorders>
              <w:top w:val="nil"/>
              <w:left w:val="nil"/>
              <w:bottom w:val="nil"/>
              <w:right w:val="single" w:sz="4" w:space="0" w:color="auto"/>
            </w:tcBorders>
            <w:noWrap/>
            <w:vAlign w:val="center"/>
            <w:hideMark/>
          </w:tcPr>
          <w:p w14:paraId="110BFBC9"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13-2</m:t>
                    </m:r>
                  </m:sub>
                </m:sSub>
              </m:oMath>
            </m:oMathPara>
          </w:p>
        </w:tc>
        <w:tc>
          <w:tcPr>
            <w:tcW w:w="824" w:type="pct"/>
            <w:tcBorders>
              <w:top w:val="nil"/>
              <w:left w:val="nil"/>
              <w:bottom w:val="single" w:sz="4" w:space="0" w:color="auto"/>
              <w:right w:val="single" w:sz="4" w:space="0" w:color="auto"/>
            </w:tcBorders>
            <w:noWrap/>
            <w:vAlign w:val="center"/>
            <w:hideMark/>
          </w:tcPr>
          <w:p w14:paraId="13C6FCA1"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13-2</m:t>
                    </m:r>
                  </m:sub>
                </m:sSub>
                <m:r>
                  <w:rPr>
                    <w:rFonts w:ascii="Cambria Math" w:eastAsia="Times New Roman" w:hAnsi="Cambria Math" w:cstheme="majorBidi"/>
                    <w:color w:val="000000"/>
                    <w:kern w:val="0"/>
                    <w:sz w:val="18"/>
                    <w:szCs w:val="18"/>
                    <w:lang w:val="en-US"/>
                    <w14:ligatures w14:val="none"/>
                  </w:rPr>
                  <m:t>=</m:t>
                </m:r>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13-2</m:t>
                        </m:r>
                      </m:sub>
                    </m:sSub>
                  </m:e>
                  <m:sub>
                    <m:r>
                      <w:rPr>
                        <w:rFonts w:ascii="Cambria Math" w:eastAsia="Times New Roman" w:hAnsi="Cambria Math" w:cstheme="majorBidi"/>
                        <w:color w:val="000000"/>
                        <w:kern w:val="0"/>
                        <w:sz w:val="16"/>
                        <w:szCs w:val="16"/>
                        <w:lang w:val="en-US"/>
                        <w14:ligatures w14:val="none"/>
                      </w:rPr>
                      <m:t>2050</m:t>
                    </m:r>
                  </m:sub>
                </m:sSub>
              </m:oMath>
            </m:oMathPara>
          </w:p>
        </w:tc>
        <w:tc>
          <w:tcPr>
            <w:tcW w:w="1274" w:type="pct"/>
            <w:tcBorders>
              <w:top w:val="nil"/>
              <w:left w:val="nil"/>
              <w:bottom w:val="single" w:sz="4" w:space="0" w:color="auto"/>
              <w:right w:val="single" w:sz="4" w:space="0" w:color="auto"/>
            </w:tcBorders>
            <w:noWrap/>
            <w:vAlign w:val="center"/>
            <w:hideMark/>
          </w:tcPr>
          <w:p w14:paraId="53D65F37"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13-2</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13-2</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13-2</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13-2</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13-2</m:t>
                                </m:r>
                              </m:sub>
                            </m:sSub>
                          </m:e>
                          <m:sub>
                            <m:r>
                              <w:rPr>
                                <w:rFonts w:ascii="Cambria Math" w:hAnsi="Cambria Math" w:cs="Times New Roman"/>
                                <w:sz w:val="16"/>
                                <w:szCs w:val="16"/>
                              </w:rPr>
                              <m:t>s</m:t>
                            </m:r>
                          </m:sub>
                        </m:sSub>
                      </m:e>
                    </m:func>
                  </m:den>
                </m:f>
              </m:oMath>
            </m:oMathPara>
          </w:p>
        </w:tc>
        <w:tc>
          <w:tcPr>
            <w:tcW w:w="1960" w:type="pct"/>
            <w:vMerge/>
            <w:tcBorders>
              <w:left w:val="nil"/>
              <w:right w:val="nil"/>
            </w:tcBorders>
            <w:noWrap/>
            <w:vAlign w:val="center"/>
            <w:hideMark/>
          </w:tcPr>
          <w:p w14:paraId="620F99B2"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6C4CEE53" w14:textId="77777777" w:rsidTr="001335E8">
        <w:trPr>
          <w:trHeight w:val="278"/>
        </w:trPr>
        <w:tc>
          <w:tcPr>
            <w:tcW w:w="942" w:type="pct"/>
            <w:tcBorders>
              <w:top w:val="nil"/>
              <w:left w:val="nil"/>
              <w:bottom w:val="single" w:sz="8" w:space="0" w:color="auto"/>
              <w:right w:val="single" w:sz="4" w:space="0" w:color="auto"/>
            </w:tcBorders>
            <w:noWrap/>
            <w:vAlign w:val="center"/>
            <w:hideMark/>
          </w:tcPr>
          <w:p w14:paraId="7FEFF165"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13-3</m:t>
                    </m:r>
                  </m:sub>
                </m:sSub>
              </m:oMath>
            </m:oMathPara>
          </w:p>
        </w:tc>
        <w:tc>
          <w:tcPr>
            <w:tcW w:w="824" w:type="pct"/>
            <w:tcBorders>
              <w:top w:val="nil"/>
              <w:left w:val="nil"/>
              <w:bottom w:val="single" w:sz="8" w:space="0" w:color="auto"/>
              <w:right w:val="single" w:sz="4" w:space="0" w:color="auto"/>
            </w:tcBorders>
            <w:noWrap/>
            <w:vAlign w:val="center"/>
            <w:hideMark/>
          </w:tcPr>
          <w:p w14:paraId="330C9EA9"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13-3</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13-3</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8" w:space="0" w:color="auto"/>
              <w:right w:val="single" w:sz="4" w:space="0" w:color="auto"/>
            </w:tcBorders>
            <w:noWrap/>
            <w:vAlign w:val="center"/>
            <w:hideMark/>
          </w:tcPr>
          <w:p w14:paraId="062F93B0"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13-3</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13-3</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13-3</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13-3</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13-3</m:t>
                                </m:r>
                              </m:sub>
                            </m:sSub>
                          </m:e>
                          <m:sub>
                            <m:r>
                              <w:rPr>
                                <w:rFonts w:ascii="Cambria Math" w:hAnsi="Cambria Math" w:cs="Times New Roman"/>
                                <w:sz w:val="16"/>
                                <w:szCs w:val="16"/>
                              </w:rPr>
                              <m:t>s</m:t>
                            </m:r>
                          </m:sub>
                        </m:sSub>
                      </m:e>
                    </m:func>
                  </m:den>
                </m:f>
              </m:oMath>
            </m:oMathPara>
          </w:p>
        </w:tc>
        <w:tc>
          <w:tcPr>
            <w:tcW w:w="1960" w:type="pct"/>
            <w:vMerge/>
            <w:tcBorders>
              <w:left w:val="nil"/>
              <w:bottom w:val="single" w:sz="8" w:space="0" w:color="auto"/>
              <w:right w:val="nil"/>
            </w:tcBorders>
            <w:noWrap/>
            <w:vAlign w:val="center"/>
            <w:hideMark/>
          </w:tcPr>
          <w:p w14:paraId="6A4175B1"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0D3D7346" w14:textId="77777777" w:rsidTr="001335E8">
        <w:trPr>
          <w:trHeight w:val="278"/>
        </w:trPr>
        <w:tc>
          <w:tcPr>
            <w:tcW w:w="942" w:type="pct"/>
            <w:tcBorders>
              <w:top w:val="nil"/>
              <w:left w:val="nil"/>
              <w:bottom w:val="single" w:sz="8" w:space="0" w:color="auto"/>
              <w:right w:val="single" w:sz="4" w:space="0" w:color="auto"/>
            </w:tcBorders>
            <w:noWrap/>
            <w:vAlign w:val="center"/>
            <w:hideMark/>
          </w:tcPr>
          <w:p w14:paraId="5E5FDCFD"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14.3.1</m:t>
                    </m:r>
                  </m:sub>
                </m:sSub>
              </m:oMath>
            </m:oMathPara>
          </w:p>
        </w:tc>
        <w:tc>
          <w:tcPr>
            <w:tcW w:w="824" w:type="pct"/>
            <w:tcBorders>
              <w:top w:val="nil"/>
              <w:left w:val="nil"/>
              <w:bottom w:val="single" w:sz="8" w:space="0" w:color="auto"/>
              <w:right w:val="single" w:sz="4" w:space="0" w:color="auto"/>
            </w:tcBorders>
            <w:noWrap/>
            <w:vAlign w:val="center"/>
            <w:hideMark/>
          </w:tcPr>
          <w:p w14:paraId="1EADB30C"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14.3.1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14.3.1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8" w:space="0" w:color="auto"/>
              <w:right w:val="single" w:sz="4" w:space="0" w:color="auto"/>
            </w:tcBorders>
            <w:noWrap/>
            <w:vAlign w:val="center"/>
            <w:hideMark/>
          </w:tcPr>
          <w:p w14:paraId="08BAA4BC"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14.3.1</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14.3.1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14.3.1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14.3.1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14.3.1</m:t>
                                </m:r>
                              </m:sub>
                            </m:sSub>
                          </m:e>
                          <m:sub>
                            <m:r>
                              <w:rPr>
                                <w:rFonts w:ascii="Cambria Math" w:hAnsi="Cambria Math" w:cs="Times New Roman"/>
                                <w:sz w:val="16"/>
                                <w:szCs w:val="16"/>
                              </w:rPr>
                              <m:t>s</m:t>
                            </m:r>
                          </m:sub>
                        </m:sSub>
                      </m:e>
                    </m:func>
                  </m:den>
                </m:f>
              </m:oMath>
            </m:oMathPara>
          </w:p>
        </w:tc>
        <w:tc>
          <w:tcPr>
            <w:tcW w:w="1960" w:type="pct"/>
            <w:tcBorders>
              <w:top w:val="nil"/>
              <w:left w:val="nil"/>
              <w:bottom w:val="single" w:sz="8" w:space="0" w:color="auto"/>
              <w:right w:val="nil"/>
            </w:tcBorders>
            <w:noWrap/>
            <w:vAlign w:val="center"/>
            <w:hideMark/>
          </w:tcPr>
          <w:p w14:paraId="7B4E7DCF"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C</m:t>
                    </m:r>
                  </m:e>
                  <m:sub>
                    <m:r>
                      <w:rPr>
                        <w:rFonts w:ascii="Cambria Math" w:eastAsia="Times New Roman" w:hAnsi="Cambria Math" w:cstheme="majorBidi"/>
                        <w:color w:val="000000"/>
                        <w:kern w:val="0"/>
                        <w:sz w:val="16"/>
                        <w:szCs w:val="16"/>
                        <w:lang w:val="en-US"/>
                        <w14:ligatures w14:val="none"/>
                      </w:rPr>
                      <m:t>14</m:t>
                    </m:r>
                  </m:sub>
                </m:sSub>
                <m:r>
                  <w:rPr>
                    <w:rFonts w:ascii="Cambria Math" w:eastAsia="Times New Roman" w:hAnsi="Cambria Math" w:cstheme="majorBidi"/>
                    <w:color w:val="000000"/>
                    <w:kern w:val="0"/>
                    <w:sz w:val="16"/>
                    <w:szCs w:val="16"/>
                    <w:lang w:val="en-US"/>
                    <w14:ligatures w14:val="none"/>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14.3.1</m:t>
                    </m:r>
                  </m:sub>
                </m:sSub>
              </m:oMath>
            </m:oMathPara>
          </w:p>
        </w:tc>
      </w:tr>
      <w:tr w:rsidR="00185C55" w:rsidRPr="00F34D3E" w14:paraId="4F4AAB26" w14:textId="77777777" w:rsidTr="001335E8">
        <w:trPr>
          <w:trHeight w:val="270"/>
        </w:trPr>
        <w:tc>
          <w:tcPr>
            <w:tcW w:w="942" w:type="pct"/>
            <w:tcBorders>
              <w:top w:val="nil"/>
              <w:left w:val="nil"/>
              <w:bottom w:val="nil"/>
              <w:right w:val="single" w:sz="4" w:space="0" w:color="auto"/>
            </w:tcBorders>
            <w:noWrap/>
            <w:vAlign w:val="center"/>
            <w:hideMark/>
          </w:tcPr>
          <w:p w14:paraId="097C0EB0"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15.1.1</m:t>
                        </m:r>
                      </m:sub>
                    </m:sSub>
                  </m:e>
                  <m:sub>
                    <m:r>
                      <w:rPr>
                        <w:rFonts w:ascii="Cambria Math" w:eastAsia="Times New Roman" w:hAnsi="Cambria Math" w:cstheme="majorBidi"/>
                        <w:color w:val="000000"/>
                        <w:kern w:val="0"/>
                        <w:sz w:val="16"/>
                        <w:szCs w:val="16"/>
                        <w:lang w:val="en-US"/>
                        <w14:ligatures w14:val="none"/>
                      </w:rPr>
                      <m:t>t</m:t>
                    </m:r>
                  </m:sub>
                </m:sSub>
              </m:oMath>
            </m:oMathPara>
          </w:p>
        </w:tc>
        <w:tc>
          <w:tcPr>
            <w:tcW w:w="824" w:type="pct"/>
            <w:tcBorders>
              <w:top w:val="nil"/>
              <w:left w:val="nil"/>
              <w:bottom w:val="single" w:sz="4" w:space="0" w:color="auto"/>
              <w:right w:val="single" w:sz="4" w:space="0" w:color="auto"/>
            </w:tcBorders>
            <w:noWrap/>
            <w:vAlign w:val="center"/>
            <w:hideMark/>
          </w:tcPr>
          <w:p w14:paraId="774C29A3"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15.1.1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15.1.1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3FE638CB" w14:textId="77777777" w:rsidR="00185C55" w:rsidRPr="001D74C1"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ParaPr>
                <m:jc m:val="center"/>
              </m:oMathParaPr>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15.1.1</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15.1.1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15.1.1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15.1.1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15.1.1</m:t>
                                </m:r>
                              </m:sub>
                            </m:sSub>
                          </m:e>
                          <m:sub>
                            <m:r>
                              <w:rPr>
                                <w:rFonts w:ascii="Cambria Math" w:hAnsi="Cambria Math" w:cs="Times New Roman"/>
                                <w:sz w:val="16"/>
                                <w:szCs w:val="16"/>
                              </w:rPr>
                              <m:t>s</m:t>
                            </m:r>
                          </m:sub>
                        </m:sSub>
                      </m:e>
                    </m:func>
                  </m:den>
                </m:f>
              </m:oMath>
            </m:oMathPara>
          </w:p>
        </w:tc>
        <w:tc>
          <w:tcPr>
            <w:tcW w:w="1960" w:type="pct"/>
            <w:vMerge w:val="restart"/>
            <w:tcBorders>
              <w:top w:val="nil"/>
              <w:left w:val="nil"/>
              <w:right w:val="nil"/>
            </w:tcBorders>
            <w:noWrap/>
            <w:vAlign w:val="center"/>
            <w:hideMark/>
          </w:tcPr>
          <w:p w14:paraId="7E1D90D8"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C</m:t>
                    </m:r>
                  </m:e>
                  <m:sub>
                    <m:r>
                      <w:rPr>
                        <w:rFonts w:ascii="Cambria Math" w:eastAsia="Times New Roman" w:hAnsi="Cambria Math" w:cstheme="majorBidi"/>
                        <w:color w:val="000000"/>
                        <w:kern w:val="0"/>
                        <w:sz w:val="16"/>
                        <w:szCs w:val="16"/>
                        <w:lang w:val="en-US"/>
                        <w14:ligatures w14:val="none"/>
                      </w:rPr>
                      <m:t>15</m:t>
                    </m:r>
                  </m:sub>
                </m:sSub>
                <m:r>
                  <w:rPr>
                    <w:rFonts w:ascii="Cambria Math" w:eastAsia="Times New Roman" w:hAnsi="Cambria Math" w:cstheme="majorBidi"/>
                    <w:color w:val="000000"/>
                    <w:kern w:val="0"/>
                    <w:sz w:val="16"/>
                    <w:szCs w:val="16"/>
                    <w:lang w:val="en-US"/>
                    <w14:ligatures w14:val="none"/>
                  </w:rPr>
                  <m:t>=</m:t>
                </m:r>
                <m:sSub>
                  <m:sSubPr>
                    <m:ctrlPr>
                      <w:rPr>
                        <w:rFonts w:ascii="Cambria Math" w:hAnsi="Cambria Math" w:cs="Times New Roman"/>
                        <w:i/>
                        <w:sz w:val="16"/>
                        <w:szCs w:val="16"/>
                      </w:rPr>
                    </m:ctrlPr>
                  </m:sSubPr>
                  <m:e>
                    <m:r>
                      <w:rPr>
                        <w:rFonts w:ascii="Cambria Math" w:hAnsi="Cambria Math" w:cs="Times New Roman"/>
                        <w:sz w:val="16"/>
                        <w:szCs w:val="16"/>
                      </w:rPr>
                      <m:t>Average(SC</m:t>
                    </m:r>
                  </m:e>
                  <m:sub>
                    <m:r>
                      <w:rPr>
                        <w:rFonts w:ascii="Cambria Math" w:hAnsi="Cambria Math" w:cs="Times New Roman"/>
                        <w:sz w:val="16"/>
                        <w:szCs w:val="16"/>
                      </w:rPr>
                      <m:t>15.1.1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15.2.1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15.2.2</m:t>
                    </m:r>
                  </m:sub>
                </m:sSub>
                <m:r>
                  <w:rPr>
                    <w:rFonts w:ascii="Cambria Math" w:hAnsi="Cambria Math" w:cs="Times New Roman"/>
                    <w:sz w:val="16"/>
                    <w:szCs w:val="16"/>
                  </w:rPr>
                  <m:t xml:space="preserve">, </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15.3.1</m:t>
                    </m:r>
                  </m:sub>
                </m:sSub>
                <m:r>
                  <w:rPr>
                    <w:rFonts w:ascii="Cambria Math" w:hAnsi="Cambria Math" w:cs="Times New Roman"/>
                    <w:sz w:val="16"/>
                    <w:szCs w:val="16"/>
                  </w:rPr>
                  <m:t>)</m:t>
                </m:r>
              </m:oMath>
            </m:oMathPara>
          </w:p>
        </w:tc>
      </w:tr>
      <w:tr w:rsidR="00185C55" w:rsidRPr="00F34D3E" w14:paraId="1474856C" w14:textId="77777777" w:rsidTr="001335E8">
        <w:trPr>
          <w:trHeight w:val="270"/>
        </w:trPr>
        <w:tc>
          <w:tcPr>
            <w:tcW w:w="942" w:type="pct"/>
            <w:tcBorders>
              <w:top w:val="nil"/>
              <w:left w:val="nil"/>
              <w:bottom w:val="nil"/>
              <w:right w:val="single" w:sz="4" w:space="0" w:color="auto"/>
            </w:tcBorders>
            <w:noWrap/>
            <w:vAlign w:val="center"/>
            <w:hideMark/>
          </w:tcPr>
          <w:p w14:paraId="7E94B43B"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15.2.1</m:t>
                    </m:r>
                  </m:sub>
                </m:sSub>
              </m:oMath>
            </m:oMathPara>
          </w:p>
        </w:tc>
        <w:tc>
          <w:tcPr>
            <w:tcW w:w="824" w:type="pct"/>
            <w:tcBorders>
              <w:top w:val="nil"/>
              <w:left w:val="nil"/>
              <w:bottom w:val="single" w:sz="4" w:space="0" w:color="auto"/>
              <w:right w:val="single" w:sz="4" w:space="0" w:color="auto"/>
            </w:tcBorders>
            <w:noWrap/>
            <w:vAlign w:val="center"/>
            <w:hideMark/>
          </w:tcPr>
          <w:p w14:paraId="29D33D10"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15.2.1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15.2.1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27DA4B95"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15.2.1</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15.2.1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15.2.1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15.2.1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15.2.1</m:t>
                                </m:r>
                              </m:sub>
                            </m:sSub>
                          </m:e>
                          <m:sub>
                            <m:r>
                              <w:rPr>
                                <w:rFonts w:ascii="Cambria Math" w:hAnsi="Cambria Math" w:cs="Times New Roman"/>
                                <w:sz w:val="16"/>
                                <w:szCs w:val="16"/>
                              </w:rPr>
                              <m:t>s</m:t>
                            </m:r>
                          </m:sub>
                        </m:sSub>
                      </m:e>
                    </m:func>
                  </m:den>
                </m:f>
              </m:oMath>
            </m:oMathPara>
          </w:p>
        </w:tc>
        <w:tc>
          <w:tcPr>
            <w:tcW w:w="1960" w:type="pct"/>
            <w:vMerge/>
            <w:tcBorders>
              <w:left w:val="nil"/>
              <w:right w:val="nil"/>
            </w:tcBorders>
            <w:noWrap/>
            <w:vAlign w:val="center"/>
            <w:hideMark/>
          </w:tcPr>
          <w:p w14:paraId="7C925284"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5A850D4F" w14:textId="77777777" w:rsidTr="001335E8">
        <w:trPr>
          <w:trHeight w:val="270"/>
        </w:trPr>
        <w:tc>
          <w:tcPr>
            <w:tcW w:w="942" w:type="pct"/>
            <w:tcBorders>
              <w:top w:val="nil"/>
              <w:left w:val="nil"/>
              <w:bottom w:val="nil"/>
              <w:right w:val="single" w:sz="4" w:space="0" w:color="auto"/>
            </w:tcBorders>
            <w:noWrap/>
            <w:vAlign w:val="center"/>
            <w:hideMark/>
          </w:tcPr>
          <w:p w14:paraId="552F3043"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15.2.2</m:t>
                    </m:r>
                  </m:sub>
                </m:sSub>
              </m:oMath>
            </m:oMathPara>
          </w:p>
        </w:tc>
        <w:tc>
          <w:tcPr>
            <w:tcW w:w="824" w:type="pct"/>
            <w:tcBorders>
              <w:top w:val="nil"/>
              <w:left w:val="nil"/>
              <w:bottom w:val="single" w:sz="4" w:space="0" w:color="auto"/>
              <w:right w:val="single" w:sz="4" w:space="0" w:color="auto"/>
            </w:tcBorders>
            <w:noWrap/>
            <w:vAlign w:val="center"/>
            <w:hideMark/>
          </w:tcPr>
          <w:p w14:paraId="0E5B64BE"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15.2.2</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15.2.2</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4" w:space="0" w:color="auto"/>
              <w:right w:val="single" w:sz="4" w:space="0" w:color="auto"/>
            </w:tcBorders>
            <w:noWrap/>
            <w:vAlign w:val="center"/>
            <w:hideMark/>
          </w:tcPr>
          <w:p w14:paraId="63347DCD"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15.2.2</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15.2.2</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15.2.2</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15.2.2</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15.2.2</m:t>
                                </m:r>
                              </m:sub>
                            </m:sSub>
                          </m:e>
                          <m:sub>
                            <m:r>
                              <w:rPr>
                                <w:rFonts w:ascii="Cambria Math" w:hAnsi="Cambria Math" w:cs="Times New Roman"/>
                                <w:sz w:val="16"/>
                                <w:szCs w:val="16"/>
                              </w:rPr>
                              <m:t>s</m:t>
                            </m:r>
                          </m:sub>
                        </m:sSub>
                      </m:e>
                    </m:func>
                  </m:den>
                </m:f>
              </m:oMath>
            </m:oMathPara>
          </w:p>
        </w:tc>
        <w:tc>
          <w:tcPr>
            <w:tcW w:w="1960" w:type="pct"/>
            <w:vMerge/>
            <w:tcBorders>
              <w:left w:val="nil"/>
              <w:right w:val="nil"/>
            </w:tcBorders>
            <w:noWrap/>
            <w:vAlign w:val="center"/>
            <w:hideMark/>
          </w:tcPr>
          <w:p w14:paraId="6FCB04D3"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6952BE0A" w14:textId="77777777" w:rsidTr="001335E8">
        <w:trPr>
          <w:trHeight w:val="278"/>
        </w:trPr>
        <w:tc>
          <w:tcPr>
            <w:tcW w:w="942" w:type="pct"/>
            <w:tcBorders>
              <w:top w:val="nil"/>
              <w:left w:val="nil"/>
              <w:bottom w:val="single" w:sz="8" w:space="0" w:color="auto"/>
              <w:right w:val="single" w:sz="4" w:space="0" w:color="auto"/>
            </w:tcBorders>
            <w:noWrap/>
            <w:vAlign w:val="center"/>
            <w:hideMark/>
          </w:tcPr>
          <w:p w14:paraId="3D5C76E0" w14:textId="77777777" w:rsidR="00185C55" w:rsidRPr="00F34D3E" w:rsidRDefault="00960D31" w:rsidP="001335E8">
            <w:pPr>
              <w:spacing w:after="0" w:line="240" w:lineRule="auto"/>
              <w:jc w:val="center"/>
              <w:rPr>
                <w:rFonts w:asciiTheme="majorBidi" w:eastAsia="Times New Roman" w:hAnsiTheme="majorBidi" w:cstheme="majorBidi"/>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15.3.1</m:t>
                    </m:r>
                  </m:sub>
                </m:sSub>
              </m:oMath>
            </m:oMathPara>
          </w:p>
        </w:tc>
        <w:tc>
          <w:tcPr>
            <w:tcW w:w="824" w:type="pct"/>
            <w:tcBorders>
              <w:top w:val="nil"/>
              <w:left w:val="nil"/>
              <w:bottom w:val="single" w:sz="8" w:space="0" w:color="auto"/>
              <w:right w:val="single" w:sz="4" w:space="0" w:color="auto"/>
            </w:tcBorders>
            <w:noWrap/>
            <w:vAlign w:val="center"/>
            <w:hideMark/>
          </w:tcPr>
          <w:p w14:paraId="1F494DC9"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15.3.1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15.3.1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8" w:space="0" w:color="auto"/>
              <w:right w:val="single" w:sz="4" w:space="0" w:color="auto"/>
            </w:tcBorders>
            <w:noWrap/>
            <w:vAlign w:val="center"/>
            <w:hideMark/>
          </w:tcPr>
          <w:p w14:paraId="5A39ECC3"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15.3.1</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15.3.1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15.3.1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15.3.1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15.3.1</m:t>
                                </m:r>
                              </m:sub>
                            </m:sSub>
                          </m:e>
                          <m:sub>
                            <m:r>
                              <w:rPr>
                                <w:rFonts w:ascii="Cambria Math" w:hAnsi="Cambria Math" w:cs="Times New Roman"/>
                                <w:sz w:val="16"/>
                                <w:szCs w:val="16"/>
                              </w:rPr>
                              <m:t>s</m:t>
                            </m:r>
                          </m:sub>
                        </m:sSub>
                      </m:e>
                    </m:func>
                  </m:den>
                </m:f>
              </m:oMath>
            </m:oMathPara>
          </w:p>
        </w:tc>
        <w:tc>
          <w:tcPr>
            <w:tcW w:w="1960" w:type="pct"/>
            <w:vMerge/>
            <w:tcBorders>
              <w:left w:val="nil"/>
              <w:bottom w:val="single" w:sz="8" w:space="0" w:color="auto"/>
              <w:right w:val="nil"/>
            </w:tcBorders>
            <w:noWrap/>
            <w:vAlign w:val="center"/>
            <w:hideMark/>
          </w:tcPr>
          <w:p w14:paraId="7B3CDF62" w14:textId="77777777" w:rsidR="00185C55" w:rsidRPr="00F34D3E" w:rsidRDefault="00185C55" w:rsidP="001335E8">
            <w:pPr>
              <w:spacing w:after="0" w:line="240" w:lineRule="auto"/>
              <w:rPr>
                <w:rFonts w:asciiTheme="majorBidi" w:eastAsia="Times New Roman" w:hAnsiTheme="majorBidi" w:cstheme="majorBidi"/>
                <w:color w:val="000000"/>
                <w:kern w:val="0"/>
                <w:sz w:val="16"/>
                <w:szCs w:val="16"/>
                <w:lang w:val="en-US"/>
                <w14:ligatures w14:val="none"/>
              </w:rPr>
            </w:pPr>
          </w:p>
        </w:tc>
      </w:tr>
      <w:tr w:rsidR="00185C55" w:rsidRPr="00F34D3E" w14:paraId="62CAD10D" w14:textId="77777777" w:rsidTr="001335E8">
        <w:trPr>
          <w:trHeight w:val="278"/>
        </w:trPr>
        <w:tc>
          <w:tcPr>
            <w:tcW w:w="942" w:type="pct"/>
            <w:tcBorders>
              <w:top w:val="nil"/>
              <w:left w:val="nil"/>
              <w:bottom w:val="single" w:sz="8" w:space="0" w:color="auto"/>
              <w:right w:val="single" w:sz="4" w:space="0" w:color="auto"/>
            </w:tcBorders>
            <w:noWrap/>
            <w:vAlign w:val="center"/>
            <w:hideMark/>
          </w:tcPr>
          <w:p w14:paraId="26518730" w14:textId="77777777" w:rsidR="00185C55" w:rsidRPr="00F34D3E" w:rsidRDefault="00960D31" w:rsidP="001335E8">
            <w:pPr>
              <w:spacing w:after="0" w:line="240" w:lineRule="auto"/>
              <w:jc w:val="center"/>
              <w:rPr>
                <w:rFonts w:asciiTheme="majorBidi" w:eastAsia="Times New Roman" w:hAnsiTheme="majorBidi" w:cstheme="majorBidi"/>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17.1.1</m:t>
                    </m:r>
                  </m:sub>
                </m:sSub>
              </m:oMath>
            </m:oMathPara>
          </w:p>
        </w:tc>
        <w:tc>
          <w:tcPr>
            <w:tcW w:w="824" w:type="pct"/>
            <w:tcBorders>
              <w:top w:val="nil"/>
              <w:left w:val="nil"/>
              <w:bottom w:val="single" w:sz="8" w:space="0" w:color="auto"/>
              <w:right w:val="single" w:sz="4" w:space="0" w:color="auto"/>
            </w:tcBorders>
            <w:noWrap/>
            <w:vAlign w:val="center"/>
            <w:hideMark/>
          </w:tcPr>
          <w:p w14:paraId="20BBF217" w14:textId="77777777" w:rsidR="00185C55" w:rsidRPr="00F34D3E" w:rsidRDefault="00960D31" w:rsidP="001335E8">
            <w:pPr>
              <w:spacing w:after="0" w:line="240" w:lineRule="auto"/>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17.1.1</m:t>
                    </m:r>
                  </m:sub>
                </m:sSub>
                <m:r>
                  <w:rPr>
                    <w:rFonts w:ascii="Cambria Math" w:eastAsia="Times New Roman" w:hAnsi="Cambria Math" w:cstheme="majorBidi"/>
                    <w:color w:val="000000"/>
                    <w:kern w:val="0"/>
                    <w:sz w:val="18"/>
                    <w:szCs w:val="18"/>
                    <w:lang w:val="en-US"/>
                    <w14:ligatures w14:val="none"/>
                  </w:rPr>
                  <m:t>=</m:t>
                </m:r>
                <m:nary>
                  <m:naryPr>
                    <m:chr m:val="∑"/>
                    <m:limLoc m:val="undOvr"/>
                    <m:ctrlPr>
                      <w:rPr>
                        <w:rFonts w:ascii="Cambria Math" w:eastAsia="Times New Roman" w:hAnsi="Cambria Math" w:cstheme="majorBidi"/>
                        <w:i/>
                        <w:color w:val="000000"/>
                        <w:kern w:val="0"/>
                        <w:sz w:val="16"/>
                        <w:szCs w:val="16"/>
                        <w:lang w:val="en-US"/>
                        <w14:ligatures w14:val="none"/>
                      </w:rPr>
                    </m:ctrlPr>
                  </m:naryPr>
                  <m:sub>
                    <m:r>
                      <w:rPr>
                        <w:rFonts w:ascii="Cambria Math" w:eastAsia="Times New Roman" w:hAnsi="Cambria Math" w:cstheme="majorBidi"/>
                        <w:color w:val="000000"/>
                        <w:kern w:val="0"/>
                        <w:sz w:val="16"/>
                        <w:szCs w:val="16"/>
                        <w:lang w:val="en-US"/>
                        <w14:ligatures w14:val="none"/>
                      </w:rPr>
                      <m:t>t=2024</m:t>
                    </m:r>
                  </m:sub>
                  <m:sup>
                    <m:r>
                      <w:rPr>
                        <w:rFonts w:ascii="Cambria Math" w:eastAsia="Times New Roman" w:hAnsi="Cambria Math" w:cstheme="majorBidi"/>
                        <w:color w:val="000000"/>
                        <w:kern w:val="0"/>
                        <w:sz w:val="16"/>
                        <w:szCs w:val="16"/>
                        <w:lang w:val="en-US"/>
                        <w14:ligatures w14:val="none"/>
                      </w:rPr>
                      <m:t>2050</m:t>
                    </m:r>
                  </m:sup>
                  <m:e>
                    <m:sSub>
                      <m:sSubPr>
                        <m:ctrlPr>
                          <w:rPr>
                            <w:rFonts w:ascii="Cambria Math" w:eastAsia="Times New Roman" w:hAnsi="Cambria Math" w:cstheme="majorBidi"/>
                            <w:i/>
                            <w:color w:val="000000"/>
                            <w:kern w:val="0"/>
                            <w:sz w:val="16"/>
                            <w:szCs w:val="16"/>
                            <w:lang w:val="en-US"/>
                            <w14:ligatures w14:val="none"/>
                          </w:rPr>
                        </m:ctrlPr>
                      </m:sSubPr>
                      <m:e>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Var</m:t>
                            </m:r>
                          </m:e>
                          <m:sub>
                            <m:r>
                              <w:rPr>
                                <w:rFonts w:ascii="Cambria Math" w:eastAsia="Times New Roman" w:hAnsi="Cambria Math" w:cstheme="majorBidi"/>
                                <w:color w:val="000000"/>
                                <w:kern w:val="0"/>
                                <w:sz w:val="16"/>
                                <w:szCs w:val="16"/>
                                <w:lang w:val="en-US"/>
                                <w14:ligatures w14:val="none"/>
                              </w:rPr>
                              <m:t>17.1.1</m:t>
                            </m:r>
                          </m:sub>
                        </m:sSub>
                      </m:e>
                      <m:sub>
                        <m:r>
                          <w:rPr>
                            <w:rFonts w:ascii="Cambria Math" w:eastAsia="Times New Roman" w:hAnsi="Cambria Math" w:cstheme="majorBidi"/>
                            <w:color w:val="000000"/>
                            <w:kern w:val="0"/>
                            <w:sz w:val="16"/>
                            <w:szCs w:val="16"/>
                            <w:lang w:val="en-US"/>
                            <w14:ligatures w14:val="none"/>
                          </w:rPr>
                          <m:t>t</m:t>
                        </m:r>
                      </m:sub>
                    </m:sSub>
                  </m:e>
                </m:nary>
              </m:oMath>
            </m:oMathPara>
          </w:p>
        </w:tc>
        <w:tc>
          <w:tcPr>
            <w:tcW w:w="1274" w:type="pct"/>
            <w:tcBorders>
              <w:top w:val="nil"/>
              <w:left w:val="nil"/>
              <w:bottom w:val="single" w:sz="8" w:space="0" w:color="auto"/>
              <w:right w:val="single" w:sz="4" w:space="0" w:color="auto"/>
            </w:tcBorders>
            <w:noWrap/>
            <w:vAlign w:val="center"/>
            <w:hideMark/>
          </w:tcPr>
          <w:p w14:paraId="654311ED"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eastAsia="Times New Roman" w:hAnsi="Cambria Math" w:cstheme="majorBidi"/>
                            <w:color w:val="000000"/>
                            <w:kern w:val="0"/>
                            <w:sz w:val="16"/>
                            <w:szCs w:val="16"/>
                            <w:lang w:val="en-US"/>
                            <w14:ligatures w14:val="none"/>
                          </w:rPr>
                          <m:t>17.1.1</m:t>
                        </m:r>
                      </m:sub>
                    </m:sSub>
                  </m:e>
                  <m:sub>
                    <m:r>
                      <w:rPr>
                        <w:rFonts w:ascii="Cambria Math" w:hAnsi="Cambria Math" w:cs="Times New Roman"/>
                        <w:sz w:val="16"/>
                        <w:szCs w:val="16"/>
                      </w:rPr>
                      <m:t>s</m:t>
                    </m:r>
                  </m:sub>
                </m:sSub>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17.1.1</m:t>
                            </m:r>
                          </m:sub>
                        </m:sSub>
                      </m:e>
                      <m:sub>
                        <m:r>
                          <w:rPr>
                            <w:rFonts w:ascii="Cambria Math" w:hAnsi="Cambria Math" w:cs="Times New Roman"/>
                            <w:sz w:val="16"/>
                            <w:szCs w:val="16"/>
                          </w:rPr>
                          <m:t>s</m:t>
                        </m:r>
                      </m:sub>
                    </m:sSub>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17.1.1</m:t>
                                </m:r>
                              </m:sub>
                            </m:sSub>
                          </m:e>
                          <m:sub>
                            <m:r>
                              <w:rPr>
                                <w:rFonts w:ascii="Cambria Math" w:hAnsi="Cambria Math" w:cs="Times New Roman"/>
                                <w:sz w:val="16"/>
                                <w:szCs w:val="16"/>
                              </w:rPr>
                              <m:t>s</m:t>
                            </m:r>
                          </m:sub>
                        </m:sSub>
                      </m:e>
                    </m:func>
                  </m:num>
                  <m:den>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max</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17.1.1</m:t>
                                </m:r>
                              </m:sub>
                            </m:sSub>
                          </m:e>
                          <m:sub>
                            <m:r>
                              <w:rPr>
                                <w:rFonts w:ascii="Cambria Math" w:hAnsi="Cambria Math" w:cs="Times New Roman"/>
                                <w:sz w:val="16"/>
                                <w:szCs w:val="16"/>
                              </w:rPr>
                              <m:t>s</m:t>
                            </m:r>
                          </m:sub>
                        </m:sSub>
                      </m:e>
                    </m:func>
                    <m:r>
                      <w:rPr>
                        <w:rFonts w:ascii="Cambria Math" w:hAnsi="Cambria Math" w:cs="Times New Roman"/>
                        <w:sz w:val="16"/>
                        <w:szCs w:val="16"/>
                      </w:rPr>
                      <m:t>-</m:t>
                    </m:r>
                    <m:func>
                      <m:funcPr>
                        <m:ctrlPr>
                          <w:rPr>
                            <w:rFonts w:ascii="Cambria Math" w:hAnsi="Cambria Math" w:cs="Times New Roman"/>
                            <w:i/>
                            <w:sz w:val="16"/>
                            <w:szCs w:val="16"/>
                          </w:rPr>
                        </m:ctrlPr>
                      </m:funcPr>
                      <m:fName>
                        <m:limLow>
                          <m:limLowPr>
                            <m:ctrlPr>
                              <w:rPr>
                                <w:rFonts w:ascii="Cambria Math" w:hAnsi="Cambria Math" w:cs="Times New Roman"/>
                                <w:i/>
                                <w:sz w:val="16"/>
                                <w:szCs w:val="16"/>
                              </w:rPr>
                            </m:ctrlPr>
                          </m:limLowPr>
                          <m:e>
                            <m:r>
                              <m:rPr>
                                <m:sty m:val="p"/>
                              </m:rPr>
                              <w:rPr>
                                <w:rFonts w:ascii="Cambria Math" w:hAnsi="Cambria Math" w:cs="Times New Roman"/>
                                <w:sz w:val="16"/>
                                <w:szCs w:val="16"/>
                              </w:rPr>
                              <m:t>min</m:t>
                            </m:r>
                          </m:e>
                          <m:lim>
                            <m:r>
                              <w:rPr>
                                <w:rFonts w:ascii="Cambria Math" w:hAnsi="Cambria Math" w:cs="Times New Roman"/>
                                <w:sz w:val="16"/>
                                <w:szCs w:val="16"/>
                              </w:rPr>
                              <m:t>s∈S</m:t>
                            </m:r>
                          </m:lim>
                        </m:limLow>
                      </m:fName>
                      <m:e>
                        <m:sSub>
                          <m:sSubPr>
                            <m:ctrlPr>
                              <w:rPr>
                                <w:rFonts w:ascii="Cambria Math" w:hAnsi="Cambria Math" w:cs="Times New Roman"/>
                                <w:i/>
                                <w:sz w:val="16"/>
                                <w:szCs w:val="16"/>
                              </w:rPr>
                            </m:ctrlPr>
                          </m:sSubPr>
                          <m:e>
                            <m:sSub>
                              <m:sSubPr>
                                <m:ctrlPr>
                                  <w:rPr>
                                    <w:rFonts w:ascii="Cambria Math" w:hAnsi="Cambria Math" w:cs="Times New Roman"/>
                                    <w:i/>
                                    <w:sz w:val="16"/>
                                    <w:szCs w:val="16"/>
                                  </w:rPr>
                                </m:ctrlPr>
                              </m:sSubPr>
                              <m:e>
                                <m:r>
                                  <w:rPr>
                                    <w:rFonts w:ascii="Cambria Math" w:hAnsi="Cambria Math" w:cs="Times New Roman"/>
                                    <w:sz w:val="16"/>
                                    <w:szCs w:val="16"/>
                                  </w:rPr>
                                  <m:t>I</m:t>
                                </m:r>
                              </m:e>
                              <m:sub>
                                <m:r>
                                  <w:rPr>
                                    <w:rFonts w:ascii="Cambria Math" w:eastAsia="Times New Roman" w:hAnsi="Cambria Math" w:cstheme="majorBidi"/>
                                    <w:color w:val="000000"/>
                                    <w:kern w:val="0"/>
                                    <w:sz w:val="16"/>
                                    <w:szCs w:val="16"/>
                                    <w:lang w:val="en-US"/>
                                    <w14:ligatures w14:val="none"/>
                                  </w:rPr>
                                  <m:t>17.1.1</m:t>
                                </m:r>
                              </m:sub>
                            </m:sSub>
                          </m:e>
                          <m:sub>
                            <m:r>
                              <w:rPr>
                                <w:rFonts w:ascii="Cambria Math" w:hAnsi="Cambria Math" w:cs="Times New Roman"/>
                                <w:sz w:val="16"/>
                                <w:szCs w:val="16"/>
                              </w:rPr>
                              <m:t>s</m:t>
                            </m:r>
                          </m:sub>
                        </m:sSub>
                      </m:e>
                    </m:func>
                  </m:den>
                </m:f>
              </m:oMath>
            </m:oMathPara>
          </w:p>
        </w:tc>
        <w:tc>
          <w:tcPr>
            <w:tcW w:w="1960" w:type="pct"/>
            <w:tcBorders>
              <w:top w:val="nil"/>
              <w:left w:val="nil"/>
              <w:bottom w:val="single" w:sz="8" w:space="0" w:color="auto"/>
              <w:right w:val="nil"/>
            </w:tcBorders>
            <w:noWrap/>
            <w:vAlign w:val="center"/>
            <w:hideMark/>
          </w:tcPr>
          <w:p w14:paraId="5913AC6E" w14:textId="77777777" w:rsidR="00185C55" w:rsidRPr="00F34D3E" w:rsidRDefault="00960D31" w:rsidP="001335E8">
            <w:pPr>
              <w:spacing w:after="0" w:line="240" w:lineRule="auto"/>
              <w:jc w:val="center"/>
              <w:rPr>
                <w:rFonts w:asciiTheme="majorBidi" w:eastAsia="Times New Roman" w:hAnsiTheme="majorBidi" w:cstheme="majorBidi"/>
                <w:color w:val="000000"/>
                <w:kern w:val="0"/>
                <w:sz w:val="16"/>
                <w:szCs w:val="16"/>
                <w:lang w:val="en-US"/>
                <w14:ligatures w14:val="none"/>
              </w:rPr>
            </w:pPr>
            <m:oMathPara>
              <m:oMath>
                <m:sSub>
                  <m:sSubPr>
                    <m:ctrlPr>
                      <w:rPr>
                        <w:rFonts w:ascii="Cambria Math" w:eastAsia="Times New Roman" w:hAnsi="Cambria Math" w:cstheme="majorBidi"/>
                        <w:i/>
                        <w:color w:val="000000"/>
                        <w:kern w:val="0"/>
                        <w:sz w:val="16"/>
                        <w:szCs w:val="16"/>
                        <w:lang w:val="en-US"/>
                        <w14:ligatures w14:val="none"/>
                      </w:rPr>
                    </m:ctrlPr>
                  </m:sSubPr>
                  <m:e>
                    <m:r>
                      <w:rPr>
                        <w:rFonts w:ascii="Cambria Math" w:eastAsia="Times New Roman" w:hAnsi="Cambria Math" w:cstheme="majorBidi"/>
                        <w:color w:val="000000"/>
                        <w:kern w:val="0"/>
                        <w:sz w:val="16"/>
                        <w:szCs w:val="16"/>
                        <w:lang w:val="en-US"/>
                        <w14:ligatures w14:val="none"/>
                      </w:rPr>
                      <m:t>C</m:t>
                    </m:r>
                  </m:e>
                  <m:sub>
                    <m:r>
                      <w:rPr>
                        <w:rFonts w:ascii="Cambria Math" w:eastAsia="Times New Roman" w:hAnsi="Cambria Math" w:cstheme="majorBidi"/>
                        <w:color w:val="000000"/>
                        <w:kern w:val="0"/>
                        <w:sz w:val="16"/>
                        <w:szCs w:val="16"/>
                        <w:lang w:val="en-US"/>
                        <w14:ligatures w14:val="none"/>
                      </w:rPr>
                      <m:t>17</m:t>
                    </m:r>
                  </m:sub>
                </m:sSub>
                <m:r>
                  <w:rPr>
                    <w:rFonts w:ascii="Cambria Math" w:eastAsia="Times New Roman" w:hAnsi="Cambria Math" w:cstheme="majorBidi"/>
                    <w:color w:val="000000"/>
                    <w:kern w:val="0"/>
                    <w:sz w:val="16"/>
                    <w:szCs w:val="16"/>
                    <w:lang w:val="en-US"/>
                    <w14:ligatures w14:val="none"/>
                  </w:rPr>
                  <m:t>=</m:t>
                </m:r>
                <m:sSub>
                  <m:sSubPr>
                    <m:ctrlPr>
                      <w:rPr>
                        <w:rFonts w:ascii="Cambria Math" w:hAnsi="Cambria Math" w:cs="Times New Roman"/>
                        <w:i/>
                        <w:sz w:val="16"/>
                        <w:szCs w:val="16"/>
                      </w:rPr>
                    </m:ctrlPr>
                  </m:sSubPr>
                  <m:e>
                    <m:r>
                      <w:rPr>
                        <w:rFonts w:ascii="Cambria Math" w:hAnsi="Cambria Math" w:cs="Times New Roman"/>
                        <w:sz w:val="16"/>
                        <w:szCs w:val="16"/>
                      </w:rPr>
                      <m:t>SC</m:t>
                    </m:r>
                  </m:e>
                  <m:sub>
                    <m:r>
                      <w:rPr>
                        <w:rFonts w:ascii="Cambria Math" w:hAnsi="Cambria Math" w:cs="Times New Roman"/>
                        <w:sz w:val="16"/>
                        <w:szCs w:val="16"/>
                      </w:rPr>
                      <m:t>17.1.1</m:t>
                    </m:r>
                  </m:sub>
                </m:sSub>
              </m:oMath>
            </m:oMathPara>
          </w:p>
        </w:tc>
      </w:tr>
    </w:tbl>
    <w:p w14:paraId="1C5A7DBC" w14:textId="77777777" w:rsidR="00185C55" w:rsidRDefault="00185C55" w:rsidP="00185C55">
      <w:pPr>
        <w:spacing w:after="0" w:line="300" w:lineRule="atLeast"/>
        <w:ind w:left="708" w:hanging="708"/>
        <w:jc w:val="both"/>
      </w:pPr>
    </w:p>
    <w:p w14:paraId="216176D2" w14:textId="77777777" w:rsidR="005C6AD9" w:rsidRDefault="005C6AD9" w:rsidP="00185C55">
      <w:pPr>
        <w:spacing w:after="0" w:line="300" w:lineRule="atLeast"/>
        <w:ind w:left="708" w:hanging="708"/>
        <w:jc w:val="both"/>
        <w:sectPr w:rsidR="005C6AD9" w:rsidSect="00186150">
          <w:pgSz w:w="11906" w:h="16838"/>
          <w:pgMar w:top="1417" w:right="1701" w:bottom="1417" w:left="1701" w:header="708" w:footer="708" w:gutter="0"/>
          <w:cols w:space="708"/>
          <w:docGrid w:linePitch="360"/>
        </w:sectPr>
      </w:pPr>
    </w:p>
    <w:p w14:paraId="6107C7DB" w14:textId="45D1EC42" w:rsidR="007771A9" w:rsidRDefault="007771A9" w:rsidP="00185C55">
      <w:pPr>
        <w:spacing w:after="0" w:line="300" w:lineRule="atLeast"/>
        <w:ind w:left="708" w:hanging="708"/>
        <w:jc w:val="both"/>
      </w:pPr>
    </w:p>
    <w:p w14:paraId="31214F09" w14:textId="0AAF89AE" w:rsidR="007771A9" w:rsidRPr="002D4807" w:rsidRDefault="00510AF0" w:rsidP="007771A9">
      <w:pPr>
        <w:pStyle w:val="Descripcin"/>
        <w:rPr>
          <w:b/>
          <w:bCs/>
          <w:i w:val="0"/>
          <w:iCs w:val="0"/>
          <w:noProof/>
          <w:color w:val="auto"/>
          <w:sz w:val="24"/>
          <w:szCs w:val="24"/>
          <w:lang w:val="en-GB"/>
        </w:rPr>
      </w:pPr>
      <w:bookmarkStart w:id="11" w:name="_Ref220061819"/>
      <w:r w:rsidRPr="00C95E29">
        <w:rPr>
          <w:b/>
          <w:bCs/>
          <w:i w:val="0"/>
          <w:iCs w:val="0"/>
          <w:sz w:val="24"/>
          <w:szCs w:val="24"/>
          <w:lang w:val="en-GB"/>
        </w:rPr>
        <w:t xml:space="preserve">Supplementary Note </w:t>
      </w:r>
      <w:r>
        <w:rPr>
          <w:b/>
          <w:bCs/>
          <w:i w:val="0"/>
          <w:iCs w:val="0"/>
          <w:color w:val="auto"/>
          <w:sz w:val="24"/>
          <w:szCs w:val="24"/>
          <w:lang w:val="en-GB"/>
        </w:rPr>
        <w:t>4</w:t>
      </w:r>
      <w:bookmarkEnd w:id="11"/>
      <w:r w:rsidR="007771A9" w:rsidRPr="002D4807">
        <w:rPr>
          <w:b/>
          <w:bCs/>
          <w:i w:val="0"/>
          <w:iCs w:val="0"/>
          <w:noProof/>
          <w:color w:val="auto"/>
          <w:sz w:val="24"/>
          <w:szCs w:val="24"/>
          <w:lang w:val="en-GB"/>
        </w:rPr>
        <w:t>. Definition of regions in WILIAM</w:t>
      </w:r>
    </w:p>
    <w:p w14:paraId="107F038D" w14:textId="7A8D12ED" w:rsidR="007771A9" w:rsidRPr="007771A9" w:rsidRDefault="007771A9" w:rsidP="007771A9">
      <w:pPr>
        <w:rPr>
          <w:lang w:val="en-GB"/>
        </w:rPr>
      </w:pPr>
      <w:r>
        <w:rPr>
          <w:lang w:val="en-GB"/>
        </w:rPr>
        <w:t xml:space="preserve">The definition of the regions in WILIAM follows an </w:t>
      </w:r>
      <w:r w:rsidR="004C30DC">
        <w:rPr>
          <w:lang w:val="en-GB"/>
        </w:rPr>
        <w:t>economic criterion</w:t>
      </w:r>
      <w:r>
        <w:rPr>
          <w:lang w:val="en-GB"/>
        </w:rPr>
        <w:t xml:space="preserve"> to integrate the </w:t>
      </w:r>
      <w:r w:rsidR="002D4807">
        <w:rPr>
          <w:lang w:val="en-GB"/>
        </w:rPr>
        <w:t>inter-country</w:t>
      </w:r>
      <w:r w:rsidR="004C30DC">
        <w:rPr>
          <w:lang w:val="en-GB"/>
        </w:rPr>
        <w:t xml:space="preserve"> </w:t>
      </w:r>
      <w:r>
        <w:rPr>
          <w:lang w:val="en-GB"/>
        </w:rPr>
        <w:t>input-output tables</w:t>
      </w:r>
      <w:r w:rsidR="002D4807">
        <w:rPr>
          <w:lang w:val="en-GB"/>
        </w:rPr>
        <w:t xml:space="preserve"> of the Organisation for Economic Co-operation and Development (OECD)</w:t>
      </w:r>
      <w:r w:rsidR="002D4807">
        <w:rPr>
          <w:rStyle w:val="Refdenotaalpie"/>
          <w:lang w:val="en-GB"/>
        </w:rPr>
        <w:footnoteReference w:id="2"/>
      </w:r>
      <w:r w:rsidR="004C30DC">
        <w:rPr>
          <w:lang w:val="en-GB"/>
        </w:rPr>
        <w:t>.</w:t>
      </w:r>
      <w:r>
        <w:rPr>
          <w:lang w:val="en-GB"/>
        </w:rPr>
        <w:t xml:space="preserve"> </w:t>
      </w:r>
      <w:r w:rsidR="00510AF0">
        <w:rPr>
          <w:lang w:val="en-GB"/>
        </w:rPr>
        <w:t xml:space="preserve">The correspondence between regions and countries is detailed in </w:t>
      </w:r>
      <w:r w:rsidR="00510AF0">
        <w:rPr>
          <w:lang w:val="en-GB"/>
        </w:rPr>
        <w:fldChar w:fldCharType="begin"/>
      </w:r>
      <w:r w:rsidR="00510AF0">
        <w:rPr>
          <w:lang w:val="en-GB"/>
        </w:rPr>
        <w:instrText xml:space="preserve"> REF _Ref221535511 \h  \* MERGEFORMAT </w:instrText>
      </w:r>
      <w:r w:rsidR="00510AF0">
        <w:rPr>
          <w:lang w:val="en-GB"/>
        </w:rPr>
      </w:r>
      <w:r w:rsidR="00510AF0">
        <w:rPr>
          <w:lang w:val="en-GB"/>
        </w:rPr>
        <w:fldChar w:fldCharType="separate"/>
      </w:r>
      <w:r w:rsidR="00510AF0">
        <w:rPr>
          <w:lang w:val="en-GB"/>
        </w:rPr>
        <w:t>t</w:t>
      </w:r>
      <w:r w:rsidR="00510AF0" w:rsidRPr="00510AF0">
        <w:rPr>
          <w:lang w:val="en-GB"/>
        </w:rPr>
        <w:t>able S.5</w:t>
      </w:r>
      <w:r w:rsidR="00510AF0">
        <w:rPr>
          <w:lang w:val="en-GB"/>
        </w:rPr>
        <w:fldChar w:fldCharType="end"/>
      </w:r>
      <w:r w:rsidR="00510AF0">
        <w:rPr>
          <w:lang w:val="en-GB"/>
        </w:rPr>
        <w:t>.</w:t>
      </w:r>
    </w:p>
    <w:p w14:paraId="7110E7B6" w14:textId="6A8B7435" w:rsidR="007771A9" w:rsidRPr="007771A9" w:rsidRDefault="007771A9" w:rsidP="007771A9">
      <w:pPr>
        <w:rPr>
          <w:lang w:val="en-GB"/>
        </w:rPr>
      </w:pPr>
      <w:r>
        <w:rPr>
          <w:noProof/>
          <w:lang w:val="en-GB"/>
        </w:rPr>
        <w:drawing>
          <wp:inline distT="0" distB="0" distL="0" distR="0" wp14:anchorId="4DBE78A0" wp14:editId="3E15EF55">
            <wp:extent cx="5386705" cy="2850515"/>
            <wp:effectExtent l="0" t="0" r="444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6705" cy="2850515"/>
                    </a:xfrm>
                    <a:prstGeom prst="rect">
                      <a:avLst/>
                    </a:prstGeom>
                    <a:noFill/>
                    <a:ln>
                      <a:noFill/>
                    </a:ln>
                  </pic:spPr>
                </pic:pic>
              </a:graphicData>
            </a:graphic>
          </wp:inline>
        </w:drawing>
      </w:r>
    </w:p>
    <w:p w14:paraId="09E6CB75" w14:textId="77777777" w:rsidR="007771A9" w:rsidRPr="007771A9" w:rsidRDefault="007771A9" w:rsidP="007771A9">
      <w:pPr>
        <w:rPr>
          <w:lang w:val="en-GB"/>
        </w:rPr>
      </w:pPr>
    </w:p>
    <w:p w14:paraId="04264FAA" w14:textId="77777777" w:rsidR="007771A9" w:rsidRDefault="007771A9" w:rsidP="007771A9">
      <w:pPr>
        <w:rPr>
          <w:lang w:val="en-GB"/>
        </w:rPr>
      </w:pPr>
    </w:p>
    <w:p w14:paraId="0B0BDAE3" w14:textId="58546A3A" w:rsidR="00510AF0" w:rsidRPr="00510AF0" w:rsidRDefault="00510AF0" w:rsidP="00510AF0">
      <w:pPr>
        <w:pStyle w:val="Descripcin"/>
        <w:keepNext/>
        <w:jc w:val="center"/>
        <w:rPr>
          <w:b/>
          <w:bCs/>
          <w:i w:val="0"/>
          <w:iCs w:val="0"/>
          <w:color w:val="auto"/>
          <w:sz w:val="20"/>
          <w:szCs w:val="20"/>
          <w:lang w:val="en-GB"/>
        </w:rPr>
      </w:pPr>
      <w:bookmarkStart w:id="12" w:name="_Ref221535511"/>
      <w:r w:rsidRPr="00510AF0">
        <w:rPr>
          <w:b/>
          <w:bCs/>
          <w:i w:val="0"/>
          <w:iCs w:val="0"/>
          <w:color w:val="auto"/>
          <w:sz w:val="20"/>
          <w:szCs w:val="20"/>
          <w:lang w:val="en-GB"/>
        </w:rPr>
        <w:t>Table S</w:t>
      </w:r>
      <w:r w:rsidRPr="00510AF0">
        <w:rPr>
          <w:b/>
          <w:bCs/>
          <w:i w:val="0"/>
          <w:iCs w:val="0"/>
          <w:color w:val="auto"/>
          <w:sz w:val="20"/>
          <w:szCs w:val="20"/>
        </w:rPr>
        <w:fldChar w:fldCharType="begin"/>
      </w:r>
      <w:r w:rsidRPr="00510AF0">
        <w:rPr>
          <w:b/>
          <w:bCs/>
          <w:i w:val="0"/>
          <w:iCs w:val="0"/>
          <w:color w:val="auto"/>
          <w:sz w:val="20"/>
          <w:szCs w:val="20"/>
          <w:lang w:val="en-GB"/>
        </w:rPr>
        <w:instrText xml:space="preserve"> SEQ Table_S \* ARABIC </w:instrText>
      </w:r>
      <w:r w:rsidRPr="00510AF0">
        <w:rPr>
          <w:b/>
          <w:bCs/>
          <w:i w:val="0"/>
          <w:iCs w:val="0"/>
          <w:color w:val="auto"/>
          <w:sz w:val="20"/>
          <w:szCs w:val="20"/>
        </w:rPr>
        <w:fldChar w:fldCharType="separate"/>
      </w:r>
      <w:r w:rsidR="00C26182">
        <w:rPr>
          <w:b/>
          <w:bCs/>
          <w:i w:val="0"/>
          <w:iCs w:val="0"/>
          <w:noProof/>
          <w:color w:val="auto"/>
          <w:sz w:val="20"/>
          <w:szCs w:val="20"/>
          <w:lang w:val="en-GB"/>
        </w:rPr>
        <w:t>6</w:t>
      </w:r>
      <w:r w:rsidRPr="00510AF0">
        <w:rPr>
          <w:b/>
          <w:bCs/>
          <w:i w:val="0"/>
          <w:iCs w:val="0"/>
          <w:color w:val="auto"/>
          <w:sz w:val="20"/>
          <w:szCs w:val="20"/>
        </w:rPr>
        <w:fldChar w:fldCharType="end"/>
      </w:r>
      <w:bookmarkEnd w:id="12"/>
      <w:r w:rsidRPr="00510AF0">
        <w:rPr>
          <w:b/>
          <w:bCs/>
          <w:i w:val="0"/>
          <w:iCs w:val="0"/>
          <w:color w:val="auto"/>
          <w:sz w:val="20"/>
          <w:szCs w:val="20"/>
          <w:lang w:val="en-GB"/>
        </w:rPr>
        <w:t>. Definition of regions in the WILIAM integrated assessment model.</w:t>
      </w:r>
    </w:p>
    <w:tbl>
      <w:tblPr>
        <w:tblW w:w="5000" w:type="pct"/>
        <w:tblLook w:val="04A0" w:firstRow="1" w:lastRow="0" w:firstColumn="1" w:lastColumn="0" w:noHBand="0" w:noVBand="1"/>
      </w:tblPr>
      <w:tblGrid>
        <w:gridCol w:w="322"/>
        <w:gridCol w:w="2718"/>
        <w:gridCol w:w="2262"/>
        <w:gridCol w:w="1277"/>
        <w:gridCol w:w="1056"/>
        <w:gridCol w:w="864"/>
      </w:tblGrid>
      <w:tr w:rsidR="004C30DC" w:rsidRPr="004C30DC" w14:paraId="5F1EB0C5" w14:textId="77777777" w:rsidTr="00510AF0">
        <w:trPr>
          <w:trHeight w:val="936"/>
        </w:trPr>
        <w:tc>
          <w:tcPr>
            <w:tcW w:w="189" w:type="pct"/>
            <w:tcBorders>
              <w:top w:val="nil"/>
              <w:left w:val="nil"/>
              <w:bottom w:val="nil"/>
              <w:right w:val="nil"/>
            </w:tcBorders>
            <w:noWrap/>
            <w:vAlign w:val="bottom"/>
            <w:hideMark/>
          </w:tcPr>
          <w:p w14:paraId="4E633F27" w14:textId="77777777" w:rsidR="004C30DC" w:rsidRPr="004C30DC" w:rsidRDefault="004C30DC" w:rsidP="004C30DC">
            <w:pPr>
              <w:spacing w:after="0" w:line="240" w:lineRule="auto"/>
              <w:rPr>
                <w:rFonts w:eastAsia="Times New Roman" w:cs="Times New Roman"/>
                <w:kern w:val="0"/>
                <w:sz w:val="24"/>
                <w:szCs w:val="24"/>
                <w:lang w:val="en-GB" w:eastAsia="en-GB"/>
                <w14:ligatures w14:val="none"/>
              </w:rPr>
            </w:pPr>
          </w:p>
        </w:tc>
        <w:tc>
          <w:tcPr>
            <w:tcW w:w="1599" w:type="pct"/>
            <w:tcBorders>
              <w:top w:val="single" w:sz="4" w:space="0" w:color="auto"/>
              <w:left w:val="single" w:sz="4" w:space="0" w:color="auto"/>
              <w:bottom w:val="single" w:sz="4" w:space="0" w:color="auto"/>
              <w:right w:val="single" w:sz="4" w:space="0" w:color="auto"/>
            </w:tcBorders>
            <w:noWrap/>
            <w:vAlign w:val="center"/>
            <w:hideMark/>
          </w:tcPr>
          <w:p w14:paraId="507AA44B" w14:textId="77777777" w:rsidR="004C30DC" w:rsidRPr="004C30DC" w:rsidRDefault="004C30DC" w:rsidP="004C30DC">
            <w:pPr>
              <w:spacing w:after="0" w:line="240" w:lineRule="auto"/>
              <w:rPr>
                <w:rFonts w:ascii="Calibri" w:eastAsia="Times New Roman" w:hAnsi="Calibri" w:cs="Calibri"/>
                <w:b/>
                <w:bCs/>
                <w:color w:val="000000"/>
                <w:kern w:val="0"/>
                <w:sz w:val="24"/>
                <w:szCs w:val="24"/>
                <w:lang w:val="en-GB" w:eastAsia="en-GB"/>
                <w14:ligatures w14:val="none"/>
              </w:rPr>
            </w:pPr>
            <w:r w:rsidRPr="004C30DC">
              <w:rPr>
                <w:rFonts w:ascii="Calibri" w:eastAsia="Times New Roman" w:hAnsi="Calibri" w:cs="Calibri"/>
                <w:b/>
                <w:bCs/>
                <w:color w:val="000000"/>
                <w:kern w:val="0"/>
                <w:sz w:val="24"/>
                <w:szCs w:val="24"/>
                <w:lang w:val="en-GB" w:eastAsia="en-GB"/>
                <w14:ligatures w14:val="none"/>
              </w:rPr>
              <w:t>LOCOMOTION global regions</w:t>
            </w:r>
          </w:p>
        </w:tc>
        <w:tc>
          <w:tcPr>
            <w:tcW w:w="1331" w:type="pct"/>
            <w:tcBorders>
              <w:top w:val="single" w:sz="4" w:space="0" w:color="auto"/>
              <w:left w:val="nil"/>
              <w:bottom w:val="single" w:sz="4" w:space="0" w:color="auto"/>
              <w:right w:val="single" w:sz="4" w:space="0" w:color="auto"/>
            </w:tcBorders>
            <w:noWrap/>
            <w:vAlign w:val="center"/>
            <w:hideMark/>
          </w:tcPr>
          <w:p w14:paraId="0BFDA505" w14:textId="77777777" w:rsidR="004C30DC" w:rsidRPr="004C30DC" w:rsidRDefault="004C30DC" w:rsidP="004C30DC">
            <w:pPr>
              <w:spacing w:after="0" w:line="240" w:lineRule="auto"/>
              <w:rPr>
                <w:rFonts w:ascii="Calibri" w:eastAsia="Times New Roman" w:hAnsi="Calibri" w:cs="Calibri"/>
                <w:b/>
                <w:bCs/>
                <w:color w:val="000000"/>
                <w:kern w:val="0"/>
                <w:sz w:val="24"/>
                <w:szCs w:val="24"/>
                <w:lang w:val="en-GB" w:eastAsia="en-GB"/>
                <w14:ligatures w14:val="none"/>
              </w:rPr>
            </w:pPr>
            <w:r w:rsidRPr="004C30DC">
              <w:rPr>
                <w:rFonts w:ascii="Calibri" w:eastAsia="Times New Roman" w:hAnsi="Calibri" w:cs="Calibri"/>
                <w:b/>
                <w:bCs/>
                <w:color w:val="000000"/>
                <w:kern w:val="0"/>
                <w:sz w:val="24"/>
                <w:szCs w:val="24"/>
                <w:lang w:val="en-GB" w:eastAsia="en-GB"/>
                <w14:ligatures w14:val="none"/>
              </w:rPr>
              <w:t>LOCOMOTION acronym</w:t>
            </w:r>
          </w:p>
        </w:tc>
        <w:tc>
          <w:tcPr>
            <w:tcW w:w="751" w:type="pct"/>
            <w:tcBorders>
              <w:top w:val="nil"/>
              <w:left w:val="nil"/>
              <w:bottom w:val="nil"/>
              <w:right w:val="nil"/>
            </w:tcBorders>
            <w:noWrap/>
            <w:vAlign w:val="center"/>
            <w:hideMark/>
          </w:tcPr>
          <w:p w14:paraId="1CB06724" w14:textId="77777777" w:rsidR="004C30DC" w:rsidRPr="004C30DC" w:rsidRDefault="004C30DC" w:rsidP="004C30DC">
            <w:pPr>
              <w:spacing w:after="0" w:line="240" w:lineRule="auto"/>
              <w:rPr>
                <w:rFonts w:ascii="Calibri" w:eastAsia="Times New Roman" w:hAnsi="Calibri" w:cs="Calibri"/>
                <w:b/>
                <w:bCs/>
                <w:color w:val="000000"/>
                <w:kern w:val="0"/>
                <w:sz w:val="24"/>
                <w:szCs w:val="24"/>
                <w:lang w:val="en-GB" w:eastAsia="en-GB"/>
                <w14:ligatures w14:val="none"/>
              </w:rPr>
            </w:pPr>
            <w:r w:rsidRPr="004C30DC">
              <w:rPr>
                <w:rFonts w:ascii="Calibri" w:eastAsia="Times New Roman" w:hAnsi="Calibri" w:cs="Calibri"/>
                <w:b/>
                <w:bCs/>
                <w:color w:val="000000"/>
                <w:kern w:val="0"/>
                <w:sz w:val="24"/>
                <w:szCs w:val="24"/>
                <w:lang w:val="en-GB" w:eastAsia="en-GB"/>
                <w14:ligatures w14:val="none"/>
              </w:rPr>
              <w:t>Countries</w:t>
            </w:r>
          </w:p>
        </w:tc>
        <w:tc>
          <w:tcPr>
            <w:tcW w:w="621" w:type="pct"/>
            <w:tcBorders>
              <w:top w:val="single" w:sz="4" w:space="0" w:color="auto"/>
              <w:left w:val="single" w:sz="4" w:space="0" w:color="auto"/>
              <w:bottom w:val="single" w:sz="4" w:space="0" w:color="auto"/>
              <w:right w:val="single" w:sz="4" w:space="0" w:color="auto"/>
            </w:tcBorders>
            <w:vAlign w:val="center"/>
            <w:hideMark/>
          </w:tcPr>
          <w:p w14:paraId="36719E01" w14:textId="77777777" w:rsidR="004C30DC" w:rsidRPr="004C30DC" w:rsidRDefault="004C30DC" w:rsidP="004C30DC">
            <w:pPr>
              <w:spacing w:after="0" w:line="240" w:lineRule="auto"/>
              <w:jc w:val="center"/>
              <w:rPr>
                <w:rFonts w:ascii="Calibri" w:eastAsia="Times New Roman" w:hAnsi="Calibri" w:cs="Calibri"/>
                <w:b/>
                <w:bCs/>
                <w:color w:val="000000"/>
                <w:kern w:val="0"/>
                <w:sz w:val="24"/>
                <w:szCs w:val="24"/>
                <w:lang w:val="en-GB" w:eastAsia="en-GB"/>
                <w14:ligatures w14:val="none"/>
              </w:rPr>
            </w:pPr>
            <w:r w:rsidRPr="004C30DC">
              <w:rPr>
                <w:rFonts w:ascii="Calibri" w:eastAsia="Times New Roman" w:hAnsi="Calibri" w:cs="Calibri"/>
                <w:b/>
                <w:bCs/>
                <w:color w:val="000000"/>
                <w:kern w:val="0"/>
                <w:sz w:val="24"/>
                <w:szCs w:val="24"/>
                <w:lang w:val="en-GB" w:eastAsia="en-GB"/>
                <w14:ligatures w14:val="none"/>
              </w:rPr>
              <w:t>ICIO Code (matches with ALPHA-3 excepting for ROW)</w:t>
            </w:r>
          </w:p>
        </w:tc>
        <w:tc>
          <w:tcPr>
            <w:tcW w:w="508" w:type="pct"/>
            <w:tcBorders>
              <w:top w:val="single" w:sz="4" w:space="0" w:color="auto"/>
              <w:left w:val="nil"/>
              <w:bottom w:val="single" w:sz="4" w:space="0" w:color="auto"/>
              <w:right w:val="single" w:sz="4" w:space="0" w:color="auto"/>
            </w:tcBorders>
            <w:vAlign w:val="center"/>
            <w:hideMark/>
          </w:tcPr>
          <w:p w14:paraId="3FC7629B" w14:textId="77777777" w:rsidR="004C30DC" w:rsidRPr="004C30DC" w:rsidRDefault="004C30DC" w:rsidP="004C30DC">
            <w:pPr>
              <w:spacing w:after="0" w:line="240" w:lineRule="auto"/>
              <w:jc w:val="center"/>
              <w:rPr>
                <w:rFonts w:ascii="Calibri" w:eastAsia="Times New Roman" w:hAnsi="Calibri" w:cs="Calibri"/>
                <w:b/>
                <w:bCs/>
                <w:color w:val="000000"/>
                <w:kern w:val="0"/>
                <w:sz w:val="24"/>
                <w:szCs w:val="24"/>
                <w:lang w:val="en-GB" w:eastAsia="en-GB"/>
                <w14:ligatures w14:val="none"/>
              </w:rPr>
            </w:pPr>
            <w:r w:rsidRPr="004C30DC">
              <w:rPr>
                <w:rFonts w:ascii="Calibri" w:eastAsia="Times New Roman" w:hAnsi="Calibri" w:cs="Calibri"/>
                <w:b/>
                <w:bCs/>
                <w:color w:val="000000"/>
                <w:kern w:val="0"/>
                <w:sz w:val="24"/>
                <w:szCs w:val="24"/>
                <w:lang w:val="en-GB" w:eastAsia="en-GB"/>
                <w14:ligatures w14:val="none"/>
              </w:rPr>
              <w:t>ALPHA-2 code</w:t>
            </w:r>
          </w:p>
        </w:tc>
      </w:tr>
      <w:tr w:rsidR="004C30DC" w:rsidRPr="004C30DC" w14:paraId="7CEC6ECB" w14:textId="77777777" w:rsidTr="00510AF0">
        <w:trPr>
          <w:trHeight w:val="288"/>
        </w:trPr>
        <w:tc>
          <w:tcPr>
            <w:tcW w:w="189" w:type="pct"/>
            <w:vMerge w:val="restart"/>
            <w:tcBorders>
              <w:top w:val="single" w:sz="4" w:space="0" w:color="auto"/>
              <w:left w:val="single" w:sz="4" w:space="0" w:color="auto"/>
              <w:bottom w:val="single" w:sz="4" w:space="0" w:color="auto"/>
              <w:right w:val="single" w:sz="4" w:space="0" w:color="auto"/>
            </w:tcBorders>
            <w:noWrap/>
            <w:vAlign w:val="center"/>
            <w:hideMark/>
          </w:tcPr>
          <w:p w14:paraId="377054F3" w14:textId="77777777" w:rsidR="004C30DC" w:rsidRPr="004C30DC" w:rsidRDefault="004C30DC" w:rsidP="004C30DC">
            <w:pPr>
              <w:spacing w:after="0" w:line="240" w:lineRule="auto"/>
              <w:jc w:val="right"/>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1</w:t>
            </w:r>
          </w:p>
        </w:tc>
        <w:tc>
          <w:tcPr>
            <w:tcW w:w="1599" w:type="pct"/>
            <w:vMerge w:val="restart"/>
            <w:tcBorders>
              <w:top w:val="nil"/>
              <w:left w:val="single" w:sz="4" w:space="0" w:color="auto"/>
              <w:bottom w:val="single" w:sz="4" w:space="0" w:color="auto"/>
              <w:right w:val="single" w:sz="4" w:space="0" w:color="auto"/>
            </w:tcBorders>
            <w:vAlign w:val="center"/>
            <w:hideMark/>
          </w:tcPr>
          <w:p w14:paraId="6B77D0E1"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European Union</w:t>
            </w:r>
          </w:p>
        </w:tc>
        <w:tc>
          <w:tcPr>
            <w:tcW w:w="1331" w:type="pct"/>
            <w:vMerge w:val="restart"/>
            <w:tcBorders>
              <w:top w:val="nil"/>
              <w:left w:val="single" w:sz="4" w:space="0" w:color="auto"/>
              <w:bottom w:val="single" w:sz="4" w:space="0" w:color="auto"/>
              <w:right w:val="single" w:sz="4" w:space="0" w:color="auto"/>
            </w:tcBorders>
            <w:vAlign w:val="center"/>
            <w:hideMark/>
          </w:tcPr>
          <w:p w14:paraId="6E95497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EU27</w:t>
            </w:r>
          </w:p>
        </w:tc>
        <w:tc>
          <w:tcPr>
            <w:tcW w:w="751" w:type="pct"/>
            <w:tcBorders>
              <w:top w:val="single" w:sz="4" w:space="0" w:color="auto"/>
              <w:left w:val="nil"/>
              <w:bottom w:val="single" w:sz="4" w:space="0" w:color="auto"/>
              <w:right w:val="single" w:sz="4" w:space="0" w:color="auto"/>
            </w:tcBorders>
            <w:vAlign w:val="center"/>
            <w:hideMark/>
          </w:tcPr>
          <w:p w14:paraId="702F37B5"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 xml:space="preserve">Austria </w:t>
            </w:r>
          </w:p>
        </w:tc>
        <w:tc>
          <w:tcPr>
            <w:tcW w:w="621" w:type="pct"/>
            <w:tcBorders>
              <w:top w:val="nil"/>
              <w:left w:val="nil"/>
              <w:bottom w:val="single" w:sz="4" w:space="0" w:color="auto"/>
              <w:right w:val="single" w:sz="4" w:space="0" w:color="auto"/>
            </w:tcBorders>
            <w:vAlign w:val="center"/>
            <w:hideMark/>
          </w:tcPr>
          <w:p w14:paraId="5E791BDB"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AUT</w:t>
            </w:r>
          </w:p>
        </w:tc>
        <w:tc>
          <w:tcPr>
            <w:tcW w:w="508" w:type="pct"/>
            <w:tcBorders>
              <w:top w:val="nil"/>
              <w:left w:val="nil"/>
              <w:bottom w:val="single" w:sz="4" w:space="0" w:color="auto"/>
              <w:right w:val="single" w:sz="4" w:space="0" w:color="auto"/>
            </w:tcBorders>
            <w:vAlign w:val="center"/>
            <w:hideMark/>
          </w:tcPr>
          <w:p w14:paraId="672E7932"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AT</w:t>
            </w:r>
          </w:p>
        </w:tc>
      </w:tr>
      <w:tr w:rsidR="004C30DC" w:rsidRPr="004C30DC" w14:paraId="3399B4B7"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156356B6"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1F024C6D"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363AAFF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047C68D3"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Belgium</w:t>
            </w:r>
          </w:p>
        </w:tc>
        <w:tc>
          <w:tcPr>
            <w:tcW w:w="621" w:type="pct"/>
            <w:tcBorders>
              <w:top w:val="nil"/>
              <w:left w:val="nil"/>
              <w:bottom w:val="single" w:sz="4" w:space="0" w:color="auto"/>
              <w:right w:val="single" w:sz="4" w:space="0" w:color="auto"/>
            </w:tcBorders>
            <w:vAlign w:val="center"/>
            <w:hideMark/>
          </w:tcPr>
          <w:p w14:paraId="33CE29F0"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BEL</w:t>
            </w:r>
          </w:p>
        </w:tc>
        <w:tc>
          <w:tcPr>
            <w:tcW w:w="508" w:type="pct"/>
            <w:tcBorders>
              <w:top w:val="nil"/>
              <w:left w:val="nil"/>
              <w:bottom w:val="single" w:sz="4" w:space="0" w:color="auto"/>
              <w:right w:val="single" w:sz="4" w:space="0" w:color="auto"/>
            </w:tcBorders>
            <w:vAlign w:val="center"/>
            <w:hideMark/>
          </w:tcPr>
          <w:p w14:paraId="072BBA60"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BE</w:t>
            </w:r>
          </w:p>
        </w:tc>
      </w:tr>
      <w:tr w:rsidR="004C30DC" w:rsidRPr="004C30DC" w14:paraId="789942A3"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2AB6A10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3B4C6D7F"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7E1186D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016DC61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Bulgaria</w:t>
            </w:r>
          </w:p>
        </w:tc>
        <w:tc>
          <w:tcPr>
            <w:tcW w:w="621" w:type="pct"/>
            <w:tcBorders>
              <w:top w:val="nil"/>
              <w:left w:val="nil"/>
              <w:bottom w:val="single" w:sz="4" w:space="0" w:color="auto"/>
              <w:right w:val="single" w:sz="4" w:space="0" w:color="auto"/>
            </w:tcBorders>
            <w:vAlign w:val="center"/>
            <w:hideMark/>
          </w:tcPr>
          <w:p w14:paraId="6B5407E3"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BGR</w:t>
            </w:r>
          </w:p>
        </w:tc>
        <w:tc>
          <w:tcPr>
            <w:tcW w:w="508" w:type="pct"/>
            <w:tcBorders>
              <w:top w:val="nil"/>
              <w:left w:val="nil"/>
              <w:bottom w:val="single" w:sz="4" w:space="0" w:color="auto"/>
              <w:right w:val="single" w:sz="4" w:space="0" w:color="auto"/>
            </w:tcBorders>
            <w:vAlign w:val="center"/>
            <w:hideMark/>
          </w:tcPr>
          <w:p w14:paraId="11BF7286"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BG</w:t>
            </w:r>
          </w:p>
        </w:tc>
      </w:tr>
      <w:tr w:rsidR="004C30DC" w:rsidRPr="004C30DC" w14:paraId="01872D7B"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2A9E5DC1"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187F7661"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6CED22B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605A425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Croatia</w:t>
            </w:r>
          </w:p>
        </w:tc>
        <w:tc>
          <w:tcPr>
            <w:tcW w:w="621" w:type="pct"/>
            <w:tcBorders>
              <w:top w:val="nil"/>
              <w:left w:val="nil"/>
              <w:bottom w:val="single" w:sz="4" w:space="0" w:color="auto"/>
              <w:right w:val="single" w:sz="4" w:space="0" w:color="auto"/>
            </w:tcBorders>
            <w:vAlign w:val="center"/>
            <w:hideMark/>
          </w:tcPr>
          <w:p w14:paraId="01AEE3F0"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HRV</w:t>
            </w:r>
          </w:p>
        </w:tc>
        <w:tc>
          <w:tcPr>
            <w:tcW w:w="508" w:type="pct"/>
            <w:tcBorders>
              <w:top w:val="nil"/>
              <w:left w:val="nil"/>
              <w:bottom w:val="single" w:sz="4" w:space="0" w:color="auto"/>
              <w:right w:val="single" w:sz="4" w:space="0" w:color="auto"/>
            </w:tcBorders>
            <w:vAlign w:val="center"/>
            <w:hideMark/>
          </w:tcPr>
          <w:p w14:paraId="2D6B1EBE"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HR</w:t>
            </w:r>
          </w:p>
        </w:tc>
      </w:tr>
      <w:tr w:rsidR="004C30DC" w:rsidRPr="004C30DC" w14:paraId="06C8851A"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39E8729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2581F45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058668FF"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1076C08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Cyprus</w:t>
            </w:r>
          </w:p>
        </w:tc>
        <w:tc>
          <w:tcPr>
            <w:tcW w:w="621" w:type="pct"/>
            <w:tcBorders>
              <w:top w:val="nil"/>
              <w:left w:val="nil"/>
              <w:bottom w:val="single" w:sz="4" w:space="0" w:color="auto"/>
              <w:right w:val="single" w:sz="4" w:space="0" w:color="auto"/>
            </w:tcBorders>
            <w:vAlign w:val="center"/>
            <w:hideMark/>
          </w:tcPr>
          <w:p w14:paraId="36C3BB61"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CYP</w:t>
            </w:r>
          </w:p>
        </w:tc>
        <w:tc>
          <w:tcPr>
            <w:tcW w:w="508" w:type="pct"/>
            <w:tcBorders>
              <w:top w:val="nil"/>
              <w:left w:val="nil"/>
              <w:bottom w:val="single" w:sz="4" w:space="0" w:color="auto"/>
              <w:right w:val="single" w:sz="4" w:space="0" w:color="auto"/>
            </w:tcBorders>
            <w:vAlign w:val="center"/>
            <w:hideMark/>
          </w:tcPr>
          <w:p w14:paraId="0DF839A7"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CY</w:t>
            </w:r>
          </w:p>
        </w:tc>
      </w:tr>
      <w:tr w:rsidR="004C30DC" w:rsidRPr="004C30DC" w14:paraId="2E6AF11D"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55A6EA3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7F7453E3"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2CC31ABC"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53E56E1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Czech Republic</w:t>
            </w:r>
          </w:p>
        </w:tc>
        <w:tc>
          <w:tcPr>
            <w:tcW w:w="621" w:type="pct"/>
            <w:tcBorders>
              <w:top w:val="nil"/>
              <w:left w:val="nil"/>
              <w:bottom w:val="single" w:sz="4" w:space="0" w:color="auto"/>
              <w:right w:val="single" w:sz="4" w:space="0" w:color="auto"/>
            </w:tcBorders>
            <w:vAlign w:val="center"/>
            <w:hideMark/>
          </w:tcPr>
          <w:p w14:paraId="23BD79B8"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CZE</w:t>
            </w:r>
          </w:p>
        </w:tc>
        <w:tc>
          <w:tcPr>
            <w:tcW w:w="508" w:type="pct"/>
            <w:tcBorders>
              <w:top w:val="nil"/>
              <w:left w:val="nil"/>
              <w:bottom w:val="single" w:sz="4" w:space="0" w:color="auto"/>
              <w:right w:val="single" w:sz="4" w:space="0" w:color="auto"/>
            </w:tcBorders>
            <w:vAlign w:val="center"/>
            <w:hideMark/>
          </w:tcPr>
          <w:p w14:paraId="36F34A02"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CZ</w:t>
            </w:r>
          </w:p>
        </w:tc>
      </w:tr>
      <w:tr w:rsidR="004C30DC" w:rsidRPr="004C30DC" w14:paraId="6BB5133D"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57B0BCD3"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3248DBF2"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302A9EF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6E215194"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Denmark</w:t>
            </w:r>
          </w:p>
        </w:tc>
        <w:tc>
          <w:tcPr>
            <w:tcW w:w="621" w:type="pct"/>
            <w:tcBorders>
              <w:top w:val="nil"/>
              <w:left w:val="nil"/>
              <w:bottom w:val="single" w:sz="4" w:space="0" w:color="auto"/>
              <w:right w:val="single" w:sz="4" w:space="0" w:color="auto"/>
            </w:tcBorders>
            <w:vAlign w:val="center"/>
            <w:hideMark/>
          </w:tcPr>
          <w:p w14:paraId="0F439188"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DNK</w:t>
            </w:r>
          </w:p>
        </w:tc>
        <w:tc>
          <w:tcPr>
            <w:tcW w:w="508" w:type="pct"/>
            <w:tcBorders>
              <w:top w:val="nil"/>
              <w:left w:val="nil"/>
              <w:bottom w:val="single" w:sz="4" w:space="0" w:color="auto"/>
              <w:right w:val="single" w:sz="4" w:space="0" w:color="auto"/>
            </w:tcBorders>
            <w:vAlign w:val="center"/>
            <w:hideMark/>
          </w:tcPr>
          <w:p w14:paraId="2E32BE23"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DK</w:t>
            </w:r>
          </w:p>
        </w:tc>
      </w:tr>
      <w:tr w:rsidR="004C30DC" w:rsidRPr="004C30DC" w14:paraId="1B60C493"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1CAFF2CA"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2501EAF4"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559F55A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5CA4C3CC"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Estonia</w:t>
            </w:r>
          </w:p>
        </w:tc>
        <w:tc>
          <w:tcPr>
            <w:tcW w:w="621" w:type="pct"/>
            <w:tcBorders>
              <w:top w:val="nil"/>
              <w:left w:val="nil"/>
              <w:bottom w:val="single" w:sz="4" w:space="0" w:color="auto"/>
              <w:right w:val="single" w:sz="4" w:space="0" w:color="auto"/>
            </w:tcBorders>
            <w:vAlign w:val="center"/>
            <w:hideMark/>
          </w:tcPr>
          <w:p w14:paraId="37F85FCC"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EST</w:t>
            </w:r>
          </w:p>
        </w:tc>
        <w:tc>
          <w:tcPr>
            <w:tcW w:w="508" w:type="pct"/>
            <w:tcBorders>
              <w:top w:val="nil"/>
              <w:left w:val="nil"/>
              <w:bottom w:val="single" w:sz="4" w:space="0" w:color="auto"/>
              <w:right w:val="single" w:sz="4" w:space="0" w:color="auto"/>
            </w:tcBorders>
            <w:vAlign w:val="center"/>
            <w:hideMark/>
          </w:tcPr>
          <w:p w14:paraId="4E7FE428"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EE</w:t>
            </w:r>
          </w:p>
        </w:tc>
      </w:tr>
      <w:tr w:rsidR="004C30DC" w:rsidRPr="004C30DC" w14:paraId="0956D05D"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6A620069"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4CB6A126"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155102F4"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5FEAFD71"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Finland</w:t>
            </w:r>
          </w:p>
        </w:tc>
        <w:tc>
          <w:tcPr>
            <w:tcW w:w="621" w:type="pct"/>
            <w:tcBorders>
              <w:top w:val="nil"/>
              <w:left w:val="nil"/>
              <w:bottom w:val="single" w:sz="4" w:space="0" w:color="auto"/>
              <w:right w:val="single" w:sz="4" w:space="0" w:color="auto"/>
            </w:tcBorders>
            <w:vAlign w:val="center"/>
            <w:hideMark/>
          </w:tcPr>
          <w:p w14:paraId="5509B7BC"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FIN</w:t>
            </w:r>
          </w:p>
        </w:tc>
        <w:tc>
          <w:tcPr>
            <w:tcW w:w="508" w:type="pct"/>
            <w:tcBorders>
              <w:top w:val="nil"/>
              <w:left w:val="nil"/>
              <w:bottom w:val="single" w:sz="4" w:space="0" w:color="auto"/>
              <w:right w:val="single" w:sz="4" w:space="0" w:color="auto"/>
            </w:tcBorders>
            <w:vAlign w:val="center"/>
            <w:hideMark/>
          </w:tcPr>
          <w:p w14:paraId="70DA7F69"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FI</w:t>
            </w:r>
          </w:p>
        </w:tc>
      </w:tr>
      <w:tr w:rsidR="004C30DC" w:rsidRPr="004C30DC" w14:paraId="337D6548"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628444F1"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0755C47F"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005FE1A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796183C2"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France</w:t>
            </w:r>
          </w:p>
        </w:tc>
        <w:tc>
          <w:tcPr>
            <w:tcW w:w="621" w:type="pct"/>
            <w:tcBorders>
              <w:top w:val="nil"/>
              <w:left w:val="nil"/>
              <w:bottom w:val="single" w:sz="4" w:space="0" w:color="auto"/>
              <w:right w:val="single" w:sz="4" w:space="0" w:color="auto"/>
            </w:tcBorders>
            <w:vAlign w:val="center"/>
            <w:hideMark/>
          </w:tcPr>
          <w:p w14:paraId="2D08A87C"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FRA</w:t>
            </w:r>
          </w:p>
        </w:tc>
        <w:tc>
          <w:tcPr>
            <w:tcW w:w="508" w:type="pct"/>
            <w:tcBorders>
              <w:top w:val="nil"/>
              <w:left w:val="nil"/>
              <w:bottom w:val="single" w:sz="4" w:space="0" w:color="auto"/>
              <w:right w:val="single" w:sz="4" w:space="0" w:color="auto"/>
            </w:tcBorders>
            <w:vAlign w:val="center"/>
            <w:hideMark/>
          </w:tcPr>
          <w:p w14:paraId="40345A6A"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FR</w:t>
            </w:r>
          </w:p>
        </w:tc>
      </w:tr>
      <w:tr w:rsidR="004C30DC" w:rsidRPr="004C30DC" w14:paraId="3B5EF603"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6CA34DA6"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4FE6D8F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661F02CD"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4EBB68B5"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Germany</w:t>
            </w:r>
          </w:p>
        </w:tc>
        <w:tc>
          <w:tcPr>
            <w:tcW w:w="621" w:type="pct"/>
            <w:tcBorders>
              <w:top w:val="nil"/>
              <w:left w:val="nil"/>
              <w:bottom w:val="single" w:sz="4" w:space="0" w:color="auto"/>
              <w:right w:val="single" w:sz="4" w:space="0" w:color="auto"/>
            </w:tcBorders>
            <w:vAlign w:val="center"/>
            <w:hideMark/>
          </w:tcPr>
          <w:p w14:paraId="06ACD9B9"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DEU</w:t>
            </w:r>
          </w:p>
        </w:tc>
        <w:tc>
          <w:tcPr>
            <w:tcW w:w="508" w:type="pct"/>
            <w:tcBorders>
              <w:top w:val="nil"/>
              <w:left w:val="nil"/>
              <w:bottom w:val="single" w:sz="4" w:space="0" w:color="auto"/>
              <w:right w:val="single" w:sz="4" w:space="0" w:color="auto"/>
            </w:tcBorders>
            <w:vAlign w:val="center"/>
            <w:hideMark/>
          </w:tcPr>
          <w:p w14:paraId="30294C40"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DE</w:t>
            </w:r>
          </w:p>
        </w:tc>
      </w:tr>
      <w:tr w:rsidR="004C30DC" w:rsidRPr="004C30DC" w14:paraId="796A4CF9"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4510A4DC"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2A91689C"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2766F699"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340F21D3"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Greece</w:t>
            </w:r>
          </w:p>
        </w:tc>
        <w:tc>
          <w:tcPr>
            <w:tcW w:w="621" w:type="pct"/>
            <w:tcBorders>
              <w:top w:val="nil"/>
              <w:left w:val="nil"/>
              <w:bottom w:val="single" w:sz="4" w:space="0" w:color="auto"/>
              <w:right w:val="single" w:sz="4" w:space="0" w:color="auto"/>
            </w:tcBorders>
            <w:vAlign w:val="center"/>
            <w:hideMark/>
          </w:tcPr>
          <w:p w14:paraId="4391781D"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GRC</w:t>
            </w:r>
          </w:p>
        </w:tc>
        <w:tc>
          <w:tcPr>
            <w:tcW w:w="508" w:type="pct"/>
            <w:tcBorders>
              <w:top w:val="nil"/>
              <w:left w:val="nil"/>
              <w:bottom w:val="single" w:sz="4" w:space="0" w:color="auto"/>
              <w:right w:val="single" w:sz="4" w:space="0" w:color="auto"/>
            </w:tcBorders>
            <w:vAlign w:val="center"/>
            <w:hideMark/>
          </w:tcPr>
          <w:p w14:paraId="3EB9CFEB"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GR</w:t>
            </w:r>
          </w:p>
        </w:tc>
      </w:tr>
      <w:tr w:rsidR="004C30DC" w:rsidRPr="004C30DC" w14:paraId="6A784C35"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7E17EE2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77185E8D"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7CF04852"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291370C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Hungary</w:t>
            </w:r>
          </w:p>
        </w:tc>
        <w:tc>
          <w:tcPr>
            <w:tcW w:w="621" w:type="pct"/>
            <w:tcBorders>
              <w:top w:val="nil"/>
              <w:left w:val="nil"/>
              <w:bottom w:val="single" w:sz="4" w:space="0" w:color="auto"/>
              <w:right w:val="single" w:sz="4" w:space="0" w:color="auto"/>
            </w:tcBorders>
            <w:vAlign w:val="center"/>
            <w:hideMark/>
          </w:tcPr>
          <w:p w14:paraId="69DAF116"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HUN</w:t>
            </w:r>
          </w:p>
        </w:tc>
        <w:tc>
          <w:tcPr>
            <w:tcW w:w="508" w:type="pct"/>
            <w:tcBorders>
              <w:top w:val="nil"/>
              <w:left w:val="nil"/>
              <w:bottom w:val="single" w:sz="4" w:space="0" w:color="auto"/>
              <w:right w:val="single" w:sz="4" w:space="0" w:color="auto"/>
            </w:tcBorders>
            <w:vAlign w:val="center"/>
            <w:hideMark/>
          </w:tcPr>
          <w:p w14:paraId="0F5FD4ED"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HU</w:t>
            </w:r>
          </w:p>
        </w:tc>
      </w:tr>
      <w:tr w:rsidR="004C30DC" w:rsidRPr="004C30DC" w14:paraId="1C476265"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24106B5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24F3AE05"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3367CA7D"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2FCFDAA1"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Ireland</w:t>
            </w:r>
          </w:p>
        </w:tc>
        <w:tc>
          <w:tcPr>
            <w:tcW w:w="621" w:type="pct"/>
            <w:tcBorders>
              <w:top w:val="nil"/>
              <w:left w:val="nil"/>
              <w:bottom w:val="single" w:sz="4" w:space="0" w:color="auto"/>
              <w:right w:val="single" w:sz="4" w:space="0" w:color="auto"/>
            </w:tcBorders>
            <w:vAlign w:val="center"/>
            <w:hideMark/>
          </w:tcPr>
          <w:p w14:paraId="54031553"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IRL</w:t>
            </w:r>
          </w:p>
        </w:tc>
        <w:tc>
          <w:tcPr>
            <w:tcW w:w="508" w:type="pct"/>
            <w:tcBorders>
              <w:top w:val="nil"/>
              <w:left w:val="nil"/>
              <w:bottom w:val="single" w:sz="4" w:space="0" w:color="auto"/>
              <w:right w:val="single" w:sz="4" w:space="0" w:color="auto"/>
            </w:tcBorders>
            <w:vAlign w:val="center"/>
            <w:hideMark/>
          </w:tcPr>
          <w:p w14:paraId="1555EBE5"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IE</w:t>
            </w:r>
          </w:p>
        </w:tc>
      </w:tr>
      <w:tr w:rsidR="004C30DC" w:rsidRPr="004C30DC" w14:paraId="7002A3BD"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79968AFD"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1F5F04FF"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1B4F727F"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51E82D0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Italy</w:t>
            </w:r>
          </w:p>
        </w:tc>
        <w:tc>
          <w:tcPr>
            <w:tcW w:w="621" w:type="pct"/>
            <w:tcBorders>
              <w:top w:val="nil"/>
              <w:left w:val="nil"/>
              <w:bottom w:val="single" w:sz="4" w:space="0" w:color="auto"/>
              <w:right w:val="single" w:sz="4" w:space="0" w:color="auto"/>
            </w:tcBorders>
            <w:vAlign w:val="center"/>
            <w:hideMark/>
          </w:tcPr>
          <w:p w14:paraId="53145CE7"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ITA</w:t>
            </w:r>
          </w:p>
        </w:tc>
        <w:tc>
          <w:tcPr>
            <w:tcW w:w="508" w:type="pct"/>
            <w:tcBorders>
              <w:top w:val="nil"/>
              <w:left w:val="nil"/>
              <w:bottom w:val="single" w:sz="4" w:space="0" w:color="auto"/>
              <w:right w:val="single" w:sz="4" w:space="0" w:color="auto"/>
            </w:tcBorders>
            <w:vAlign w:val="center"/>
            <w:hideMark/>
          </w:tcPr>
          <w:p w14:paraId="4F3CF152"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IT</w:t>
            </w:r>
          </w:p>
        </w:tc>
      </w:tr>
      <w:tr w:rsidR="004C30DC" w:rsidRPr="004C30DC" w14:paraId="1A6EB0A8"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3050786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1A27F33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09AB539D"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0CB36975"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Latvia</w:t>
            </w:r>
          </w:p>
        </w:tc>
        <w:tc>
          <w:tcPr>
            <w:tcW w:w="621" w:type="pct"/>
            <w:tcBorders>
              <w:top w:val="nil"/>
              <w:left w:val="nil"/>
              <w:bottom w:val="single" w:sz="4" w:space="0" w:color="auto"/>
              <w:right w:val="single" w:sz="4" w:space="0" w:color="auto"/>
            </w:tcBorders>
            <w:vAlign w:val="center"/>
            <w:hideMark/>
          </w:tcPr>
          <w:p w14:paraId="59E1628D"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LVA</w:t>
            </w:r>
          </w:p>
        </w:tc>
        <w:tc>
          <w:tcPr>
            <w:tcW w:w="508" w:type="pct"/>
            <w:tcBorders>
              <w:top w:val="nil"/>
              <w:left w:val="nil"/>
              <w:bottom w:val="single" w:sz="4" w:space="0" w:color="auto"/>
              <w:right w:val="single" w:sz="4" w:space="0" w:color="auto"/>
            </w:tcBorders>
            <w:vAlign w:val="center"/>
            <w:hideMark/>
          </w:tcPr>
          <w:p w14:paraId="368EAC24"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LV</w:t>
            </w:r>
          </w:p>
        </w:tc>
      </w:tr>
      <w:tr w:rsidR="004C30DC" w:rsidRPr="004C30DC" w14:paraId="1DD07D38"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237BCCC3"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5F6B235D"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2C388E6A"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10BC3401"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 xml:space="preserve">Lithuania </w:t>
            </w:r>
          </w:p>
        </w:tc>
        <w:tc>
          <w:tcPr>
            <w:tcW w:w="621" w:type="pct"/>
            <w:tcBorders>
              <w:top w:val="nil"/>
              <w:left w:val="nil"/>
              <w:bottom w:val="single" w:sz="4" w:space="0" w:color="auto"/>
              <w:right w:val="single" w:sz="4" w:space="0" w:color="auto"/>
            </w:tcBorders>
            <w:vAlign w:val="center"/>
            <w:hideMark/>
          </w:tcPr>
          <w:p w14:paraId="1F23C662"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LTU</w:t>
            </w:r>
          </w:p>
        </w:tc>
        <w:tc>
          <w:tcPr>
            <w:tcW w:w="508" w:type="pct"/>
            <w:tcBorders>
              <w:top w:val="nil"/>
              <w:left w:val="nil"/>
              <w:bottom w:val="single" w:sz="4" w:space="0" w:color="auto"/>
              <w:right w:val="single" w:sz="4" w:space="0" w:color="auto"/>
            </w:tcBorders>
            <w:vAlign w:val="center"/>
            <w:hideMark/>
          </w:tcPr>
          <w:p w14:paraId="3A7E6409"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LT</w:t>
            </w:r>
          </w:p>
        </w:tc>
      </w:tr>
      <w:tr w:rsidR="004C30DC" w:rsidRPr="004C30DC" w14:paraId="7BA7BCDA"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62609FEA"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2FE3B44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4D886462"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047FD3D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Luxembourg</w:t>
            </w:r>
          </w:p>
        </w:tc>
        <w:tc>
          <w:tcPr>
            <w:tcW w:w="621" w:type="pct"/>
            <w:tcBorders>
              <w:top w:val="nil"/>
              <w:left w:val="nil"/>
              <w:bottom w:val="single" w:sz="4" w:space="0" w:color="auto"/>
              <w:right w:val="single" w:sz="4" w:space="0" w:color="auto"/>
            </w:tcBorders>
            <w:vAlign w:val="center"/>
            <w:hideMark/>
          </w:tcPr>
          <w:p w14:paraId="36EF1A47"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LUX</w:t>
            </w:r>
          </w:p>
        </w:tc>
        <w:tc>
          <w:tcPr>
            <w:tcW w:w="508" w:type="pct"/>
            <w:tcBorders>
              <w:top w:val="nil"/>
              <w:left w:val="nil"/>
              <w:bottom w:val="single" w:sz="4" w:space="0" w:color="auto"/>
              <w:right w:val="single" w:sz="4" w:space="0" w:color="auto"/>
            </w:tcBorders>
            <w:vAlign w:val="center"/>
            <w:hideMark/>
          </w:tcPr>
          <w:p w14:paraId="0DCFE598"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LU</w:t>
            </w:r>
          </w:p>
        </w:tc>
      </w:tr>
      <w:tr w:rsidR="004C30DC" w:rsidRPr="004C30DC" w14:paraId="0F064AE1"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6D04DFB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6F077EAA"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0D934476"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65B60A5A"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Malta</w:t>
            </w:r>
          </w:p>
        </w:tc>
        <w:tc>
          <w:tcPr>
            <w:tcW w:w="621" w:type="pct"/>
            <w:tcBorders>
              <w:top w:val="nil"/>
              <w:left w:val="nil"/>
              <w:bottom w:val="single" w:sz="4" w:space="0" w:color="auto"/>
              <w:right w:val="single" w:sz="4" w:space="0" w:color="auto"/>
            </w:tcBorders>
            <w:vAlign w:val="center"/>
            <w:hideMark/>
          </w:tcPr>
          <w:p w14:paraId="13B81456"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MLT</w:t>
            </w:r>
          </w:p>
        </w:tc>
        <w:tc>
          <w:tcPr>
            <w:tcW w:w="508" w:type="pct"/>
            <w:tcBorders>
              <w:top w:val="nil"/>
              <w:left w:val="nil"/>
              <w:bottom w:val="single" w:sz="4" w:space="0" w:color="auto"/>
              <w:right w:val="single" w:sz="4" w:space="0" w:color="auto"/>
            </w:tcBorders>
            <w:vAlign w:val="center"/>
            <w:hideMark/>
          </w:tcPr>
          <w:p w14:paraId="17F0E177"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MT</w:t>
            </w:r>
          </w:p>
        </w:tc>
      </w:tr>
      <w:tr w:rsidR="004C30DC" w:rsidRPr="004C30DC" w14:paraId="24F20AB0"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7F73598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073D7372"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5B829E46"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3CFED6A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Netherlands</w:t>
            </w:r>
          </w:p>
        </w:tc>
        <w:tc>
          <w:tcPr>
            <w:tcW w:w="621" w:type="pct"/>
            <w:tcBorders>
              <w:top w:val="nil"/>
              <w:left w:val="nil"/>
              <w:bottom w:val="single" w:sz="4" w:space="0" w:color="auto"/>
              <w:right w:val="single" w:sz="4" w:space="0" w:color="auto"/>
            </w:tcBorders>
            <w:vAlign w:val="center"/>
            <w:hideMark/>
          </w:tcPr>
          <w:p w14:paraId="177E45E6"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NLD</w:t>
            </w:r>
          </w:p>
        </w:tc>
        <w:tc>
          <w:tcPr>
            <w:tcW w:w="508" w:type="pct"/>
            <w:tcBorders>
              <w:top w:val="nil"/>
              <w:left w:val="nil"/>
              <w:bottom w:val="single" w:sz="4" w:space="0" w:color="auto"/>
              <w:right w:val="single" w:sz="4" w:space="0" w:color="auto"/>
            </w:tcBorders>
            <w:vAlign w:val="center"/>
            <w:hideMark/>
          </w:tcPr>
          <w:p w14:paraId="624C51FC"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NL</w:t>
            </w:r>
          </w:p>
        </w:tc>
      </w:tr>
      <w:tr w:rsidR="004C30DC" w:rsidRPr="004C30DC" w14:paraId="55AB6FCA"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7490C91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7180732A"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67CF086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0C82DBF2"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Poland</w:t>
            </w:r>
          </w:p>
        </w:tc>
        <w:tc>
          <w:tcPr>
            <w:tcW w:w="621" w:type="pct"/>
            <w:tcBorders>
              <w:top w:val="nil"/>
              <w:left w:val="nil"/>
              <w:bottom w:val="single" w:sz="4" w:space="0" w:color="auto"/>
              <w:right w:val="single" w:sz="4" w:space="0" w:color="auto"/>
            </w:tcBorders>
            <w:vAlign w:val="center"/>
            <w:hideMark/>
          </w:tcPr>
          <w:p w14:paraId="133C9C0C"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POL</w:t>
            </w:r>
          </w:p>
        </w:tc>
        <w:tc>
          <w:tcPr>
            <w:tcW w:w="508" w:type="pct"/>
            <w:tcBorders>
              <w:top w:val="nil"/>
              <w:left w:val="nil"/>
              <w:bottom w:val="single" w:sz="4" w:space="0" w:color="auto"/>
              <w:right w:val="single" w:sz="4" w:space="0" w:color="auto"/>
            </w:tcBorders>
            <w:vAlign w:val="center"/>
            <w:hideMark/>
          </w:tcPr>
          <w:p w14:paraId="173B36A1"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PL</w:t>
            </w:r>
          </w:p>
        </w:tc>
      </w:tr>
      <w:tr w:rsidR="004C30DC" w:rsidRPr="004C30DC" w14:paraId="52E528E6"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2CEC8627"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08E363F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167F578C"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2E4E54A7"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Portugal</w:t>
            </w:r>
          </w:p>
        </w:tc>
        <w:tc>
          <w:tcPr>
            <w:tcW w:w="621" w:type="pct"/>
            <w:tcBorders>
              <w:top w:val="nil"/>
              <w:left w:val="nil"/>
              <w:bottom w:val="single" w:sz="4" w:space="0" w:color="auto"/>
              <w:right w:val="single" w:sz="4" w:space="0" w:color="auto"/>
            </w:tcBorders>
            <w:vAlign w:val="center"/>
            <w:hideMark/>
          </w:tcPr>
          <w:p w14:paraId="0E124664"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PRT</w:t>
            </w:r>
          </w:p>
        </w:tc>
        <w:tc>
          <w:tcPr>
            <w:tcW w:w="508" w:type="pct"/>
            <w:tcBorders>
              <w:top w:val="nil"/>
              <w:left w:val="nil"/>
              <w:bottom w:val="single" w:sz="4" w:space="0" w:color="auto"/>
              <w:right w:val="single" w:sz="4" w:space="0" w:color="auto"/>
            </w:tcBorders>
            <w:vAlign w:val="center"/>
            <w:hideMark/>
          </w:tcPr>
          <w:p w14:paraId="6E2314E3"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PT</w:t>
            </w:r>
          </w:p>
        </w:tc>
      </w:tr>
      <w:tr w:rsidR="004C30DC" w:rsidRPr="004C30DC" w14:paraId="49CA4131"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3C5ED0B4"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1C79585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763FD2D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09890B0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Romania</w:t>
            </w:r>
          </w:p>
        </w:tc>
        <w:tc>
          <w:tcPr>
            <w:tcW w:w="621" w:type="pct"/>
            <w:tcBorders>
              <w:top w:val="nil"/>
              <w:left w:val="nil"/>
              <w:bottom w:val="single" w:sz="4" w:space="0" w:color="auto"/>
              <w:right w:val="single" w:sz="4" w:space="0" w:color="auto"/>
            </w:tcBorders>
            <w:vAlign w:val="center"/>
            <w:hideMark/>
          </w:tcPr>
          <w:p w14:paraId="6979D659"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ROU</w:t>
            </w:r>
          </w:p>
        </w:tc>
        <w:tc>
          <w:tcPr>
            <w:tcW w:w="508" w:type="pct"/>
            <w:tcBorders>
              <w:top w:val="nil"/>
              <w:left w:val="nil"/>
              <w:bottom w:val="single" w:sz="4" w:space="0" w:color="auto"/>
              <w:right w:val="single" w:sz="4" w:space="0" w:color="auto"/>
            </w:tcBorders>
            <w:vAlign w:val="center"/>
            <w:hideMark/>
          </w:tcPr>
          <w:p w14:paraId="0221125E"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RO</w:t>
            </w:r>
          </w:p>
        </w:tc>
      </w:tr>
      <w:tr w:rsidR="004C30DC" w:rsidRPr="004C30DC" w14:paraId="062B2977"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6F33D29C"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3223AB66"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1D73444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6A0FBBB9"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Slovakia</w:t>
            </w:r>
          </w:p>
        </w:tc>
        <w:tc>
          <w:tcPr>
            <w:tcW w:w="621" w:type="pct"/>
            <w:tcBorders>
              <w:top w:val="nil"/>
              <w:left w:val="nil"/>
              <w:bottom w:val="single" w:sz="4" w:space="0" w:color="auto"/>
              <w:right w:val="single" w:sz="4" w:space="0" w:color="auto"/>
            </w:tcBorders>
            <w:vAlign w:val="center"/>
            <w:hideMark/>
          </w:tcPr>
          <w:p w14:paraId="78A1972C"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SVK</w:t>
            </w:r>
          </w:p>
        </w:tc>
        <w:tc>
          <w:tcPr>
            <w:tcW w:w="508" w:type="pct"/>
            <w:tcBorders>
              <w:top w:val="nil"/>
              <w:left w:val="nil"/>
              <w:bottom w:val="single" w:sz="4" w:space="0" w:color="auto"/>
              <w:right w:val="single" w:sz="4" w:space="0" w:color="auto"/>
            </w:tcBorders>
            <w:vAlign w:val="center"/>
            <w:hideMark/>
          </w:tcPr>
          <w:p w14:paraId="6A31738F"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SK</w:t>
            </w:r>
          </w:p>
        </w:tc>
      </w:tr>
      <w:tr w:rsidR="004C30DC" w:rsidRPr="004C30DC" w14:paraId="45D5329A"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40E27F04"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4C2F8C8D"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572FDDB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625A26F9"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Slovenia</w:t>
            </w:r>
          </w:p>
        </w:tc>
        <w:tc>
          <w:tcPr>
            <w:tcW w:w="621" w:type="pct"/>
            <w:tcBorders>
              <w:top w:val="nil"/>
              <w:left w:val="nil"/>
              <w:bottom w:val="single" w:sz="4" w:space="0" w:color="auto"/>
              <w:right w:val="single" w:sz="4" w:space="0" w:color="auto"/>
            </w:tcBorders>
            <w:vAlign w:val="center"/>
            <w:hideMark/>
          </w:tcPr>
          <w:p w14:paraId="379608B5"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SVN</w:t>
            </w:r>
          </w:p>
        </w:tc>
        <w:tc>
          <w:tcPr>
            <w:tcW w:w="508" w:type="pct"/>
            <w:tcBorders>
              <w:top w:val="nil"/>
              <w:left w:val="nil"/>
              <w:bottom w:val="single" w:sz="4" w:space="0" w:color="auto"/>
              <w:right w:val="single" w:sz="4" w:space="0" w:color="auto"/>
            </w:tcBorders>
            <w:vAlign w:val="center"/>
            <w:hideMark/>
          </w:tcPr>
          <w:p w14:paraId="11D8D0F6"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SI</w:t>
            </w:r>
          </w:p>
        </w:tc>
      </w:tr>
      <w:tr w:rsidR="004C30DC" w:rsidRPr="004C30DC" w14:paraId="5B119DE6"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1F03117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53C2D68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74ADDFDF"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4D72697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Spain</w:t>
            </w:r>
          </w:p>
        </w:tc>
        <w:tc>
          <w:tcPr>
            <w:tcW w:w="621" w:type="pct"/>
            <w:tcBorders>
              <w:top w:val="nil"/>
              <w:left w:val="nil"/>
              <w:bottom w:val="single" w:sz="4" w:space="0" w:color="auto"/>
              <w:right w:val="single" w:sz="4" w:space="0" w:color="auto"/>
            </w:tcBorders>
            <w:vAlign w:val="center"/>
            <w:hideMark/>
          </w:tcPr>
          <w:p w14:paraId="3945EDCD"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ESP</w:t>
            </w:r>
          </w:p>
        </w:tc>
        <w:tc>
          <w:tcPr>
            <w:tcW w:w="508" w:type="pct"/>
            <w:tcBorders>
              <w:top w:val="nil"/>
              <w:left w:val="nil"/>
              <w:bottom w:val="single" w:sz="4" w:space="0" w:color="auto"/>
              <w:right w:val="single" w:sz="4" w:space="0" w:color="auto"/>
            </w:tcBorders>
            <w:vAlign w:val="center"/>
            <w:hideMark/>
          </w:tcPr>
          <w:p w14:paraId="4AC0A1F2"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ES</w:t>
            </w:r>
          </w:p>
        </w:tc>
      </w:tr>
      <w:tr w:rsidR="004C30DC" w:rsidRPr="004C30DC" w14:paraId="5EAB252D" w14:textId="77777777" w:rsidTr="00510AF0">
        <w:trPr>
          <w:trHeight w:val="288"/>
        </w:trPr>
        <w:tc>
          <w:tcPr>
            <w:tcW w:w="189" w:type="pct"/>
            <w:vMerge/>
            <w:tcBorders>
              <w:top w:val="single" w:sz="4" w:space="0" w:color="auto"/>
              <w:left w:val="single" w:sz="4" w:space="0" w:color="auto"/>
              <w:bottom w:val="single" w:sz="4" w:space="0" w:color="auto"/>
              <w:right w:val="single" w:sz="4" w:space="0" w:color="auto"/>
            </w:tcBorders>
            <w:vAlign w:val="center"/>
            <w:hideMark/>
          </w:tcPr>
          <w:p w14:paraId="4DE36A5A"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2873EAD2"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020431E4"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75FAA2C2"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Sweden</w:t>
            </w:r>
          </w:p>
        </w:tc>
        <w:tc>
          <w:tcPr>
            <w:tcW w:w="621" w:type="pct"/>
            <w:tcBorders>
              <w:top w:val="nil"/>
              <w:left w:val="nil"/>
              <w:bottom w:val="single" w:sz="4" w:space="0" w:color="auto"/>
              <w:right w:val="single" w:sz="4" w:space="0" w:color="auto"/>
            </w:tcBorders>
            <w:vAlign w:val="center"/>
            <w:hideMark/>
          </w:tcPr>
          <w:p w14:paraId="2B42EFC1"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SWE</w:t>
            </w:r>
          </w:p>
        </w:tc>
        <w:tc>
          <w:tcPr>
            <w:tcW w:w="508" w:type="pct"/>
            <w:tcBorders>
              <w:top w:val="nil"/>
              <w:left w:val="nil"/>
              <w:bottom w:val="single" w:sz="4" w:space="0" w:color="auto"/>
              <w:right w:val="single" w:sz="4" w:space="0" w:color="auto"/>
            </w:tcBorders>
            <w:vAlign w:val="center"/>
            <w:hideMark/>
          </w:tcPr>
          <w:p w14:paraId="41F492A9"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SE</w:t>
            </w:r>
          </w:p>
        </w:tc>
      </w:tr>
      <w:tr w:rsidR="004C30DC" w:rsidRPr="004C30DC" w14:paraId="04456EDD" w14:textId="77777777" w:rsidTr="00510AF0">
        <w:trPr>
          <w:trHeight w:val="288"/>
        </w:trPr>
        <w:tc>
          <w:tcPr>
            <w:tcW w:w="189" w:type="pct"/>
            <w:tcBorders>
              <w:top w:val="nil"/>
              <w:left w:val="single" w:sz="4" w:space="0" w:color="auto"/>
              <w:bottom w:val="single" w:sz="4" w:space="0" w:color="auto"/>
              <w:right w:val="single" w:sz="4" w:space="0" w:color="auto"/>
            </w:tcBorders>
            <w:noWrap/>
            <w:vAlign w:val="center"/>
            <w:hideMark/>
          </w:tcPr>
          <w:p w14:paraId="66BE09A2" w14:textId="77777777" w:rsidR="004C30DC" w:rsidRPr="004C30DC" w:rsidRDefault="004C30DC" w:rsidP="004C30DC">
            <w:pPr>
              <w:spacing w:after="0" w:line="240" w:lineRule="auto"/>
              <w:jc w:val="right"/>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2</w:t>
            </w:r>
          </w:p>
        </w:tc>
        <w:tc>
          <w:tcPr>
            <w:tcW w:w="1599" w:type="pct"/>
            <w:tcBorders>
              <w:top w:val="nil"/>
              <w:left w:val="nil"/>
              <w:bottom w:val="single" w:sz="4" w:space="0" w:color="auto"/>
              <w:right w:val="single" w:sz="4" w:space="0" w:color="auto"/>
            </w:tcBorders>
            <w:vAlign w:val="center"/>
            <w:hideMark/>
          </w:tcPr>
          <w:p w14:paraId="23848756"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United Kingdom</w:t>
            </w:r>
          </w:p>
        </w:tc>
        <w:tc>
          <w:tcPr>
            <w:tcW w:w="1331" w:type="pct"/>
            <w:tcBorders>
              <w:top w:val="nil"/>
              <w:left w:val="nil"/>
              <w:bottom w:val="single" w:sz="4" w:space="0" w:color="auto"/>
              <w:right w:val="single" w:sz="4" w:space="0" w:color="auto"/>
            </w:tcBorders>
            <w:vAlign w:val="center"/>
            <w:hideMark/>
          </w:tcPr>
          <w:p w14:paraId="2E48AEE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UK</w:t>
            </w:r>
          </w:p>
        </w:tc>
        <w:tc>
          <w:tcPr>
            <w:tcW w:w="751" w:type="pct"/>
            <w:tcBorders>
              <w:top w:val="nil"/>
              <w:left w:val="nil"/>
              <w:bottom w:val="single" w:sz="4" w:space="0" w:color="auto"/>
              <w:right w:val="single" w:sz="4" w:space="0" w:color="auto"/>
            </w:tcBorders>
            <w:vAlign w:val="center"/>
            <w:hideMark/>
          </w:tcPr>
          <w:p w14:paraId="356ACAC1"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United Kingdom</w:t>
            </w:r>
          </w:p>
        </w:tc>
        <w:tc>
          <w:tcPr>
            <w:tcW w:w="621" w:type="pct"/>
            <w:tcBorders>
              <w:top w:val="nil"/>
              <w:left w:val="nil"/>
              <w:bottom w:val="single" w:sz="4" w:space="0" w:color="auto"/>
              <w:right w:val="single" w:sz="4" w:space="0" w:color="auto"/>
            </w:tcBorders>
            <w:vAlign w:val="center"/>
            <w:hideMark/>
          </w:tcPr>
          <w:p w14:paraId="5CF12B19"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GBR</w:t>
            </w:r>
          </w:p>
        </w:tc>
        <w:tc>
          <w:tcPr>
            <w:tcW w:w="508" w:type="pct"/>
            <w:tcBorders>
              <w:top w:val="nil"/>
              <w:left w:val="nil"/>
              <w:bottom w:val="single" w:sz="4" w:space="0" w:color="auto"/>
              <w:right w:val="single" w:sz="4" w:space="0" w:color="auto"/>
            </w:tcBorders>
            <w:vAlign w:val="center"/>
            <w:hideMark/>
          </w:tcPr>
          <w:p w14:paraId="2B0F47E2"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GB</w:t>
            </w:r>
          </w:p>
        </w:tc>
      </w:tr>
      <w:tr w:rsidR="004C30DC" w:rsidRPr="004C30DC" w14:paraId="1C56D440" w14:textId="77777777" w:rsidTr="00510AF0">
        <w:trPr>
          <w:trHeight w:val="288"/>
        </w:trPr>
        <w:tc>
          <w:tcPr>
            <w:tcW w:w="189" w:type="pct"/>
            <w:vMerge w:val="restart"/>
            <w:tcBorders>
              <w:top w:val="nil"/>
              <w:left w:val="single" w:sz="4" w:space="0" w:color="auto"/>
              <w:bottom w:val="single" w:sz="4" w:space="0" w:color="auto"/>
              <w:right w:val="single" w:sz="4" w:space="0" w:color="auto"/>
            </w:tcBorders>
            <w:noWrap/>
            <w:vAlign w:val="center"/>
            <w:hideMark/>
          </w:tcPr>
          <w:p w14:paraId="76BACBE1" w14:textId="77777777" w:rsidR="004C30DC" w:rsidRPr="004C30DC" w:rsidRDefault="004C30DC" w:rsidP="004C30DC">
            <w:pPr>
              <w:spacing w:after="0" w:line="240" w:lineRule="auto"/>
              <w:jc w:val="right"/>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3</w:t>
            </w:r>
          </w:p>
        </w:tc>
        <w:tc>
          <w:tcPr>
            <w:tcW w:w="1599" w:type="pct"/>
            <w:vMerge w:val="restart"/>
            <w:tcBorders>
              <w:top w:val="nil"/>
              <w:left w:val="single" w:sz="4" w:space="0" w:color="auto"/>
              <w:bottom w:val="single" w:sz="4" w:space="0" w:color="auto"/>
              <w:right w:val="single" w:sz="4" w:space="0" w:color="auto"/>
            </w:tcBorders>
            <w:vAlign w:val="center"/>
            <w:hideMark/>
          </w:tcPr>
          <w:p w14:paraId="772C6E65"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China</w:t>
            </w:r>
          </w:p>
        </w:tc>
        <w:tc>
          <w:tcPr>
            <w:tcW w:w="1331" w:type="pct"/>
            <w:vMerge w:val="restart"/>
            <w:tcBorders>
              <w:top w:val="nil"/>
              <w:left w:val="single" w:sz="4" w:space="0" w:color="auto"/>
              <w:bottom w:val="single" w:sz="4" w:space="0" w:color="auto"/>
              <w:right w:val="single" w:sz="4" w:space="0" w:color="auto"/>
            </w:tcBorders>
            <w:vAlign w:val="center"/>
            <w:hideMark/>
          </w:tcPr>
          <w:p w14:paraId="7E941C0A"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China</w:t>
            </w:r>
          </w:p>
        </w:tc>
        <w:tc>
          <w:tcPr>
            <w:tcW w:w="751" w:type="pct"/>
            <w:tcBorders>
              <w:top w:val="nil"/>
              <w:left w:val="nil"/>
              <w:bottom w:val="single" w:sz="4" w:space="0" w:color="auto"/>
              <w:right w:val="single" w:sz="4" w:space="0" w:color="auto"/>
            </w:tcBorders>
            <w:vAlign w:val="center"/>
            <w:hideMark/>
          </w:tcPr>
          <w:p w14:paraId="13049582"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China (People's Republic of)</w:t>
            </w:r>
          </w:p>
        </w:tc>
        <w:tc>
          <w:tcPr>
            <w:tcW w:w="621" w:type="pct"/>
            <w:tcBorders>
              <w:top w:val="nil"/>
              <w:left w:val="nil"/>
              <w:bottom w:val="single" w:sz="4" w:space="0" w:color="auto"/>
              <w:right w:val="single" w:sz="4" w:space="0" w:color="auto"/>
            </w:tcBorders>
            <w:vAlign w:val="center"/>
            <w:hideMark/>
          </w:tcPr>
          <w:p w14:paraId="31E86907"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CHN</w:t>
            </w:r>
          </w:p>
        </w:tc>
        <w:tc>
          <w:tcPr>
            <w:tcW w:w="508" w:type="pct"/>
            <w:tcBorders>
              <w:top w:val="nil"/>
              <w:left w:val="nil"/>
              <w:bottom w:val="single" w:sz="4" w:space="0" w:color="auto"/>
              <w:right w:val="single" w:sz="4" w:space="0" w:color="auto"/>
            </w:tcBorders>
            <w:vAlign w:val="center"/>
            <w:hideMark/>
          </w:tcPr>
          <w:p w14:paraId="3C12125A"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CN</w:t>
            </w:r>
          </w:p>
        </w:tc>
      </w:tr>
      <w:tr w:rsidR="004C30DC" w:rsidRPr="004C30DC" w14:paraId="1BD01855"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4A194EA7"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47EB275F"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23524506"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262EC50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Hong Kong SAR</w:t>
            </w:r>
          </w:p>
        </w:tc>
        <w:tc>
          <w:tcPr>
            <w:tcW w:w="621" w:type="pct"/>
            <w:tcBorders>
              <w:top w:val="nil"/>
              <w:left w:val="nil"/>
              <w:bottom w:val="single" w:sz="4" w:space="0" w:color="auto"/>
              <w:right w:val="single" w:sz="4" w:space="0" w:color="auto"/>
            </w:tcBorders>
            <w:vAlign w:val="center"/>
            <w:hideMark/>
          </w:tcPr>
          <w:p w14:paraId="6B49932E"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HKG</w:t>
            </w:r>
          </w:p>
        </w:tc>
        <w:tc>
          <w:tcPr>
            <w:tcW w:w="508" w:type="pct"/>
            <w:tcBorders>
              <w:top w:val="nil"/>
              <w:left w:val="nil"/>
              <w:bottom w:val="single" w:sz="4" w:space="0" w:color="auto"/>
              <w:right w:val="single" w:sz="4" w:space="0" w:color="auto"/>
            </w:tcBorders>
            <w:vAlign w:val="center"/>
            <w:hideMark/>
          </w:tcPr>
          <w:p w14:paraId="00A02C4C"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HK</w:t>
            </w:r>
          </w:p>
        </w:tc>
      </w:tr>
      <w:tr w:rsidR="004C30DC" w:rsidRPr="004C30DC" w14:paraId="58815EE7" w14:textId="77777777" w:rsidTr="00510AF0">
        <w:trPr>
          <w:trHeight w:val="288"/>
        </w:trPr>
        <w:tc>
          <w:tcPr>
            <w:tcW w:w="189" w:type="pct"/>
            <w:vMerge w:val="restart"/>
            <w:tcBorders>
              <w:top w:val="nil"/>
              <w:left w:val="single" w:sz="4" w:space="0" w:color="auto"/>
              <w:bottom w:val="single" w:sz="4" w:space="0" w:color="auto"/>
              <w:right w:val="single" w:sz="4" w:space="0" w:color="auto"/>
            </w:tcBorders>
            <w:noWrap/>
            <w:vAlign w:val="center"/>
            <w:hideMark/>
          </w:tcPr>
          <w:p w14:paraId="19423B9D" w14:textId="77777777" w:rsidR="004C30DC" w:rsidRPr="004C30DC" w:rsidRDefault="004C30DC" w:rsidP="004C30DC">
            <w:pPr>
              <w:spacing w:after="0" w:line="240" w:lineRule="auto"/>
              <w:jc w:val="right"/>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4</w:t>
            </w:r>
          </w:p>
        </w:tc>
        <w:tc>
          <w:tcPr>
            <w:tcW w:w="1599" w:type="pct"/>
            <w:vMerge w:val="restart"/>
            <w:tcBorders>
              <w:top w:val="nil"/>
              <w:left w:val="single" w:sz="4" w:space="0" w:color="auto"/>
              <w:bottom w:val="single" w:sz="4" w:space="0" w:color="auto"/>
              <w:right w:val="single" w:sz="4" w:space="0" w:color="auto"/>
            </w:tcBorders>
            <w:vAlign w:val="center"/>
            <w:hideMark/>
          </w:tcPr>
          <w:p w14:paraId="1CF5C6FF"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East Asia and Oceania</w:t>
            </w:r>
          </w:p>
        </w:tc>
        <w:tc>
          <w:tcPr>
            <w:tcW w:w="1331" w:type="pct"/>
            <w:vMerge w:val="restart"/>
            <w:tcBorders>
              <w:top w:val="nil"/>
              <w:left w:val="single" w:sz="4" w:space="0" w:color="auto"/>
              <w:bottom w:val="single" w:sz="4" w:space="0" w:color="auto"/>
              <w:right w:val="single" w:sz="4" w:space="0" w:color="auto"/>
            </w:tcBorders>
            <w:vAlign w:val="center"/>
            <w:hideMark/>
          </w:tcPr>
          <w:p w14:paraId="1BDFF56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EASOC</w:t>
            </w:r>
          </w:p>
        </w:tc>
        <w:tc>
          <w:tcPr>
            <w:tcW w:w="751" w:type="pct"/>
            <w:tcBorders>
              <w:top w:val="nil"/>
              <w:left w:val="nil"/>
              <w:bottom w:val="single" w:sz="4" w:space="0" w:color="auto"/>
              <w:right w:val="single" w:sz="4" w:space="0" w:color="auto"/>
            </w:tcBorders>
            <w:vAlign w:val="center"/>
            <w:hideMark/>
          </w:tcPr>
          <w:p w14:paraId="79D51FB4"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Australia</w:t>
            </w:r>
          </w:p>
        </w:tc>
        <w:tc>
          <w:tcPr>
            <w:tcW w:w="621" w:type="pct"/>
            <w:tcBorders>
              <w:top w:val="nil"/>
              <w:left w:val="nil"/>
              <w:bottom w:val="single" w:sz="4" w:space="0" w:color="auto"/>
              <w:right w:val="single" w:sz="4" w:space="0" w:color="auto"/>
            </w:tcBorders>
            <w:vAlign w:val="center"/>
            <w:hideMark/>
          </w:tcPr>
          <w:p w14:paraId="002E2AF4"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AUS</w:t>
            </w:r>
          </w:p>
        </w:tc>
        <w:tc>
          <w:tcPr>
            <w:tcW w:w="508" w:type="pct"/>
            <w:tcBorders>
              <w:top w:val="nil"/>
              <w:left w:val="nil"/>
              <w:bottom w:val="single" w:sz="4" w:space="0" w:color="auto"/>
              <w:right w:val="single" w:sz="4" w:space="0" w:color="auto"/>
            </w:tcBorders>
            <w:vAlign w:val="center"/>
            <w:hideMark/>
          </w:tcPr>
          <w:p w14:paraId="06327363"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AU</w:t>
            </w:r>
          </w:p>
        </w:tc>
      </w:tr>
      <w:tr w:rsidR="004C30DC" w:rsidRPr="004C30DC" w14:paraId="1B79D21B"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7622A622"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2A4C54B9"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4D5B061D"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38065642"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Brunei Darussalam</w:t>
            </w:r>
          </w:p>
        </w:tc>
        <w:tc>
          <w:tcPr>
            <w:tcW w:w="621" w:type="pct"/>
            <w:tcBorders>
              <w:top w:val="nil"/>
              <w:left w:val="nil"/>
              <w:bottom w:val="single" w:sz="4" w:space="0" w:color="auto"/>
              <w:right w:val="single" w:sz="4" w:space="0" w:color="auto"/>
            </w:tcBorders>
            <w:vAlign w:val="center"/>
            <w:hideMark/>
          </w:tcPr>
          <w:p w14:paraId="66280601"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BRN</w:t>
            </w:r>
          </w:p>
        </w:tc>
        <w:tc>
          <w:tcPr>
            <w:tcW w:w="508" w:type="pct"/>
            <w:tcBorders>
              <w:top w:val="nil"/>
              <w:left w:val="nil"/>
              <w:bottom w:val="single" w:sz="4" w:space="0" w:color="auto"/>
              <w:right w:val="single" w:sz="4" w:space="0" w:color="auto"/>
            </w:tcBorders>
            <w:vAlign w:val="center"/>
            <w:hideMark/>
          </w:tcPr>
          <w:p w14:paraId="287B4103"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BN</w:t>
            </w:r>
          </w:p>
        </w:tc>
      </w:tr>
      <w:tr w:rsidR="004C30DC" w:rsidRPr="004C30DC" w14:paraId="7FEE6C45"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2B7E0A43"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1D5C6583"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7CAF1CC4"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64EF84A9"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Cambodia</w:t>
            </w:r>
          </w:p>
        </w:tc>
        <w:tc>
          <w:tcPr>
            <w:tcW w:w="621" w:type="pct"/>
            <w:tcBorders>
              <w:top w:val="nil"/>
              <w:left w:val="nil"/>
              <w:bottom w:val="single" w:sz="4" w:space="0" w:color="auto"/>
              <w:right w:val="single" w:sz="4" w:space="0" w:color="auto"/>
            </w:tcBorders>
            <w:vAlign w:val="center"/>
            <w:hideMark/>
          </w:tcPr>
          <w:p w14:paraId="53C1322B"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KHM</w:t>
            </w:r>
          </w:p>
        </w:tc>
        <w:tc>
          <w:tcPr>
            <w:tcW w:w="508" w:type="pct"/>
            <w:tcBorders>
              <w:top w:val="nil"/>
              <w:left w:val="nil"/>
              <w:bottom w:val="single" w:sz="4" w:space="0" w:color="auto"/>
              <w:right w:val="single" w:sz="4" w:space="0" w:color="auto"/>
            </w:tcBorders>
            <w:vAlign w:val="center"/>
            <w:hideMark/>
          </w:tcPr>
          <w:p w14:paraId="35AE6F3E"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KH</w:t>
            </w:r>
          </w:p>
        </w:tc>
      </w:tr>
      <w:tr w:rsidR="004C30DC" w:rsidRPr="004C30DC" w14:paraId="26C5C9B1"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78BC8F9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74DDB639"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78A49A3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5DBD5DBD"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Chinese Taipei</w:t>
            </w:r>
          </w:p>
        </w:tc>
        <w:tc>
          <w:tcPr>
            <w:tcW w:w="621" w:type="pct"/>
            <w:tcBorders>
              <w:top w:val="nil"/>
              <w:left w:val="nil"/>
              <w:bottom w:val="single" w:sz="4" w:space="0" w:color="auto"/>
              <w:right w:val="single" w:sz="4" w:space="0" w:color="auto"/>
            </w:tcBorders>
            <w:vAlign w:val="center"/>
            <w:hideMark/>
          </w:tcPr>
          <w:p w14:paraId="44C1FE31"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TWN</w:t>
            </w:r>
          </w:p>
        </w:tc>
        <w:tc>
          <w:tcPr>
            <w:tcW w:w="508" w:type="pct"/>
            <w:tcBorders>
              <w:top w:val="nil"/>
              <w:left w:val="nil"/>
              <w:bottom w:val="single" w:sz="4" w:space="0" w:color="auto"/>
              <w:right w:val="single" w:sz="4" w:space="0" w:color="auto"/>
            </w:tcBorders>
            <w:vAlign w:val="center"/>
            <w:hideMark/>
          </w:tcPr>
          <w:p w14:paraId="6141722B"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TW</w:t>
            </w:r>
          </w:p>
        </w:tc>
      </w:tr>
      <w:tr w:rsidR="004C30DC" w:rsidRPr="004C30DC" w14:paraId="56AFDB53"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0CD75EA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3D55D30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208C8DA7"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4B2313AA"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Indonesia</w:t>
            </w:r>
          </w:p>
        </w:tc>
        <w:tc>
          <w:tcPr>
            <w:tcW w:w="621" w:type="pct"/>
            <w:tcBorders>
              <w:top w:val="nil"/>
              <w:left w:val="nil"/>
              <w:bottom w:val="single" w:sz="4" w:space="0" w:color="auto"/>
              <w:right w:val="single" w:sz="4" w:space="0" w:color="auto"/>
            </w:tcBorders>
            <w:vAlign w:val="center"/>
            <w:hideMark/>
          </w:tcPr>
          <w:p w14:paraId="1BB62BFD"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IDN</w:t>
            </w:r>
          </w:p>
        </w:tc>
        <w:tc>
          <w:tcPr>
            <w:tcW w:w="508" w:type="pct"/>
            <w:tcBorders>
              <w:top w:val="nil"/>
              <w:left w:val="nil"/>
              <w:bottom w:val="single" w:sz="4" w:space="0" w:color="auto"/>
              <w:right w:val="single" w:sz="4" w:space="0" w:color="auto"/>
            </w:tcBorders>
            <w:vAlign w:val="center"/>
            <w:hideMark/>
          </w:tcPr>
          <w:p w14:paraId="36C24A79"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ID</w:t>
            </w:r>
          </w:p>
        </w:tc>
      </w:tr>
      <w:tr w:rsidR="004C30DC" w:rsidRPr="004C30DC" w14:paraId="241658F5"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337DD10D"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7CC9A7A7"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5F3199E4"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0CE9B325"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Japan</w:t>
            </w:r>
          </w:p>
        </w:tc>
        <w:tc>
          <w:tcPr>
            <w:tcW w:w="621" w:type="pct"/>
            <w:tcBorders>
              <w:top w:val="nil"/>
              <w:left w:val="nil"/>
              <w:bottom w:val="single" w:sz="4" w:space="0" w:color="auto"/>
              <w:right w:val="single" w:sz="4" w:space="0" w:color="auto"/>
            </w:tcBorders>
            <w:vAlign w:val="center"/>
            <w:hideMark/>
          </w:tcPr>
          <w:p w14:paraId="7C8A5AD2"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JPN</w:t>
            </w:r>
          </w:p>
        </w:tc>
        <w:tc>
          <w:tcPr>
            <w:tcW w:w="508" w:type="pct"/>
            <w:tcBorders>
              <w:top w:val="nil"/>
              <w:left w:val="nil"/>
              <w:bottom w:val="single" w:sz="4" w:space="0" w:color="auto"/>
              <w:right w:val="single" w:sz="4" w:space="0" w:color="auto"/>
            </w:tcBorders>
            <w:vAlign w:val="center"/>
            <w:hideMark/>
          </w:tcPr>
          <w:p w14:paraId="62CB15F6"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JP</w:t>
            </w:r>
          </w:p>
        </w:tc>
      </w:tr>
      <w:tr w:rsidR="004C30DC" w:rsidRPr="004C30DC" w14:paraId="3B1A860F"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085F79A3"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51CA1265"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50307EAA"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6F780EA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Korea</w:t>
            </w:r>
          </w:p>
        </w:tc>
        <w:tc>
          <w:tcPr>
            <w:tcW w:w="621" w:type="pct"/>
            <w:tcBorders>
              <w:top w:val="nil"/>
              <w:left w:val="nil"/>
              <w:bottom w:val="single" w:sz="4" w:space="0" w:color="auto"/>
              <w:right w:val="single" w:sz="4" w:space="0" w:color="auto"/>
            </w:tcBorders>
            <w:vAlign w:val="center"/>
            <w:hideMark/>
          </w:tcPr>
          <w:p w14:paraId="6BD72722"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KOR</w:t>
            </w:r>
          </w:p>
        </w:tc>
        <w:tc>
          <w:tcPr>
            <w:tcW w:w="508" w:type="pct"/>
            <w:tcBorders>
              <w:top w:val="nil"/>
              <w:left w:val="nil"/>
              <w:bottom w:val="single" w:sz="4" w:space="0" w:color="auto"/>
              <w:right w:val="single" w:sz="4" w:space="0" w:color="auto"/>
            </w:tcBorders>
            <w:vAlign w:val="center"/>
            <w:hideMark/>
          </w:tcPr>
          <w:p w14:paraId="380536F7"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KR</w:t>
            </w:r>
          </w:p>
        </w:tc>
      </w:tr>
      <w:tr w:rsidR="004C30DC" w:rsidRPr="004C30DC" w14:paraId="16D0EF9F"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0395CF9C"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254A4534"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2D4D91D7"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13E0B68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Malaysia</w:t>
            </w:r>
          </w:p>
        </w:tc>
        <w:tc>
          <w:tcPr>
            <w:tcW w:w="621" w:type="pct"/>
            <w:tcBorders>
              <w:top w:val="nil"/>
              <w:left w:val="nil"/>
              <w:bottom w:val="single" w:sz="4" w:space="0" w:color="auto"/>
              <w:right w:val="single" w:sz="4" w:space="0" w:color="auto"/>
            </w:tcBorders>
            <w:vAlign w:val="center"/>
            <w:hideMark/>
          </w:tcPr>
          <w:p w14:paraId="2EC82A12"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MYS</w:t>
            </w:r>
          </w:p>
        </w:tc>
        <w:tc>
          <w:tcPr>
            <w:tcW w:w="508" w:type="pct"/>
            <w:tcBorders>
              <w:top w:val="nil"/>
              <w:left w:val="nil"/>
              <w:bottom w:val="single" w:sz="4" w:space="0" w:color="auto"/>
              <w:right w:val="single" w:sz="4" w:space="0" w:color="auto"/>
            </w:tcBorders>
            <w:vAlign w:val="center"/>
            <w:hideMark/>
          </w:tcPr>
          <w:p w14:paraId="5002CF20"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MY</w:t>
            </w:r>
          </w:p>
        </w:tc>
      </w:tr>
      <w:tr w:rsidR="004C30DC" w:rsidRPr="004C30DC" w14:paraId="104A6169"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688556F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5E652D85"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6A903C94"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3A70DDDF"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New Zealand</w:t>
            </w:r>
          </w:p>
        </w:tc>
        <w:tc>
          <w:tcPr>
            <w:tcW w:w="621" w:type="pct"/>
            <w:tcBorders>
              <w:top w:val="nil"/>
              <w:left w:val="nil"/>
              <w:bottom w:val="single" w:sz="4" w:space="0" w:color="auto"/>
              <w:right w:val="single" w:sz="4" w:space="0" w:color="auto"/>
            </w:tcBorders>
            <w:vAlign w:val="center"/>
            <w:hideMark/>
          </w:tcPr>
          <w:p w14:paraId="16FC8144"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NZL</w:t>
            </w:r>
          </w:p>
        </w:tc>
        <w:tc>
          <w:tcPr>
            <w:tcW w:w="508" w:type="pct"/>
            <w:tcBorders>
              <w:top w:val="nil"/>
              <w:left w:val="nil"/>
              <w:bottom w:val="single" w:sz="4" w:space="0" w:color="auto"/>
              <w:right w:val="single" w:sz="4" w:space="0" w:color="auto"/>
            </w:tcBorders>
            <w:vAlign w:val="center"/>
            <w:hideMark/>
          </w:tcPr>
          <w:p w14:paraId="6FF7CB97"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NZ</w:t>
            </w:r>
          </w:p>
        </w:tc>
      </w:tr>
      <w:tr w:rsidR="004C30DC" w:rsidRPr="004C30DC" w14:paraId="545D9868"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1087AEDF"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404C5D8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4CADE16F"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45AE38CA"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Philippines</w:t>
            </w:r>
          </w:p>
        </w:tc>
        <w:tc>
          <w:tcPr>
            <w:tcW w:w="621" w:type="pct"/>
            <w:tcBorders>
              <w:top w:val="nil"/>
              <w:left w:val="nil"/>
              <w:bottom w:val="single" w:sz="4" w:space="0" w:color="auto"/>
              <w:right w:val="single" w:sz="4" w:space="0" w:color="auto"/>
            </w:tcBorders>
            <w:vAlign w:val="center"/>
            <w:hideMark/>
          </w:tcPr>
          <w:p w14:paraId="47C57293"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PHL</w:t>
            </w:r>
          </w:p>
        </w:tc>
        <w:tc>
          <w:tcPr>
            <w:tcW w:w="508" w:type="pct"/>
            <w:tcBorders>
              <w:top w:val="nil"/>
              <w:left w:val="nil"/>
              <w:bottom w:val="single" w:sz="4" w:space="0" w:color="auto"/>
              <w:right w:val="single" w:sz="4" w:space="0" w:color="auto"/>
            </w:tcBorders>
            <w:vAlign w:val="center"/>
            <w:hideMark/>
          </w:tcPr>
          <w:p w14:paraId="7CC95F65"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PH</w:t>
            </w:r>
          </w:p>
        </w:tc>
      </w:tr>
      <w:tr w:rsidR="004C30DC" w:rsidRPr="004C30DC" w14:paraId="02ABEE65"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25ACAB3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6C314A39"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39F96677"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2FDCC384"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Singapore</w:t>
            </w:r>
          </w:p>
        </w:tc>
        <w:tc>
          <w:tcPr>
            <w:tcW w:w="621" w:type="pct"/>
            <w:tcBorders>
              <w:top w:val="nil"/>
              <w:left w:val="nil"/>
              <w:bottom w:val="single" w:sz="4" w:space="0" w:color="auto"/>
              <w:right w:val="single" w:sz="4" w:space="0" w:color="auto"/>
            </w:tcBorders>
            <w:vAlign w:val="center"/>
            <w:hideMark/>
          </w:tcPr>
          <w:p w14:paraId="43456217"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SGP</w:t>
            </w:r>
          </w:p>
        </w:tc>
        <w:tc>
          <w:tcPr>
            <w:tcW w:w="508" w:type="pct"/>
            <w:tcBorders>
              <w:top w:val="nil"/>
              <w:left w:val="nil"/>
              <w:bottom w:val="single" w:sz="4" w:space="0" w:color="auto"/>
              <w:right w:val="single" w:sz="4" w:space="0" w:color="auto"/>
            </w:tcBorders>
            <w:vAlign w:val="center"/>
            <w:hideMark/>
          </w:tcPr>
          <w:p w14:paraId="57D0DC9A"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SG</w:t>
            </w:r>
          </w:p>
        </w:tc>
      </w:tr>
      <w:tr w:rsidR="004C30DC" w:rsidRPr="004C30DC" w14:paraId="44771A07"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18E54221"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2E26B0A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1D52C34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0B1ACD92"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Thailand</w:t>
            </w:r>
          </w:p>
        </w:tc>
        <w:tc>
          <w:tcPr>
            <w:tcW w:w="621" w:type="pct"/>
            <w:tcBorders>
              <w:top w:val="nil"/>
              <w:left w:val="nil"/>
              <w:bottom w:val="single" w:sz="4" w:space="0" w:color="auto"/>
              <w:right w:val="single" w:sz="4" w:space="0" w:color="auto"/>
            </w:tcBorders>
            <w:vAlign w:val="center"/>
            <w:hideMark/>
          </w:tcPr>
          <w:p w14:paraId="1E4D0BCB"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THA</w:t>
            </w:r>
          </w:p>
        </w:tc>
        <w:tc>
          <w:tcPr>
            <w:tcW w:w="508" w:type="pct"/>
            <w:tcBorders>
              <w:top w:val="nil"/>
              <w:left w:val="nil"/>
              <w:bottom w:val="single" w:sz="4" w:space="0" w:color="auto"/>
              <w:right w:val="single" w:sz="4" w:space="0" w:color="auto"/>
            </w:tcBorders>
            <w:vAlign w:val="center"/>
            <w:hideMark/>
          </w:tcPr>
          <w:p w14:paraId="0CCA359A"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TH</w:t>
            </w:r>
          </w:p>
        </w:tc>
      </w:tr>
      <w:tr w:rsidR="004C30DC" w:rsidRPr="004C30DC" w14:paraId="1CB0EF32"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282E6A84"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17B919F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3326655C"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630B5695" w14:textId="77777777" w:rsidR="004C30DC" w:rsidRPr="004C30DC" w:rsidRDefault="004C30DC" w:rsidP="004C30DC">
            <w:pPr>
              <w:spacing w:after="0" w:line="240" w:lineRule="auto"/>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Viet Nam</w:t>
            </w:r>
          </w:p>
        </w:tc>
        <w:tc>
          <w:tcPr>
            <w:tcW w:w="621" w:type="pct"/>
            <w:tcBorders>
              <w:top w:val="nil"/>
              <w:left w:val="nil"/>
              <w:bottom w:val="single" w:sz="4" w:space="0" w:color="auto"/>
              <w:right w:val="single" w:sz="4" w:space="0" w:color="auto"/>
            </w:tcBorders>
            <w:vAlign w:val="center"/>
            <w:hideMark/>
          </w:tcPr>
          <w:p w14:paraId="45057C01"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VNM</w:t>
            </w:r>
          </w:p>
        </w:tc>
        <w:tc>
          <w:tcPr>
            <w:tcW w:w="508" w:type="pct"/>
            <w:tcBorders>
              <w:top w:val="nil"/>
              <w:left w:val="nil"/>
              <w:bottom w:val="single" w:sz="4" w:space="0" w:color="auto"/>
              <w:right w:val="single" w:sz="4" w:space="0" w:color="auto"/>
            </w:tcBorders>
            <w:vAlign w:val="center"/>
            <w:hideMark/>
          </w:tcPr>
          <w:p w14:paraId="7E72FF16"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VN</w:t>
            </w:r>
          </w:p>
        </w:tc>
      </w:tr>
      <w:tr w:rsidR="004C30DC" w:rsidRPr="004C30DC" w14:paraId="67A54ADD" w14:textId="77777777" w:rsidTr="00510AF0">
        <w:trPr>
          <w:trHeight w:val="288"/>
        </w:trPr>
        <w:tc>
          <w:tcPr>
            <w:tcW w:w="189" w:type="pct"/>
            <w:tcBorders>
              <w:top w:val="nil"/>
              <w:left w:val="single" w:sz="4" w:space="0" w:color="auto"/>
              <w:bottom w:val="single" w:sz="4" w:space="0" w:color="auto"/>
              <w:right w:val="single" w:sz="4" w:space="0" w:color="auto"/>
            </w:tcBorders>
            <w:noWrap/>
            <w:vAlign w:val="center"/>
            <w:hideMark/>
          </w:tcPr>
          <w:p w14:paraId="4AD522E9" w14:textId="77777777" w:rsidR="004C30DC" w:rsidRPr="004C30DC" w:rsidRDefault="004C30DC" w:rsidP="004C30DC">
            <w:pPr>
              <w:spacing w:after="0" w:line="240" w:lineRule="auto"/>
              <w:jc w:val="right"/>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lastRenderedPageBreak/>
              <w:t>5</w:t>
            </w:r>
          </w:p>
        </w:tc>
        <w:tc>
          <w:tcPr>
            <w:tcW w:w="1599" w:type="pct"/>
            <w:tcBorders>
              <w:top w:val="nil"/>
              <w:left w:val="nil"/>
              <w:bottom w:val="single" w:sz="4" w:space="0" w:color="auto"/>
              <w:right w:val="single" w:sz="4" w:space="0" w:color="auto"/>
            </w:tcBorders>
            <w:vAlign w:val="center"/>
            <w:hideMark/>
          </w:tcPr>
          <w:p w14:paraId="6DA9250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India</w:t>
            </w:r>
          </w:p>
        </w:tc>
        <w:tc>
          <w:tcPr>
            <w:tcW w:w="1331" w:type="pct"/>
            <w:tcBorders>
              <w:top w:val="nil"/>
              <w:left w:val="nil"/>
              <w:bottom w:val="single" w:sz="4" w:space="0" w:color="auto"/>
              <w:right w:val="single" w:sz="4" w:space="0" w:color="auto"/>
            </w:tcBorders>
            <w:vAlign w:val="center"/>
            <w:hideMark/>
          </w:tcPr>
          <w:p w14:paraId="0CFD6179"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India</w:t>
            </w:r>
          </w:p>
        </w:tc>
        <w:tc>
          <w:tcPr>
            <w:tcW w:w="751" w:type="pct"/>
            <w:tcBorders>
              <w:top w:val="nil"/>
              <w:left w:val="nil"/>
              <w:bottom w:val="single" w:sz="4" w:space="0" w:color="auto"/>
              <w:right w:val="single" w:sz="4" w:space="0" w:color="auto"/>
            </w:tcBorders>
            <w:vAlign w:val="center"/>
            <w:hideMark/>
          </w:tcPr>
          <w:p w14:paraId="6F9104C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India</w:t>
            </w:r>
          </w:p>
        </w:tc>
        <w:tc>
          <w:tcPr>
            <w:tcW w:w="621" w:type="pct"/>
            <w:tcBorders>
              <w:top w:val="nil"/>
              <w:left w:val="nil"/>
              <w:bottom w:val="single" w:sz="4" w:space="0" w:color="auto"/>
              <w:right w:val="single" w:sz="4" w:space="0" w:color="auto"/>
            </w:tcBorders>
            <w:vAlign w:val="center"/>
            <w:hideMark/>
          </w:tcPr>
          <w:p w14:paraId="2971D589"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IND</w:t>
            </w:r>
          </w:p>
        </w:tc>
        <w:tc>
          <w:tcPr>
            <w:tcW w:w="508" w:type="pct"/>
            <w:tcBorders>
              <w:top w:val="nil"/>
              <w:left w:val="nil"/>
              <w:bottom w:val="single" w:sz="4" w:space="0" w:color="auto"/>
              <w:right w:val="single" w:sz="4" w:space="0" w:color="auto"/>
            </w:tcBorders>
            <w:vAlign w:val="center"/>
            <w:hideMark/>
          </w:tcPr>
          <w:p w14:paraId="0F19B0EE"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IN</w:t>
            </w:r>
          </w:p>
        </w:tc>
      </w:tr>
      <w:tr w:rsidR="004C30DC" w:rsidRPr="004C30DC" w14:paraId="319CAA57" w14:textId="77777777" w:rsidTr="00510AF0">
        <w:trPr>
          <w:trHeight w:val="288"/>
        </w:trPr>
        <w:tc>
          <w:tcPr>
            <w:tcW w:w="189" w:type="pct"/>
            <w:vMerge w:val="restart"/>
            <w:tcBorders>
              <w:top w:val="nil"/>
              <w:left w:val="single" w:sz="4" w:space="0" w:color="auto"/>
              <w:bottom w:val="single" w:sz="4" w:space="0" w:color="auto"/>
              <w:right w:val="single" w:sz="4" w:space="0" w:color="auto"/>
            </w:tcBorders>
            <w:noWrap/>
            <w:vAlign w:val="center"/>
            <w:hideMark/>
          </w:tcPr>
          <w:p w14:paraId="4B35E729" w14:textId="77777777" w:rsidR="004C30DC" w:rsidRPr="004C30DC" w:rsidRDefault="004C30DC" w:rsidP="004C30DC">
            <w:pPr>
              <w:spacing w:after="0" w:line="240" w:lineRule="auto"/>
              <w:jc w:val="right"/>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6</w:t>
            </w:r>
          </w:p>
        </w:tc>
        <w:tc>
          <w:tcPr>
            <w:tcW w:w="1599" w:type="pct"/>
            <w:vMerge w:val="restart"/>
            <w:tcBorders>
              <w:top w:val="nil"/>
              <w:left w:val="single" w:sz="4" w:space="0" w:color="auto"/>
              <w:bottom w:val="single" w:sz="4" w:space="0" w:color="auto"/>
              <w:right w:val="single" w:sz="4" w:space="0" w:color="auto"/>
            </w:tcBorders>
            <w:vAlign w:val="center"/>
            <w:hideMark/>
          </w:tcPr>
          <w:p w14:paraId="6DF1F8C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Latin America</w:t>
            </w:r>
          </w:p>
        </w:tc>
        <w:tc>
          <w:tcPr>
            <w:tcW w:w="1331" w:type="pct"/>
            <w:vMerge w:val="restart"/>
            <w:tcBorders>
              <w:top w:val="nil"/>
              <w:left w:val="single" w:sz="4" w:space="0" w:color="auto"/>
              <w:bottom w:val="single" w:sz="4" w:space="0" w:color="auto"/>
              <w:right w:val="single" w:sz="4" w:space="0" w:color="auto"/>
            </w:tcBorders>
            <w:vAlign w:val="center"/>
            <w:hideMark/>
          </w:tcPr>
          <w:p w14:paraId="76E268F9"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LATAM</w:t>
            </w:r>
          </w:p>
        </w:tc>
        <w:tc>
          <w:tcPr>
            <w:tcW w:w="751" w:type="pct"/>
            <w:tcBorders>
              <w:top w:val="nil"/>
              <w:left w:val="nil"/>
              <w:bottom w:val="single" w:sz="4" w:space="0" w:color="auto"/>
              <w:right w:val="single" w:sz="4" w:space="0" w:color="auto"/>
            </w:tcBorders>
            <w:vAlign w:val="center"/>
            <w:hideMark/>
          </w:tcPr>
          <w:p w14:paraId="66E20194"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Argentina</w:t>
            </w:r>
          </w:p>
        </w:tc>
        <w:tc>
          <w:tcPr>
            <w:tcW w:w="621" w:type="pct"/>
            <w:tcBorders>
              <w:top w:val="nil"/>
              <w:left w:val="nil"/>
              <w:bottom w:val="single" w:sz="4" w:space="0" w:color="auto"/>
              <w:right w:val="single" w:sz="4" w:space="0" w:color="auto"/>
            </w:tcBorders>
            <w:vAlign w:val="center"/>
            <w:hideMark/>
          </w:tcPr>
          <w:p w14:paraId="076384FA"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ARG</w:t>
            </w:r>
          </w:p>
        </w:tc>
        <w:tc>
          <w:tcPr>
            <w:tcW w:w="508" w:type="pct"/>
            <w:tcBorders>
              <w:top w:val="nil"/>
              <w:left w:val="nil"/>
              <w:bottom w:val="single" w:sz="4" w:space="0" w:color="auto"/>
              <w:right w:val="single" w:sz="4" w:space="0" w:color="auto"/>
            </w:tcBorders>
            <w:vAlign w:val="center"/>
            <w:hideMark/>
          </w:tcPr>
          <w:p w14:paraId="0FF1281D"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AR</w:t>
            </w:r>
          </w:p>
        </w:tc>
      </w:tr>
      <w:tr w:rsidR="004C30DC" w:rsidRPr="004C30DC" w14:paraId="1A3489D0"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623FA239"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3E3F3DA6"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1B2CD416"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21D10E1C"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Brazil</w:t>
            </w:r>
          </w:p>
        </w:tc>
        <w:tc>
          <w:tcPr>
            <w:tcW w:w="621" w:type="pct"/>
            <w:tcBorders>
              <w:top w:val="nil"/>
              <w:left w:val="nil"/>
              <w:bottom w:val="single" w:sz="4" w:space="0" w:color="auto"/>
              <w:right w:val="single" w:sz="4" w:space="0" w:color="auto"/>
            </w:tcBorders>
            <w:vAlign w:val="center"/>
            <w:hideMark/>
          </w:tcPr>
          <w:p w14:paraId="6C1711E6"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BRA</w:t>
            </w:r>
          </w:p>
        </w:tc>
        <w:tc>
          <w:tcPr>
            <w:tcW w:w="508" w:type="pct"/>
            <w:tcBorders>
              <w:top w:val="nil"/>
              <w:left w:val="nil"/>
              <w:bottom w:val="single" w:sz="4" w:space="0" w:color="auto"/>
              <w:right w:val="single" w:sz="4" w:space="0" w:color="auto"/>
            </w:tcBorders>
            <w:vAlign w:val="center"/>
            <w:hideMark/>
          </w:tcPr>
          <w:p w14:paraId="4C169A91"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BR</w:t>
            </w:r>
          </w:p>
        </w:tc>
      </w:tr>
      <w:tr w:rsidR="004C30DC" w:rsidRPr="004C30DC" w14:paraId="0C86FA85"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6C97C1EF"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14F7D1B5"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0234C52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3D7D2092"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Chile</w:t>
            </w:r>
          </w:p>
        </w:tc>
        <w:tc>
          <w:tcPr>
            <w:tcW w:w="621" w:type="pct"/>
            <w:tcBorders>
              <w:top w:val="nil"/>
              <w:left w:val="nil"/>
              <w:bottom w:val="single" w:sz="4" w:space="0" w:color="auto"/>
              <w:right w:val="single" w:sz="4" w:space="0" w:color="auto"/>
            </w:tcBorders>
            <w:vAlign w:val="center"/>
            <w:hideMark/>
          </w:tcPr>
          <w:p w14:paraId="045756FD"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CHL</w:t>
            </w:r>
          </w:p>
        </w:tc>
        <w:tc>
          <w:tcPr>
            <w:tcW w:w="508" w:type="pct"/>
            <w:tcBorders>
              <w:top w:val="nil"/>
              <w:left w:val="nil"/>
              <w:bottom w:val="single" w:sz="4" w:space="0" w:color="auto"/>
              <w:right w:val="single" w:sz="4" w:space="0" w:color="auto"/>
            </w:tcBorders>
            <w:vAlign w:val="center"/>
            <w:hideMark/>
          </w:tcPr>
          <w:p w14:paraId="25B0D924"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CL</w:t>
            </w:r>
          </w:p>
        </w:tc>
      </w:tr>
      <w:tr w:rsidR="004C30DC" w:rsidRPr="004C30DC" w14:paraId="42E857E7"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31457BE3"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51AE7673"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2D030274"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6781EC76"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Colombia</w:t>
            </w:r>
          </w:p>
        </w:tc>
        <w:tc>
          <w:tcPr>
            <w:tcW w:w="621" w:type="pct"/>
            <w:tcBorders>
              <w:top w:val="nil"/>
              <w:left w:val="nil"/>
              <w:bottom w:val="single" w:sz="4" w:space="0" w:color="auto"/>
              <w:right w:val="single" w:sz="4" w:space="0" w:color="auto"/>
            </w:tcBorders>
            <w:vAlign w:val="center"/>
            <w:hideMark/>
          </w:tcPr>
          <w:p w14:paraId="7E596047"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COL</w:t>
            </w:r>
          </w:p>
        </w:tc>
        <w:tc>
          <w:tcPr>
            <w:tcW w:w="508" w:type="pct"/>
            <w:tcBorders>
              <w:top w:val="nil"/>
              <w:left w:val="nil"/>
              <w:bottom w:val="single" w:sz="4" w:space="0" w:color="auto"/>
              <w:right w:val="single" w:sz="4" w:space="0" w:color="auto"/>
            </w:tcBorders>
            <w:vAlign w:val="center"/>
            <w:hideMark/>
          </w:tcPr>
          <w:p w14:paraId="45CF75D5"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CO</w:t>
            </w:r>
          </w:p>
        </w:tc>
      </w:tr>
      <w:tr w:rsidR="004C30DC" w:rsidRPr="004C30DC" w14:paraId="4B226198"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6681057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7EBCA509"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26144A8C"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737CB57F"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Costa Rica</w:t>
            </w:r>
          </w:p>
        </w:tc>
        <w:tc>
          <w:tcPr>
            <w:tcW w:w="621" w:type="pct"/>
            <w:tcBorders>
              <w:top w:val="nil"/>
              <w:left w:val="nil"/>
              <w:bottom w:val="single" w:sz="4" w:space="0" w:color="auto"/>
              <w:right w:val="single" w:sz="4" w:space="0" w:color="auto"/>
            </w:tcBorders>
            <w:vAlign w:val="center"/>
            <w:hideMark/>
          </w:tcPr>
          <w:p w14:paraId="124BC4C6"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CRI</w:t>
            </w:r>
          </w:p>
        </w:tc>
        <w:tc>
          <w:tcPr>
            <w:tcW w:w="508" w:type="pct"/>
            <w:tcBorders>
              <w:top w:val="nil"/>
              <w:left w:val="nil"/>
              <w:bottom w:val="single" w:sz="4" w:space="0" w:color="auto"/>
              <w:right w:val="single" w:sz="4" w:space="0" w:color="auto"/>
            </w:tcBorders>
            <w:vAlign w:val="center"/>
            <w:hideMark/>
          </w:tcPr>
          <w:p w14:paraId="7FC88850"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CR</w:t>
            </w:r>
          </w:p>
        </w:tc>
      </w:tr>
      <w:tr w:rsidR="004C30DC" w:rsidRPr="004C30DC" w14:paraId="3E606E91"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0106D9D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7EE0BE5C"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0EF3CFC7"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3A76CA27"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Peru</w:t>
            </w:r>
          </w:p>
        </w:tc>
        <w:tc>
          <w:tcPr>
            <w:tcW w:w="621" w:type="pct"/>
            <w:tcBorders>
              <w:top w:val="nil"/>
              <w:left w:val="nil"/>
              <w:bottom w:val="single" w:sz="4" w:space="0" w:color="auto"/>
              <w:right w:val="single" w:sz="4" w:space="0" w:color="auto"/>
            </w:tcBorders>
            <w:vAlign w:val="center"/>
            <w:hideMark/>
          </w:tcPr>
          <w:p w14:paraId="7A36113B"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PER</w:t>
            </w:r>
          </w:p>
        </w:tc>
        <w:tc>
          <w:tcPr>
            <w:tcW w:w="508" w:type="pct"/>
            <w:tcBorders>
              <w:top w:val="nil"/>
              <w:left w:val="nil"/>
              <w:bottom w:val="single" w:sz="4" w:space="0" w:color="auto"/>
              <w:right w:val="single" w:sz="4" w:space="0" w:color="auto"/>
            </w:tcBorders>
            <w:vAlign w:val="center"/>
            <w:hideMark/>
          </w:tcPr>
          <w:p w14:paraId="07400730"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PE</w:t>
            </w:r>
          </w:p>
        </w:tc>
      </w:tr>
      <w:tr w:rsidR="004C30DC" w:rsidRPr="004C30DC" w14:paraId="624868FC" w14:textId="77777777" w:rsidTr="00510AF0">
        <w:trPr>
          <w:trHeight w:val="288"/>
        </w:trPr>
        <w:tc>
          <w:tcPr>
            <w:tcW w:w="189" w:type="pct"/>
            <w:tcBorders>
              <w:top w:val="nil"/>
              <w:left w:val="single" w:sz="4" w:space="0" w:color="auto"/>
              <w:bottom w:val="single" w:sz="4" w:space="0" w:color="auto"/>
              <w:right w:val="single" w:sz="4" w:space="0" w:color="auto"/>
            </w:tcBorders>
            <w:noWrap/>
            <w:vAlign w:val="center"/>
            <w:hideMark/>
          </w:tcPr>
          <w:p w14:paraId="147E7803" w14:textId="77777777" w:rsidR="004C30DC" w:rsidRPr="004C30DC" w:rsidRDefault="004C30DC" w:rsidP="004C30DC">
            <w:pPr>
              <w:spacing w:after="0" w:line="240" w:lineRule="auto"/>
              <w:jc w:val="right"/>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7</w:t>
            </w:r>
          </w:p>
        </w:tc>
        <w:tc>
          <w:tcPr>
            <w:tcW w:w="1599" w:type="pct"/>
            <w:tcBorders>
              <w:top w:val="nil"/>
              <w:left w:val="nil"/>
              <w:bottom w:val="single" w:sz="4" w:space="0" w:color="auto"/>
              <w:right w:val="single" w:sz="4" w:space="0" w:color="auto"/>
            </w:tcBorders>
            <w:vAlign w:val="center"/>
            <w:hideMark/>
          </w:tcPr>
          <w:p w14:paraId="52CEBB91"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Russia</w:t>
            </w:r>
          </w:p>
        </w:tc>
        <w:tc>
          <w:tcPr>
            <w:tcW w:w="1331" w:type="pct"/>
            <w:tcBorders>
              <w:top w:val="nil"/>
              <w:left w:val="nil"/>
              <w:bottom w:val="single" w:sz="4" w:space="0" w:color="auto"/>
              <w:right w:val="single" w:sz="4" w:space="0" w:color="auto"/>
            </w:tcBorders>
            <w:vAlign w:val="center"/>
            <w:hideMark/>
          </w:tcPr>
          <w:p w14:paraId="5FFE9785"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Russia</w:t>
            </w:r>
          </w:p>
        </w:tc>
        <w:tc>
          <w:tcPr>
            <w:tcW w:w="751" w:type="pct"/>
            <w:tcBorders>
              <w:top w:val="nil"/>
              <w:left w:val="nil"/>
              <w:bottom w:val="single" w:sz="4" w:space="0" w:color="auto"/>
              <w:right w:val="single" w:sz="4" w:space="0" w:color="auto"/>
            </w:tcBorders>
            <w:vAlign w:val="center"/>
            <w:hideMark/>
          </w:tcPr>
          <w:p w14:paraId="4507AE1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Russian Federation</w:t>
            </w:r>
          </w:p>
        </w:tc>
        <w:tc>
          <w:tcPr>
            <w:tcW w:w="621" w:type="pct"/>
            <w:tcBorders>
              <w:top w:val="nil"/>
              <w:left w:val="nil"/>
              <w:bottom w:val="single" w:sz="4" w:space="0" w:color="auto"/>
              <w:right w:val="single" w:sz="4" w:space="0" w:color="auto"/>
            </w:tcBorders>
            <w:vAlign w:val="center"/>
            <w:hideMark/>
          </w:tcPr>
          <w:p w14:paraId="52AEB452"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RUS</w:t>
            </w:r>
          </w:p>
        </w:tc>
        <w:tc>
          <w:tcPr>
            <w:tcW w:w="508" w:type="pct"/>
            <w:tcBorders>
              <w:top w:val="nil"/>
              <w:left w:val="nil"/>
              <w:bottom w:val="single" w:sz="4" w:space="0" w:color="auto"/>
              <w:right w:val="single" w:sz="4" w:space="0" w:color="auto"/>
            </w:tcBorders>
            <w:vAlign w:val="center"/>
            <w:hideMark/>
          </w:tcPr>
          <w:p w14:paraId="13489352"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RU</w:t>
            </w:r>
          </w:p>
        </w:tc>
      </w:tr>
      <w:tr w:rsidR="004C30DC" w:rsidRPr="004C30DC" w14:paraId="1C39C4EC" w14:textId="77777777" w:rsidTr="00510AF0">
        <w:trPr>
          <w:trHeight w:val="288"/>
        </w:trPr>
        <w:tc>
          <w:tcPr>
            <w:tcW w:w="189" w:type="pct"/>
            <w:vMerge w:val="restart"/>
            <w:tcBorders>
              <w:top w:val="nil"/>
              <w:left w:val="single" w:sz="4" w:space="0" w:color="auto"/>
              <w:bottom w:val="single" w:sz="4" w:space="0" w:color="auto"/>
              <w:right w:val="single" w:sz="4" w:space="0" w:color="auto"/>
            </w:tcBorders>
            <w:noWrap/>
            <w:vAlign w:val="center"/>
            <w:hideMark/>
          </w:tcPr>
          <w:p w14:paraId="0EF06E3B" w14:textId="77777777" w:rsidR="004C30DC" w:rsidRPr="004C30DC" w:rsidRDefault="004C30DC" w:rsidP="004C30DC">
            <w:pPr>
              <w:spacing w:after="0" w:line="240" w:lineRule="auto"/>
              <w:jc w:val="right"/>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8</w:t>
            </w:r>
          </w:p>
        </w:tc>
        <w:tc>
          <w:tcPr>
            <w:tcW w:w="1599" w:type="pct"/>
            <w:vMerge w:val="restart"/>
            <w:tcBorders>
              <w:top w:val="nil"/>
              <w:left w:val="single" w:sz="4" w:space="0" w:color="auto"/>
              <w:bottom w:val="single" w:sz="4" w:space="0" w:color="auto"/>
              <w:right w:val="single" w:sz="4" w:space="0" w:color="auto"/>
            </w:tcBorders>
            <w:vAlign w:val="center"/>
            <w:hideMark/>
          </w:tcPr>
          <w:p w14:paraId="38C18961"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United States, Mexico and Canada</w:t>
            </w:r>
          </w:p>
        </w:tc>
        <w:tc>
          <w:tcPr>
            <w:tcW w:w="1331" w:type="pct"/>
            <w:vMerge w:val="restart"/>
            <w:tcBorders>
              <w:top w:val="nil"/>
              <w:left w:val="single" w:sz="4" w:space="0" w:color="auto"/>
              <w:bottom w:val="single" w:sz="4" w:space="0" w:color="auto"/>
              <w:right w:val="single" w:sz="4" w:space="0" w:color="auto"/>
            </w:tcBorders>
            <w:vAlign w:val="center"/>
            <w:hideMark/>
          </w:tcPr>
          <w:p w14:paraId="73C00DB3"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USMCA</w:t>
            </w:r>
          </w:p>
        </w:tc>
        <w:tc>
          <w:tcPr>
            <w:tcW w:w="751" w:type="pct"/>
            <w:tcBorders>
              <w:top w:val="nil"/>
              <w:left w:val="nil"/>
              <w:bottom w:val="single" w:sz="4" w:space="0" w:color="auto"/>
              <w:right w:val="single" w:sz="4" w:space="0" w:color="auto"/>
            </w:tcBorders>
            <w:vAlign w:val="center"/>
            <w:hideMark/>
          </w:tcPr>
          <w:p w14:paraId="29DA8676"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Canada</w:t>
            </w:r>
          </w:p>
        </w:tc>
        <w:tc>
          <w:tcPr>
            <w:tcW w:w="621" w:type="pct"/>
            <w:tcBorders>
              <w:top w:val="nil"/>
              <w:left w:val="nil"/>
              <w:bottom w:val="single" w:sz="4" w:space="0" w:color="auto"/>
              <w:right w:val="single" w:sz="4" w:space="0" w:color="auto"/>
            </w:tcBorders>
            <w:vAlign w:val="center"/>
            <w:hideMark/>
          </w:tcPr>
          <w:p w14:paraId="3F652F37"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CAN</w:t>
            </w:r>
          </w:p>
        </w:tc>
        <w:tc>
          <w:tcPr>
            <w:tcW w:w="508" w:type="pct"/>
            <w:tcBorders>
              <w:top w:val="nil"/>
              <w:left w:val="nil"/>
              <w:bottom w:val="single" w:sz="4" w:space="0" w:color="auto"/>
              <w:right w:val="single" w:sz="4" w:space="0" w:color="auto"/>
            </w:tcBorders>
            <w:vAlign w:val="center"/>
            <w:hideMark/>
          </w:tcPr>
          <w:p w14:paraId="27D11C5C"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CA</w:t>
            </w:r>
          </w:p>
        </w:tc>
      </w:tr>
      <w:tr w:rsidR="004C30DC" w:rsidRPr="004C30DC" w14:paraId="6E517AE1"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6F4460D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2D44AA92"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3E506401"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2D194059"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Mexico</w:t>
            </w:r>
          </w:p>
        </w:tc>
        <w:tc>
          <w:tcPr>
            <w:tcW w:w="621" w:type="pct"/>
            <w:tcBorders>
              <w:top w:val="nil"/>
              <w:left w:val="nil"/>
              <w:bottom w:val="single" w:sz="4" w:space="0" w:color="auto"/>
              <w:right w:val="single" w:sz="4" w:space="0" w:color="auto"/>
            </w:tcBorders>
            <w:vAlign w:val="center"/>
            <w:hideMark/>
          </w:tcPr>
          <w:p w14:paraId="3CC662D6"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MEX</w:t>
            </w:r>
          </w:p>
        </w:tc>
        <w:tc>
          <w:tcPr>
            <w:tcW w:w="508" w:type="pct"/>
            <w:tcBorders>
              <w:top w:val="nil"/>
              <w:left w:val="nil"/>
              <w:bottom w:val="single" w:sz="4" w:space="0" w:color="auto"/>
              <w:right w:val="single" w:sz="4" w:space="0" w:color="auto"/>
            </w:tcBorders>
            <w:vAlign w:val="center"/>
            <w:hideMark/>
          </w:tcPr>
          <w:p w14:paraId="21CA70AE"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MX</w:t>
            </w:r>
          </w:p>
        </w:tc>
      </w:tr>
      <w:tr w:rsidR="004C30DC" w:rsidRPr="004C30DC" w14:paraId="7CC2DD1C"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46E4085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3521D717"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6E455822"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vAlign w:val="center"/>
            <w:hideMark/>
          </w:tcPr>
          <w:p w14:paraId="7552F4D4"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United States</w:t>
            </w:r>
          </w:p>
        </w:tc>
        <w:tc>
          <w:tcPr>
            <w:tcW w:w="621" w:type="pct"/>
            <w:tcBorders>
              <w:top w:val="nil"/>
              <w:left w:val="nil"/>
              <w:bottom w:val="single" w:sz="4" w:space="0" w:color="auto"/>
              <w:right w:val="single" w:sz="4" w:space="0" w:color="auto"/>
            </w:tcBorders>
            <w:vAlign w:val="center"/>
            <w:hideMark/>
          </w:tcPr>
          <w:p w14:paraId="0A875930"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USA</w:t>
            </w:r>
          </w:p>
        </w:tc>
        <w:tc>
          <w:tcPr>
            <w:tcW w:w="508" w:type="pct"/>
            <w:tcBorders>
              <w:top w:val="nil"/>
              <w:left w:val="nil"/>
              <w:bottom w:val="single" w:sz="4" w:space="0" w:color="auto"/>
              <w:right w:val="single" w:sz="4" w:space="0" w:color="auto"/>
            </w:tcBorders>
            <w:vAlign w:val="center"/>
            <w:hideMark/>
          </w:tcPr>
          <w:p w14:paraId="057536C5"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US</w:t>
            </w:r>
          </w:p>
        </w:tc>
      </w:tr>
      <w:tr w:rsidR="004C30DC" w:rsidRPr="004C30DC" w14:paraId="07242FFD" w14:textId="77777777" w:rsidTr="00510AF0">
        <w:trPr>
          <w:trHeight w:val="288"/>
        </w:trPr>
        <w:tc>
          <w:tcPr>
            <w:tcW w:w="189" w:type="pct"/>
            <w:vMerge w:val="restart"/>
            <w:tcBorders>
              <w:top w:val="nil"/>
              <w:left w:val="single" w:sz="4" w:space="0" w:color="auto"/>
              <w:bottom w:val="single" w:sz="4" w:space="0" w:color="auto"/>
              <w:right w:val="single" w:sz="4" w:space="0" w:color="auto"/>
            </w:tcBorders>
            <w:noWrap/>
            <w:vAlign w:val="center"/>
            <w:hideMark/>
          </w:tcPr>
          <w:p w14:paraId="5AA96831" w14:textId="77777777" w:rsidR="004C30DC" w:rsidRPr="004C30DC" w:rsidRDefault="004C30DC" w:rsidP="004C30DC">
            <w:pPr>
              <w:spacing w:after="0" w:line="240" w:lineRule="auto"/>
              <w:jc w:val="right"/>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9</w:t>
            </w:r>
          </w:p>
        </w:tc>
        <w:tc>
          <w:tcPr>
            <w:tcW w:w="1599" w:type="pct"/>
            <w:vMerge w:val="restart"/>
            <w:tcBorders>
              <w:top w:val="nil"/>
              <w:left w:val="single" w:sz="4" w:space="0" w:color="auto"/>
              <w:bottom w:val="single" w:sz="4" w:space="0" w:color="auto"/>
              <w:right w:val="single" w:sz="4" w:space="0" w:color="auto"/>
            </w:tcBorders>
            <w:vAlign w:val="center"/>
            <w:hideMark/>
          </w:tcPr>
          <w:p w14:paraId="300F04B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Rest of the world</w:t>
            </w:r>
          </w:p>
        </w:tc>
        <w:tc>
          <w:tcPr>
            <w:tcW w:w="1331" w:type="pct"/>
            <w:vMerge w:val="restart"/>
            <w:tcBorders>
              <w:top w:val="nil"/>
              <w:left w:val="single" w:sz="4" w:space="0" w:color="auto"/>
              <w:bottom w:val="single" w:sz="4" w:space="0" w:color="auto"/>
              <w:right w:val="single" w:sz="4" w:space="0" w:color="auto"/>
            </w:tcBorders>
            <w:vAlign w:val="center"/>
            <w:hideMark/>
          </w:tcPr>
          <w:p w14:paraId="4B35471C"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LROW</w:t>
            </w:r>
          </w:p>
        </w:tc>
        <w:tc>
          <w:tcPr>
            <w:tcW w:w="751" w:type="pct"/>
            <w:tcBorders>
              <w:top w:val="nil"/>
              <w:left w:val="nil"/>
              <w:bottom w:val="single" w:sz="4" w:space="0" w:color="auto"/>
              <w:right w:val="single" w:sz="4" w:space="0" w:color="auto"/>
            </w:tcBorders>
            <w:vAlign w:val="center"/>
            <w:hideMark/>
          </w:tcPr>
          <w:p w14:paraId="55F5DA75"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Rest of the world</w:t>
            </w:r>
          </w:p>
        </w:tc>
        <w:tc>
          <w:tcPr>
            <w:tcW w:w="621" w:type="pct"/>
            <w:tcBorders>
              <w:top w:val="nil"/>
              <w:left w:val="nil"/>
              <w:bottom w:val="single" w:sz="4" w:space="0" w:color="auto"/>
              <w:right w:val="single" w:sz="4" w:space="0" w:color="auto"/>
            </w:tcBorders>
            <w:vAlign w:val="center"/>
            <w:hideMark/>
          </w:tcPr>
          <w:p w14:paraId="53CA99D0"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ROW</w:t>
            </w:r>
          </w:p>
        </w:tc>
        <w:tc>
          <w:tcPr>
            <w:tcW w:w="508" w:type="pct"/>
            <w:tcBorders>
              <w:top w:val="nil"/>
              <w:left w:val="nil"/>
              <w:bottom w:val="single" w:sz="4" w:space="0" w:color="auto"/>
              <w:right w:val="single" w:sz="4" w:space="0" w:color="auto"/>
            </w:tcBorders>
            <w:vAlign w:val="center"/>
            <w:hideMark/>
          </w:tcPr>
          <w:p w14:paraId="1E7B9C34"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w:t>
            </w:r>
          </w:p>
        </w:tc>
      </w:tr>
      <w:tr w:rsidR="004C30DC" w:rsidRPr="004C30DC" w14:paraId="53925259"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1251C02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65443C7A"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05D0FEA6"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noWrap/>
            <w:vAlign w:val="center"/>
            <w:hideMark/>
          </w:tcPr>
          <w:p w14:paraId="3DC5D01D"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Switzerland</w:t>
            </w:r>
          </w:p>
        </w:tc>
        <w:tc>
          <w:tcPr>
            <w:tcW w:w="621" w:type="pct"/>
            <w:tcBorders>
              <w:top w:val="nil"/>
              <w:left w:val="nil"/>
              <w:bottom w:val="single" w:sz="4" w:space="0" w:color="auto"/>
              <w:right w:val="single" w:sz="4" w:space="0" w:color="auto"/>
            </w:tcBorders>
            <w:noWrap/>
            <w:vAlign w:val="center"/>
            <w:hideMark/>
          </w:tcPr>
          <w:p w14:paraId="68CDD002"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CHE</w:t>
            </w:r>
          </w:p>
        </w:tc>
        <w:tc>
          <w:tcPr>
            <w:tcW w:w="508" w:type="pct"/>
            <w:tcBorders>
              <w:top w:val="nil"/>
              <w:left w:val="nil"/>
              <w:bottom w:val="single" w:sz="4" w:space="0" w:color="auto"/>
              <w:right w:val="single" w:sz="4" w:space="0" w:color="auto"/>
            </w:tcBorders>
            <w:vAlign w:val="center"/>
            <w:hideMark/>
          </w:tcPr>
          <w:p w14:paraId="3AB1D703" w14:textId="77777777" w:rsidR="004C30DC" w:rsidRPr="004C30DC" w:rsidRDefault="004C30DC" w:rsidP="004C30DC">
            <w:pPr>
              <w:spacing w:after="0" w:line="240" w:lineRule="auto"/>
              <w:jc w:val="center"/>
              <w:rPr>
                <w:rFonts w:ascii="Calibri" w:eastAsia="Times New Roman" w:hAnsi="Calibri" w:cs="Calibri"/>
                <w:kern w:val="0"/>
                <w:sz w:val="24"/>
                <w:szCs w:val="24"/>
                <w:lang w:val="en-GB" w:eastAsia="en-GB"/>
                <w14:ligatures w14:val="none"/>
              </w:rPr>
            </w:pPr>
            <w:r w:rsidRPr="004C30DC">
              <w:rPr>
                <w:rFonts w:ascii="Calibri" w:eastAsia="Times New Roman" w:hAnsi="Calibri" w:cs="Calibri"/>
                <w:kern w:val="0"/>
                <w:sz w:val="24"/>
                <w:szCs w:val="24"/>
                <w:lang w:val="en-GB" w:eastAsia="en-GB"/>
                <w14:ligatures w14:val="none"/>
              </w:rPr>
              <w:t>CH</w:t>
            </w:r>
          </w:p>
        </w:tc>
      </w:tr>
      <w:tr w:rsidR="004C30DC" w:rsidRPr="004C30DC" w14:paraId="74A905F7"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2F6E0C61"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2BDDBC3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748AF8D9"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noWrap/>
            <w:vAlign w:val="center"/>
            <w:hideMark/>
          </w:tcPr>
          <w:p w14:paraId="12799FBC"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Iceland</w:t>
            </w:r>
          </w:p>
        </w:tc>
        <w:tc>
          <w:tcPr>
            <w:tcW w:w="621" w:type="pct"/>
            <w:tcBorders>
              <w:top w:val="nil"/>
              <w:left w:val="nil"/>
              <w:bottom w:val="single" w:sz="4" w:space="0" w:color="auto"/>
              <w:right w:val="single" w:sz="4" w:space="0" w:color="auto"/>
            </w:tcBorders>
            <w:noWrap/>
            <w:vAlign w:val="center"/>
            <w:hideMark/>
          </w:tcPr>
          <w:p w14:paraId="5EF1AF5C"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ISL</w:t>
            </w:r>
          </w:p>
        </w:tc>
        <w:tc>
          <w:tcPr>
            <w:tcW w:w="508" w:type="pct"/>
            <w:tcBorders>
              <w:top w:val="nil"/>
              <w:left w:val="nil"/>
              <w:bottom w:val="single" w:sz="4" w:space="0" w:color="auto"/>
              <w:right w:val="single" w:sz="4" w:space="0" w:color="auto"/>
            </w:tcBorders>
            <w:noWrap/>
            <w:vAlign w:val="center"/>
            <w:hideMark/>
          </w:tcPr>
          <w:p w14:paraId="78E141DF"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IS</w:t>
            </w:r>
          </w:p>
        </w:tc>
      </w:tr>
      <w:tr w:rsidR="004C30DC" w:rsidRPr="004C30DC" w14:paraId="16B2A092"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1356BB9C"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0168124A"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1092405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noWrap/>
            <w:vAlign w:val="center"/>
            <w:hideMark/>
          </w:tcPr>
          <w:p w14:paraId="55BBA1A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 xml:space="preserve">Israel </w:t>
            </w:r>
          </w:p>
        </w:tc>
        <w:tc>
          <w:tcPr>
            <w:tcW w:w="621" w:type="pct"/>
            <w:tcBorders>
              <w:top w:val="nil"/>
              <w:left w:val="nil"/>
              <w:bottom w:val="single" w:sz="4" w:space="0" w:color="auto"/>
              <w:right w:val="single" w:sz="4" w:space="0" w:color="auto"/>
            </w:tcBorders>
            <w:noWrap/>
            <w:vAlign w:val="center"/>
            <w:hideMark/>
          </w:tcPr>
          <w:p w14:paraId="1A344FCE"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ISR</w:t>
            </w:r>
          </w:p>
        </w:tc>
        <w:tc>
          <w:tcPr>
            <w:tcW w:w="508" w:type="pct"/>
            <w:tcBorders>
              <w:top w:val="nil"/>
              <w:left w:val="nil"/>
              <w:bottom w:val="single" w:sz="4" w:space="0" w:color="auto"/>
              <w:right w:val="single" w:sz="4" w:space="0" w:color="auto"/>
            </w:tcBorders>
            <w:noWrap/>
            <w:vAlign w:val="center"/>
            <w:hideMark/>
          </w:tcPr>
          <w:p w14:paraId="63E6575E"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IL</w:t>
            </w:r>
          </w:p>
        </w:tc>
      </w:tr>
      <w:tr w:rsidR="004C30DC" w:rsidRPr="004C30DC" w14:paraId="449C3103"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5DC6B856"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2B9A970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64A0D4F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noWrap/>
            <w:vAlign w:val="center"/>
            <w:hideMark/>
          </w:tcPr>
          <w:p w14:paraId="0915DC86"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Kazakhstan</w:t>
            </w:r>
          </w:p>
        </w:tc>
        <w:tc>
          <w:tcPr>
            <w:tcW w:w="621" w:type="pct"/>
            <w:tcBorders>
              <w:top w:val="nil"/>
              <w:left w:val="nil"/>
              <w:bottom w:val="single" w:sz="4" w:space="0" w:color="auto"/>
              <w:right w:val="single" w:sz="4" w:space="0" w:color="auto"/>
            </w:tcBorders>
            <w:noWrap/>
            <w:vAlign w:val="center"/>
            <w:hideMark/>
          </w:tcPr>
          <w:p w14:paraId="26B9B249"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KAZ</w:t>
            </w:r>
          </w:p>
        </w:tc>
        <w:tc>
          <w:tcPr>
            <w:tcW w:w="508" w:type="pct"/>
            <w:tcBorders>
              <w:top w:val="nil"/>
              <w:left w:val="nil"/>
              <w:bottom w:val="single" w:sz="4" w:space="0" w:color="auto"/>
              <w:right w:val="single" w:sz="4" w:space="0" w:color="auto"/>
            </w:tcBorders>
            <w:noWrap/>
            <w:vAlign w:val="center"/>
            <w:hideMark/>
          </w:tcPr>
          <w:p w14:paraId="3CF95770"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KZ</w:t>
            </w:r>
          </w:p>
        </w:tc>
      </w:tr>
      <w:tr w:rsidR="004C30DC" w:rsidRPr="004C30DC" w14:paraId="1D041479"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37112B5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28B77322"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20C89561"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noWrap/>
            <w:vAlign w:val="center"/>
            <w:hideMark/>
          </w:tcPr>
          <w:p w14:paraId="4A175C4A"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Morocco</w:t>
            </w:r>
          </w:p>
        </w:tc>
        <w:tc>
          <w:tcPr>
            <w:tcW w:w="621" w:type="pct"/>
            <w:tcBorders>
              <w:top w:val="nil"/>
              <w:left w:val="nil"/>
              <w:bottom w:val="single" w:sz="4" w:space="0" w:color="auto"/>
              <w:right w:val="single" w:sz="4" w:space="0" w:color="auto"/>
            </w:tcBorders>
            <w:noWrap/>
            <w:vAlign w:val="center"/>
            <w:hideMark/>
          </w:tcPr>
          <w:p w14:paraId="7D3C699B"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MAR</w:t>
            </w:r>
          </w:p>
        </w:tc>
        <w:tc>
          <w:tcPr>
            <w:tcW w:w="508" w:type="pct"/>
            <w:tcBorders>
              <w:top w:val="nil"/>
              <w:left w:val="nil"/>
              <w:bottom w:val="single" w:sz="4" w:space="0" w:color="auto"/>
              <w:right w:val="single" w:sz="4" w:space="0" w:color="auto"/>
            </w:tcBorders>
            <w:noWrap/>
            <w:vAlign w:val="center"/>
            <w:hideMark/>
          </w:tcPr>
          <w:p w14:paraId="11AC60A3"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MA</w:t>
            </w:r>
          </w:p>
        </w:tc>
      </w:tr>
      <w:tr w:rsidR="004C30DC" w:rsidRPr="004C30DC" w14:paraId="11252EA1"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409235D5"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4427F7F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4C613C96"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noWrap/>
            <w:vAlign w:val="center"/>
            <w:hideMark/>
          </w:tcPr>
          <w:p w14:paraId="495E2F9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Norway</w:t>
            </w:r>
          </w:p>
        </w:tc>
        <w:tc>
          <w:tcPr>
            <w:tcW w:w="621" w:type="pct"/>
            <w:tcBorders>
              <w:top w:val="nil"/>
              <w:left w:val="nil"/>
              <w:bottom w:val="single" w:sz="4" w:space="0" w:color="auto"/>
              <w:right w:val="single" w:sz="4" w:space="0" w:color="auto"/>
            </w:tcBorders>
            <w:noWrap/>
            <w:vAlign w:val="center"/>
            <w:hideMark/>
          </w:tcPr>
          <w:p w14:paraId="3D55942B"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NOR</w:t>
            </w:r>
          </w:p>
        </w:tc>
        <w:tc>
          <w:tcPr>
            <w:tcW w:w="508" w:type="pct"/>
            <w:tcBorders>
              <w:top w:val="nil"/>
              <w:left w:val="nil"/>
              <w:bottom w:val="single" w:sz="4" w:space="0" w:color="auto"/>
              <w:right w:val="single" w:sz="4" w:space="0" w:color="auto"/>
            </w:tcBorders>
            <w:noWrap/>
            <w:vAlign w:val="center"/>
            <w:hideMark/>
          </w:tcPr>
          <w:p w14:paraId="1722124F"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NO</w:t>
            </w:r>
          </w:p>
        </w:tc>
      </w:tr>
      <w:tr w:rsidR="004C30DC" w:rsidRPr="004C30DC" w14:paraId="7F524107"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5A7A865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2981A09D"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6CFB600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noWrap/>
            <w:vAlign w:val="center"/>
            <w:hideMark/>
          </w:tcPr>
          <w:p w14:paraId="02A0DBB2"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Saudi Arabia</w:t>
            </w:r>
          </w:p>
        </w:tc>
        <w:tc>
          <w:tcPr>
            <w:tcW w:w="621" w:type="pct"/>
            <w:tcBorders>
              <w:top w:val="nil"/>
              <w:left w:val="nil"/>
              <w:bottom w:val="single" w:sz="4" w:space="0" w:color="auto"/>
              <w:right w:val="single" w:sz="4" w:space="0" w:color="auto"/>
            </w:tcBorders>
            <w:noWrap/>
            <w:vAlign w:val="center"/>
            <w:hideMark/>
          </w:tcPr>
          <w:p w14:paraId="7018F0A3"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SAU</w:t>
            </w:r>
          </w:p>
        </w:tc>
        <w:tc>
          <w:tcPr>
            <w:tcW w:w="508" w:type="pct"/>
            <w:tcBorders>
              <w:top w:val="nil"/>
              <w:left w:val="nil"/>
              <w:bottom w:val="single" w:sz="4" w:space="0" w:color="auto"/>
              <w:right w:val="single" w:sz="4" w:space="0" w:color="auto"/>
            </w:tcBorders>
            <w:noWrap/>
            <w:vAlign w:val="center"/>
            <w:hideMark/>
          </w:tcPr>
          <w:p w14:paraId="07D4872B"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SA</w:t>
            </w:r>
          </w:p>
        </w:tc>
      </w:tr>
      <w:tr w:rsidR="004C30DC" w:rsidRPr="004C30DC" w14:paraId="79DC7F13"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1195A38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34AF40CB"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425581EA"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noWrap/>
            <w:vAlign w:val="center"/>
            <w:hideMark/>
          </w:tcPr>
          <w:p w14:paraId="6565C38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Tunisia</w:t>
            </w:r>
          </w:p>
        </w:tc>
        <w:tc>
          <w:tcPr>
            <w:tcW w:w="621" w:type="pct"/>
            <w:tcBorders>
              <w:top w:val="nil"/>
              <w:left w:val="nil"/>
              <w:bottom w:val="single" w:sz="4" w:space="0" w:color="auto"/>
              <w:right w:val="single" w:sz="4" w:space="0" w:color="auto"/>
            </w:tcBorders>
            <w:noWrap/>
            <w:vAlign w:val="center"/>
            <w:hideMark/>
          </w:tcPr>
          <w:p w14:paraId="0C09E902"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TUN</w:t>
            </w:r>
          </w:p>
        </w:tc>
        <w:tc>
          <w:tcPr>
            <w:tcW w:w="508" w:type="pct"/>
            <w:tcBorders>
              <w:top w:val="nil"/>
              <w:left w:val="nil"/>
              <w:bottom w:val="single" w:sz="4" w:space="0" w:color="auto"/>
              <w:right w:val="single" w:sz="4" w:space="0" w:color="auto"/>
            </w:tcBorders>
            <w:noWrap/>
            <w:vAlign w:val="center"/>
            <w:hideMark/>
          </w:tcPr>
          <w:p w14:paraId="733CAD97"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TN</w:t>
            </w:r>
          </w:p>
        </w:tc>
      </w:tr>
      <w:tr w:rsidR="004C30DC" w:rsidRPr="004C30DC" w14:paraId="734BD321"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1B03FA9C"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02B1EC25"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7EBD0721"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noWrap/>
            <w:vAlign w:val="center"/>
            <w:hideMark/>
          </w:tcPr>
          <w:p w14:paraId="34C765F7"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Turkey</w:t>
            </w:r>
          </w:p>
        </w:tc>
        <w:tc>
          <w:tcPr>
            <w:tcW w:w="621" w:type="pct"/>
            <w:tcBorders>
              <w:top w:val="nil"/>
              <w:left w:val="nil"/>
              <w:bottom w:val="single" w:sz="4" w:space="0" w:color="auto"/>
              <w:right w:val="single" w:sz="4" w:space="0" w:color="auto"/>
            </w:tcBorders>
            <w:noWrap/>
            <w:vAlign w:val="center"/>
            <w:hideMark/>
          </w:tcPr>
          <w:p w14:paraId="609F9191"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TUR</w:t>
            </w:r>
          </w:p>
        </w:tc>
        <w:tc>
          <w:tcPr>
            <w:tcW w:w="508" w:type="pct"/>
            <w:tcBorders>
              <w:top w:val="nil"/>
              <w:left w:val="nil"/>
              <w:bottom w:val="single" w:sz="4" w:space="0" w:color="auto"/>
              <w:right w:val="single" w:sz="4" w:space="0" w:color="auto"/>
            </w:tcBorders>
            <w:noWrap/>
            <w:vAlign w:val="center"/>
            <w:hideMark/>
          </w:tcPr>
          <w:p w14:paraId="64A04389"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TR</w:t>
            </w:r>
          </w:p>
        </w:tc>
      </w:tr>
      <w:tr w:rsidR="004C30DC" w:rsidRPr="004C30DC" w14:paraId="42CB94FB" w14:textId="77777777" w:rsidTr="00510AF0">
        <w:trPr>
          <w:trHeight w:val="288"/>
        </w:trPr>
        <w:tc>
          <w:tcPr>
            <w:tcW w:w="189" w:type="pct"/>
            <w:vMerge/>
            <w:tcBorders>
              <w:top w:val="nil"/>
              <w:left w:val="single" w:sz="4" w:space="0" w:color="auto"/>
              <w:bottom w:val="single" w:sz="4" w:space="0" w:color="auto"/>
              <w:right w:val="single" w:sz="4" w:space="0" w:color="auto"/>
            </w:tcBorders>
            <w:vAlign w:val="center"/>
            <w:hideMark/>
          </w:tcPr>
          <w:p w14:paraId="3EEF9C90"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599" w:type="pct"/>
            <w:vMerge/>
            <w:tcBorders>
              <w:top w:val="nil"/>
              <w:left w:val="single" w:sz="4" w:space="0" w:color="auto"/>
              <w:bottom w:val="single" w:sz="4" w:space="0" w:color="auto"/>
              <w:right w:val="single" w:sz="4" w:space="0" w:color="auto"/>
            </w:tcBorders>
            <w:vAlign w:val="center"/>
            <w:hideMark/>
          </w:tcPr>
          <w:p w14:paraId="095618A8"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1331" w:type="pct"/>
            <w:vMerge/>
            <w:tcBorders>
              <w:top w:val="nil"/>
              <w:left w:val="single" w:sz="4" w:space="0" w:color="auto"/>
              <w:bottom w:val="single" w:sz="4" w:space="0" w:color="auto"/>
              <w:right w:val="single" w:sz="4" w:space="0" w:color="auto"/>
            </w:tcBorders>
            <w:vAlign w:val="center"/>
            <w:hideMark/>
          </w:tcPr>
          <w:p w14:paraId="46FC9E6D"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p>
        </w:tc>
        <w:tc>
          <w:tcPr>
            <w:tcW w:w="751" w:type="pct"/>
            <w:tcBorders>
              <w:top w:val="nil"/>
              <w:left w:val="nil"/>
              <w:bottom w:val="single" w:sz="4" w:space="0" w:color="auto"/>
              <w:right w:val="single" w:sz="4" w:space="0" w:color="auto"/>
            </w:tcBorders>
            <w:noWrap/>
            <w:vAlign w:val="center"/>
            <w:hideMark/>
          </w:tcPr>
          <w:p w14:paraId="64569AAE" w14:textId="77777777" w:rsidR="004C30DC" w:rsidRPr="004C30DC" w:rsidRDefault="004C30DC" w:rsidP="004C30DC">
            <w:pPr>
              <w:spacing w:after="0" w:line="240" w:lineRule="auto"/>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South Africa</w:t>
            </w:r>
          </w:p>
        </w:tc>
        <w:tc>
          <w:tcPr>
            <w:tcW w:w="621" w:type="pct"/>
            <w:tcBorders>
              <w:top w:val="nil"/>
              <w:left w:val="nil"/>
              <w:bottom w:val="single" w:sz="4" w:space="0" w:color="auto"/>
              <w:right w:val="single" w:sz="4" w:space="0" w:color="auto"/>
            </w:tcBorders>
            <w:noWrap/>
            <w:vAlign w:val="center"/>
            <w:hideMark/>
          </w:tcPr>
          <w:p w14:paraId="6978F24E"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ZAF</w:t>
            </w:r>
          </w:p>
        </w:tc>
        <w:tc>
          <w:tcPr>
            <w:tcW w:w="508" w:type="pct"/>
            <w:tcBorders>
              <w:top w:val="nil"/>
              <w:left w:val="nil"/>
              <w:bottom w:val="single" w:sz="4" w:space="0" w:color="auto"/>
              <w:right w:val="single" w:sz="4" w:space="0" w:color="auto"/>
            </w:tcBorders>
            <w:noWrap/>
            <w:vAlign w:val="center"/>
            <w:hideMark/>
          </w:tcPr>
          <w:p w14:paraId="5FF48628" w14:textId="77777777" w:rsidR="004C30DC" w:rsidRPr="004C30DC" w:rsidRDefault="004C30DC" w:rsidP="004C30DC">
            <w:pPr>
              <w:spacing w:after="0" w:line="240" w:lineRule="auto"/>
              <w:jc w:val="center"/>
              <w:rPr>
                <w:rFonts w:ascii="Calibri" w:eastAsia="Times New Roman" w:hAnsi="Calibri" w:cs="Calibri"/>
                <w:color w:val="000000"/>
                <w:kern w:val="0"/>
                <w:sz w:val="24"/>
                <w:szCs w:val="24"/>
                <w:lang w:val="en-GB" w:eastAsia="en-GB"/>
                <w14:ligatures w14:val="none"/>
              </w:rPr>
            </w:pPr>
            <w:r w:rsidRPr="004C30DC">
              <w:rPr>
                <w:rFonts w:ascii="Calibri" w:eastAsia="Times New Roman" w:hAnsi="Calibri" w:cs="Calibri"/>
                <w:color w:val="000000"/>
                <w:kern w:val="0"/>
                <w:sz w:val="24"/>
                <w:szCs w:val="24"/>
                <w:lang w:val="en-GB" w:eastAsia="en-GB"/>
                <w14:ligatures w14:val="none"/>
              </w:rPr>
              <w:t>ZA</w:t>
            </w:r>
          </w:p>
        </w:tc>
      </w:tr>
    </w:tbl>
    <w:p w14:paraId="19C2B871" w14:textId="103609E5" w:rsidR="004C30DC" w:rsidRPr="007771A9" w:rsidRDefault="004C30DC" w:rsidP="007771A9">
      <w:pPr>
        <w:rPr>
          <w:lang w:val="en-GB"/>
        </w:rPr>
        <w:sectPr w:rsidR="004C30DC" w:rsidRPr="007771A9" w:rsidSect="001335E8">
          <w:pgSz w:w="11906" w:h="16838"/>
          <w:pgMar w:top="1417" w:right="1701" w:bottom="1417" w:left="1701" w:header="708" w:footer="708" w:gutter="0"/>
          <w:cols w:space="708"/>
          <w:docGrid w:linePitch="360"/>
        </w:sectPr>
      </w:pPr>
    </w:p>
    <w:p w14:paraId="31E97AA3" w14:textId="2DD50BEF" w:rsidR="00973049" w:rsidRPr="008D177E" w:rsidRDefault="006D3C6A" w:rsidP="0056170B">
      <w:pPr>
        <w:pStyle w:val="Descripcin"/>
        <w:rPr>
          <w:b/>
          <w:bCs/>
          <w:i w:val="0"/>
          <w:iCs w:val="0"/>
          <w:noProof/>
          <w:color w:val="auto"/>
          <w:sz w:val="24"/>
          <w:szCs w:val="24"/>
          <w:lang w:val="en-GB"/>
        </w:rPr>
      </w:pPr>
      <w:r>
        <w:rPr>
          <w:b/>
          <w:bCs/>
          <w:i w:val="0"/>
          <w:iCs w:val="0"/>
          <w:noProof/>
          <w:color w:val="auto"/>
          <w:sz w:val="24"/>
          <w:szCs w:val="24"/>
          <w:lang w:val="en-GB"/>
        </w:rPr>
        <w:lastRenderedPageBreak/>
        <w:t>Supplementary Note 5.</w:t>
      </w:r>
      <w:r w:rsidR="0056170B" w:rsidRPr="008D177E">
        <w:rPr>
          <w:b/>
          <w:bCs/>
          <w:i w:val="0"/>
          <w:iCs w:val="0"/>
          <w:noProof/>
          <w:color w:val="auto"/>
          <w:sz w:val="24"/>
          <w:szCs w:val="24"/>
          <w:lang w:val="en-GB"/>
        </w:rPr>
        <w:t xml:space="preserve"> </w:t>
      </w:r>
      <w:r w:rsidRPr="008D177E">
        <w:rPr>
          <w:b/>
          <w:bCs/>
          <w:i w:val="0"/>
          <w:iCs w:val="0"/>
          <w:noProof/>
          <w:color w:val="auto"/>
          <w:sz w:val="24"/>
          <w:szCs w:val="24"/>
          <w:lang w:val="en-GB"/>
        </w:rPr>
        <w:t>System-wide dynamics underlying global scenario acceptability</w:t>
      </w:r>
      <w:r>
        <w:rPr>
          <w:b/>
          <w:bCs/>
          <w:i w:val="0"/>
          <w:iCs w:val="0"/>
          <w:noProof/>
          <w:color w:val="auto"/>
          <w:sz w:val="24"/>
          <w:szCs w:val="24"/>
          <w:lang w:val="en-GB"/>
        </w:rPr>
        <w:t xml:space="preserve"> in</w:t>
      </w:r>
      <w:r w:rsidR="0056170B" w:rsidRPr="008D177E">
        <w:rPr>
          <w:b/>
          <w:bCs/>
          <w:i w:val="0"/>
          <w:iCs w:val="0"/>
          <w:noProof/>
          <w:color w:val="auto"/>
          <w:sz w:val="24"/>
          <w:szCs w:val="24"/>
          <w:lang w:val="en-GB"/>
        </w:rPr>
        <w:t xml:space="preserve"> </w:t>
      </w:r>
      <w:r>
        <w:rPr>
          <w:b/>
          <w:bCs/>
          <w:i w:val="0"/>
          <w:iCs w:val="0"/>
          <w:noProof/>
          <w:color w:val="auto"/>
          <w:sz w:val="24"/>
          <w:szCs w:val="24"/>
          <w:lang w:val="en-GB"/>
        </w:rPr>
        <w:t>f</w:t>
      </w:r>
      <w:r w:rsidR="0056170B" w:rsidRPr="008D177E">
        <w:rPr>
          <w:b/>
          <w:bCs/>
          <w:i w:val="0"/>
          <w:iCs w:val="0"/>
          <w:noProof/>
          <w:color w:val="auto"/>
          <w:sz w:val="24"/>
          <w:szCs w:val="24"/>
          <w:lang w:val="en-GB"/>
        </w:rPr>
        <w:t>igure</w:t>
      </w:r>
      <w:r w:rsidR="008D177E">
        <w:rPr>
          <w:b/>
          <w:bCs/>
          <w:i w:val="0"/>
          <w:iCs w:val="0"/>
          <w:noProof/>
          <w:color w:val="auto"/>
          <w:sz w:val="24"/>
          <w:szCs w:val="24"/>
          <w:lang w:val="en-GB"/>
        </w:rPr>
        <w:t>s 1 and</w:t>
      </w:r>
      <w:r w:rsidR="0056170B" w:rsidRPr="008D177E">
        <w:rPr>
          <w:b/>
          <w:bCs/>
          <w:i w:val="0"/>
          <w:iCs w:val="0"/>
          <w:noProof/>
          <w:color w:val="auto"/>
          <w:sz w:val="24"/>
          <w:szCs w:val="24"/>
          <w:lang w:val="en-GB"/>
        </w:rPr>
        <w:t xml:space="preserve"> 2. </w:t>
      </w:r>
    </w:p>
    <w:p w14:paraId="7868A1C6" w14:textId="7BD28E66" w:rsidR="00536930" w:rsidRDefault="00536930" w:rsidP="008D177E">
      <w:pPr>
        <w:jc w:val="both"/>
        <w:rPr>
          <w:lang w:val="en-GB"/>
        </w:rPr>
      </w:pPr>
      <w:r>
        <w:rPr>
          <w:lang w:val="en-IE"/>
        </w:rPr>
        <w:t xml:space="preserve">The acceptability of global and regional scenarios shown in </w:t>
      </w:r>
      <w:r w:rsidR="00AB0062">
        <w:rPr>
          <w:lang w:val="en-IE"/>
        </w:rPr>
        <w:t>figure 1</w:t>
      </w:r>
      <w:r>
        <w:rPr>
          <w:lang w:val="en-IE"/>
        </w:rPr>
        <w:t xml:space="preserve">and </w:t>
      </w:r>
      <w:r w:rsidR="00AB0062">
        <w:rPr>
          <w:lang w:val="en-IE"/>
        </w:rPr>
        <w:t>2</w:t>
      </w:r>
      <w:r>
        <w:rPr>
          <w:lang w:val="en-IE"/>
        </w:rPr>
        <w:t xml:space="preserve"> is directly linked to the mathematics assumed in the WILIAM integrated assessment model. T</w:t>
      </w:r>
      <w:r w:rsidR="008D177E" w:rsidRPr="00002D49">
        <w:rPr>
          <w:lang w:val="en-IE"/>
        </w:rPr>
        <w:t xml:space="preserve">he </w:t>
      </w:r>
      <w:r>
        <w:rPr>
          <w:lang w:val="en-IE"/>
        </w:rPr>
        <w:t>Sustainable Development Goals (</w:t>
      </w:r>
      <w:r w:rsidR="008D177E" w:rsidRPr="00002D49">
        <w:rPr>
          <w:lang w:val="en-IE"/>
        </w:rPr>
        <w:t>SDGs</w:t>
      </w:r>
      <w:r>
        <w:rPr>
          <w:lang w:val="en-IE"/>
        </w:rPr>
        <w:t>)</w:t>
      </w:r>
      <w:r w:rsidR="008D177E" w:rsidRPr="00002D49">
        <w:rPr>
          <w:lang w:val="en-IE"/>
        </w:rPr>
        <w:t xml:space="preserve"> represented in the tool are driven by a complex network of causal </w:t>
      </w:r>
      <w:r w:rsidR="008D177E" w:rsidRPr="008D177E">
        <w:rPr>
          <w:lang w:val="en-GB"/>
        </w:rPr>
        <w:t>relationships</w:t>
      </w:r>
      <w:r w:rsidR="008D177E">
        <w:rPr>
          <w:lang w:val="en-GB"/>
        </w:rPr>
        <w:t>.</w:t>
      </w:r>
    </w:p>
    <w:p w14:paraId="7C712C19" w14:textId="0BD64E1A" w:rsidR="008D177E" w:rsidRPr="000246AA" w:rsidRDefault="00536930" w:rsidP="008D177E">
      <w:pPr>
        <w:jc w:val="both"/>
        <w:rPr>
          <w:lang w:val="en-GB"/>
        </w:rPr>
      </w:pPr>
      <w:r>
        <w:rPr>
          <w:lang w:val="en-GB"/>
        </w:rPr>
        <w:t>Regarding global scenario</w:t>
      </w:r>
      <w:r w:rsidR="00445BFF">
        <w:rPr>
          <w:lang w:val="en-GB"/>
        </w:rPr>
        <w:t>s</w:t>
      </w:r>
      <w:r>
        <w:rPr>
          <w:lang w:val="en-GB"/>
        </w:rPr>
        <w:t>, we have identified three major “</w:t>
      </w:r>
      <w:r w:rsidRPr="00C35285">
        <w:rPr>
          <w:lang w:val="en-GB"/>
        </w:rPr>
        <w:t>acceptability drivers</w:t>
      </w:r>
      <w:r>
        <w:rPr>
          <w:lang w:val="en-GB"/>
        </w:rPr>
        <w:t>”</w:t>
      </w:r>
      <w:r>
        <w:rPr>
          <w:i/>
          <w:iCs/>
          <w:lang w:val="en-GB"/>
        </w:rPr>
        <w:t xml:space="preserve">, i.e., </w:t>
      </w:r>
      <w:r>
        <w:rPr>
          <w:lang w:val="en-GB"/>
        </w:rPr>
        <w:t>intertwined causalities (one per row of subplots in the figure) that partially explain the acceptability of global scenarios (</w:t>
      </w:r>
      <w:r w:rsidR="00AB0062">
        <w:rPr>
          <w:lang w:val="en-GB"/>
        </w:rPr>
        <w:fldChar w:fldCharType="begin"/>
      </w:r>
      <w:r w:rsidR="00AB0062">
        <w:rPr>
          <w:lang w:val="en-GB"/>
        </w:rPr>
        <w:instrText xml:space="preserve"> REF _Ref221547576 \h  \* MERGEFORMAT </w:instrText>
      </w:r>
      <w:r w:rsidR="00AB0062">
        <w:rPr>
          <w:lang w:val="en-GB"/>
        </w:rPr>
      </w:r>
      <w:r w:rsidR="00AB0062">
        <w:rPr>
          <w:lang w:val="en-GB"/>
        </w:rPr>
        <w:fldChar w:fldCharType="separate"/>
      </w:r>
      <w:r w:rsidR="00AB0062" w:rsidRPr="00AB0062">
        <w:rPr>
          <w:lang w:val="en-GB"/>
        </w:rPr>
        <w:t>figure S4</w:t>
      </w:r>
      <w:r w:rsidR="00AB0062">
        <w:rPr>
          <w:lang w:val="en-GB"/>
        </w:rPr>
        <w:fldChar w:fldCharType="end"/>
      </w:r>
      <w:r>
        <w:rPr>
          <w:lang w:val="en-GB"/>
        </w:rPr>
        <w:t>).</w:t>
      </w:r>
      <w:r w:rsidR="008D177E">
        <w:rPr>
          <w:lang w:val="en-GB"/>
        </w:rPr>
        <w:t xml:space="preserve"> First, </w:t>
      </w:r>
      <w:bookmarkStart w:id="13" w:name="_Hlk216686804"/>
      <w:r w:rsidR="008D177E">
        <w:rPr>
          <w:lang w:val="en-GB"/>
        </w:rPr>
        <w:t>the promotion of e</w:t>
      </w:r>
      <w:r w:rsidR="008D177E" w:rsidRPr="00942C63">
        <w:rPr>
          <w:lang w:val="en-GB"/>
        </w:rPr>
        <w:t xml:space="preserve">conomic growth </w:t>
      </w:r>
      <w:r w:rsidR="008D177E">
        <w:rPr>
          <w:lang w:val="en-GB"/>
        </w:rPr>
        <w:t>through consumption and investments to re-build climate change damages assumes an increase in government revenues (SDG 1 and 17), the average wage hour (SDG 8), and the labour compensation (SDG 10). As a consequence, economic growth reduces unemployment (SDG 8), but also increases industrial emissions (SDG 9). Freezing durable</w:t>
      </w:r>
      <w:r w:rsidR="008D177E" w:rsidRPr="00047160">
        <w:rPr>
          <w:lang w:val="en-GB"/>
        </w:rPr>
        <w:t xml:space="preserve"> </w:t>
      </w:r>
      <w:r w:rsidR="008D177E">
        <w:rPr>
          <w:lang w:val="en-GB"/>
        </w:rPr>
        <w:t xml:space="preserve">consumption and reducing private transport, as in the S2-DSR scenario, </w:t>
      </w:r>
      <w:r w:rsidR="008D177E" w:rsidRPr="00047160">
        <w:rPr>
          <w:lang w:val="en-GB"/>
        </w:rPr>
        <w:t xml:space="preserve">generates a </w:t>
      </w:r>
      <w:r w:rsidR="008D177E">
        <w:rPr>
          <w:lang w:val="en-GB"/>
        </w:rPr>
        <w:t>cascade of trade-offs</w:t>
      </w:r>
      <w:r w:rsidR="008D177E" w:rsidRPr="00047160">
        <w:rPr>
          <w:lang w:val="en-GB"/>
        </w:rPr>
        <w:t xml:space="preserve"> </w:t>
      </w:r>
      <w:r w:rsidR="008D177E">
        <w:rPr>
          <w:lang w:val="en-GB"/>
        </w:rPr>
        <w:t>in employment and wages that reduces its acceptability</w:t>
      </w:r>
      <w:r w:rsidR="008D177E" w:rsidRPr="00047160">
        <w:rPr>
          <w:lang w:val="en-GB"/>
        </w:rPr>
        <w:t>.</w:t>
      </w:r>
      <w:r w:rsidR="008D177E">
        <w:rPr>
          <w:lang w:val="en-GB"/>
        </w:rPr>
        <w:t xml:space="preserve"> Second, the large-scale renewable deployment and efficiency measures (SDG 7 and 12) required to satisfy the energy transition in the short term, boosted by the policy of banning fossil fuels (2025-2030), clashes with high electricity curtailment peaks around 2030</w:t>
      </w:r>
      <w:r w:rsidR="00082FC2">
        <w:rPr>
          <w:lang w:val="en-GB"/>
        </w:rPr>
        <w:t xml:space="preserve"> (approach published in Parrado-Hernando et al.</w:t>
      </w:r>
      <w:r w:rsidR="00082FC2">
        <w:rPr>
          <w:lang w:val="en-GB"/>
        </w:rPr>
        <w:fldChar w:fldCharType="begin"/>
      </w:r>
      <w:r w:rsidR="00082FC2">
        <w:rPr>
          <w:lang w:val="en-GB"/>
        </w:rPr>
        <w:instrText xml:space="preserve"> ADDIN ZOTERO_ITEM CSL_CITATION {"citationID":"GnRITnGK","properties":{"formattedCitation":"\\super 20\\nosupersub{}","plainCitation":"20","noteIndex":0},"citationItems":[{"id":359,"uris":["http://zotero.org/users/11518810/items/ELQIJUFU"],"itemData":{"id":359,"type":"article-journal","container-title":"Energy","DOI":"10.1016/j.energy.2024.131903","ISSN":"03605442","journalAbbreviation":"Energy","language":"en","page":"131903","source":"DOI.org (Crossref)","title":"Capturing features of hourly-resolution energy models in an integrated assessment model: An application to the EU27 region","title-short":"Capturing features of hourly-resolution energy models in an integrated assessment model","volume":"304","author":[{"family":"Parrado-Hernando","given":"Gonzalo"},{"family":"Herc","given":"Luka"},{"family":"Feijoo","given":"Felipe"},{"family":"Capellán-Pérez","given":"Iñigo"}],"issued":{"date-parts":[["2024",9]]}}}],"schema":"https://github.com/citation-style-language/schema/raw/master/csl-citation.json"} </w:instrText>
      </w:r>
      <w:r w:rsidR="00082FC2">
        <w:rPr>
          <w:lang w:val="en-GB"/>
        </w:rPr>
        <w:fldChar w:fldCharType="separate"/>
      </w:r>
      <w:r w:rsidR="00082FC2" w:rsidRPr="00082FC2">
        <w:rPr>
          <w:rFonts w:cs="Times New Roman"/>
          <w:szCs w:val="24"/>
          <w:vertAlign w:val="superscript"/>
          <w:lang w:val="en-GB"/>
        </w:rPr>
        <w:t>20</w:t>
      </w:r>
      <w:r w:rsidR="00082FC2">
        <w:rPr>
          <w:lang w:val="en-GB"/>
        </w:rPr>
        <w:fldChar w:fldCharType="end"/>
      </w:r>
      <w:r w:rsidR="00082FC2">
        <w:rPr>
          <w:lang w:val="en-GB"/>
        </w:rPr>
        <w:t>)</w:t>
      </w:r>
      <w:r w:rsidR="008D177E">
        <w:rPr>
          <w:lang w:val="en-GB"/>
        </w:rPr>
        <w:t>, on the one hand, and the exhaustion of physical land to continue installing renewables, on the other hand, limiting the installed capacity to exploit renewable energy. Moreover, energy efficiency (SDG 7) is improved until a bottom constraint that represents thermodynamic limitations, i.e., decoupling between physical and monetary units beyond that point is not possible in WILIAM. In summary, the energy reduction is finally reached through the promotion of renewables and energy efficiency, clearly reflected by the S1-TLD scenario. Third, t</w:t>
      </w:r>
      <w:r w:rsidR="008D177E" w:rsidRPr="000246AA">
        <w:rPr>
          <w:lang w:val="en-GB"/>
        </w:rPr>
        <w:t xml:space="preserve">he absence of forest protection (S1-TLD vs S3-NCS and S4-MSS) lead to the expansion of wood extraction as energy resource and additional land to place facilities (wind and solar, mainly). This </w:t>
      </w:r>
      <w:r w:rsidR="008D177E">
        <w:rPr>
          <w:lang w:val="en-GB"/>
        </w:rPr>
        <w:t>comes at a cost:</w:t>
      </w:r>
      <w:r w:rsidR="008D177E" w:rsidRPr="000246AA">
        <w:rPr>
          <w:lang w:val="en-GB"/>
        </w:rPr>
        <w:t xml:space="preserve"> areas of high carbon </w:t>
      </w:r>
      <w:r w:rsidR="008D177E">
        <w:rPr>
          <w:lang w:val="en-GB"/>
        </w:rPr>
        <w:t>sequestration</w:t>
      </w:r>
      <w:r w:rsidR="008D177E" w:rsidRPr="000246AA">
        <w:rPr>
          <w:lang w:val="en-GB"/>
        </w:rPr>
        <w:t xml:space="preserve"> capacity and rich biodiversity are impacted</w:t>
      </w:r>
      <w:bookmarkEnd w:id="13"/>
      <w:r w:rsidR="008D177E" w:rsidRPr="000246AA">
        <w:rPr>
          <w:lang w:val="en-GB"/>
        </w:rPr>
        <w:t>, in line with previous results (see experiment 2 in</w:t>
      </w:r>
      <w:r w:rsidR="00082FC2">
        <w:rPr>
          <w:lang w:val="en-GB"/>
        </w:rPr>
        <w:t xml:space="preserve"> </w:t>
      </w:r>
      <w:proofErr w:type="spellStart"/>
      <w:r w:rsidR="00082FC2">
        <w:rPr>
          <w:lang w:val="en-GB"/>
        </w:rPr>
        <w:t>Mediavilla</w:t>
      </w:r>
      <w:proofErr w:type="spellEnd"/>
      <w:r w:rsidR="00082FC2">
        <w:rPr>
          <w:lang w:val="en-GB"/>
        </w:rPr>
        <w:t xml:space="preserve"> et al.</w:t>
      </w:r>
      <w:r w:rsidR="00082FC2">
        <w:rPr>
          <w:lang w:val="en-GB"/>
        </w:rPr>
        <w:fldChar w:fldCharType="begin"/>
      </w:r>
      <w:r w:rsidR="00082FC2">
        <w:rPr>
          <w:lang w:val="en-GB"/>
        </w:rPr>
        <w:instrText xml:space="preserve"> ADDIN ZOTERO_ITEM CSL_CITATION {"citationID":"464uUWtz","properties":{"formattedCitation":"\\super 21\\nosupersub{}","plainCitation":"21","noteIndex":0},"citationItems":[{"id":360,"uris":["http://zotero.org/users/11518810/items/TKB4QXWS"],"itemData":{"id":360,"type":"article-journal","container-title":"Renewable and Sustainable Energy Reviews","DOI":"10.1016/j.rser.2025.115651","ISSN":"13640321","journalAbbreviation":"Renewable and Sustainable Energy Reviews","language":"en","page":"115651","source":"DOI.org (Crossref)","title":"Analysis of the competition between land, energy and food using the TERRA module of WILIAM System Dynamics IAM","volume":"216","author":[{"family":"Mediavilla","given":"Margarita"},{"family":"Lifi","given":"Mohamed"},{"family":"Ferreras-Alonso","given":"Noelia"},{"family":"Miguel","given":"Luis Javier"},{"family":"De Blas","given":"Ignacio"}],"issued":{"date-parts":[["2025",7]]}}}],"schema":"https://github.com/citation-style-language/schema/raw/master/csl-citation.json"} </w:instrText>
      </w:r>
      <w:r w:rsidR="00082FC2">
        <w:rPr>
          <w:lang w:val="en-GB"/>
        </w:rPr>
        <w:fldChar w:fldCharType="separate"/>
      </w:r>
      <w:r w:rsidR="00082FC2" w:rsidRPr="00CA129F">
        <w:rPr>
          <w:rFonts w:cs="Times New Roman"/>
          <w:szCs w:val="24"/>
          <w:vertAlign w:val="superscript"/>
          <w:lang w:val="en-GB"/>
        </w:rPr>
        <w:t>21</w:t>
      </w:r>
      <w:r w:rsidR="00082FC2">
        <w:rPr>
          <w:lang w:val="en-GB"/>
        </w:rPr>
        <w:fldChar w:fldCharType="end"/>
      </w:r>
      <w:r w:rsidR="008D177E" w:rsidRPr="000246AA">
        <w:rPr>
          <w:rFonts w:cs="Times New Roman"/>
          <w:lang w:val="en-GB"/>
        </w:rPr>
        <w:t>)</w:t>
      </w:r>
      <w:r w:rsidR="008D177E" w:rsidRPr="000246AA">
        <w:rPr>
          <w:lang w:val="en-GB"/>
        </w:rPr>
        <w:t xml:space="preserve">. In short, </w:t>
      </w:r>
      <w:r w:rsidR="008D177E" w:rsidRPr="000246AA">
        <w:rPr>
          <w:rFonts w:cs="Times New Roman"/>
          <w:lang w:val="en-GB"/>
        </w:rPr>
        <w:t>achieving SDG 7 (Affordable and Clean Energy) assumes a trade-off with SDG 15 (Life on Land)</w:t>
      </w:r>
      <w:r w:rsidR="008D177E" w:rsidRPr="000246AA">
        <w:rPr>
          <w:lang w:val="en-GB"/>
        </w:rPr>
        <w:t xml:space="preserve"> u</w:t>
      </w:r>
      <w:r w:rsidR="008D177E" w:rsidRPr="000246AA">
        <w:rPr>
          <w:rFonts w:cs="Times New Roman"/>
          <w:lang w:val="en-GB"/>
        </w:rPr>
        <w:t xml:space="preserve">nder </w:t>
      </w:r>
      <w:r w:rsidR="008D177E">
        <w:rPr>
          <w:rFonts w:cs="Times New Roman"/>
          <w:lang w:val="en-GB"/>
        </w:rPr>
        <w:t>the S1-TLD</w:t>
      </w:r>
      <w:r w:rsidR="008D177E" w:rsidRPr="000246AA">
        <w:rPr>
          <w:rFonts w:cs="Times New Roman"/>
          <w:lang w:val="en-GB"/>
        </w:rPr>
        <w:t xml:space="preserve"> scenario. The policy to drastically reduce fertilizers to achieve SDG 6 (as in S3-NCS) leads to a slight drop of crop yields during the first years of the agricultural transition, after which they recover.</w:t>
      </w:r>
    </w:p>
    <w:p w14:paraId="1CB5A46F" w14:textId="77777777" w:rsidR="008D177E" w:rsidRPr="00395907" w:rsidRDefault="008D177E" w:rsidP="008D177E">
      <w:pPr>
        <w:jc w:val="both"/>
        <w:rPr>
          <w:lang w:val="en-GB"/>
        </w:rPr>
      </w:pPr>
    </w:p>
    <w:p w14:paraId="640E993B" w14:textId="77777777" w:rsidR="00AB0062" w:rsidRDefault="008D177E" w:rsidP="00AB0062">
      <w:pPr>
        <w:keepNext/>
        <w:jc w:val="center"/>
      </w:pPr>
      <w:r w:rsidRPr="00FA7BC8">
        <w:rPr>
          <w:noProof/>
        </w:rPr>
        <w:lastRenderedPageBreak/>
        <w:drawing>
          <wp:inline distT="0" distB="0" distL="0" distR="0" wp14:anchorId="13A262CD" wp14:editId="57B5007A">
            <wp:extent cx="5400040" cy="36849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684905"/>
                    </a:xfrm>
                    <a:prstGeom prst="rect">
                      <a:avLst/>
                    </a:prstGeom>
                  </pic:spPr>
                </pic:pic>
              </a:graphicData>
            </a:graphic>
          </wp:inline>
        </w:drawing>
      </w:r>
    </w:p>
    <w:p w14:paraId="72C142CF" w14:textId="481AEFBB" w:rsidR="008D177E" w:rsidRPr="0090751A" w:rsidRDefault="00AB0062" w:rsidP="00AB0062">
      <w:pPr>
        <w:pStyle w:val="Descripcin"/>
        <w:jc w:val="center"/>
        <w:rPr>
          <w:lang w:val="en-GB"/>
        </w:rPr>
      </w:pPr>
      <w:bookmarkStart w:id="14" w:name="_Ref221547576"/>
      <w:r w:rsidRPr="00AB0062">
        <w:rPr>
          <w:b/>
          <w:bCs/>
          <w:i w:val="0"/>
          <w:iCs w:val="0"/>
          <w:color w:val="auto"/>
          <w:lang w:val="en-GB"/>
        </w:rPr>
        <w:t>Figure S</w:t>
      </w:r>
      <w:r w:rsidRPr="00AB0062">
        <w:rPr>
          <w:b/>
          <w:bCs/>
          <w:i w:val="0"/>
          <w:iCs w:val="0"/>
          <w:color w:val="auto"/>
          <w:lang w:val="en-GB"/>
        </w:rPr>
        <w:fldChar w:fldCharType="begin"/>
      </w:r>
      <w:r w:rsidRPr="00AB0062">
        <w:rPr>
          <w:b/>
          <w:bCs/>
          <w:i w:val="0"/>
          <w:iCs w:val="0"/>
          <w:color w:val="auto"/>
          <w:lang w:val="en-GB"/>
        </w:rPr>
        <w:instrText xml:space="preserve"> SEQ Figure_S \* ARABIC </w:instrText>
      </w:r>
      <w:r w:rsidRPr="00AB0062">
        <w:rPr>
          <w:b/>
          <w:bCs/>
          <w:i w:val="0"/>
          <w:iCs w:val="0"/>
          <w:color w:val="auto"/>
          <w:lang w:val="en-GB"/>
        </w:rPr>
        <w:fldChar w:fldCharType="separate"/>
      </w:r>
      <w:r w:rsidR="00173FA6">
        <w:rPr>
          <w:b/>
          <w:bCs/>
          <w:i w:val="0"/>
          <w:iCs w:val="0"/>
          <w:noProof/>
          <w:color w:val="auto"/>
          <w:lang w:val="en-GB"/>
        </w:rPr>
        <w:t>4</w:t>
      </w:r>
      <w:r w:rsidRPr="00AB0062">
        <w:rPr>
          <w:b/>
          <w:bCs/>
          <w:i w:val="0"/>
          <w:iCs w:val="0"/>
          <w:color w:val="auto"/>
          <w:lang w:val="en-GB"/>
        </w:rPr>
        <w:fldChar w:fldCharType="end"/>
      </w:r>
      <w:bookmarkEnd w:id="14"/>
      <w:r w:rsidRPr="00AB0062">
        <w:rPr>
          <w:b/>
          <w:bCs/>
          <w:i w:val="0"/>
          <w:iCs w:val="0"/>
          <w:color w:val="auto"/>
          <w:lang w:val="en-GB"/>
        </w:rPr>
        <w:t xml:space="preserve">. </w:t>
      </w:r>
      <w:r w:rsidRPr="008D177E">
        <w:rPr>
          <w:b/>
          <w:bCs/>
          <w:i w:val="0"/>
          <w:iCs w:val="0"/>
          <w:color w:val="auto"/>
          <w:lang w:val="en-GB"/>
        </w:rPr>
        <w:t>System-wide dynamics underlying global scenario acceptability</w:t>
      </w:r>
      <w:r>
        <w:rPr>
          <w:b/>
          <w:bCs/>
          <w:i w:val="0"/>
          <w:iCs w:val="0"/>
          <w:color w:val="auto"/>
          <w:lang w:val="en-GB"/>
        </w:rPr>
        <w:t xml:space="preserve">. </w:t>
      </w:r>
      <w:r w:rsidRPr="008D177E">
        <w:rPr>
          <w:i w:val="0"/>
          <w:iCs w:val="0"/>
          <w:color w:val="auto"/>
          <w:lang w:val="en-GB"/>
        </w:rPr>
        <w:t xml:space="preserve">Time series of selected global variables illustrating the system-wide dynamics generated by the four mitigation scenarios under </w:t>
      </w:r>
      <w:r>
        <w:rPr>
          <w:i w:val="0"/>
          <w:iCs w:val="0"/>
          <w:color w:val="auto"/>
          <w:lang w:val="en-GB"/>
        </w:rPr>
        <w:t>sensitivity hypotheses</w:t>
      </w:r>
      <w:r w:rsidRPr="008D177E">
        <w:rPr>
          <w:i w:val="0"/>
          <w:iCs w:val="0"/>
          <w:color w:val="auto"/>
          <w:lang w:val="en-GB"/>
        </w:rPr>
        <w:t>. Lines represent median values across all simulated pathways, with shaded bands indicating the 25–75% and 10–90% quantile ranges.</w:t>
      </w:r>
      <w:r>
        <w:rPr>
          <w:i w:val="0"/>
          <w:iCs w:val="0"/>
          <w:color w:val="auto"/>
          <w:lang w:val="en-GB"/>
        </w:rPr>
        <w:t xml:space="preserve"> </w:t>
      </w:r>
      <w:r w:rsidRPr="008D177E">
        <w:rPr>
          <w:i w:val="0"/>
          <w:iCs w:val="0"/>
          <w:color w:val="auto"/>
          <w:lang w:val="en-GB"/>
        </w:rPr>
        <w:t>The variables shown capture key economic, energy and land-use processes that mediate trade-offs among Sustainable Development Goals, including economic activity, energy system transformation, agricultural inputs, forest dynamics and sectoral greenhouse gas emissions.</w:t>
      </w:r>
      <w:r>
        <w:rPr>
          <w:i w:val="0"/>
          <w:iCs w:val="0"/>
          <w:color w:val="auto"/>
          <w:lang w:val="en-GB"/>
        </w:rPr>
        <w:t xml:space="preserve"> </w:t>
      </w:r>
      <w:r w:rsidRPr="008D177E">
        <w:rPr>
          <w:i w:val="0"/>
          <w:iCs w:val="0"/>
          <w:color w:val="auto"/>
          <w:lang w:val="en-GB"/>
        </w:rPr>
        <w:t>These dynamics provide the mechanistic basis for the differences in scenario acceptability reported in the main text, but are presented here for completeness due to their technical nature.</w:t>
      </w:r>
    </w:p>
    <w:p w14:paraId="6314B8FB" w14:textId="77777777" w:rsidR="00445BFF" w:rsidRDefault="00445BFF" w:rsidP="00445BFF">
      <w:pPr>
        <w:jc w:val="both"/>
        <w:rPr>
          <w:lang w:val="en-GB"/>
        </w:rPr>
      </w:pPr>
    </w:p>
    <w:p w14:paraId="0E56D97D" w14:textId="2423CEEB" w:rsidR="008D177E" w:rsidRDefault="00445BFF" w:rsidP="008D177E">
      <w:pPr>
        <w:jc w:val="both"/>
        <w:rPr>
          <w:lang w:val="en-GB"/>
        </w:rPr>
      </w:pPr>
      <w:r>
        <w:rPr>
          <w:lang w:val="en-GB"/>
        </w:rPr>
        <w:t>Global acceptability hides the fact that regional preferences can deviate considerably from global ones. D</w:t>
      </w:r>
      <w:r w:rsidRPr="00937A73">
        <w:rPr>
          <w:lang w:val="en-GB"/>
        </w:rPr>
        <w:t xml:space="preserve">ue to </w:t>
      </w:r>
      <w:r>
        <w:rPr>
          <w:lang w:val="en-GB"/>
        </w:rPr>
        <w:t>data and model</w:t>
      </w:r>
      <w:r w:rsidRPr="00937A73">
        <w:rPr>
          <w:lang w:val="en-GB"/>
        </w:rPr>
        <w:t xml:space="preserve"> limitations, certain indicators are not regionally available. </w:t>
      </w:r>
      <w:r>
        <w:rPr>
          <w:lang w:val="en-GB"/>
        </w:rPr>
        <w:t>Therefore</w:t>
      </w:r>
      <w:r w:rsidRPr="00937A73">
        <w:rPr>
          <w:lang w:val="en-GB"/>
        </w:rPr>
        <w:t xml:space="preserve">, the analysis </w:t>
      </w:r>
      <w:r>
        <w:rPr>
          <w:lang w:val="en-GB"/>
        </w:rPr>
        <w:t xml:space="preserve">covers </w:t>
      </w:r>
      <w:r w:rsidRPr="00937A73">
        <w:rPr>
          <w:lang w:val="en-GB"/>
        </w:rPr>
        <w:t>nine SDGs</w:t>
      </w:r>
      <w:r w:rsidRPr="0039365A">
        <w:rPr>
          <w:lang w:val="en-GB"/>
        </w:rPr>
        <w:t xml:space="preserve"> </w:t>
      </w:r>
      <w:r>
        <w:rPr>
          <w:lang w:val="en-GB"/>
        </w:rPr>
        <w:t>hereafter</w:t>
      </w:r>
      <w:r w:rsidRPr="00937A73">
        <w:rPr>
          <w:lang w:val="en-GB"/>
        </w:rPr>
        <w:t>: 1, 2, 3, 6, 7, 9, 11, 15, and 17.</w:t>
      </w:r>
      <w:r>
        <w:rPr>
          <w:lang w:val="en-GB"/>
        </w:rPr>
        <w:t xml:space="preserve"> </w:t>
      </w:r>
      <w:r w:rsidR="00AB0062">
        <w:rPr>
          <w:lang w:val="en-GB"/>
        </w:rPr>
        <w:t xml:space="preserve">Figure 2 </w:t>
      </w:r>
      <w:r w:rsidR="008D177E" w:rsidRPr="007B5764">
        <w:rPr>
          <w:lang w:val="en-GB"/>
        </w:rPr>
        <w:t>show</w:t>
      </w:r>
      <w:r>
        <w:rPr>
          <w:lang w:val="en-GB"/>
        </w:rPr>
        <w:t>ed the regional values of scenario acceptability indices. A</w:t>
      </w:r>
      <w:r w:rsidR="008D177E">
        <w:rPr>
          <w:lang w:val="en-GB"/>
        </w:rPr>
        <w:t xml:space="preserve"> slightly preference of S3-NCS over the rest (SAI equal to </w:t>
      </w:r>
      <w:r w:rsidR="008D177E" w:rsidRPr="000829E8">
        <w:rPr>
          <w:lang w:val="en-GB"/>
        </w:rPr>
        <w:t>3.04</w:t>
      </w:r>
      <w:r w:rsidR="008D177E">
        <w:rPr>
          <w:lang w:val="en-GB"/>
        </w:rPr>
        <w:t>), but S1-TLD and S4-MSS reach</w:t>
      </w:r>
      <w:r>
        <w:rPr>
          <w:lang w:val="en-GB"/>
        </w:rPr>
        <w:t>ed</w:t>
      </w:r>
      <w:r w:rsidR="008D177E">
        <w:rPr>
          <w:lang w:val="en-GB"/>
        </w:rPr>
        <w:t xml:space="preserve"> very similar acceptability values (</w:t>
      </w:r>
      <w:r w:rsidR="008D177E" w:rsidRPr="000829E8">
        <w:rPr>
          <w:lang w:val="en-GB"/>
        </w:rPr>
        <w:t>2.9</w:t>
      </w:r>
      <w:r w:rsidR="008D177E">
        <w:rPr>
          <w:lang w:val="en-GB"/>
        </w:rPr>
        <w:t>6</w:t>
      </w:r>
      <w:r w:rsidR="008D177E" w:rsidRPr="000829E8">
        <w:rPr>
          <w:lang w:val="en-GB"/>
        </w:rPr>
        <w:t xml:space="preserve"> </w:t>
      </w:r>
      <w:r w:rsidR="008D177E">
        <w:rPr>
          <w:lang w:val="en-GB"/>
        </w:rPr>
        <w:t xml:space="preserve">and </w:t>
      </w:r>
      <w:r w:rsidR="008D177E" w:rsidRPr="000829E8">
        <w:rPr>
          <w:lang w:val="en-GB"/>
        </w:rPr>
        <w:t>2.7</w:t>
      </w:r>
      <w:r w:rsidR="008D177E">
        <w:rPr>
          <w:lang w:val="en-GB"/>
        </w:rPr>
        <w:t xml:space="preserve">4, respectively). A more robust conclusion </w:t>
      </w:r>
      <w:r>
        <w:rPr>
          <w:lang w:val="en-GB"/>
        </w:rPr>
        <w:t>was</w:t>
      </w:r>
      <w:r w:rsidR="008D177E">
        <w:rPr>
          <w:lang w:val="en-GB"/>
        </w:rPr>
        <w:t xml:space="preserve"> drawn for S2-DSR, which further drop</w:t>
      </w:r>
      <w:r w:rsidR="00ED34A2">
        <w:rPr>
          <w:lang w:val="en-GB"/>
        </w:rPr>
        <w:t>ped</w:t>
      </w:r>
      <w:r w:rsidR="008D177E">
        <w:rPr>
          <w:lang w:val="en-GB"/>
        </w:rPr>
        <w:t xml:space="preserve"> in the global ranking (on the far left of the figure). The distance between the most preferred scenario and the next one </w:t>
      </w:r>
      <w:r w:rsidR="00ED34A2">
        <w:rPr>
          <w:lang w:val="en-GB"/>
        </w:rPr>
        <w:t>was</w:t>
      </w:r>
      <w:r w:rsidR="008D177E">
        <w:rPr>
          <w:lang w:val="en-GB"/>
        </w:rPr>
        <w:t xml:space="preserve"> especially significant in the case of the EU-27 bloc, United Kingdom, Russia, India, China, and the rest of the world bloc; however, </w:t>
      </w:r>
      <w:r w:rsidR="00AB0062">
        <w:rPr>
          <w:lang w:val="en-GB"/>
        </w:rPr>
        <w:t xml:space="preserve">figure 2 </w:t>
      </w:r>
      <w:r w:rsidR="008D177E">
        <w:rPr>
          <w:lang w:val="en-GB"/>
        </w:rPr>
        <w:t>reveal</w:t>
      </w:r>
      <w:r w:rsidR="00ED34A2">
        <w:rPr>
          <w:lang w:val="en-GB"/>
        </w:rPr>
        <w:t>ed</w:t>
      </w:r>
      <w:r w:rsidR="008D177E">
        <w:rPr>
          <w:lang w:val="en-GB"/>
        </w:rPr>
        <w:t xml:space="preserve"> the absence of clear winners in the USMCA bloc (2.90 for S3-NCS vs 2.82 for S4-MSS), the EASOC bloc (3.07 for S1-TLD vs 3.06 for S3-NCS) and LATAM (3.29 for S3-NCS vs 3.28 for S1-TLD). The S4-DSR show</w:t>
      </w:r>
      <w:r w:rsidR="00ED34A2">
        <w:rPr>
          <w:lang w:val="en-GB"/>
        </w:rPr>
        <w:t>ed</w:t>
      </w:r>
      <w:r w:rsidR="008D177E">
        <w:rPr>
          <w:lang w:val="en-GB"/>
        </w:rPr>
        <w:t xml:space="preserve"> the highest probability of acceptance in the USMCA. However, overall, the scenario acceptability indices </w:t>
      </w:r>
      <w:r w:rsidR="00ED34A2">
        <w:rPr>
          <w:lang w:val="en-GB"/>
        </w:rPr>
        <w:t>were</w:t>
      </w:r>
      <w:r w:rsidR="008D177E">
        <w:rPr>
          <w:lang w:val="en-GB"/>
        </w:rPr>
        <w:t xml:space="preserve"> very similar, and no clear preference emerges.</w:t>
      </w:r>
    </w:p>
    <w:p w14:paraId="79C0B3F9" w14:textId="4F931EB1" w:rsidR="008D177E" w:rsidRPr="00CF59A0" w:rsidRDefault="008D177E" w:rsidP="00ED34A2">
      <w:pPr>
        <w:jc w:val="both"/>
        <w:rPr>
          <w:lang w:val="en-GB"/>
        </w:rPr>
      </w:pPr>
      <w:r w:rsidRPr="006D6379">
        <w:rPr>
          <w:lang w:val="en-GB"/>
        </w:rPr>
        <w:t xml:space="preserve">The WILIAM mechanisms affecting the </w:t>
      </w:r>
      <w:r>
        <w:rPr>
          <w:lang w:val="en-GB"/>
        </w:rPr>
        <w:t xml:space="preserve">acceptability </w:t>
      </w:r>
      <w:r w:rsidRPr="006D6379">
        <w:rPr>
          <w:lang w:val="en-GB"/>
        </w:rPr>
        <w:t xml:space="preserve">of </w:t>
      </w:r>
      <w:r>
        <w:rPr>
          <w:lang w:val="en-GB"/>
        </w:rPr>
        <w:t xml:space="preserve">regional </w:t>
      </w:r>
      <w:r w:rsidRPr="006D6379">
        <w:rPr>
          <w:lang w:val="en-GB"/>
        </w:rPr>
        <w:t xml:space="preserve">scenarios follow the same logics </w:t>
      </w:r>
      <w:r>
        <w:rPr>
          <w:lang w:val="en-GB"/>
        </w:rPr>
        <w:t>as at the global level</w:t>
      </w:r>
      <w:r w:rsidRPr="006D6379">
        <w:rPr>
          <w:lang w:val="en-GB"/>
        </w:rPr>
        <w:t xml:space="preserve">. </w:t>
      </w:r>
      <w:r>
        <w:rPr>
          <w:lang w:val="en-GB"/>
        </w:rPr>
        <w:t xml:space="preserve">We identify certain </w:t>
      </w:r>
      <w:r w:rsidRPr="00E80CE8">
        <w:rPr>
          <w:i/>
          <w:iCs/>
          <w:lang w:val="en-GB"/>
        </w:rPr>
        <w:t>acceptability drivers</w:t>
      </w:r>
      <w:r>
        <w:rPr>
          <w:i/>
          <w:iCs/>
          <w:lang w:val="en-GB"/>
        </w:rPr>
        <w:t xml:space="preserve"> </w:t>
      </w:r>
      <w:r>
        <w:rPr>
          <w:lang w:val="en-GB"/>
        </w:rPr>
        <w:t>from the multiple interactions present in the model. In the following, we focus on the principal ones, which amplify specific SDGs as shown in</w:t>
      </w:r>
      <w:r w:rsidR="00AB0062">
        <w:rPr>
          <w:lang w:val="en-GB"/>
        </w:rPr>
        <w:t xml:space="preserve"> </w:t>
      </w:r>
      <w:r w:rsidR="00AB0062">
        <w:rPr>
          <w:lang w:val="en-GB"/>
        </w:rPr>
        <w:fldChar w:fldCharType="begin"/>
      </w:r>
      <w:r w:rsidR="00AB0062">
        <w:rPr>
          <w:lang w:val="en-GB"/>
        </w:rPr>
        <w:instrText xml:space="preserve"> REF _Ref221547713 \h  \* MERGEFORMAT </w:instrText>
      </w:r>
      <w:r w:rsidR="00AB0062">
        <w:rPr>
          <w:lang w:val="en-GB"/>
        </w:rPr>
      </w:r>
      <w:r w:rsidR="00AB0062">
        <w:rPr>
          <w:lang w:val="en-GB"/>
        </w:rPr>
        <w:fldChar w:fldCharType="separate"/>
      </w:r>
      <w:r w:rsidR="00AB0062" w:rsidRPr="00AB0062">
        <w:rPr>
          <w:lang w:val="en-GB"/>
        </w:rPr>
        <w:t>figure S5</w:t>
      </w:r>
      <w:r w:rsidR="00AB0062">
        <w:rPr>
          <w:lang w:val="en-GB"/>
        </w:rPr>
        <w:fldChar w:fldCharType="end"/>
      </w:r>
      <w:r>
        <w:rPr>
          <w:lang w:val="en-GB"/>
        </w:rPr>
        <w:t>.</w:t>
      </w:r>
      <w:r w:rsidR="00ED34A2">
        <w:rPr>
          <w:lang w:val="en-GB"/>
        </w:rPr>
        <w:t xml:space="preserve"> First, g</w:t>
      </w:r>
      <w:r w:rsidRPr="000236F3">
        <w:rPr>
          <w:lang w:val="en-GB"/>
        </w:rPr>
        <w:t xml:space="preserve">overnment revenues rely on </w:t>
      </w:r>
      <w:r>
        <w:rPr>
          <w:lang w:val="en-GB"/>
        </w:rPr>
        <w:t>its</w:t>
      </w:r>
      <w:r w:rsidRPr="000236F3">
        <w:rPr>
          <w:lang w:val="en-GB"/>
        </w:rPr>
        <w:t xml:space="preserve"> capacity to invest, which is expanded </w:t>
      </w:r>
      <w:r>
        <w:rPr>
          <w:lang w:val="en-GB"/>
        </w:rPr>
        <w:t>as</w:t>
      </w:r>
      <w:r w:rsidRPr="000236F3">
        <w:rPr>
          <w:lang w:val="en-GB"/>
        </w:rPr>
        <w:t xml:space="preserve"> the level of consumption </w:t>
      </w:r>
      <w:r>
        <w:rPr>
          <w:lang w:val="en-GB"/>
        </w:rPr>
        <w:t>in households and economic sectors increases</w:t>
      </w:r>
      <w:r w:rsidRPr="000236F3">
        <w:rPr>
          <w:lang w:val="en-GB"/>
        </w:rPr>
        <w:t xml:space="preserve"> (SDG 1 and 17).</w:t>
      </w:r>
      <w:r>
        <w:rPr>
          <w:lang w:val="en-GB"/>
        </w:rPr>
        <w:t xml:space="preserve"> In EU27 and USCMA, the scenario S3-NDS has more positive effect than in India, LATAM or Rest of the World.</w:t>
      </w:r>
      <w:r w:rsidR="00ED34A2">
        <w:rPr>
          <w:lang w:val="en-GB"/>
        </w:rPr>
        <w:t xml:space="preserve"> Second, t</w:t>
      </w:r>
      <w:r>
        <w:rPr>
          <w:lang w:val="en-GB"/>
        </w:rPr>
        <w:t xml:space="preserve">he capacity to increase renewables in the energy mix (SDGs 7, 9) </w:t>
      </w:r>
      <w:r>
        <w:rPr>
          <w:lang w:val="en-GB"/>
        </w:rPr>
        <w:lastRenderedPageBreak/>
        <w:t xml:space="preserve">is different across the world and is constrained by the remaining potential available at the beginning of the simulation (2015) and system’s characteristics to keep renewable energy curtailment at profitable levels. In our simulations, the Global South regions do not reach an upper biophysical constraint on the share of renewables in final energy, whereas Global North regions do, thereby decelerating the energy transition. The scenario S1-TLD implies higher opportunities in the global South to increase the share of renewable energy in the primary energy mix and reduce emissions. </w:t>
      </w:r>
      <w:r w:rsidRPr="009A4FD9">
        <w:rPr>
          <w:lang w:val="en-GB"/>
        </w:rPr>
        <w:t xml:space="preserve">Minerals are not modelled at the regional level, which implies that </w:t>
      </w:r>
      <w:r>
        <w:rPr>
          <w:lang w:val="en-GB"/>
        </w:rPr>
        <w:t>indicators related to large-scale resource extraction</w:t>
      </w:r>
      <w:r w:rsidRPr="009A4FD9">
        <w:rPr>
          <w:lang w:val="en-GB"/>
        </w:rPr>
        <w:t xml:space="preserve"> and </w:t>
      </w:r>
      <w:r>
        <w:rPr>
          <w:lang w:val="en-GB"/>
        </w:rPr>
        <w:t xml:space="preserve">the </w:t>
      </w:r>
      <w:r w:rsidRPr="009A4FD9">
        <w:rPr>
          <w:lang w:val="en-GB"/>
        </w:rPr>
        <w:t>associated footprint were not considered in the regional SMAA; this would undermine the acceptability of S1-TLD.</w:t>
      </w:r>
      <w:r w:rsidR="00ED34A2">
        <w:rPr>
          <w:lang w:val="en-GB"/>
        </w:rPr>
        <w:t xml:space="preserve"> Third, t</w:t>
      </w:r>
      <w:r w:rsidRPr="00CF59A0">
        <w:rPr>
          <w:lang w:val="en-GB"/>
        </w:rPr>
        <w:t>he agricultural transition benefits S3-NCS scenario</w:t>
      </w:r>
      <w:r>
        <w:rPr>
          <w:lang w:val="en-GB"/>
        </w:rPr>
        <w:t xml:space="preserve"> as </w:t>
      </w:r>
      <w:r w:rsidRPr="00CF59A0">
        <w:rPr>
          <w:lang w:val="en-GB"/>
        </w:rPr>
        <w:t xml:space="preserve">the chemical inputs required for food production </w:t>
      </w:r>
      <w:r>
        <w:rPr>
          <w:lang w:val="en-GB"/>
        </w:rPr>
        <w:t xml:space="preserve">decrease </w:t>
      </w:r>
      <w:r w:rsidRPr="00CF59A0">
        <w:rPr>
          <w:lang w:val="en-GB"/>
        </w:rPr>
        <w:t>through an expansion of cropland area (SDGs 2, 6, 11). In parallel, forest protection polic</w:t>
      </w:r>
      <w:r>
        <w:rPr>
          <w:lang w:val="en-GB"/>
        </w:rPr>
        <w:t>y better preserves</w:t>
      </w:r>
      <w:r w:rsidRPr="00CF59A0">
        <w:rPr>
          <w:lang w:val="en-GB"/>
        </w:rPr>
        <w:t xml:space="preserve"> biodiversity (SDG 15) than would occur in their absence. </w:t>
      </w:r>
      <w:r>
        <w:rPr>
          <w:lang w:val="en-GB"/>
        </w:rPr>
        <w:t>Clearly, t</w:t>
      </w:r>
      <w:r w:rsidRPr="00CF59A0">
        <w:rPr>
          <w:lang w:val="en-GB"/>
        </w:rPr>
        <w:t>he higher levels of historical anthropogenic erosion in Europe imply that S3-NCS policies deliver greater positive impact in both the biodiversity habitat index and carbon sequestration than in India or China, which have traditionally higher baseline levels of natural capital.</w:t>
      </w:r>
      <w:r>
        <w:rPr>
          <w:lang w:val="en-GB"/>
        </w:rPr>
        <w:t xml:space="preserve"> Consequently,</w:t>
      </w:r>
      <w:r w:rsidRPr="00CF59A0">
        <w:rPr>
          <w:lang w:val="en-GB"/>
        </w:rPr>
        <w:t xml:space="preserve"> the reduction in emissions</w:t>
      </w:r>
      <w:r>
        <w:rPr>
          <w:lang w:val="en-GB"/>
        </w:rPr>
        <w:t xml:space="preserve"> in Europe, Latin America and Russia</w:t>
      </w:r>
      <w:r w:rsidRPr="00CF59A0">
        <w:rPr>
          <w:lang w:val="en-GB"/>
        </w:rPr>
        <w:t xml:space="preserve"> is more </w:t>
      </w:r>
      <w:r>
        <w:rPr>
          <w:lang w:val="en-GB"/>
        </w:rPr>
        <w:t>easily achievable</w:t>
      </w:r>
      <w:r w:rsidRPr="00CF59A0">
        <w:rPr>
          <w:lang w:val="en-GB"/>
        </w:rPr>
        <w:t xml:space="preserve"> under </w:t>
      </w:r>
      <w:r>
        <w:rPr>
          <w:lang w:val="en-GB"/>
        </w:rPr>
        <w:t xml:space="preserve">the promotion of natural carbon sinks than technological solutions. On the contrary, </w:t>
      </w:r>
      <w:r w:rsidRPr="00CF59A0">
        <w:rPr>
          <w:lang w:val="en-GB"/>
        </w:rPr>
        <w:t xml:space="preserve">S1-TLD scenario </w:t>
      </w:r>
      <w:r>
        <w:rPr>
          <w:lang w:val="en-GB"/>
        </w:rPr>
        <w:t>fits better in</w:t>
      </w:r>
      <w:r w:rsidRPr="00CF59A0">
        <w:rPr>
          <w:lang w:val="en-GB"/>
        </w:rPr>
        <w:t xml:space="preserve"> India or China</w:t>
      </w:r>
      <w:r>
        <w:rPr>
          <w:lang w:val="en-GB"/>
        </w:rPr>
        <w:t xml:space="preserve"> to reduce emissions</w:t>
      </w:r>
      <w:r w:rsidRPr="00CF59A0">
        <w:rPr>
          <w:lang w:val="en-GB"/>
        </w:rPr>
        <w:t>.</w:t>
      </w:r>
    </w:p>
    <w:p w14:paraId="012FBFAD" w14:textId="77777777" w:rsidR="00ED34A2" w:rsidRDefault="008D177E" w:rsidP="008D177E">
      <w:pPr>
        <w:jc w:val="both"/>
        <w:rPr>
          <w:rFonts w:cs="Times New Roman"/>
          <w:lang w:val="en-GB"/>
        </w:rPr>
      </w:pPr>
      <w:r>
        <w:rPr>
          <w:lang w:val="en-GB"/>
        </w:rPr>
        <w:t xml:space="preserve">Consistent with the </w:t>
      </w:r>
      <w:r w:rsidRPr="006D6379">
        <w:rPr>
          <w:lang w:val="en-GB"/>
        </w:rPr>
        <w:t xml:space="preserve">global analysis, </w:t>
      </w:r>
      <w:r>
        <w:rPr>
          <w:lang w:val="en-GB"/>
        </w:rPr>
        <w:t xml:space="preserve">an increase in </w:t>
      </w:r>
      <w:r w:rsidRPr="006D6379">
        <w:rPr>
          <w:rFonts w:cs="Times New Roman"/>
          <w:lang w:val="en-GB"/>
        </w:rPr>
        <w:t xml:space="preserve">SDG 7 (Affordable and Clean Energy) </w:t>
      </w:r>
      <w:r>
        <w:rPr>
          <w:rFonts w:cs="Times New Roman"/>
          <w:lang w:val="en-GB"/>
        </w:rPr>
        <w:t>entails</w:t>
      </w:r>
      <w:r w:rsidRPr="006D6379">
        <w:rPr>
          <w:rFonts w:cs="Times New Roman"/>
          <w:lang w:val="en-GB"/>
        </w:rPr>
        <w:t xml:space="preserve"> a trade-off with SDG 15 (Life on Land) in S1-TLD. This is also true regionally, but </w:t>
      </w:r>
      <w:r>
        <w:rPr>
          <w:rFonts w:cs="Times New Roman"/>
          <w:lang w:val="en-GB"/>
        </w:rPr>
        <w:t>higher</w:t>
      </w:r>
      <w:r w:rsidRPr="006D6379">
        <w:rPr>
          <w:rFonts w:cs="Times New Roman"/>
          <w:lang w:val="en-GB"/>
        </w:rPr>
        <w:t xml:space="preserve"> in the Northern regions and </w:t>
      </w:r>
      <w:r>
        <w:rPr>
          <w:rFonts w:cs="Times New Roman"/>
          <w:lang w:val="en-GB"/>
        </w:rPr>
        <w:t>lower</w:t>
      </w:r>
      <w:r w:rsidRPr="006D6379">
        <w:rPr>
          <w:rFonts w:cs="Times New Roman"/>
          <w:lang w:val="en-GB"/>
        </w:rPr>
        <w:t xml:space="preserve"> in the Global South. </w:t>
      </w:r>
    </w:p>
    <w:p w14:paraId="5B457CCC" w14:textId="2F8E4D14" w:rsidR="008D177E" w:rsidRPr="006D6379" w:rsidRDefault="008D177E" w:rsidP="008D177E">
      <w:pPr>
        <w:jc w:val="both"/>
        <w:rPr>
          <w:lang w:val="en-GB"/>
        </w:rPr>
      </w:pPr>
      <w:r>
        <w:rPr>
          <w:lang w:val="en-GB"/>
        </w:rPr>
        <w:t xml:space="preserve">Renewable resources are higher in the global South, as better meteorological conditions mean higher </w:t>
      </w:r>
      <w:r w:rsidRPr="006D6379">
        <w:rPr>
          <w:lang w:val="en-GB"/>
        </w:rPr>
        <w:t>full load hours to produce renewable energy.</w:t>
      </w:r>
      <w:r>
        <w:rPr>
          <w:lang w:val="en-GB"/>
        </w:rPr>
        <w:t xml:space="preserve"> </w:t>
      </w:r>
      <w:r w:rsidRPr="006D6379">
        <w:rPr>
          <w:lang w:val="en-GB"/>
        </w:rPr>
        <w:t xml:space="preserve">Curtailment arises in all regions due to an initial large increase </w:t>
      </w:r>
      <w:r>
        <w:rPr>
          <w:lang w:val="en-GB"/>
        </w:rPr>
        <w:t xml:space="preserve">in the </w:t>
      </w:r>
      <w:r w:rsidRPr="006D6379">
        <w:rPr>
          <w:lang w:val="en-GB"/>
        </w:rPr>
        <w:t xml:space="preserve">exploitation of intermittent renewable sources until the system </w:t>
      </w:r>
      <w:r>
        <w:rPr>
          <w:lang w:val="en-GB"/>
        </w:rPr>
        <w:t>reaches a state of equilibrium</w:t>
      </w:r>
      <w:r w:rsidRPr="006D6379">
        <w:rPr>
          <w:lang w:val="en-GB"/>
        </w:rPr>
        <w:t xml:space="preserve">. However, the remaining potential of solar PV and wind is exhausted </w:t>
      </w:r>
      <w:r>
        <w:rPr>
          <w:lang w:val="en-GB"/>
        </w:rPr>
        <w:t>after</w:t>
      </w:r>
      <w:r w:rsidRPr="006D6379">
        <w:rPr>
          <w:lang w:val="en-GB"/>
        </w:rPr>
        <w:t xml:space="preserve"> 2030 in some regions, a constraint highly influenced by the EROI hypothesis. </w:t>
      </w:r>
    </w:p>
    <w:p w14:paraId="13D17B8C" w14:textId="77777777" w:rsidR="008D177E" w:rsidRDefault="008D177E" w:rsidP="008D177E">
      <w:pPr>
        <w:jc w:val="both"/>
        <w:rPr>
          <w:lang w:val="en-GB"/>
        </w:rPr>
      </w:pPr>
      <w:r>
        <w:rPr>
          <w:lang w:val="en-GB"/>
        </w:rPr>
        <w:t>Due to the wider gap in advanced techniques</w:t>
      </w:r>
      <w:r w:rsidRPr="006D6379">
        <w:rPr>
          <w:lang w:val="en-GB"/>
        </w:rPr>
        <w:t xml:space="preserve">, industrial agriculture has </w:t>
      </w:r>
      <w:r>
        <w:rPr>
          <w:lang w:val="en-GB"/>
        </w:rPr>
        <w:t xml:space="preserve">a </w:t>
      </w:r>
      <w:r w:rsidRPr="006D6379">
        <w:rPr>
          <w:lang w:val="en-GB"/>
        </w:rPr>
        <w:t xml:space="preserve">higher </w:t>
      </w:r>
      <w:r>
        <w:rPr>
          <w:lang w:val="en-GB"/>
        </w:rPr>
        <w:t>increase in</w:t>
      </w:r>
      <w:r w:rsidRPr="006D6379">
        <w:rPr>
          <w:lang w:val="en-GB"/>
        </w:rPr>
        <w:t xml:space="preserve"> food</w:t>
      </w:r>
      <w:r>
        <w:rPr>
          <w:lang w:val="en-GB"/>
        </w:rPr>
        <w:t xml:space="preserve"> production per capita</w:t>
      </w:r>
      <w:r w:rsidRPr="006D6379">
        <w:rPr>
          <w:lang w:val="en-GB"/>
        </w:rPr>
        <w:t xml:space="preserve"> in the Global South than in the North (SDG 2).</w:t>
      </w:r>
      <w:r>
        <w:rPr>
          <w:lang w:val="en-GB"/>
        </w:rPr>
        <w:t xml:space="preserve"> However, u</w:t>
      </w:r>
      <w:r w:rsidRPr="006D6379">
        <w:rPr>
          <w:lang w:val="en-GB"/>
        </w:rPr>
        <w:t xml:space="preserve">nder the S1-TLD scenario, the overexploitation of primary forests and replacement by plantations </w:t>
      </w:r>
      <w:r>
        <w:rPr>
          <w:lang w:val="en-GB"/>
        </w:rPr>
        <w:t>would</w:t>
      </w:r>
      <w:r w:rsidRPr="006D6379">
        <w:rPr>
          <w:lang w:val="en-GB"/>
        </w:rPr>
        <w:t xml:space="preserve"> trigger a net loss of </w:t>
      </w:r>
      <w:r>
        <w:rPr>
          <w:lang w:val="en-GB"/>
        </w:rPr>
        <w:t xml:space="preserve">forest </w:t>
      </w:r>
      <w:r w:rsidRPr="006D6379">
        <w:rPr>
          <w:lang w:val="en-GB"/>
        </w:rPr>
        <w:t xml:space="preserve">biomass and land degradation (SDG 15), </w:t>
      </w:r>
      <w:r>
        <w:rPr>
          <w:lang w:val="en-GB"/>
        </w:rPr>
        <w:t xml:space="preserve">which is </w:t>
      </w:r>
      <w:r w:rsidRPr="006D6379">
        <w:rPr>
          <w:lang w:val="en-GB"/>
        </w:rPr>
        <w:t>more pronounced in the global North than in the South, despite both experiment</w:t>
      </w:r>
      <w:r>
        <w:rPr>
          <w:lang w:val="en-GB"/>
        </w:rPr>
        <w:t>ing</w:t>
      </w:r>
      <w:r w:rsidRPr="006D6379">
        <w:rPr>
          <w:lang w:val="en-GB"/>
        </w:rPr>
        <w:t xml:space="preserve"> a decreasing trend by 2050.</w:t>
      </w:r>
    </w:p>
    <w:p w14:paraId="667D70BD" w14:textId="490104E1" w:rsidR="008D177E" w:rsidRPr="006D6379" w:rsidRDefault="008D177E" w:rsidP="008D177E">
      <w:pPr>
        <w:jc w:val="both"/>
        <w:rPr>
          <w:lang w:val="en-GB"/>
        </w:rPr>
      </w:pPr>
      <w:r>
        <w:rPr>
          <w:lang w:val="en-GB"/>
        </w:rPr>
        <w:t>Finally, the higher fertility rates and positive pace in life expectancy at birth lead to a higher p</w:t>
      </w:r>
      <w:r w:rsidRPr="006D6379">
        <w:rPr>
          <w:lang w:val="en-GB"/>
        </w:rPr>
        <w:t xml:space="preserve">opulation expansion (SDG 3) in the </w:t>
      </w:r>
      <w:r>
        <w:rPr>
          <w:lang w:val="en-GB"/>
        </w:rPr>
        <w:t xml:space="preserve">Global </w:t>
      </w:r>
      <w:r w:rsidRPr="006D6379">
        <w:rPr>
          <w:lang w:val="en-GB"/>
        </w:rPr>
        <w:t>South.</w:t>
      </w:r>
      <w:r>
        <w:rPr>
          <w:lang w:val="en-GB"/>
        </w:rPr>
        <w:t xml:space="preserve"> This</w:t>
      </w:r>
      <w:r w:rsidR="00AB0062">
        <w:rPr>
          <w:lang w:val="en-GB"/>
        </w:rPr>
        <w:t xml:space="preserve"> </w:t>
      </w:r>
      <w:r>
        <w:rPr>
          <w:lang w:val="en-GB"/>
        </w:rPr>
        <w:t>dynamics produces a contrary urbanization development in the Global North, where urbanization stops with population decreases, and increased urbanization in the Global South with a continued pressure on land needed for urban development</w:t>
      </w:r>
      <w:r w:rsidRPr="00890281">
        <w:rPr>
          <w:lang w:val="en-GB"/>
        </w:rPr>
        <w:t>.</w:t>
      </w:r>
    </w:p>
    <w:p w14:paraId="6FC89324" w14:textId="77777777" w:rsidR="00AB0062" w:rsidRDefault="008D177E" w:rsidP="00AB0062">
      <w:pPr>
        <w:keepNext/>
        <w:jc w:val="center"/>
      </w:pPr>
      <w:r w:rsidRPr="00484C3C">
        <w:rPr>
          <w:noProof/>
          <w:lang w:val="en-GB"/>
        </w:rPr>
        <w:lastRenderedPageBreak/>
        <w:drawing>
          <wp:inline distT="0" distB="0" distL="0" distR="0" wp14:anchorId="55E03664" wp14:editId="15936DA7">
            <wp:extent cx="5400040" cy="6827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6827520"/>
                    </a:xfrm>
                    <a:prstGeom prst="rect">
                      <a:avLst/>
                    </a:prstGeom>
                  </pic:spPr>
                </pic:pic>
              </a:graphicData>
            </a:graphic>
          </wp:inline>
        </w:drawing>
      </w:r>
    </w:p>
    <w:p w14:paraId="68749AAC" w14:textId="44A4B403" w:rsidR="00173FA6" w:rsidRDefault="00AB0062" w:rsidP="00AB0062">
      <w:pPr>
        <w:pStyle w:val="Descripcin"/>
        <w:jc w:val="center"/>
        <w:rPr>
          <w:i w:val="0"/>
          <w:iCs w:val="0"/>
          <w:color w:val="auto"/>
          <w:lang w:val="en-GB"/>
        </w:rPr>
      </w:pPr>
      <w:bookmarkStart w:id="15" w:name="_Ref221547713"/>
      <w:r w:rsidRPr="00AB0062">
        <w:rPr>
          <w:b/>
          <w:bCs/>
          <w:i w:val="0"/>
          <w:iCs w:val="0"/>
          <w:color w:val="auto"/>
          <w:lang w:val="en-GB"/>
        </w:rPr>
        <w:t>Figure S</w:t>
      </w:r>
      <w:r w:rsidRPr="00AB0062">
        <w:rPr>
          <w:b/>
          <w:bCs/>
          <w:i w:val="0"/>
          <w:iCs w:val="0"/>
          <w:color w:val="auto"/>
          <w:lang w:val="en-GB"/>
        </w:rPr>
        <w:fldChar w:fldCharType="begin"/>
      </w:r>
      <w:r w:rsidRPr="00AB0062">
        <w:rPr>
          <w:b/>
          <w:bCs/>
          <w:i w:val="0"/>
          <w:iCs w:val="0"/>
          <w:color w:val="auto"/>
          <w:lang w:val="en-GB"/>
        </w:rPr>
        <w:instrText xml:space="preserve"> SEQ Figure_S \* ARABIC </w:instrText>
      </w:r>
      <w:r w:rsidRPr="00AB0062">
        <w:rPr>
          <w:b/>
          <w:bCs/>
          <w:i w:val="0"/>
          <w:iCs w:val="0"/>
          <w:color w:val="auto"/>
          <w:lang w:val="en-GB"/>
        </w:rPr>
        <w:fldChar w:fldCharType="separate"/>
      </w:r>
      <w:r w:rsidR="00173FA6">
        <w:rPr>
          <w:b/>
          <w:bCs/>
          <w:i w:val="0"/>
          <w:iCs w:val="0"/>
          <w:noProof/>
          <w:color w:val="auto"/>
          <w:lang w:val="en-GB"/>
        </w:rPr>
        <w:t>5</w:t>
      </w:r>
      <w:r w:rsidRPr="00AB0062">
        <w:rPr>
          <w:b/>
          <w:bCs/>
          <w:i w:val="0"/>
          <w:iCs w:val="0"/>
          <w:color w:val="auto"/>
          <w:lang w:val="en-GB"/>
        </w:rPr>
        <w:fldChar w:fldCharType="end"/>
      </w:r>
      <w:bookmarkEnd w:id="15"/>
      <w:r w:rsidRPr="00AB0062">
        <w:rPr>
          <w:b/>
          <w:bCs/>
          <w:i w:val="0"/>
          <w:iCs w:val="0"/>
          <w:color w:val="auto"/>
          <w:lang w:val="en-GB"/>
        </w:rPr>
        <w:t xml:space="preserve">. </w:t>
      </w:r>
      <w:r w:rsidRPr="008D177E">
        <w:rPr>
          <w:b/>
          <w:bCs/>
          <w:i w:val="0"/>
          <w:iCs w:val="0"/>
          <w:color w:val="auto"/>
          <w:lang w:val="en-GB"/>
        </w:rPr>
        <w:t>Regional system responses driving differences in scenario acceptability.</w:t>
      </w:r>
      <w:r>
        <w:rPr>
          <w:i w:val="0"/>
          <w:iCs w:val="0"/>
          <w:color w:val="auto"/>
          <w:lang w:val="en-GB"/>
        </w:rPr>
        <w:t xml:space="preserve"> </w:t>
      </w:r>
      <w:r w:rsidRPr="008D177E">
        <w:rPr>
          <w:i w:val="0"/>
          <w:iCs w:val="0"/>
          <w:color w:val="auto"/>
          <w:lang w:val="en-GB"/>
        </w:rPr>
        <w:t>Regional trajectories of selected economic, energy, land-use and environmental indicators under technology-led decarbonization and natural carbon sink–based mitigation scenarios. Lines represent median values across all simulated pathways, with shaded bands indicating the 25–75% and 10–90% quantile ranges.</w:t>
      </w:r>
      <w:r>
        <w:rPr>
          <w:i w:val="0"/>
          <w:iCs w:val="0"/>
          <w:color w:val="auto"/>
          <w:lang w:val="en-GB"/>
        </w:rPr>
        <w:t xml:space="preserve"> </w:t>
      </w:r>
      <w:r w:rsidRPr="008D177E">
        <w:rPr>
          <w:i w:val="0"/>
          <w:iCs w:val="0"/>
          <w:color w:val="auto"/>
          <w:lang w:val="en-GB"/>
        </w:rPr>
        <w:t xml:space="preserve">Results are shown as median values across simulations, with </w:t>
      </w:r>
      <w:r>
        <w:rPr>
          <w:i w:val="0"/>
          <w:iCs w:val="0"/>
          <w:color w:val="auto"/>
          <w:lang w:val="en-GB"/>
        </w:rPr>
        <w:t>sensitivity</w:t>
      </w:r>
      <w:r w:rsidRPr="008D177E">
        <w:rPr>
          <w:i w:val="0"/>
          <w:iCs w:val="0"/>
          <w:color w:val="auto"/>
          <w:lang w:val="en-GB"/>
        </w:rPr>
        <w:t xml:space="preserve"> ranges reflecting alternative assumptions on population dynamics, technological performance and climate impacts.</w:t>
      </w:r>
      <w:r>
        <w:rPr>
          <w:i w:val="0"/>
          <w:iCs w:val="0"/>
          <w:color w:val="auto"/>
          <w:lang w:val="en-GB"/>
        </w:rPr>
        <w:t xml:space="preserve"> </w:t>
      </w:r>
      <w:r w:rsidRPr="008D177E">
        <w:rPr>
          <w:i w:val="0"/>
          <w:iCs w:val="0"/>
          <w:color w:val="auto"/>
          <w:lang w:val="en-GB"/>
        </w:rPr>
        <w:t>The figure illustrates how region-specific biophysical constraints and development conditions shape the magnitude and timing of co-benefits and trade-offs across Sustainable Development Goals. These regional system responses underpin the divergent scenario preferences identified in the main text.</w:t>
      </w:r>
      <w:r w:rsidR="00173FA6">
        <w:rPr>
          <w:i w:val="0"/>
          <w:iCs w:val="0"/>
          <w:color w:val="auto"/>
          <w:lang w:val="en-GB"/>
        </w:rPr>
        <w:br w:type="page"/>
      </w:r>
    </w:p>
    <w:p w14:paraId="4A6EB1A9" w14:textId="56C58399" w:rsidR="008D177E" w:rsidRDefault="00173FA6" w:rsidP="00173FA6">
      <w:pPr>
        <w:pStyle w:val="Descripcin"/>
        <w:jc w:val="center"/>
        <w:rPr>
          <w:b/>
          <w:bCs/>
          <w:i w:val="0"/>
          <w:iCs w:val="0"/>
          <w:color w:val="auto"/>
          <w:sz w:val="20"/>
          <w:szCs w:val="20"/>
          <w:lang w:val="en-GB"/>
        </w:rPr>
      </w:pPr>
      <w:r w:rsidRPr="00173FA6">
        <w:rPr>
          <w:b/>
          <w:bCs/>
          <w:i w:val="0"/>
          <w:iCs w:val="0"/>
          <w:color w:val="auto"/>
          <w:sz w:val="20"/>
          <w:szCs w:val="20"/>
          <w:lang w:val="en-GB"/>
        </w:rPr>
        <w:lastRenderedPageBreak/>
        <w:t>Supplementary Figures</w:t>
      </w:r>
    </w:p>
    <w:p w14:paraId="63F7BFD3" w14:textId="3286E994" w:rsidR="00173FA6" w:rsidRDefault="00173FA6" w:rsidP="00173FA6">
      <w:pPr>
        <w:rPr>
          <w:lang w:val="en-GB"/>
        </w:rPr>
      </w:pPr>
      <w:r>
        <w:rPr>
          <w:lang w:val="en-GB"/>
        </w:rPr>
        <w:br w:type="page"/>
      </w:r>
    </w:p>
    <w:p w14:paraId="65B4CA4A" w14:textId="77777777" w:rsidR="00173FA6" w:rsidRDefault="00173FA6" w:rsidP="00173FA6">
      <w:pPr>
        <w:keepNext/>
      </w:pPr>
      <w:r w:rsidRPr="00173FA6">
        <w:rPr>
          <w:noProof/>
          <w:lang w:val="en-GB"/>
        </w:rPr>
        <w:lastRenderedPageBreak/>
        <w:drawing>
          <wp:inline distT="0" distB="0" distL="0" distR="0" wp14:anchorId="4945F4D3" wp14:editId="68FF0BE2">
            <wp:extent cx="5400040" cy="57334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5733415"/>
                    </a:xfrm>
                    <a:prstGeom prst="rect">
                      <a:avLst/>
                    </a:prstGeom>
                  </pic:spPr>
                </pic:pic>
              </a:graphicData>
            </a:graphic>
          </wp:inline>
        </w:drawing>
      </w:r>
    </w:p>
    <w:p w14:paraId="60ABA245" w14:textId="53591843" w:rsidR="00173FA6" w:rsidRPr="00173FA6" w:rsidRDefault="00173FA6" w:rsidP="00173FA6">
      <w:pPr>
        <w:pStyle w:val="Descripcin"/>
        <w:jc w:val="center"/>
        <w:rPr>
          <w:b/>
          <w:bCs/>
          <w:i w:val="0"/>
          <w:iCs w:val="0"/>
          <w:color w:val="auto"/>
          <w:lang w:val="en-GB"/>
        </w:rPr>
      </w:pPr>
      <w:r w:rsidRPr="00173FA6">
        <w:rPr>
          <w:b/>
          <w:bCs/>
          <w:i w:val="0"/>
          <w:iCs w:val="0"/>
          <w:color w:val="auto"/>
          <w:lang w:val="en-GB"/>
        </w:rPr>
        <w:t>Figure S</w:t>
      </w:r>
      <w:r w:rsidRPr="00173FA6">
        <w:rPr>
          <w:b/>
          <w:bCs/>
          <w:i w:val="0"/>
          <w:iCs w:val="0"/>
          <w:color w:val="auto"/>
          <w:lang w:val="en-GB"/>
        </w:rPr>
        <w:fldChar w:fldCharType="begin"/>
      </w:r>
      <w:r w:rsidRPr="00173FA6">
        <w:rPr>
          <w:b/>
          <w:bCs/>
          <w:i w:val="0"/>
          <w:iCs w:val="0"/>
          <w:color w:val="auto"/>
          <w:lang w:val="en-GB"/>
        </w:rPr>
        <w:instrText xml:space="preserve"> SEQ Figure_S \* ARABIC </w:instrText>
      </w:r>
      <w:r w:rsidRPr="00173FA6">
        <w:rPr>
          <w:b/>
          <w:bCs/>
          <w:i w:val="0"/>
          <w:iCs w:val="0"/>
          <w:color w:val="auto"/>
          <w:lang w:val="en-GB"/>
        </w:rPr>
        <w:fldChar w:fldCharType="separate"/>
      </w:r>
      <w:r w:rsidRPr="00173FA6">
        <w:rPr>
          <w:b/>
          <w:bCs/>
          <w:i w:val="0"/>
          <w:iCs w:val="0"/>
          <w:color w:val="auto"/>
          <w:lang w:val="en-GB"/>
        </w:rPr>
        <w:t>6</w:t>
      </w:r>
      <w:r w:rsidRPr="00173FA6">
        <w:rPr>
          <w:b/>
          <w:bCs/>
          <w:i w:val="0"/>
          <w:iCs w:val="0"/>
          <w:color w:val="auto"/>
          <w:lang w:val="en-GB"/>
        </w:rPr>
        <w:fldChar w:fldCharType="end"/>
      </w:r>
      <w:r w:rsidRPr="00173FA6">
        <w:rPr>
          <w:b/>
          <w:bCs/>
          <w:i w:val="0"/>
          <w:iCs w:val="0"/>
          <w:color w:val="auto"/>
          <w:lang w:val="en-GB"/>
        </w:rPr>
        <w:t>.</w:t>
      </w:r>
      <w:r w:rsidRPr="00173FA6">
        <w:rPr>
          <w:lang w:val="en-GB"/>
        </w:rPr>
        <w:t xml:space="preserve"> </w:t>
      </w:r>
      <w:r w:rsidRPr="00173FA6">
        <w:rPr>
          <w:b/>
          <w:bCs/>
          <w:i w:val="0"/>
          <w:iCs w:val="0"/>
          <w:color w:val="auto"/>
          <w:lang w:val="en-GB"/>
        </w:rPr>
        <w:t>Rank acceptability indices showing the probability that each mitigation scenario occupies a given position in the overall ranking when Sustainable Development Goals (SDGs) are weighted uniformly</w:t>
      </w:r>
      <w:r>
        <w:rPr>
          <w:b/>
          <w:bCs/>
          <w:i w:val="0"/>
          <w:iCs w:val="0"/>
          <w:color w:val="auto"/>
          <w:lang w:val="en-GB"/>
        </w:rPr>
        <w:t>, by WILIAM region.</w:t>
      </w:r>
      <w:r w:rsidR="00DC5D2A" w:rsidRPr="00DC5D2A">
        <w:rPr>
          <w:i w:val="0"/>
          <w:iCs w:val="0"/>
          <w:color w:val="auto"/>
          <w:lang w:val="en-GB"/>
        </w:rPr>
        <w:t xml:space="preserve"> </w:t>
      </w:r>
      <w:r w:rsidR="00DC5D2A">
        <w:rPr>
          <w:i w:val="0"/>
          <w:iCs w:val="0"/>
          <w:color w:val="auto"/>
          <w:lang w:val="en-GB"/>
        </w:rPr>
        <w:t>R</w:t>
      </w:r>
      <w:r w:rsidR="00DC5D2A" w:rsidRPr="00757F2D">
        <w:rPr>
          <w:i w:val="0"/>
          <w:iCs w:val="0"/>
          <w:color w:val="auto"/>
          <w:lang w:val="en-GB"/>
        </w:rPr>
        <w:t xml:space="preserve">ank positions </w:t>
      </w:r>
      <w:r w:rsidR="00DC5D2A">
        <w:rPr>
          <w:i w:val="0"/>
          <w:iCs w:val="0"/>
          <w:color w:val="auto"/>
          <w:lang w:val="en-GB"/>
        </w:rPr>
        <w:t>(1</w:t>
      </w:r>
      <w:r w:rsidR="00DC5D2A" w:rsidRPr="00757F2D">
        <w:rPr>
          <w:i w:val="0"/>
          <w:iCs w:val="0"/>
          <w:color w:val="auto"/>
          <w:vertAlign w:val="superscript"/>
          <w:lang w:val="en-GB"/>
        </w:rPr>
        <w:t>st</w:t>
      </w:r>
      <w:r w:rsidR="00DC5D2A">
        <w:rPr>
          <w:i w:val="0"/>
          <w:iCs w:val="0"/>
          <w:color w:val="auto"/>
          <w:lang w:val="en-GB"/>
        </w:rPr>
        <w:t>, 2</w:t>
      </w:r>
      <w:r w:rsidR="00DC5D2A" w:rsidRPr="00757F2D">
        <w:rPr>
          <w:i w:val="0"/>
          <w:iCs w:val="0"/>
          <w:color w:val="auto"/>
          <w:vertAlign w:val="superscript"/>
          <w:lang w:val="en-GB"/>
        </w:rPr>
        <w:t>nd</w:t>
      </w:r>
      <w:r w:rsidR="00DC5D2A">
        <w:rPr>
          <w:i w:val="0"/>
          <w:iCs w:val="0"/>
          <w:color w:val="auto"/>
          <w:lang w:val="en-GB"/>
        </w:rPr>
        <w:t>, 3</w:t>
      </w:r>
      <w:r w:rsidR="00DC5D2A" w:rsidRPr="00757F2D">
        <w:rPr>
          <w:i w:val="0"/>
          <w:iCs w:val="0"/>
          <w:color w:val="auto"/>
          <w:vertAlign w:val="superscript"/>
          <w:lang w:val="en-GB"/>
        </w:rPr>
        <w:t>rd</w:t>
      </w:r>
      <w:r w:rsidR="00DC5D2A">
        <w:rPr>
          <w:i w:val="0"/>
          <w:iCs w:val="0"/>
          <w:color w:val="auto"/>
          <w:lang w:val="en-GB"/>
        </w:rPr>
        <w:t>, 4</w:t>
      </w:r>
      <w:r w:rsidR="00DC5D2A" w:rsidRPr="00757F2D">
        <w:rPr>
          <w:i w:val="0"/>
          <w:iCs w:val="0"/>
          <w:color w:val="auto"/>
          <w:vertAlign w:val="superscript"/>
          <w:lang w:val="en-GB"/>
        </w:rPr>
        <w:t>th</w:t>
      </w:r>
      <w:r w:rsidR="00DC5D2A">
        <w:rPr>
          <w:i w:val="0"/>
          <w:iCs w:val="0"/>
          <w:color w:val="auto"/>
          <w:lang w:val="en-GB"/>
        </w:rPr>
        <w:t xml:space="preserve">) </w:t>
      </w:r>
      <w:r w:rsidR="00DC5D2A" w:rsidRPr="00757F2D">
        <w:rPr>
          <w:i w:val="0"/>
          <w:iCs w:val="0"/>
          <w:color w:val="auto"/>
          <w:lang w:val="en-GB"/>
        </w:rPr>
        <w:t>refer to the probability or frequency with which a given alternative</w:t>
      </w:r>
      <w:r w:rsidR="00DC5D2A">
        <w:rPr>
          <w:i w:val="0"/>
          <w:iCs w:val="0"/>
          <w:color w:val="auto"/>
          <w:lang w:val="en-GB"/>
        </w:rPr>
        <w:t xml:space="preserve"> (see SMAA information in Methods)</w:t>
      </w:r>
      <w:r w:rsidR="00DC5D2A" w:rsidRPr="00251898">
        <w:rPr>
          <w:i w:val="0"/>
          <w:iCs w:val="0"/>
          <w:color w:val="auto"/>
          <w:lang w:val="en-GB"/>
        </w:rPr>
        <w:t>.</w:t>
      </w:r>
    </w:p>
    <w:p w14:paraId="65127AC8" w14:textId="77777777" w:rsidR="00973049" w:rsidRPr="00973049" w:rsidRDefault="00973049" w:rsidP="00973049">
      <w:pPr>
        <w:spacing w:before="120" w:after="0" w:line="300" w:lineRule="atLeast"/>
        <w:jc w:val="both"/>
        <w:rPr>
          <w:b/>
          <w:bCs/>
          <w:lang w:val="en-GB"/>
        </w:rPr>
      </w:pPr>
    </w:p>
    <w:p w14:paraId="51915BD5" w14:textId="624BA70B" w:rsidR="00C26182" w:rsidRDefault="00C26182" w:rsidP="00102A4F">
      <w:pPr>
        <w:rPr>
          <w:lang w:val="en-GB"/>
        </w:rPr>
      </w:pPr>
      <w:r>
        <w:rPr>
          <w:lang w:val="en-GB"/>
        </w:rPr>
        <w:br w:type="page"/>
      </w:r>
    </w:p>
    <w:p w14:paraId="0B542A77" w14:textId="2A34A920" w:rsidR="00102A4F" w:rsidRDefault="004D075C" w:rsidP="004D075C">
      <w:pPr>
        <w:jc w:val="center"/>
        <w:rPr>
          <w:b/>
          <w:bCs/>
          <w:lang w:val="en-GB"/>
        </w:rPr>
      </w:pPr>
      <w:r w:rsidRPr="004D075C">
        <w:rPr>
          <w:b/>
          <w:bCs/>
          <w:lang w:val="en-GB"/>
        </w:rPr>
        <w:lastRenderedPageBreak/>
        <w:t>Supplementary References</w:t>
      </w:r>
    </w:p>
    <w:p w14:paraId="5AF69980" w14:textId="77777777" w:rsidR="00082FC2" w:rsidRPr="00082FC2" w:rsidRDefault="004D075C" w:rsidP="00082FC2">
      <w:pPr>
        <w:pStyle w:val="Bibliografa"/>
        <w:rPr>
          <w:rFonts w:cs="Times New Roman"/>
          <w:lang w:val="en-GB"/>
        </w:rPr>
      </w:pPr>
      <w:r>
        <w:rPr>
          <w:b/>
          <w:bCs/>
          <w:lang w:val="en-GB"/>
        </w:rPr>
        <w:fldChar w:fldCharType="begin"/>
      </w:r>
      <w:r>
        <w:rPr>
          <w:b/>
          <w:bCs/>
          <w:lang w:val="en-GB"/>
        </w:rPr>
        <w:instrText xml:space="preserve"> ADDIN ZOTERO_BIBL {"uncited":[],"omitted":[],"custom":[]} CSL_BIBLIOGRAPHY </w:instrText>
      </w:r>
      <w:r>
        <w:rPr>
          <w:b/>
          <w:bCs/>
          <w:lang w:val="en-GB"/>
        </w:rPr>
        <w:fldChar w:fldCharType="separate"/>
      </w:r>
      <w:r w:rsidR="00082FC2" w:rsidRPr="00082FC2">
        <w:rPr>
          <w:rFonts w:cs="Times New Roman"/>
          <w:lang w:val="en-GB"/>
        </w:rPr>
        <w:t>1.</w:t>
      </w:r>
      <w:r w:rsidR="00082FC2" w:rsidRPr="00082FC2">
        <w:rPr>
          <w:rFonts w:cs="Times New Roman"/>
          <w:lang w:val="en-GB"/>
        </w:rPr>
        <w:tab/>
        <w:t xml:space="preserve">Nakicenovic, N., Kimura, O. &amp; Ajanovic, A. </w:t>
      </w:r>
      <w:r w:rsidR="00082FC2" w:rsidRPr="00082FC2">
        <w:rPr>
          <w:rFonts w:cs="Times New Roman"/>
          <w:i/>
          <w:iCs/>
          <w:lang w:val="en-GB"/>
        </w:rPr>
        <w:t>Global Hydrogen and Electricity Storylines</w:t>
      </w:r>
      <w:r w:rsidR="00082FC2" w:rsidRPr="00082FC2">
        <w:rPr>
          <w:rFonts w:cs="Times New Roman"/>
          <w:lang w:val="en-GB"/>
        </w:rPr>
        <w:t>. 63 https://pure.iiasa.ac.at/id/eprint/7807/1/IR-05-028.pdf?utm_source=chatgpt.com (2005).</w:t>
      </w:r>
    </w:p>
    <w:p w14:paraId="416BA0DC" w14:textId="77777777" w:rsidR="00082FC2" w:rsidRPr="00082FC2" w:rsidRDefault="00082FC2" w:rsidP="00082FC2">
      <w:pPr>
        <w:pStyle w:val="Bibliografa"/>
        <w:rPr>
          <w:rFonts w:cs="Times New Roman"/>
          <w:lang w:val="en-GB"/>
        </w:rPr>
      </w:pPr>
      <w:r w:rsidRPr="00082FC2">
        <w:rPr>
          <w:rFonts w:cs="Times New Roman"/>
          <w:lang w:val="en-GB"/>
        </w:rPr>
        <w:t>2.</w:t>
      </w:r>
      <w:r w:rsidRPr="00082FC2">
        <w:rPr>
          <w:rFonts w:cs="Times New Roman"/>
          <w:lang w:val="en-GB"/>
        </w:rPr>
        <w:tab/>
        <w:t xml:space="preserve">Calvin, K. </w:t>
      </w:r>
      <w:r w:rsidRPr="00082FC2">
        <w:rPr>
          <w:rFonts w:cs="Times New Roman"/>
          <w:i/>
          <w:iCs/>
          <w:lang w:val="en-GB"/>
        </w:rPr>
        <w:t>et al.</w:t>
      </w:r>
      <w:r w:rsidRPr="00082FC2">
        <w:rPr>
          <w:rFonts w:cs="Times New Roman"/>
          <w:lang w:val="en-GB"/>
        </w:rPr>
        <w:t xml:space="preserve"> </w:t>
      </w:r>
      <w:r w:rsidRPr="00082FC2">
        <w:rPr>
          <w:rFonts w:cs="Times New Roman"/>
          <w:i/>
          <w:iCs/>
          <w:lang w:val="en-GB"/>
        </w:rPr>
        <w:t>IPCC, 2023: Climate Change 2023: Synthesis Report. Contribution of Working Groups I, II and III to the Sixth Assessment Report of the Intergovernmental Panel on Climate Change [Core Writing Team, H. Lee and J. Romero (Eds.)]. IPCC, Geneva, Switzerland.</w:t>
      </w:r>
      <w:r w:rsidRPr="00082FC2">
        <w:rPr>
          <w:rFonts w:cs="Times New Roman"/>
          <w:lang w:val="en-GB"/>
        </w:rPr>
        <w:t xml:space="preserve"> https://www.ipcc.ch/report/ar6/syr/ (2023) doi:10.59327/IPCC/AR6-9789291691647.</w:t>
      </w:r>
    </w:p>
    <w:p w14:paraId="5906FE33" w14:textId="77777777" w:rsidR="00082FC2" w:rsidRPr="00082FC2" w:rsidRDefault="00082FC2" w:rsidP="00082FC2">
      <w:pPr>
        <w:pStyle w:val="Bibliografa"/>
        <w:rPr>
          <w:rFonts w:cs="Times New Roman"/>
          <w:lang w:val="en-GB"/>
        </w:rPr>
      </w:pPr>
      <w:r w:rsidRPr="00082FC2">
        <w:rPr>
          <w:rFonts w:cs="Times New Roman"/>
        </w:rPr>
        <w:t>3.</w:t>
      </w:r>
      <w:r w:rsidRPr="00082FC2">
        <w:rPr>
          <w:rFonts w:cs="Times New Roman"/>
        </w:rPr>
        <w:tab/>
        <w:t xml:space="preserve">Van Vuuren, D. P. </w:t>
      </w:r>
      <w:r w:rsidRPr="00082FC2">
        <w:rPr>
          <w:rFonts w:cs="Times New Roman"/>
          <w:i/>
          <w:iCs/>
        </w:rPr>
        <w:t>et al.</w:t>
      </w:r>
      <w:r w:rsidRPr="00082FC2">
        <w:rPr>
          <w:rFonts w:cs="Times New Roman"/>
        </w:rPr>
        <w:t xml:space="preserve"> </w:t>
      </w:r>
      <w:r w:rsidRPr="00082FC2">
        <w:rPr>
          <w:rFonts w:cs="Times New Roman"/>
          <w:lang w:val="en-GB"/>
        </w:rPr>
        <w:t xml:space="preserve">A proposal for a new scenario framework to support research and assessment in different climate research communities. </w:t>
      </w:r>
      <w:r w:rsidRPr="00082FC2">
        <w:rPr>
          <w:rFonts w:cs="Times New Roman"/>
          <w:i/>
          <w:iCs/>
          <w:lang w:val="en-GB"/>
        </w:rPr>
        <w:t>Global Environmental Change</w:t>
      </w:r>
      <w:r w:rsidRPr="00082FC2">
        <w:rPr>
          <w:rFonts w:cs="Times New Roman"/>
          <w:lang w:val="en-GB"/>
        </w:rPr>
        <w:t xml:space="preserve"> </w:t>
      </w:r>
      <w:r w:rsidRPr="00082FC2">
        <w:rPr>
          <w:rFonts w:cs="Times New Roman"/>
          <w:b/>
          <w:bCs/>
          <w:lang w:val="en-GB"/>
        </w:rPr>
        <w:t>22</w:t>
      </w:r>
      <w:r w:rsidRPr="00082FC2">
        <w:rPr>
          <w:rFonts w:cs="Times New Roman"/>
          <w:lang w:val="en-GB"/>
        </w:rPr>
        <w:t>, 21–35 (2012).</w:t>
      </w:r>
    </w:p>
    <w:p w14:paraId="7C52C20A" w14:textId="77777777" w:rsidR="00082FC2" w:rsidRPr="00082FC2" w:rsidRDefault="00082FC2" w:rsidP="00082FC2">
      <w:pPr>
        <w:pStyle w:val="Bibliografa"/>
        <w:rPr>
          <w:rFonts w:cs="Times New Roman"/>
          <w:lang w:val="en-GB"/>
        </w:rPr>
      </w:pPr>
      <w:r w:rsidRPr="00082FC2">
        <w:rPr>
          <w:rFonts w:cs="Times New Roman"/>
          <w:lang w:val="en-GB"/>
        </w:rPr>
        <w:t>4.</w:t>
      </w:r>
      <w:r w:rsidRPr="00082FC2">
        <w:rPr>
          <w:rFonts w:cs="Times New Roman"/>
          <w:lang w:val="en-GB"/>
        </w:rPr>
        <w:tab/>
        <w:t xml:space="preserve">Riahi, K. </w:t>
      </w:r>
      <w:r w:rsidRPr="00082FC2">
        <w:rPr>
          <w:rFonts w:cs="Times New Roman"/>
          <w:i/>
          <w:iCs/>
          <w:lang w:val="en-GB"/>
        </w:rPr>
        <w:t>et al.</w:t>
      </w:r>
      <w:r w:rsidRPr="00082FC2">
        <w:rPr>
          <w:rFonts w:cs="Times New Roman"/>
          <w:lang w:val="en-GB"/>
        </w:rPr>
        <w:t xml:space="preserve"> The Shared Socioeconomic Pathways and their energy, land use, and greenhouse gas emissions implications: An overview. </w:t>
      </w:r>
      <w:r w:rsidRPr="00082FC2">
        <w:rPr>
          <w:rFonts w:cs="Times New Roman"/>
          <w:i/>
          <w:iCs/>
          <w:lang w:val="en-GB"/>
        </w:rPr>
        <w:t>Global Environmental Change</w:t>
      </w:r>
      <w:r w:rsidRPr="00082FC2">
        <w:rPr>
          <w:rFonts w:cs="Times New Roman"/>
          <w:lang w:val="en-GB"/>
        </w:rPr>
        <w:t xml:space="preserve"> </w:t>
      </w:r>
      <w:r w:rsidRPr="00082FC2">
        <w:rPr>
          <w:rFonts w:cs="Times New Roman"/>
          <w:b/>
          <w:bCs/>
          <w:lang w:val="en-GB"/>
        </w:rPr>
        <w:t>42</w:t>
      </w:r>
      <w:r w:rsidRPr="00082FC2">
        <w:rPr>
          <w:rFonts w:cs="Times New Roman"/>
          <w:lang w:val="en-GB"/>
        </w:rPr>
        <w:t>, 153–168 (2017).</w:t>
      </w:r>
    </w:p>
    <w:p w14:paraId="0DEAFFD5" w14:textId="77777777" w:rsidR="00082FC2" w:rsidRPr="00082FC2" w:rsidRDefault="00082FC2" w:rsidP="00082FC2">
      <w:pPr>
        <w:pStyle w:val="Bibliografa"/>
        <w:rPr>
          <w:rFonts w:cs="Times New Roman"/>
          <w:lang w:val="en-GB"/>
        </w:rPr>
      </w:pPr>
      <w:r w:rsidRPr="00082FC2">
        <w:rPr>
          <w:rFonts w:cs="Times New Roman"/>
          <w:lang w:val="en-GB"/>
        </w:rPr>
        <w:t>5.</w:t>
      </w:r>
      <w:r w:rsidRPr="00082FC2">
        <w:rPr>
          <w:rFonts w:cs="Times New Roman"/>
          <w:lang w:val="en-GB"/>
        </w:rPr>
        <w:tab/>
        <w:t xml:space="preserve">Fizaine, F. &amp; Court, V. Renewable electricity producing technologies and metal depletion: A sensitivity analysis using the EROI. </w:t>
      </w:r>
      <w:r w:rsidRPr="00082FC2">
        <w:rPr>
          <w:rFonts w:cs="Times New Roman"/>
          <w:i/>
          <w:iCs/>
          <w:lang w:val="en-GB"/>
        </w:rPr>
        <w:t>Ecological Economics</w:t>
      </w:r>
      <w:r w:rsidRPr="00082FC2">
        <w:rPr>
          <w:rFonts w:cs="Times New Roman"/>
          <w:lang w:val="en-GB"/>
        </w:rPr>
        <w:t xml:space="preserve"> </w:t>
      </w:r>
      <w:r w:rsidRPr="00082FC2">
        <w:rPr>
          <w:rFonts w:cs="Times New Roman"/>
          <w:b/>
          <w:bCs/>
          <w:lang w:val="en-GB"/>
        </w:rPr>
        <w:t>110</w:t>
      </w:r>
      <w:r w:rsidRPr="00082FC2">
        <w:rPr>
          <w:rFonts w:cs="Times New Roman"/>
          <w:lang w:val="en-GB"/>
        </w:rPr>
        <w:t>, 106–118 (2015).</w:t>
      </w:r>
    </w:p>
    <w:p w14:paraId="0B654E25" w14:textId="77777777" w:rsidR="00082FC2" w:rsidRPr="00082FC2" w:rsidRDefault="00082FC2" w:rsidP="00082FC2">
      <w:pPr>
        <w:pStyle w:val="Bibliografa"/>
        <w:rPr>
          <w:rFonts w:cs="Times New Roman"/>
          <w:lang w:val="en-GB"/>
        </w:rPr>
      </w:pPr>
      <w:r w:rsidRPr="00082FC2">
        <w:rPr>
          <w:rFonts w:cs="Times New Roman"/>
          <w:lang w:val="en-GB"/>
        </w:rPr>
        <w:t>6.</w:t>
      </w:r>
      <w:r w:rsidRPr="00082FC2">
        <w:rPr>
          <w:rFonts w:cs="Times New Roman"/>
          <w:lang w:val="en-GB"/>
        </w:rPr>
        <w:tab/>
        <w:t xml:space="preserve">Lambert, J. G., Hall, C. A. S., Balogh, S., Poisson, A. &amp; Gupta, A. </w:t>
      </w:r>
      <w:r w:rsidRPr="00082FC2">
        <w:rPr>
          <w:rFonts w:cs="Times New Roman"/>
          <w:i/>
          <w:iCs/>
          <w:lang w:val="en-GB"/>
        </w:rPr>
        <w:t>EROI of Global Energy Resources: Preliminary Status and Trends</w:t>
      </w:r>
      <w:r w:rsidRPr="00082FC2">
        <w:rPr>
          <w:rFonts w:cs="Times New Roman"/>
          <w:lang w:val="en-GB"/>
        </w:rPr>
        <w:t>. https://www.inist.org/library/2012-11-02.Lambert%20etal.EROI%20of%20Global%20Energy%20Resources.DFID-59717.pdf (2012).</w:t>
      </w:r>
    </w:p>
    <w:p w14:paraId="4873AB05" w14:textId="77777777" w:rsidR="00082FC2" w:rsidRPr="00082FC2" w:rsidRDefault="00082FC2" w:rsidP="00082FC2">
      <w:pPr>
        <w:pStyle w:val="Bibliografa"/>
        <w:rPr>
          <w:rFonts w:cs="Times New Roman"/>
          <w:lang w:val="en-GB"/>
        </w:rPr>
      </w:pPr>
      <w:r w:rsidRPr="00082FC2">
        <w:rPr>
          <w:rFonts w:cs="Times New Roman"/>
          <w:lang w:val="en-GB"/>
        </w:rPr>
        <w:t>7.</w:t>
      </w:r>
      <w:r w:rsidRPr="00082FC2">
        <w:rPr>
          <w:rFonts w:cs="Times New Roman"/>
          <w:lang w:val="en-GB"/>
        </w:rPr>
        <w:tab/>
        <w:t xml:space="preserve">Brandt, A. R. How Does Energy Resource Depletion Affect Prosperity? Mathematics of a Minimum Energy Return on Investment (EROI). </w:t>
      </w:r>
      <w:r w:rsidRPr="00082FC2">
        <w:rPr>
          <w:rFonts w:cs="Times New Roman"/>
          <w:i/>
          <w:iCs/>
          <w:lang w:val="en-GB"/>
        </w:rPr>
        <w:t>Biophys Econ Resour Qual</w:t>
      </w:r>
      <w:r w:rsidRPr="00082FC2">
        <w:rPr>
          <w:rFonts w:cs="Times New Roman"/>
          <w:lang w:val="en-GB"/>
        </w:rPr>
        <w:t xml:space="preserve"> </w:t>
      </w:r>
      <w:r w:rsidRPr="00082FC2">
        <w:rPr>
          <w:rFonts w:cs="Times New Roman"/>
          <w:b/>
          <w:bCs/>
          <w:lang w:val="en-GB"/>
        </w:rPr>
        <w:t>2</w:t>
      </w:r>
      <w:r w:rsidRPr="00082FC2">
        <w:rPr>
          <w:rFonts w:cs="Times New Roman"/>
          <w:lang w:val="en-GB"/>
        </w:rPr>
        <w:t>, 2 (2017).</w:t>
      </w:r>
    </w:p>
    <w:p w14:paraId="1874C6E5" w14:textId="77777777" w:rsidR="00082FC2" w:rsidRPr="00082FC2" w:rsidRDefault="00082FC2" w:rsidP="00082FC2">
      <w:pPr>
        <w:pStyle w:val="Bibliografa"/>
        <w:rPr>
          <w:rFonts w:cs="Times New Roman"/>
          <w:lang w:val="en-GB"/>
        </w:rPr>
      </w:pPr>
      <w:r w:rsidRPr="00082FC2">
        <w:rPr>
          <w:rFonts w:cs="Times New Roman"/>
          <w:lang w:val="en-GB"/>
        </w:rPr>
        <w:t>8.</w:t>
      </w:r>
      <w:r w:rsidRPr="00082FC2">
        <w:rPr>
          <w:rFonts w:cs="Times New Roman"/>
          <w:lang w:val="en-GB"/>
        </w:rPr>
        <w:tab/>
        <w:t>United Nations Statistics Division (UNSD), Department of Economic and Social Affairs, United Nations. UNdata – United Nations Statistics Database.</w:t>
      </w:r>
    </w:p>
    <w:p w14:paraId="52FEFE21" w14:textId="77777777" w:rsidR="00082FC2" w:rsidRPr="00082FC2" w:rsidRDefault="00082FC2" w:rsidP="00082FC2">
      <w:pPr>
        <w:pStyle w:val="Bibliografa"/>
        <w:rPr>
          <w:rFonts w:cs="Times New Roman"/>
          <w:lang w:val="en-GB"/>
        </w:rPr>
      </w:pPr>
      <w:r w:rsidRPr="00082FC2">
        <w:rPr>
          <w:rFonts w:cs="Times New Roman"/>
          <w:lang w:val="en-GB"/>
        </w:rPr>
        <w:t>9.</w:t>
      </w:r>
      <w:r w:rsidRPr="00082FC2">
        <w:rPr>
          <w:rFonts w:cs="Times New Roman"/>
          <w:lang w:val="en-GB"/>
        </w:rPr>
        <w:tab/>
        <w:t xml:space="preserve">Soergel, B. </w:t>
      </w:r>
      <w:r w:rsidRPr="00082FC2">
        <w:rPr>
          <w:rFonts w:cs="Times New Roman"/>
          <w:i/>
          <w:iCs/>
          <w:lang w:val="en-GB"/>
        </w:rPr>
        <w:t>et al.</w:t>
      </w:r>
      <w:r w:rsidRPr="00082FC2">
        <w:rPr>
          <w:rFonts w:cs="Times New Roman"/>
          <w:lang w:val="en-GB"/>
        </w:rPr>
        <w:t xml:space="preserve"> A sustainable development pathway for climate action within the UN 2030 Agenda. </w:t>
      </w:r>
      <w:r w:rsidRPr="00082FC2">
        <w:rPr>
          <w:rFonts w:cs="Times New Roman"/>
          <w:i/>
          <w:iCs/>
          <w:lang w:val="en-GB"/>
        </w:rPr>
        <w:t>Nat. Clim. Chang.</w:t>
      </w:r>
      <w:r w:rsidRPr="00082FC2">
        <w:rPr>
          <w:rFonts w:cs="Times New Roman"/>
          <w:lang w:val="en-GB"/>
        </w:rPr>
        <w:t xml:space="preserve"> </w:t>
      </w:r>
      <w:r w:rsidRPr="00082FC2">
        <w:rPr>
          <w:rFonts w:cs="Times New Roman"/>
          <w:b/>
          <w:bCs/>
          <w:lang w:val="en-GB"/>
        </w:rPr>
        <w:t>11</w:t>
      </w:r>
      <w:r w:rsidRPr="00082FC2">
        <w:rPr>
          <w:rFonts w:cs="Times New Roman"/>
          <w:lang w:val="en-GB"/>
        </w:rPr>
        <w:t>, 656–664 (2021).</w:t>
      </w:r>
    </w:p>
    <w:p w14:paraId="1B682802" w14:textId="77777777" w:rsidR="00082FC2" w:rsidRPr="00082FC2" w:rsidRDefault="00082FC2" w:rsidP="00082FC2">
      <w:pPr>
        <w:pStyle w:val="Bibliografa"/>
        <w:rPr>
          <w:rFonts w:cs="Times New Roman"/>
          <w:lang w:val="en-GB"/>
        </w:rPr>
      </w:pPr>
      <w:r w:rsidRPr="00082FC2">
        <w:rPr>
          <w:rFonts w:cs="Times New Roman"/>
          <w:lang w:val="en-GB"/>
        </w:rPr>
        <w:lastRenderedPageBreak/>
        <w:t>10.</w:t>
      </w:r>
      <w:r w:rsidRPr="00082FC2">
        <w:rPr>
          <w:rFonts w:cs="Times New Roman"/>
          <w:lang w:val="en-GB"/>
        </w:rPr>
        <w:tab/>
        <w:t xml:space="preserve">Allen, C. </w:t>
      </w:r>
      <w:r w:rsidRPr="00082FC2">
        <w:rPr>
          <w:rFonts w:cs="Times New Roman"/>
          <w:i/>
          <w:iCs/>
          <w:lang w:val="en-GB"/>
        </w:rPr>
        <w:t>et al.</w:t>
      </w:r>
      <w:r w:rsidRPr="00082FC2">
        <w:rPr>
          <w:rFonts w:cs="Times New Roman"/>
          <w:lang w:val="en-GB"/>
        </w:rPr>
        <w:t xml:space="preserve"> Indicator-based assessments of progress towards the sustainable development goals (SDGs): a case study from the Arab region. </w:t>
      </w:r>
      <w:r w:rsidRPr="00082FC2">
        <w:rPr>
          <w:rFonts w:cs="Times New Roman"/>
          <w:i/>
          <w:iCs/>
          <w:lang w:val="en-GB"/>
        </w:rPr>
        <w:t>Sustain Sci</w:t>
      </w:r>
      <w:r w:rsidRPr="00082FC2">
        <w:rPr>
          <w:rFonts w:cs="Times New Roman"/>
          <w:lang w:val="en-GB"/>
        </w:rPr>
        <w:t xml:space="preserve"> </w:t>
      </w:r>
      <w:r w:rsidRPr="00082FC2">
        <w:rPr>
          <w:rFonts w:cs="Times New Roman"/>
          <w:b/>
          <w:bCs/>
          <w:lang w:val="en-GB"/>
        </w:rPr>
        <w:t>12</w:t>
      </w:r>
      <w:r w:rsidRPr="00082FC2">
        <w:rPr>
          <w:rFonts w:cs="Times New Roman"/>
          <w:lang w:val="en-GB"/>
        </w:rPr>
        <w:t>, 975–989 (2017).</w:t>
      </w:r>
    </w:p>
    <w:p w14:paraId="05D39D69" w14:textId="77777777" w:rsidR="00082FC2" w:rsidRPr="00082FC2" w:rsidRDefault="00082FC2" w:rsidP="00082FC2">
      <w:pPr>
        <w:pStyle w:val="Bibliografa"/>
        <w:rPr>
          <w:rFonts w:cs="Times New Roman"/>
          <w:lang w:val="en-GB"/>
        </w:rPr>
      </w:pPr>
      <w:r w:rsidRPr="00082FC2">
        <w:rPr>
          <w:rFonts w:cs="Times New Roman"/>
          <w:lang w:val="en-GB"/>
        </w:rPr>
        <w:t>11.</w:t>
      </w:r>
      <w:r w:rsidRPr="00082FC2">
        <w:rPr>
          <w:rFonts w:cs="Times New Roman"/>
          <w:lang w:val="en-GB"/>
        </w:rPr>
        <w:tab/>
        <w:t xml:space="preserve">Tsigaris, P. &amp; Wood, J. The potential impacts of climate change on capital in the 21st century. </w:t>
      </w:r>
      <w:r w:rsidRPr="00082FC2">
        <w:rPr>
          <w:rFonts w:cs="Times New Roman"/>
          <w:i/>
          <w:iCs/>
          <w:lang w:val="en-GB"/>
        </w:rPr>
        <w:t>Ecological Economics</w:t>
      </w:r>
      <w:r w:rsidRPr="00082FC2">
        <w:rPr>
          <w:rFonts w:cs="Times New Roman"/>
          <w:lang w:val="en-GB"/>
        </w:rPr>
        <w:t xml:space="preserve"> </w:t>
      </w:r>
      <w:r w:rsidRPr="00082FC2">
        <w:rPr>
          <w:rFonts w:cs="Times New Roman"/>
          <w:b/>
          <w:bCs/>
          <w:lang w:val="en-GB"/>
        </w:rPr>
        <w:t>162</w:t>
      </w:r>
      <w:r w:rsidRPr="00082FC2">
        <w:rPr>
          <w:rFonts w:cs="Times New Roman"/>
          <w:lang w:val="en-GB"/>
        </w:rPr>
        <w:t>, 74–86 (2019).</w:t>
      </w:r>
    </w:p>
    <w:p w14:paraId="224A7FF7" w14:textId="77777777" w:rsidR="00082FC2" w:rsidRPr="00082FC2" w:rsidRDefault="00082FC2" w:rsidP="00082FC2">
      <w:pPr>
        <w:pStyle w:val="Bibliografa"/>
        <w:rPr>
          <w:rFonts w:cs="Times New Roman"/>
          <w:lang w:val="en-GB"/>
        </w:rPr>
      </w:pPr>
      <w:r w:rsidRPr="00082FC2">
        <w:rPr>
          <w:rFonts w:cs="Times New Roman"/>
          <w:lang w:val="en-GB"/>
        </w:rPr>
        <w:t>12.</w:t>
      </w:r>
      <w:r w:rsidRPr="00082FC2">
        <w:rPr>
          <w:rFonts w:cs="Times New Roman"/>
          <w:lang w:val="en-GB"/>
        </w:rPr>
        <w:tab/>
        <w:t xml:space="preserve">Soergel, B. </w:t>
      </w:r>
      <w:r w:rsidRPr="00082FC2">
        <w:rPr>
          <w:rFonts w:cs="Times New Roman"/>
          <w:i/>
          <w:iCs/>
          <w:lang w:val="en-GB"/>
        </w:rPr>
        <w:t>et al.</w:t>
      </w:r>
      <w:r w:rsidRPr="00082FC2">
        <w:rPr>
          <w:rFonts w:cs="Times New Roman"/>
          <w:lang w:val="en-GB"/>
        </w:rPr>
        <w:t xml:space="preserve"> Multiple pathways towards sustainable development goals and climate targets. </w:t>
      </w:r>
      <w:r w:rsidRPr="00082FC2">
        <w:rPr>
          <w:rFonts w:cs="Times New Roman"/>
          <w:i/>
          <w:iCs/>
          <w:lang w:val="en-GB"/>
        </w:rPr>
        <w:t>Environ. Res. Lett.</w:t>
      </w:r>
      <w:r w:rsidRPr="00082FC2">
        <w:rPr>
          <w:rFonts w:cs="Times New Roman"/>
          <w:lang w:val="en-GB"/>
        </w:rPr>
        <w:t xml:space="preserve"> </w:t>
      </w:r>
      <w:r w:rsidRPr="00082FC2">
        <w:rPr>
          <w:rFonts w:cs="Times New Roman"/>
          <w:b/>
          <w:bCs/>
          <w:lang w:val="en-GB"/>
        </w:rPr>
        <w:t>19</w:t>
      </w:r>
      <w:r w:rsidRPr="00082FC2">
        <w:rPr>
          <w:rFonts w:cs="Times New Roman"/>
          <w:lang w:val="en-GB"/>
        </w:rPr>
        <w:t>, 124009 (2024).</w:t>
      </w:r>
    </w:p>
    <w:p w14:paraId="1F1BF0C3" w14:textId="77777777" w:rsidR="00082FC2" w:rsidRPr="00082FC2" w:rsidRDefault="00082FC2" w:rsidP="00082FC2">
      <w:pPr>
        <w:pStyle w:val="Bibliografa"/>
        <w:rPr>
          <w:rFonts w:cs="Times New Roman"/>
          <w:lang w:val="en-GB"/>
        </w:rPr>
      </w:pPr>
      <w:r w:rsidRPr="00082FC2">
        <w:rPr>
          <w:rFonts w:cs="Times New Roman"/>
          <w:lang w:val="en-GB"/>
        </w:rPr>
        <w:t>13.</w:t>
      </w:r>
      <w:r w:rsidRPr="00082FC2">
        <w:rPr>
          <w:rFonts w:cs="Times New Roman"/>
          <w:lang w:val="en-GB"/>
        </w:rPr>
        <w:tab/>
        <w:t xml:space="preserve">Moreno, J. </w:t>
      </w:r>
      <w:r w:rsidRPr="00082FC2">
        <w:rPr>
          <w:rFonts w:cs="Times New Roman"/>
          <w:i/>
          <w:iCs/>
          <w:lang w:val="en-GB"/>
        </w:rPr>
        <w:t>et al.</w:t>
      </w:r>
      <w:r w:rsidRPr="00082FC2">
        <w:rPr>
          <w:rFonts w:cs="Times New Roman"/>
          <w:lang w:val="en-GB"/>
        </w:rPr>
        <w:t xml:space="preserve"> Assessing synergies and trade-offs of diverging Paris-compliant mitigation strategies with long-term SDG objectives. </w:t>
      </w:r>
      <w:r w:rsidRPr="00082FC2">
        <w:rPr>
          <w:rFonts w:cs="Times New Roman"/>
          <w:i/>
          <w:iCs/>
          <w:lang w:val="en-GB"/>
        </w:rPr>
        <w:t>Global Environmental Change</w:t>
      </w:r>
      <w:r w:rsidRPr="00082FC2">
        <w:rPr>
          <w:rFonts w:cs="Times New Roman"/>
          <w:lang w:val="en-GB"/>
        </w:rPr>
        <w:t xml:space="preserve"> </w:t>
      </w:r>
      <w:r w:rsidRPr="00082FC2">
        <w:rPr>
          <w:rFonts w:cs="Times New Roman"/>
          <w:b/>
          <w:bCs/>
          <w:lang w:val="en-GB"/>
        </w:rPr>
        <w:t>78</w:t>
      </w:r>
      <w:r w:rsidRPr="00082FC2">
        <w:rPr>
          <w:rFonts w:cs="Times New Roman"/>
          <w:lang w:val="en-GB"/>
        </w:rPr>
        <w:t>, 102624 (2023).</w:t>
      </w:r>
    </w:p>
    <w:p w14:paraId="0DF02E01" w14:textId="77777777" w:rsidR="00082FC2" w:rsidRPr="00082FC2" w:rsidRDefault="00082FC2" w:rsidP="00082FC2">
      <w:pPr>
        <w:pStyle w:val="Bibliografa"/>
        <w:rPr>
          <w:rFonts w:cs="Times New Roman"/>
          <w:lang w:val="en-GB"/>
        </w:rPr>
      </w:pPr>
      <w:r w:rsidRPr="00082FC2">
        <w:rPr>
          <w:rFonts w:cs="Times New Roman"/>
          <w:lang w:val="en-GB"/>
        </w:rPr>
        <w:t>14.</w:t>
      </w:r>
      <w:r w:rsidRPr="00082FC2">
        <w:rPr>
          <w:rFonts w:cs="Times New Roman"/>
          <w:lang w:val="en-GB"/>
        </w:rPr>
        <w:tab/>
        <w:t xml:space="preserve">He, C.-M. </w:t>
      </w:r>
      <w:r w:rsidRPr="00082FC2">
        <w:rPr>
          <w:rFonts w:cs="Times New Roman"/>
          <w:i/>
          <w:iCs/>
          <w:lang w:val="en-GB"/>
        </w:rPr>
        <w:t>et al.</w:t>
      </w:r>
      <w:r w:rsidRPr="00082FC2">
        <w:rPr>
          <w:rFonts w:cs="Times New Roman"/>
          <w:lang w:val="en-GB"/>
        </w:rPr>
        <w:t xml:space="preserve"> Quantification of selected SDGs in the context of China’s climate mitigation pathway. </w:t>
      </w:r>
      <w:r w:rsidRPr="00082FC2">
        <w:rPr>
          <w:rFonts w:cs="Times New Roman"/>
          <w:i/>
          <w:iCs/>
          <w:lang w:val="en-GB"/>
        </w:rPr>
        <w:t>Advances in Climate Change Research</w:t>
      </w:r>
      <w:r w:rsidRPr="00082FC2">
        <w:rPr>
          <w:rFonts w:cs="Times New Roman"/>
          <w:lang w:val="en-GB"/>
        </w:rPr>
        <w:t xml:space="preserve"> </w:t>
      </w:r>
      <w:r w:rsidRPr="00082FC2">
        <w:rPr>
          <w:rFonts w:cs="Times New Roman"/>
          <w:b/>
          <w:bCs/>
          <w:lang w:val="en-GB"/>
        </w:rPr>
        <w:t>16</w:t>
      </w:r>
      <w:r w:rsidRPr="00082FC2">
        <w:rPr>
          <w:rFonts w:cs="Times New Roman"/>
          <w:lang w:val="en-GB"/>
        </w:rPr>
        <w:t>, 623–635 (2025).</w:t>
      </w:r>
    </w:p>
    <w:p w14:paraId="52218293" w14:textId="77777777" w:rsidR="00082FC2" w:rsidRPr="00082FC2" w:rsidRDefault="00082FC2" w:rsidP="00082FC2">
      <w:pPr>
        <w:pStyle w:val="Bibliografa"/>
        <w:rPr>
          <w:rFonts w:cs="Times New Roman"/>
          <w:lang w:val="en-GB"/>
        </w:rPr>
      </w:pPr>
      <w:r w:rsidRPr="00082FC2">
        <w:rPr>
          <w:rFonts w:cs="Times New Roman"/>
          <w:lang w:val="en-GB"/>
        </w:rPr>
        <w:t>15.</w:t>
      </w:r>
      <w:r w:rsidRPr="00082FC2">
        <w:rPr>
          <w:rFonts w:cs="Times New Roman"/>
          <w:lang w:val="en-GB"/>
        </w:rPr>
        <w:tab/>
        <w:t xml:space="preserve">Wang, Z., Zhang, H., Li, H. &amp; Zhang, B. Towards sustainable future: Assessing the impact of coal phase-down on the sustainable development goals in China. </w:t>
      </w:r>
      <w:r w:rsidRPr="00082FC2">
        <w:rPr>
          <w:rFonts w:cs="Times New Roman"/>
          <w:i/>
          <w:iCs/>
          <w:lang w:val="en-GB"/>
        </w:rPr>
        <w:t>Journal of Environmental Management</w:t>
      </w:r>
      <w:r w:rsidRPr="00082FC2">
        <w:rPr>
          <w:rFonts w:cs="Times New Roman"/>
          <w:lang w:val="en-GB"/>
        </w:rPr>
        <w:t xml:space="preserve"> </w:t>
      </w:r>
      <w:r w:rsidRPr="00082FC2">
        <w:rPr>
          <w:rFonts w:cs="Times New Roman"/>
          <w:b/>
          <w:bCs/>
          <w:lang w:val="en-GB"/>
        </w:rPr>
        <w:t>378</w:t>
      </w:r>
      <w:r w:rsidRPr="00082FC2">
        <w:rPr>
          <w:rFonts w:cs="Times New Roman"/>
          <w:lang w:val="en-GB"/>
        </w:rPr>
        <w:t>, 124713 (2025).</w:t>
      </w:r>
    </w:p>
    <w:p w14:paraId="6A9B33AA" w14:textId="77777777" w:rsidR="00082FC2" w:rsidRPr="00082FC2" w:rsidRDefault="00082FC2" w:rsidP="00082FC2">
      <w:pPr>
        <w:pStyle w:val="Bibliografa"/>
        <w:rPr>
          <w:rFonts w:cs="Times New Roman"/>
          <w:lang w:val="en-GB"/>
        </w:rPr>
      </w:pPr>
      <w:r w:rsidRPr="00082FC2">
        <w:rPr>
          <w:rFonts w:cs="Times New Roman"/>
          <w:lang w:val="en-GB"/>
        </w:rPr>
        <w:t>16.</w:t>
      </w:r>
      <w:r w:rsidRPr="00082FC2">
        <w:rPr>
          <w:rFonts w:cs="Times New Roman"/>
          <w:lang w:val="en-GB"/>
        </w:rPr>
        <w:tab/>
        <w:t xml:space="preserve">Forouli, A., Nikas, A., Van De Ven, D.-J., Sampedro, J. &amp; Doukas, H. A multiple-uncertainty analysis framework for integrated assessment modelling of several sustainable development goals. </w:t>
      </w:r>
      <w:r w:rsidRPr="00082FC2">
        <w:rPr>
          <w:rFonts w:cs="Times New Roman"/>
          <w:i/>
          <w:iCs/>
          <w:lang w:val="en-GB"/>
        </w:rPr>
        <w:t>Environmental Modelling &amp; Software</w:t>
      </w:r>
      <w:r w:rsidRPr="00082FC2">
        <w:rPr>
          <w:rFonts w:cs="Times New Roman"/>
          <w:lang w:val="en-GB"/>
        </w:rPr>
        <w:t xml:space="preserve"> </w:t>
      </w:r>
      <w:r w:rsidRPr="00082FC2">
        <w:rPr>
          <w:rFonts w:cs="Times New Roman"/>
          <w:b/>
          <w:bCs/>
          <w:lang w:val="en-GB"/>
        </w:rPr>
        <w:t>131</w:t>
      </w:r>
      <w:r w:rsidRPr="00082FC2">
        <w:rPr>
          <w:rFonts w:cs="Times New Roman"/>
          <w:lang w:val="en-GB"/>
        </w:rPr>
        <w:t>, 104795 (2020).</w:t>
      </w:r>
    </w:p>
    <w:p w14:paraId="5F1A0109" w14:textId="77777777" w:rsidR="00082FC2" w:rsidRPr="00082FC2" w:rsidRDefault="00082FC2" w:rsidP="00082FC2">
      <w:pPr>
        <w:pStyle w:val="Bibliografa"/>
        <w:rPr>
          <w:rFonts w:cs="Times New Roman"/>
          <w:lang w:val="en-GB"/>
        </w:rPr>
      </w:pPr>
      <w:r w:rsidRPr="00082FC2">
        <w:rPr>
          <w:rFonts w:cs="Times New Roman"/>
          <w:lang w:val="en-GB"/>
        </w:rPr>
        <w:t>17.</w:t>
      </w:r>
      <w:r w:rsidRPr="00082FC2">
        <w:rPr>
          <w:rFonts w:cs="Times New Roman"/>
          <w:lang w:val="en-GB"/>
        </w:rPr>
        <w:tab/>
        <w:t xml:space="preserve">Wang, Z., Zhang, H., Wang, B. &amp; Ding, Y. Towards a synergistic future: The impact of power sector decarbonization on Sustainable Development Goals in China. </w:t>
      </w:r>
      <w:r w:rsidRPr="00082FC2">
        <w:rPr>
          <w:rFonts w:cs="Times New Roman"/>
          <w:i/>
          <w:iCs/>
          <w:lang w:val="en-GB"/>
        </w:rPr>
        <w:t>Sustainable Production and Consumption</w:t>
      </w:r>
      <w:r w:rsidRPr="00082FC2">
        <w:rPr>
          <w:rFonts w:cs="Times New Roman"/>
          <w:lang w:val="en-GB"/>
        </w:rPr>
        <w:t xml:space="preserve"> </w:t>
      </w:r>
      <w:r w:rsidRPr="00082FC2">
        <w:rPr>
          <w:rFonts w:cs="Times New Roman"/>
          <w:b/>
          <w:bCs/>
          <w:lang w:val="en-GB"/>
        </w:rPr>
        <w:t>56</w:t>
      </w:r>
      <w:r w:rsidRPr="00082FC2">
        <w:rPr>
          <w:rFonts w:cs="Times New Roman"/>
          <w:lang w:val="en-GB"/>
        </w:rPr>
        <w:t>, 385–395 (2025).</w:t>
      </w:r>
    </w:p>
    <w:p w14:paraId="03A68EEA" w14:textId="77777777" w:rsidR="00082FC2" w:rsidRPr="00082FC2" w:rsidRDefault="00082FC2" w:rsidP="00082FC2">
      <w:pPr>
        <w:pStyle w:val="Bibliografa"/>
        <w:rPr>
          <w:rFonts w:cs="Times New Roman"/>
          <w:lang w:val="en-GB"/>
        </w:rPr>
      </w:pPr>
      <w:r w:rsidRPr="00082FC2">
        <w:rPr>
          <w:rFonts w:cs="Times New Roman"/>
          <w:lang w:val="en-GB"/>
        </w:rPr>
        <w:t>18.</w:t>
      </w:r>
      <w:r w:rsidRPr="00082FC2">
        <w:rPr>
          <w:rFonts w:cs="Times New Roman"/>
          <w:lang w:val="en-GB"/>
        </w:rPr>
        <w:tab/>
        <w:t xml:space="preserve">Van Vuuren, D. P. </w:t>
      </w:r>
      <w:r w:rsidRPr="00082FC2">
        <w:rPr>
          <w:rFonts w:cs="Times New Roman"/>
          <w:i/>
          <w:iCs/>
          <w:lang w:val="en-GB"/>
        </w:rPr>
        <w:t>et al.</w:t>
      </w:r>
      <w:r w:rsidRPr="00082FC2">
        <w:rPr>
          <w:rFonts w:cs="Times New Roman"/>
          <w:lang w:val="en-GB"/>
        </w:rPr>
        <w:t xml:space="preserve"> Defining a sustainable development target space for 2030 and 2050. </w:t>
      </w:r>
      <w:r w:rsidRPr="00082FC2">
        <w:rPr>
          <w:rFonts w:cs="Times New Roman"/>
          <w:i/>
          <w:iCs/>
          <w:lang w:val="en-GB"/>
        </w:rPr>
        <w:t>One Earth</w:t>
      </w:r>
      <w:r w:rsidRPr="00082FC2">
        <w:rPr>
          <w:rFonts w:cs="Times New Roman"/>
          <w:lang w:val="en-GB"/>
        </w:rPr>
        <w:t xml:space="preserve"> </w:t>
      </w:r>
      <w:r w:rsidRPr="00082FC2">
        <w:rPr>
          <w:rFonts w:cs="Times New Roman"/>
          <w:b/>
          <w:bCs/>
          <w:lang w:val="en-GB"/>
        </w:rPr>
        <w:t>5</w:t>
      </w:r>
      <w:r w:rsidRPr="00082FC2">
        <w:rPr>
          <w:rFonts w:cs="Times New Roman"/>
          <w:lang w:val="en-GB"/>
        </w:rPr>
        <w:t>, 142–156 (2022).</w:t>
      </w:r>
    </w:p>
    <w:p w14:paraId="27C555EA" w14:textId="77777777" w:rsidR="00082FC2" w:rsidRPr="00082FC2" w:rsidRDefault="00082FC2" w:rsidP="00082FC2">
      <w:pPr>
        <w:pStyle w:val="Bibliografa"/>
        <w:rPr>
          <w:rFonts w:cs="Times New Roman"/>
          <w:lang w:val="en-GB"/>
        </w:rPr>
      </w:pPr>
      <w:r w:rsidRPr="00082FC2">
        <w:rPr>
          <w:rFonts w:cs="Times New Roman"/>
          <w:lang w:val="en-GB"/>
        </w:rPr>
        <w:t>19.</w:t>
      </w:r>
      <w:r w:rsidRPr="00082FC2">
        <w:rPr>
          <w:rFonts w:cs="Times New Roman"/>
          <w:lang w:val="en-GB"/>
        </w:rPr>
        <w:tab/>
        <w:t xml:space="preserve">Friedlingstein, P. </w:t>
      </w:r>
      <w:r w:rsidRPr="00082FC2">
        <w:rPr>
          <w:rFonts w:cs="Times New Roman"/>
          <w:i/>
          <w:iCs/>
          <w:lang w:val="en-GB"/>
        </w:rPr>
        <w:t>et al.</w:t>
      </w:r>
      <w:r w:rsidRPr="00082FC2">
        <w:rPr>
          <w:rFonts w:cs="Times New Roman"/>
          <w:lang w:val="en-GB"/>
        </w:rPr>
        <w:t xml:space="preserve"> Global Carbon Budget 2023. </w:t>
      </w:r>
      <w:r w:rsidRPr="00082FC2">
        <w:rPr>
          <w:rFonts w:cs="Times New Roman"/>
          <w:i/>
          <w:iCs/>
          <w:lang w:val="en-GB"/>
        </w:rPr>
        <w:t>Earth Syst. Sci. Data</w:t>
      </w:r>
      <w:r w:rsidRPr="00082FC2">
        <w:rPr>
          <w:rFonts w:cs="Times New Roman"/>
          <w:lang w:val="en-GB"/>
        </w:rPr>
        <w:t xml:space="preserve"> </w:t>
      </w:r>
      <w:r w:rsidRPr="00082FC2">
        <w:rPr>
          <w:rFonts w:cs="Times New Roman"/>
          <w:b/>
          <w:bCs/>
          <w:lang w:val="en-GB"/>
        </w:rPr>
        <w:t>15</w:t>
      </w:r>
      <w:r w:rsidRPr="00082FC2">
        <w:rPr>
          <w:rFonts w:cs="Times New Roman"/>
          <w:lang w:val="en-GB"/>
        </w:rPr>
        <w:t>, 5301–5369 (2023).</w:t>
      </w:r>
    </w:p>
    <w:p w14:paraId="587DC09B" w14:textId="77777777" w:rsidR="00082FC2" w:rsidRPr="00082FC2" w:rsidRDefault="00082FC2" w:rsidP="00082FC2">
      <w:pPr>
        <w:pStyle w:val="Bibliografa"/>
        <w:rPr>
          <w:rFonts w:cs="Times New Roman"/>
          <w:lang w:val="en-GB"/>
        </w:rPr>
      </w:pPr>
      <w:r w:rsidRPr="00082FC2">
        <w:rPr>
          <w:rFonts w:cs="Times New Roman"/>
          <w:lang w:val="en-GB"/>
        </w:rPr>
        <w:t>20.</w:t>
      </w:r>
      <w:r w:rsidRPr="00082FC2">
        <w:rPr>
          <w:rFonts w:cs="Times New Roman"/>
          <w:lang w:val="en-GB"/>
        </w:rPr>
        <w:tab/>
        <w:t xml:space="preserve">Parrado-Hernando, G., Herc, L., Feijoo, F. &amp; Capellán-Pérez, I. Capturing features of hourly-resolution energy models in an integrated assessment model: An application to the EU27 region. </w:t>
      </w:r>
      <w:r w:rsidRPr="00082FC2">
        <w:rPr>
          <w:rFonts w:cs="Times New Roman"/>
          <w:i/>
          <w:iCs/>
          <w:lang w:val="en-GB"/>
        </w:rPr>
        <w:t>Energy</w:t>
      </w:r>
      <w:r w:rsidRPr="00082FC2">
        <w:rPr>
          <w:rFonts w:cs="Times New Roman"/>
          <w:lang w:val="en-GB"/>
        </w:rPr>
        <w:t xml:space="preserve"> </w:t>
      </w:r>
      <w:r w:rsidRPr="00082FC2">
        <w:rPr>
          <w:rFonts w:cs="Times New Roman"/>
          <w:b/>
          <w:bCs/>
          <w:lang w:val="en-GB"/>
        </w:rPr>
        <w:t>304</w:t>
      </w:r>
      <w:r w:rsidRPr="00082FC2">
        <w:rPr>
          <w:rFonts w:cs="Times New Roman"/>
          <w:lang w:val="en-GB"/>
        </w:rPr>
        <w:t>, 131903 (2024).</w:t>
      </w:r>
    </w:p>
    <w:p w14:paraId="6B52E8E7" w14:textId="77777777" w:rsidR="00082FC2" w:rsidRPr="00082FC2" w:rsidRDefault="00082FC2" w:rsidP="00082FC2">
      <w:pPr>
        <w:pStyle w:val="Bibliografa"/>
        <w:rPr>
          <w:rFonts w:cs="Times New Roman"/>
        </w:rPr>
      </w:pPr>
      <w:r w:rsidRPr="00082FC2">
        <w:rPr>
          <w:rFonts w:cs="Times New Roman"/>
          <w:lang w:val="en-GB"/>
        </w:rPr>
        <w:lastRenderedPageBreak/>
        <w:t>21.</w:t>
      </w:r>
      <w:r w:rsidRPr="00082FC2">
        <w:rPr>
          <w:rFonts w:cs="Times New Roman"/>
          <w:lang w:val="en-GB"/>
        </w:rPr>
        <w:tab/>
        <w:t xml:space="preserve">Mediavilla, M., Lifi, M., Ferreras-Alonso, N., Miguel, L. J. &amp; De Blas, I. Analysis of the competition between land, energy and food using the TERRA module of WILIAM System Dynamics IAM. </w:t>
      </w:r>
      <w:r w:rsidRPr="00082FC2">
        <w:rPr>
          <w:rFonts w:cs="Times New Roman"/>
          <w:i/>
          <w:iCs/>
        </w:rPr>
        <w:t>Renewable and Sustainable Energy Reviews</w:t>
      </w:r>
      <w:r w:rsidRPr="00082FC2">
        <w:rPr>
          <w:rFonts w:cs="Times New Roman"/>
        </w:rPr>
        <w:t xml:space="preserve"> </w:t>
      </w:r>
      <w:r w:rsidRPr="00082FC2">
        <w:rPr>
          <w:rFonts w:cs="Times New Roman"/>
          <w:b/>
          <w:bCs/>
        </w:rPr>
        <w:t>216</w:t>
      </w:r>
      <w:r w:rsidRPr="00082FC2">
        <w:rPr>
          <w:rFonts w:cs="Times New Roman"/>
        </w:rPr>
        <w:t>, 115651 (2025).</w:t>
      </w:r>
    </w:p>
    <w:p w14:paraId="4148FEC7" w14:textId="5970B861" w:rsidR="004D075C" w:rsidRPr="004D075C" w:rsidRDefault="004D075C" w:rsidP="004D075C">
      <w:pPr>
        <w:jc w:val="center"/>
        <w:rPr>
          <w:b/>
          <w:bCs/>
          <w:lang w:val="en-GB"/>
        </w:rPr>
      </w:pPr>
      <w:r>
        <w:rPr>
          <w:b/>
          <w:bCs/>
          <w:lang w:val="en-GB"/>
        </w:rPr>
        <w:fldChar w:fldCharType="end"/>
      </w:r>
    </w:p>
    <w:sectPr w:rsidR="004D075C" w:rsidRPr="004D075C" w:rsidSect="0097304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A4FD0" w14:textId="77777777" w:rsidR="00960D31" w:rsidRDefault="00960D31" w:rsidP="007C1078">
      <w:pPr>
        <w:spacing w:after="0" w:line="240" w:lineRule="auto"/>
      </w:pPr>
      <w:r>
        <w:separator/>
      </w:r>
    </w:p>
  </w:endnote>
  <w:endnote w:type="continuationSeparator" w:id="0">
    <w:p w14:paraId="7A65A216" w14:textId="77777777" w:rsidR="00960D31" w:rsidRDefault="00960D31" w:rsidP="007C1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391534"/>
      <w:docPartObj>
        <w:docPartGallery w:val="Page Numbers (Bottom of Page)"/>
        <w:docPartUnique/>
      </w:docPartObj>
    </w:sdtPr>
    <w:sdtEndPr/>
    <w:sdtContent>
      <w:p w14:paraId="08EAA968" w14:textId="7FDD4D20" w:rsidR="0084796F" w:rsidRDefault="0084796F">
        <w:pPr>
          <w:pStyle w:val="Piedepgina"/>
          <w:jc w:val="right"/>
        </w:pPr>
        <w:r>
          <w:fldChar w:fldCharType="begin"/>
        </w:r>
        <w:r>
          <w:instrText>PAGE   \* MERGEFORMAT</w:instrText>
        </w:r>
        <w:r>
          <w:fldChar w:fldCharType="separate"/>
        </w:r>
        <w:r>
          <w:t>2</w:t>
        </w:r>
        <w:r>
          <w:fldChar w:fldCharType="end"/>
        </w:r>
      </w:p>
    </w:sdtContent>
  </w:sdt>
  <w:p w14:paraId="589EC7FD" w14:textId="77777777" w:rsidR="0084796F" w:rsidRDefault="008479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37D81" w14:textId="77777777" w:rsidR="00960D31" w:rsidRDefault="00960D31" w:rsidP="007C1078">
      <w:pPr>
        <w:spacing w:after="0" w:line="240" w:lineRule="auto"/>
      </w:pPr>
      <w:r>
        <w:separator/>
      </w:r>
    </w:p>
  </w:footnote>
  <w:footnote w:type="continuationSeparator" w:id="0">
    <w:p w14:paraId="712D11D4" w14:textId="77777777" w:rsidR="00960D31" w:rsidRDefault="00960D31" w:rsidP="007C1078">
      <w:pPr>
        <w:spacing w:after="0" w:line="240" w:lineRule="auto"/>
      </w:pPr>
      <w:r>
        <w:continuationSeparator/>
      </w:r>
    </w:p>
  </w:footnote>
  <w:footnote w:id="1">
    <w:p w14:paraId="4872D30E" w14:textId="77777777" w:rsidR="00762BE0" w:rsidRPr="00762BE0" w:rsidRDefault="00762BE0" w:rsidP="00762BE0">
      <w:pPr>
        <w:pStyle w:val="Textonotapie"/>
        <w:rPr>
          <w:lang w:val="en-GB"/>
        </w:rPr>
      </w:pPr>
      <w:r w:rsidRPr="4AF98DAA">
        <w:rPr>
          <w:rStyle w:val="Refdenotaalpie"/>
          <w:rFonts w:cs="Times New Roman"/>
          <w:sz w:val="16"/>
          <w:szCs w:val="16"/>
        </w:rPr>
        <w:footnoteRef/>
      </w:r>
      <w:r w:rsidRPr="00762BE0">
        <w:rPr>
          <w:lang w:val="en-GB"/>
        </w:rPr>
        <w:t xml:space="preserve"> </w:t>
      </w:r>
      <w:r w:rsidRPr="00762BE0">
        <w:rPr>
          <w:rFonts w:cs="Times New Roman"/>
          <w:sz w:val="16"/>
          <w:szCs w:val="16"/>
          <w:lang w:val="en-GB"/>
        </w:rPr>
        <w:t>Shared Socioeconomic Pathway 2 (“Middle of the Road”) conceptualized in the IPCC Sixth Assessment Report on climate change in 2021.</w:t>
      </w:r>
    </w:p>
  </w:footnote>
  <w:footnote w:id="2">
    <w:p w14:paraId="7BB44C24" w14:textId="396D288B" w:rsidR="002D4807" w:rsidRPr="002D4807" w:rsidRDefault="002D4807">
      <w:pPr>
        <w:pStyle w:val="Textonotapie"/>
        <w:rPr>
          <w:lang w:val="en-GB"/>
        </w:rPr>
      </w:pPr>
      <w:r>
        <w:rPr>
          <w:rStyle w:val="Refdenotaalpie"/>
        </w:rPr>
        <w:footnoteRef/>
      </w:r>
      <w:r w:rsidRPr="002D4807">
        <w:rPr>
          <w:lang w:val="en-GB"/>
        </w:rPr>
        <w:t xml:space="preserve"> ICIO (2018): http://oe.cd/icio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2F71"/>
    <w:multiLevelType w:val="hybridMultilevel"/>
    <w:tmpl w:val="95600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E10A8"/>
    <w:multiLevelType w:val="hybridMultilevel"/>
    <w:tmpl w:val="7E4EFA0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15:restartNumberingAfterBreak="0">
    <w:nsid w:val="11103A47"/>
    <w:multiLevelType w:val="hybridMultilevel"/>
    <w:tmpl w:val="D5583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F11FA"/>
    <w:multiLevelType w:val="hybridMultilevel"/>
    <w:tmpl w:val="C6B4826E"/>
    <w:lvl w:ilvl="0" w:tplc="0B82E4B8">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D339B"/>
    <w:multiLevelType w:val="multilevel"/>
    <w:tmpl w:val="7AF44AB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F50F94"/>
    <w:multiLevelType w:val="hybridMultilevel"/>
    <w:tmpl w:val="A7A29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E36A8"/>
    <w:multiLevelType w:val="hybridMultilevel"/>
    <w:tmpl w:val="2D26836C"/>
    <w:lvl w:ilvl="0" w:tplc="CC78ACB6">
      <w:start w:val="1"/>
      <w:numFmt w:val="bullet"/>
      <w:lvlText w:val=""/>
      <w:lvlJc w:val="left"/>
      <w:pPr>
        <w:ind w:left="420" w:hanging="360"/>
      </w:pPr>
      <w:rPr>
        <w:rFonts w:ascii="Wingdings" w:eastAsiaTheme="minorHAnsi" w:hAnsi="Wingdings"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17C05B5D"/>
    <w:multiLevelType w:val="multilevel"/>
    <w:tmpl w:val="7AF44AB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3732A9"/>
    <w:multiLevelType w:val="hybridMultilevel"/>
    <w:tmpl w:val="93C68FFA"/>
    <w:lvl w:ilvl="0" w:tplc="1F2A0628">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F7063"/>
    <w:multiLevelType w:val="hybridMultilevel"/>
    <w:tmpl w:val="AAFAC57C"/>
    <w:lvl w:ilvl="0" w:tplc="68A290E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4425B9"/>
    <w:multiLevelType w:val="hybridMultilevel"/>
    <w:tmpl w:val="E690AC3A"/>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1" w15:restartNumberingAfterBreak="0">
    <w:nsid w:val="27121CF2"/>
    <w:multiLevelType w:val="hybridMultilevel"/>
    <w:tmpl w:val="2B1065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52716"/>
    <w:multiLevelType w:val="hybridMultilevel"/>
    <w:tmpl w:val="22CC40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6B36D1"/>
    <w:multiLevelType w:val="hybridMultilevel"/>
    <w:tmpl w:val="4F82A0D4"/>
    <w:lvl w:ilvl="0" w:tplc="4AEA5F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7434D2"/>
    <w:multiLevelType w:val="hybridMultilevel"/>
    <w:tmpl w:val="CABAB6C0"/>
    <w:lvl w:ilvl="0" w:tplc="ECC62C3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B13E28"/>
    <w:multiLevelType w:val="hybridMultilevel"/>
    <w:tmpl w:val="D57EF94A"/>
    <w:lvl w:ilvl="0" w:tplc="E8CEA58E">
      <w:start w:val="1"/>
      <w:numFmt w:val="upperRoman"/>
      <w:lvlText w:val="(%1)"/>
      <w:lvlJc w:val="left"/>
      <w:pPr>
        <w:ind w:left="1080" w:hanging="720"/>
      </w:pPr>
      <w:rPr>
        <w:rFonts w:eastAsia="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A83219"/>
    <w:multiLevelType w:val="hybridMultilevel"/>
    <w:tmpl w:val="593E3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CB100A"/>
    <w:multiLevelType w:val="multilevel"/>
    <w:tmpl w:val="0E729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FB4589"/>
    <w:multiLevelType w:val="hybridMultilevel"/>
    <w:tmpl w:val="BCD0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FA025D"/>
    <w:multiLevelType w:val="multilevel"/>
    <w:tmpl w:val="7AF44AB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AB31DB5"/>
    <w:multiLevelType w:val="hybridMultilevel"/>
    <w:tmpl w:val="CFCC4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2423A2"/>
    <w:multiLevelType w:val="hybridMultilevel"/>
    <w:tmpl w:val="3BEAEEDA"/>
    <w:lvl w:ilvl="0" w:tplc="9ABC95A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EA39AD"/>
    <w:multiLevelType w:val="hybridMultilevel"/>
    <w:tmpl w:val="E14C9E4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3" w15:restartNumberingAfterBreak="0">
    <w:nsid w:val="4356772B"/>
    <w:multiLevelType w:val="hybridMultilevel"/>
    <w:tmpl w:val="10805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837EB7"/>
    <w:multiLevelType w:val="hybridMultilevel"/>
    <w:tmpl w:val="4C4C6152"/>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5" w15:restartNumberingAfterBreak="0">
    <w:nsid w:val="46A91600"/>
    <w:multiLevelType w:val="hybridMultilevel"/>
    <w:tmpl w:val="85EE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4F52DD"/>
    <w:multiLevelType w:val="hybridMultilevel"/>
    <w:tmpl w:val="3FE82DC4"/>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7" w15:restartNumberingAfterBreak="0">
    <w:nsid w:val="496E5040"/>
    <w:multiLevelType w:val="hybridMultilevel"/>
    <w:tmpl w:val="0FBC2118"/>
    <w:lvl w:ilvl="0" w:tplc="8AF4228E">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664887"/>
    <w:multiLevelType w:val="hybridMultilevel"/>
    <w:tmpl w:val="4D2886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E84210"/>
    <w:multiLevelType w:val="hybridMultilevel"/>
    <w:tmpl w:val="F2FC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9A519E"/>
    <w:multiLevelType w:val="hybridMultilevel"/>
    <w:tmpl w:val="16AC2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ED20D9"/>
    <w:multiLevelType w:val="hybridMultilevel"/>
    <w:tmpl w:val="AD449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560D75"/>
    <w:multiLevelType w:val="hybridMultilevel"/>
    <w:tmpl w:val="BFBAE368"/>
    <w:lvl w:ilvl="0" w:tplc="D5580EEC">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698D2707"/>
    <w:multiLevelType w:val="hybridMultilevel"/>
    <w:tmpl w:val="2534A3B4"/>
    <w:lvl w:ilvl="0" w:tplc="0B82E4B8">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8C013F"/>
    <w:multiLevelType w:val="hybridMultilevel"/>
    <w:tmpl w:val="94CA6DD4"/>
    <w:lvl w:ilvl="0" w:tplc="9D40260A">
      <w:start w:val="1"/>
      <w:numFmt w:val="upperRoman"/>
      <w:lvlText w:val="(%1)"/>
      <w:lvlJc w:val="left"/>
      <w:pPr>
        <w:ind w:left="1080" w:hanging="720"/>
      </w:pPr>
      <w:rPr>
        <w:rFonts w:eastAsia="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470A08"/>
    <w:multiLevelType w:val="hybridMultilevel"/>
    <w:tmpl w:val="2ADC8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820A33"/>
    <w:multiLevelType w:val="hybridMultilevel"/>
    <w:tmpl w:val="1A384404"/>
    <w:lvl w:ilvl="0" w:tplc="F95E3E9A">
      <w:start w:val="1"/>
      <w:numFmt w:val="bullet"/>
      <w:lvlText w:val=""/>
      <w:lvlJc w:val="left"/>
      <w:pPr>
        <w:ind w:left="780" w:hanging="360"/>
      </w:pPr>
      <w:rPr>
        <w:rFonts w:ascii="Wingdings" w:eastAsiaTheme="minorHAnsi" w:hAnsi="Wingdings"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71627F9A"/>
    <w:multiLevelType w:val="hybridMultilevel"/>
    <w:tmpl w:val="24EA6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F3503A"/>
    <w:multiLevelType w:val="hybridMultilevel"/>
    <w:tmpl w:val="233C215A"/>
    <w:lvl w:ilvl="0" w:tplc="CD1AD8EA">
      <w:start w:val="1"/>
      <w:numFmt w:val="bullet"/>
      <w:lvlText w:val="•"/>
      <w:lvlJc w:val="left"/>
      <w:pPr>
        <w:tabs>
          <w:tab w:val="num" w:pos="720"/>
        </w:tabs>
        <w:ind w:left="720" w:hanging="360"/>
      </w:pPr>
      <w:rPr>
        <w:rFonts w:ascii="Times New Roman" w:hAnsi="Times New Roman" w:hint="default"/>
      </w:rPr>
    </w:lvl>
    <w:lvl w:ilvl="1" w:tplc="14C2A96E" w:tentative="1">
      <w:start w:val="1"/>
      <w:numFmt w:val="bullet"/>
      <w:lvlText w:val="•"/>
      <w:lvlJc w:val="left"/>
      <w:pPr>
        <w:tabs>
          <w:tab w:val="num" w:pos="1440"/>
        </w:tabs>
        <w:ind w:left="1440" w:hanging="360"/>
      </w:pPr>
      <w:rPr>
        <w:rFonts w:ascii="Times New Roman" w:hAnsi="Times New Roman" w:hint="default"/>
      </w:rPr>
    </w:lvl>
    <w:lvl w:ilvl="2" w:tplc="5A60712C" w:tentative="1">
      <w:start w:val="1"/>
      <w:numFmt w:val="bullet"/>
      <w:lvlText w:val="•"/>
      <w:lvlJc w:val="left"/>
      <w:pPr>
        <w:tabs>
          <w:tab w:val="num" w:pos="2160"/>
        </w:tabs>
        <w:ind w:left="2160" w:hanging="360"/>
      </w:pPr>
      <w:rPr>
        <w:rFonts w:ascii="Times New Roman" w:hAnsi="Times New Roman" w:hint="default"/>
      </w:rPr>
    </w:lvl>
    <w:lvl w:ilvl="3" w:tplc="11041064" w:tentative="1">
      <w:start w:val="1"/>
      <w:numFmt w:val="bullet"/>
      <w:lvlText w:val="•"/>
      <w:lvlJc w:val="left"/>
      <w:pPr>
        <w:tabs>
          <w:tab w:val="num" w:pos="2880"/>
        </w:tabs>
        <w:ind w:left="2880" w:hanging="360"/>
      </w:pPr>
      <w:rPr>
        <w:rFonts w:ascii="Times New Roman" w:hAnsi="Times New Roman" w:hint="default"/>
      </w:rPr>
    </w:lvl>
    <w:lvl w:ilvl="4" w:tplc="287A2950" w:tentative="1">
      <w:start w:val="1"/>
      <w:numFmt w:val="bullet"/>
      <w:lvlText w:val="•"/>
      <w:lvlJc w:val="left"/>
      <w:pPr>
        <w:tabs>
          <w:tab w:val="num" w:pos="3600"/>
        </w:tabs>
        <w:ind w:left="3600" w:hanging="360"/>
      </w:pPr>
      <w:rPr>
        <w:rFonts w:ascii="Times New Roman" w:hAnsi="Times New Roman" w:hint="default"/>
      </w:rPr>
    </w:lvl>
    <w:lvl w:ilvl="5" w:tplc="59D0E3FE" w:tentative="1">
      <w:start w:val="1"/>
      <w:numFmt w:val="bullet"/>
      <w:lvlText w:val="•"/>
      <w:lvlJc w:val="left"/>
      <w:pPr>
        <w:tabs>
          <w:tab w:val="num" w:pos="4320"/>
        </w:tabs>
        <w:ind w:left="4320" w:hanging="360"/>
      </w:pPr>
      <w:rPr>
        <w:rFonts w:ascii="Times New Roman" w:hAnsi="Times New Roman" w:hint="default"/>
      </w:rPr>
    </w:lvl>
    <w:lvl w:ilvl="6" w:tplc="2B0A7508" w:tentative="1">
      <w:start w:val="1"/>
      <w:numFmt w:val="bullet"/>
      <w:lvlText w:val="•"/>
      <w:lvlJc w:val="left"/>
      <w:pPr>
        <w:tabs>
          <w:tab w:val="num" w:pos="5040"/>
        </w:tabs>
        <w:ind w:left="5040" w:hanging="360"/>
      </w:pPr>
      <w:rPr>
        <w:rFonts w:ascii="Times New Roman" w:hAnsi="Times New Roman" w:hint="default"/>
      </w:rPr>
    </w:lvl>
    <w:lvl w:ilvl="7" w:tplc="47424502" w:tentative="1">
      <w:start w:val="1"/>
      <w:numFmt w:val="bullet"/>
      <w:lvlText w:val="•"/>
      <w:lvlJc w:val="left"/>
      <w:pPr>
        <w:tabs>
          <w:tab w:val="num" w:pos="5760"/>
        </w:tabs>
        <w:ind w:left="5760" w:hanging="360"/>
      </w:pPr>
      <w:rPr>
        <w:rFonts w:ascii="Times New Roman" w:hAnsi="Times New Roman" w:hint="default"/>
      </w:rPr>
    </w:lvl>
    <w:lvl w:ilvl="8" w:tplc="C1D6A49E"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30A0595"/>
    <w:multiLevelType w:val="hybridMultilevel"/>
    <w:tmpl w:val="B106D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D62949"/>
    <w:multiLevelType w:val="hybridMultilevel"/>
    <w:tmpl w:val="09DCB962"/>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41" w15:restartNumberingAfterBreak="0">
    <w:nsid w:val="75ED64F7"/>
    <w:multiLevelType w:val="hybridMultilevel"/>
    <w:tmpl w:val="3DD2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225B89"/>
    <w:multiLevelType w:val="hybridMultilevel"/>
    <w:tmpl w:val="B5948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690E48"/>
    <w:multiLevelType w:val="hybridMultilevel"/>
    <w:tmpl w:val="0608AEE6"/>
    <w:lvl w:ilvl="0" w:tplc="07BE781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244AA7"/>
    <w:multiLevelType w:val="hybridMultilevel"/>
    <w:tmpl w:val="55867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F912A1"/>
    <w:multiLevelType w:val="hybridMultilevel"/>
    <w:tmpl w:val="9E7A5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9C6E41"/>
    <w:multiLevelType w:val="hybridMultilevel"/>
    <w:tmpl w:val="411E7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41"/>
  </w:num>
  <w:num w:numId="4">
    <w:abstractNumId w:val="31"/>
  </w:num>
  <w:num w:numId="5">
    <w:abstractNumId w:val="29"/>
  </w:num>
  <w:num w:numId="6">
    <w:abstractNumId w:val="5"/>
  </w:num>
  <w:num w:numId="7">
    <w:abstractNumId w:val="0"/>
  </w:num>
  <w:num w:numId="8">
    <w:abstractNumId w:val="13"/>
  </w:num>
  <w:num w:numId="9">
    <w:abstractNumId w:val="16"/>
  </w:num>
  <w:num w:numId="10">
    <w:abstractNumId w:val="17"/>
  </w:num>
  <w:num w:numId="11">
    <w:abstractNumId w:val="37"/>
  </w:num>
  <w:num w:numId="12">
    <w:abstractNumId w:val="23"/>
  </w:num>
  <w:num w:numId="13">
    <w:abstractNumId w:val="25"/>
  </w:num>
  <w:num w:numId="14">
    <w:abstractNumId w:val="12"/>
  </w:num>
  <w:num w:numId="15">
    <w:abstractNumId w:val="28"/>
  </w:num>
  <w:num w:numId="16">
    <w:abstractNumId w:val="35"/>
  </w:num>
  <w:num w:numId="17">
    <w:abstractNumId w:val="10"/>
  </w:num>
  <w:num w:numId="18">
    <w:abstractNumId w:val="45"/>
  </w:num>
  <w:num w:numId="19">
    <w:abstractNumId w:val="46"/>
  </w:num>
  <w:num w:numId="20">
    <w:abstractNumId w:val="30"/>
  </w:num>
  <w:num w:numId="21">
    <w:abstractNumId w:val="32"/>
  </w:num>
  <w:num w:numId="22">
    <w:abstractNumId w:val="43"/>
  </w:num>
  <w:num w:numId="23">
    <w:abstractNumId w:val="15"/>
  </w:num>
  <w:num w:numId="24">
    <w:abstractNumId w:val="34"/>
  </w:num>
  <w:num w:numId="25">
    <w:abstractNumId w:val="1"/>
  </w:num>
  <w:num w:numId="26">
    <w:abstractNumId w:val="19"/>
  </w:num>
  <w:num w:numId="27">
    <w:abstractNumId w:val="20"/>
  </w:num>
  <w:num w:numId="28">
    <w:abstractNumId w:val="11"/>
  </w:num>
  <w:num w:numId="29">
    <w:abstractNumId w:val="42"/>
  </w:num>
  <w:num w:numId="30">
    <w:abstractNumId w:val="8"/>
  </w:num>
  <w:num w:numId="31">
    <w:abstractNumId w:val="6"/>
  </w:num>
  <w:num w:numId="32">
    <w:abstractNumId w:val="36"/>
  </w:num>
  <w:num w:numId="33">
    <w:abstractNumId w:val="27"/>
  </w:num>
  <w:num w:numId="34">
    <w:abstractNumId w:val="33"/>
  </w:num>
  <w:num w:numId="35">
    <w:abstractNumId w:val="3"/>
  </w:num>
  <w:num w:numId="36">
    <w:abstractNumId w:val="4"/>
  </w:num>
  <w:num w:numId="37">
    <w:abstractNumId w:val="7"/>
  </w:num>
  <w:num w:numId="38">
    <w:abstractNumId w:val="38"/>
  </w:num>
  <w:num w:numId="39">
    <w:abstractNumId w:val="14"/>
  </w:num>
  <w:num w:numId="40">
    <w:abstractNumId w:val="26"/>
  </w:num>
  <w:num w:numId="41">
    <w:abstractNumId w:val="18"/>
  </w:num>
  <w:num w:numId="42">
    <w:abstractNumId w:val="39"/>
  </w:num>
  <w:num w:numId="43">
    <w:abstractNumId w:val="21"/>
  </w:num>
  <w:num w:numId="44">
    <w:abstractNumId w:val="9"/>
  </w:num>
  <w:num w:numId="45">
    <w:abstractNumId w:val="24"/>
  </w:num>
  <w:num w:numId="46">
    <w:abstractNumId w:val="40"/>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7A4"/>
    <w:rsid w:val="0000032A"/>
    <w:rsid w:val="0000334B"/>
    <w:rsid w:val="00003611"/>
    <w:rsid w:val="00004AD3"/>
    <w:rsid w:val="000053DF"/>
    <w:rsid w:val="00005635"/>
    <w:rsid w:val="00005A13"/>
    <w:rsid w:val="000077B9"/>
    <w:rsid w:val="00012385"/>
    <w:rsid w:val="00013536"/>
    <w:rsid w:val="000144B5"/>
    <w:rsid w:val="0001491C"/>
    <w:rsid w:val="00017160"/>
    <w:rsid w:val="000201A3"/>
    <w:rsid w:val="000236F3"/>
    <w:rsid w:val="000246AA"/>
    <w:rsid w:val="00026C67"/>
    <w:rsid w:val="00040FC1"/>
    <w:rsid w:val="00044257"/>
    <w:rsid w:val="00044CB8"/>
    <w:rsid w:val="00047160"/>
    <w:rsid w:val="00047747"/>
    <w:rsid w:val="00047BF0"/>
    <w:rsid w:val="00047E48"/>
    <w:rsid w:val="00051B1D"/>
    <w:rsid w:val="00061F16"/>
    <w:rsid w:val="0006321B"/>
    <w:rsid w:val="00064420"/>
    <w:rsid w:val="00064AA6"/>
    <w:rsid w:val="000653EB"/>
    <w:rsid w:val="0006605D"/>
    <w:rsid w:val="00067E10"/>
    <w:rsid w:val="00073000"/>
    <w:rsid w:val="000768C3"/>
    <w:rsid w:val="00080269"/>
    <w:rsid w:val="00080917"/>
    <w:rsid w:val="00080A1B"/>
    <w:rsid w:val="000816AB"/>
    <w:rsid w:val="000829E8"/>
    <w:rsid w:val="00082FC2"/>
    <w:rsid w:val="00083479"/>
    <w:rsid w:val="000840F3"/>
    <w:rsid w:val="0008423B"/>
    <w:rsid w:val="00084312"/>
    <w:rsid w:val="00090785"/>
    <w:rsid w:val="00091A6C"/>
    <w:rsid w:val="00093107"/>
    <w:rsid w:val="00094E16"/>
    <w:rsid w:val="000965EB"/>
    <w:rsid w:val="0009705C"/>
    <w:rsid w:val="000971D9"/>
    <w:rsid w:val="000973DD"/>
    <w:rsid w:val="000A028E"/>
    <w:rsid w:val="000A10D5"/>
    <w:rsid w:val="000A62CA"/>
    <w:rsid w:val="000A65DC"/>
    <w:rsid w:val="000B0BEE"/>
    <w:rsid w:val="000B393A"/>
    <w:rsid w:val="000B395D"/>
    <w:rsid w:val="000B3E9A"/>
    <w:rsid w:val="000B431F"/>
    <w:rsid w:val="000B44A3"/>
    <w:rsid w:val="000B4A16"/>
    <w:rsid w:val="000B4FF0"/>
    <w:rsid w:val="000B5E5F"/>
    <w:rsid w:val="000B653E"/>
    <w:rsid w:val="000C1900"/>
    <w:rsid w:val="000C2FAD"/>
    <w:rsid w:val="000C407F"/>
    <w:rsid w:val="000C4EB2"/>
    <w:rsid w:val="000C63E0"/>
    <w:rsid w:val="000C68CD"/>
    <w:rsid w:val="000C724A"/>
    <w:rsid w:val="000D4814"/>
    <w:rsid w:val="000D5178"/>
    <w:rsid w:val="000D544B"/>
    <w:rsid w:val="000E2250"/>
    <w:rsid w:val="000E24F8"/>
    <w:rsid w:val="000E283C"/>
    <w:rsid w:val="000E33F0"/>
    <w:rsid w:val="000E3F2B"/>
    <w:rsid w:val="000E4E63"/>
    <w:rsid w:val="000E502E"/>
    <w:rsid w:val="000E62C4"/>
    <w:rsid w:val="000E6F14"/>
    <w:rsid w:val="000E7B64"/>
    <w:rsid w:val="000F299F"/>
    <w:rsid w:val="000F4F50"/>
    <w:rsid w:val="000F7CC0"/>
    <w:rsid w:val="00100930"/>
    <w:rsid w:val="00101447"/>
    <w:rsid w:val="00102A4F"/>
    <w:rsid w:val="0010498C"/>
    <w:rsid w:val="001118C1"/>
    <w:rsid w:val="0012280F"/>
    <w:rsid w:val="0012405F"/>
    <w:rsid w:val="00131D89"/>
    <w:rsid w:val="001327DC"/>
    <w:rsid w:val="001335E8"/>
    <w:rsid w:val="00136481"/>
    <w:rsid w:val="00137774"/>
    <w:rsid w:val="00140561"/>
    <w:rsid w:val="00140615"/>
    <w:rsid w:val="001416EA"/>
    <w:rsid w:val="001429EA"/>
    <w:rsid w:val="00145685"/>
    <w:rsid w:val="00145B5F"/>
    <w:rsid w:val="00147BCD"/>
    <w:rsid w:val="00150209"/>
    <w:rsid w:val="00151638"/>
    <w:rsid w:val="0015510A"/>
    <w:rsid w:val="001556C8"/>
    <w:rsid w:val="00155DC3"/>
    <w:rsid w:val="001570DF"/>
    <w:rsid w:val="00160EEC"/>
    <w:rsid w:val="001620C2"/>
    <w:rsid w:val="00162B1C"/>
    <w:rsid w:val="00163267"/>
    <w:rsid w:val="00166E41"/>
    <w:rsid w:val="00166F52"/>
    <w:rsid w:val="00170967"/>
    <w:rsid w:val="00171222"/>
    <w:rsid w:val="001724DD"/>
    <w:rsid w:val="001738D9"/>
    <w:rsid w:val="00173FA6"/>
    <w:rsid w:val="00174B5D"/>
    <w:rsid w:val="00175770"/>
    <w:rsid w:val="00176477"/>
    <w:rsid w:val="001838B2"/>
    <w:rsid w:val="00185C55"/>
    <w:rsid w:val="00186150"/>
    <w:rsid w:val="00187047"/>
    <w:rsid w:val="00190549"/>
    <w:rsid w:val="001922D6"/>
    <w:rsid w:val="00197512"/>
    <w:rsid w:val="0019784E"/>
    <w:rsid w:val="001A0F84"/>
    <w:rsid w:val="001A116C"/>
    <w:rsid w:val="001A130E"/>
    <w:rsid w:val="001A3AF4"/>
    <w:rsid w:val="001A48B2"/>
    <w:rsid w:val="001A4C96"/>
    <w:rsid w:val="001A5605"/>
    <w:rsid w:val="001B0CE0"/>
    <w:rsid w:val="001B149B"/>
    <w:rsid w:val="001B3F22"/>
    <w:rsid w:val="001B4AA5"/>
    <w:rsid w:val="001B5329"/>
    <w:rsid w:val="001B55A4"/>
    <w:rsid w:val="001C6BC1"/>
    <w:rsid w:val="001C73A0"/>
    <w:rsid w:val="001C7C95"/>
    <w:rsid w:val="001C7DA3"/>
    <w:rsid w:val="001D01CA"/>
    <w:rsid w:val="001D4CB1"/>
    <w:rsid w:val="001D5366"/>
    <w:rsid w:val="001D565F"/>
    <w:rsid w:val="001D6E53"/>
    <w:rsid w:val="001E0962"/>
    <w:rsid w:val="001E20EB"/>
    <w:rsid w:val="001E411C"/>
    <w:rsid w:val="001E4537"/>
    <w:rsid w:val="001F1D62"/>
    <w:rsid w:val="001F27BE"/>
    <w:rsid w:val="001F28EC"/>
    <w:rsid w:val="001F3695"/>
    <w:rsid w:val="001F4DDD"/>
    <w:rsid w:val="001F6C50"/>
    <w:rsid w:val="001F7338"/>
    <w:rsid w:val="00202067"/>
    <w:rsid w:val="002037C2"/>
    <w:rsid w:val="00203926"/>
    <w:rsid w:val="00213BA8"/>
    <w:rsid w:val="002147CA"/>
    <w:rsid w:val="00216F00"/>
    <w:rsid w:val="00222222"/>
    <w:rsid w:val="00222676"/>
    <w:rsid w:val="00223B08"/>
    <w:rsid w:val="00227E14"/>
    <w:rsid w:val="002345B1"/>
    <w:rsid w:val="0023572D"/>
    <w:rsid w:val="00236F65"/>
    <w:rsid w:val="00237A33"/>
    <w:rsid w:val="00237D4F"/>
    <w:rsid w:val="00244AA6"/>
    <w:rsid w:val="00246933"/>
    <w:rsid w:val="00247FC3"/>
    <w:rsid w:val="00252762"/>
    <w:rsid w:val="00252AAC"/>
    <w:rsid w:val="00255660"/>
    <w:rsid w:val="00256000"/>
    <w:rsid w:val="0025757A"/>
    <w:rsid w:val="00261622"/>
    <w:rsid w:val="002628BE"/>
    <w:rsid w:val="00262FBC"/>
    <w:rsid w:val="0026322E"/>
    <w:rsid w:val="002677FA"/>
    <w:rsid w:val="00271C2E"/>
    <w:rsid w:val="0027275F"/>
    <w:rsid w:val="002800C2"/>
    <w:rsid w:val="0028082D"/>
    <w:rsid w:val="00282CD7"/>
    <w:rsid w:val="0028423E"/>
    <w:rsid w:val="00284DDC"/>
    <w:rsid w:val="002925D7"/>
    <w:rsid w:val="00292AC7"/>
    <w:rsid w:val="00295F18"/>
    <w:rsid w:val="00296B73"/>
    <w:rsid w:val="002A0904"/>
    <w:rsid w:val="002A0E2A"/>
    <w:rsid w:val="002A1B31"/>
    <w:rsid w:val="002A3D5B"/>
    <w:rsid w:val="002A4164"/>
    <w:rsid w:val="002A442F"/>
    <w:rsid w:val="002B1A7E"/>
    <w:rsid w:val="002B21C8"/>
    <w:rsid w:val="002B6F5C"/>
    <w:rsid w:val="002C33DE"/>
    <w:rsid w:val="002C4F65"/>
    <w:rsid w:val="002C5861"/>
    <w:rsid w:val="002C60D0"/>
    <w:rsid w:val="002D174B"/>
    <w:rsid w:val="002D2977"/>
    <w:rsid w:val="002D429A"/>
    <w:rsid w:val="002D4807"/>
    <w:rsid w:val="002D540E"/>
    <w:rsid w:val="002D5BAA"/>
    <w:rsid w:val="002E1EFE"/>
    <w:rsid w:val="002E34B7"/>
    <w:rsid w:val="002E3C88"/>
    <w:rsid w:val="002E6F3B"/>
    <w:rsid w:val="002F1DD9"/>
    <w:rsid w:val="002F2D90"/>
    <w:rsid w:val="002F7E56"/>
    <w:rsid w:val="00300C96"/>
    <w:rsid w:val="00303653"/>
    <w:rsid w:val="003125B3"/>
    <w:rsid w:val="00314158"/>
    <w:rsid w:val="00314299"/>
    <w:rsid w:val="0031533E"/>
    <w:rsid w:val="0031687D"/>
    <w:rsid w:val="003272F8"/>
    <w:rsid w:val="003278CF"/>
    <w:rsid w:val="00331F69"/>
    <w:rsid w:val="00334F17"/>
    <w:rsid w:val="003378FF"/>
    <w:rsid w:val="003429F1"/>
    <w:rsid w:val="003438D9"/>
    <w:rsid w:val="00344297"/>
    <w:rsid w:val="0034560D"/>
    <w:rsid w:val="0034646E"/>
    <w:rsid w:val="003503E4"/>
    <w:rsid w:val="00351180"/>
    <w:rsid w:val="00351F71"/>
    <w:rsid w:val="003575A4"/>
    <w:rsid w:val="00357C2C"/>
    <w:rsid w:val="00361FD0"/>
    <w:rsid w:val="00362630"/>
    <w:rsid w:val="00362B89"/>
    <w:rsid w:val="00363325"/>
    <w:rsid w:val="003646D3"/>
    <w:rsid w:val="00370847"/>
    <w:rsid w:val="003716DF"/>
    <w:rsid w:val="003758FC"/>
    <w:rsid w:val="00375D4E"/>
    <w:rsid w:val="0037654A"/>
    <w:rsid w:val="00380EDA"/>
    <w:rsid w:val="00381802"/>
    <w:rsid w:val="00383EF1"/>
    <w:rsid w:val="00385C73"/>
    <w:rsid w:val="00386A97"/>
    <w:rsid w:val="00387577"/>
    <w:rsid w:val="00390E86"/>
    <w:rsid w:val="00391057"/>
    <w:rsid w:val="0039223D"/>
    <w:rsid w:val="0039365A"/>
    <w:rsid w:val="00394E27"/>
    <w:rsid w:val="00395907"/>
    <w:rsid w:val="003A2A25"/>
    <w:rsid w:val="003A36C5"/>
    <w:rsid w:val="003A379F"/>
    <w:rsid w:val="003A4E2B"/>
    <w:rsid w:val="003A50BE"/>
    <w:rsid w:val="003A6258"/>
    <w:rsid w:val="003A6C86"/>
    <w:rsid w:val="003A72AC"/>
    <w:rsid w:val="003A73A3"/>
    <w:rsid w:val="003A758C"/>
    <w:rsid w:val="003B1383"/>
    <w:rsid w:val="003B3D9F"/>
    <w:rsid w:val="003B7205"/>
    <w:rsid w:val="003C13E6"/>
    <w:rsid w:val="003C2136"/>
    <w:rsid w:val="003C3BF5"/>
    <w:rsid w:val="003C69F6"/>
    <w:rsid w:val="003D1461"/>
    <w:rsid w:val="003D1C38"/>
    <w:rsid w:val="003D2B61"/>
    <w:rsid w:val="003D2DAF"/>
    <w:rsid w:val="003D395E"/>
    <w:rsid w:val="003D4119"/>
    <w:rsid w:val="003D4159"/>
    <w:rsid w:val="003D4745"/>
    <w:rsid w:val="003D556F"/>
    <w:rsid w:val="003E219E"/>
    <w:rsid w:val="003E2597"/>
    <w:rsid w:val="003E34A3"/>
    <w:rsid w:val="003E5E36"/>
    <w:rsid w:val="003E6091"/>
    <w:rsid w:val="003F2F02"/>
    <w:rsid w:val="003F48C9"/>
    <w:rsid w:val="003F6251"/>
    <w:rsid w:val="00400666"/>
    <w:rsid w:val="00401497"/>
    <w:rsid w:val="00401DE8"/>
    <w:rsid w:val="004059F0"/>
    <w:rsid w:val="00406C3B"/>
    <w:rsid w:val="00407B46"/>
    <w:rsid w:val="00410719"/>
    <w:rsid w:val="004134C3"/>
    <w:rsid w:val="004147D4"/>
    <w:rsid w:val="00415445"/>
    <w:rsid w:val="004155E1"/>
    <w:rsid w:val="004221CA"/>
    <w:rsid w:val="004301C3"/>
    <w:rsid w:val="00432797"/>
    <w:rsid w:val="00434BE8"/>
    <w:rsid w:val="0043525E"/>
    <w:rsid w:val="0044100B"/>
    <w:rsid w:val="00441220"/>
    <w:rsid w:val="00442A98"/>
    <w:rsid w:val="00445BFF"/>
    <w:rsid w:val="004470DF"/>
    <w:rsid w:val="0045734B"/>
    <w:rsid w:val="00463615"/>
    <w:rsid w:val="00467C8F"/>
    <w:rsid w:val="00470713"/>
    <w:rsid w:val="0047204C"/>
    <w:rsid w:val="00473865"/>
    <w:rsid w:val="00474CF4"/>
    <w:rsid w:val="00474DDC"/>
    <w:rsid w:val="0048238C"/>
    <w:rsid w:val="004827A3"/>
    <w:rsid w:val="00484659"/>
    <w:rsid w:val="0048468F"/>
    <w:rsid w:val="00484C3C"/>
    <w:rsid w:val="0048529A"/>
    <w:rsid w:val="00487EA4"/>
    <w:rsid w:val="00491BCC"/>
    <w:rsid w:val="00496C38"/>
    <w:rsid w:val="004A1123"/>
    <w:rsid w:val="004A6EF0"/>
    <w:rsid w:val="004B213B"/>
    <w:rsid w:val="004B415B"/>
    <w:rsid w:val="004B4A7E"/>
    <w:rsid w:val="004B67A6"/>
    <w:rsid w:val="004B767B"/>
    <w:rsid w:val="004C269D"/>
    <w:rsid w:val="004C2770"/>
    <w:rsid w:val="004C2CE3"/>
    <w:rsid w:val="004C30DC"/>
    <w:rsid w:val="004C3876"/>
    <w:rsid w:val="004C49CB"/>
    <w:rsid w:val="004C510B"/>
    <w:rsid w:val="004C5E7A"/>
    <w:rsid w:val="004C6C13"/>
    <w:rsid w:val="004D075C"/>
    <w:rsid w:val="004D0E28"/>
    <w:rsid w:val="004D14F5"/>
    <w:rsid w:val="004D28BD"/>
    <w:rsid w:val="004D4751"/>
    <w:rsid w:val="004D564C"/>
    <w:rsid w:val="004D7F7E"/>
    <w:rsid w:val="004E5A50"/>
    <w:rsid w:val="004F24C8"/>
    <w:rsid w:val="004F3B4F"/>
    <w:rsid w:val="004F47B3"/>
    <w:rsid w:val="004F54C6"/>
    <w:rsid w:val="004F74DB"/>
    <w:rsid w:val="005041BA"/>
    <w:rsid w:val="00506ECD"/>
    <w:rsid w:val="00510AF0"/>
    <w:rsid w:val="0051439C"/>
    <w:rsid w:val="00516D73"/>
    <w:rsid w:val="00517A2C"/>
    <w:rsid w:val="00521591"/>
    <w:rsid w:val="00521BEB"/>
    <w:rsid w:val="00521EE0"/>
    <w:rsid w:val="00530B1E"/>
    <w:rsid w:val="005317E8"/>
    <w:rsid w:val="00531FA4"/>
    <w:rsid w:val="00532FCB"/>
    <w:rsid w:val="0053663B"/>
    <w:rsid w:val="00536930"/>
    <w:rsid w:val="00537313"/>
    <w:rsid w:val="005436C7"/>
    <w:rsid w:val="00544C0F"/>
    <w:rsid w:val="00545027"/>
    <w:rsid w:val="00550DBD"/>
    <w:rsid w:val="00553349"/>
    <w:rsid w:val="0055410D"/>
    <w:rsid w:val="005553C7"/>
    <w:rsid w:val="0055610A"/>
    <w:rsid w:val="005615F3"/>
    <w:rsid w:val="0056170B"/>
    <w:rsid w:val="0056278A"/>
    <w:rsid w:val="00563925"/>
    <w:rsid w:val="00563A7D"/>
    <w:rsid w:val="00563BA5"/>
    <w:rsid w:val="00566E05"/>
    <w:rsid w:val="00566FFB"/>
    <w:rsid w:val="00567E8C"/>
    <w:rsid w:val="005758B2"/>
    <w:rsid w:val="0057630F"/>
    <w:rsid w:val="00582041"/>
    <w:rsid w:val="00590BB6"/>
    <w:rsid w:val="00591060"/>
    <w:rsid w:val="00592D42"/>
    <w:rsid w:val="00594B60"/>
    <w:rsid w:val="00595C85"/>
    <w:rsid w:val="005A0F67"/>
    <w:rsid w:val="005A12C5"/>
    <w:rsid w:val="005A1971"/>
    <w:rsid w:val="005A3267"/>
    <w:rsid w:val="005A63CF"/>
    <w:rsid w:val="005A6B1E"/>
    <w:rsid w:val="005A799D"/>
    <w:rsid w:val="005A7E75"/>
    <w:rsid w:val="005B051C"/>
    <w:rsid w:val="005B0FE3"/>
    <w:rsid w:val="005B2F22"/>
    <w:rsid w:val="005B7664"/>
    <w:rsid w:val="005C0D40"/>
    <w:rsid w:val="005C2649"/>
    <w:rsid w:val="005C3846"/>
    <w:rsid w:val="005C3BD5"/>
    <w:rsid w:val="005C3EDC"/>
    <w:rsid w:val="005C614A"/>
    <w:rsid w:val="005C6682"/>
    <w:rsid w:val="005C6AD9"/>
    <w:rsid w:val="005C7D71"/>
    <w:rsid w:val="005D1670"/>
    <w:rsid w:val="005D1BB6"/>
    <w:rsid w:val="005D317A"/>
    <w:rsid w:val="005D44B1"/>
    <w:rsid w:val="005D4998"/>
    <w:rsid w:val="005D51AD"/>
    <w:rsid w:val="005E3628"/>
    <w:rsid w:val="005E40D4"/>
    <w:rsid w:val="005E40D8"/>
    <w:rsid w:val="005E5444"/>
    <w:rsid w:val="005E6D26"/>
    <w:rsid w:val="005F1E9B"/>
    <w:rsid w:val="005F48A9"/>
    <w:rsid w:val="005F5560"/>
    <w:rsid w:val="005F643F"/>
    <w:rsid w:val="005F6E72"/>
    <w:rsid w:val="005F767B"/>
    <w:rsid w:val="006001D5"/>
    <w:rsid w:val="0060338B"/>
    <w:rsid w:val="00604129"/>
    <w:rsid w:val="0060542E"/>
    <w:rsid w:val="00605FE6"/>
    <w:rsid w:val="00606EAE"/>
    <w:rsid w:val="006078F5"/>
    <w:rsid w:val="0061087A"/>
    <w:rsid w:val="006114B8"/>
    <w:rsid w:val="006165A5"/>
    <w:rsid w:val="006248E1"/>
    <w:rsid w:val="00624B93"/>
    <w:rsid w:val="00624BF3"/>
    <w:rsid w:val="00625FFE"/>
    <w:rsid w:val="0062764C"/>
    <w:rsid w:val="006305B4"/>
    <w:rsid w:val="0063109C"/>
    <w:rsid w:val="00637151"/>
    <w:rsid w:val="006379F9"/>
    <w:rsid w:val="00644503"/>
    <w:rsid w:val="006478F7"/>
    <w:rsid w:val="006479BD"/>
    <w:rsid w:val="00647E0F"/>
    <w:rsid w:val="00653CD1"/>
    <w:rsid w:val="00653F47"/>
    <w:rsid w:val="00655D33"/>
    <w:rsid w:val="00656304"/>
    <w:rsid w:val="00656EA1"/>
    <w:rsid w:val="00661537"/>
    <w:rsid w:val="00662B38"/>
    <w:rsid w:val="006701F8"/>
    <w:rsid w:val="00672450"/>
    <w:rsid w:val="00674572"/>
    <w:rsid w:val="00675A09"/>
    <w:rsid w:val="00675B8D"/>
    <w:rsid w:val="00680A7E"/>
    <w:rsid w:val="006839E2"/>
    <w:rsid w:val="00683CDF"/>
    <w:rsid w:val="00684E92"/>
    <w:rsid w:val="00687586"/>
    <w:rsid w:val="00696D6B"/>
    <w:rsid w:val="00697216"/>
    <w:rsid w:val="006A0CD5"/>
    <w:rsid w:val="006A398F"/>
    <w:rsid w:val="006A6705"/>
    <w:rsid w:val="006B0861"/>
    <w:rsid w:val="006B4BBE"/>
    <w:rsid w:val="006B631E"/>
    <w:rsid w:val="006B6C51"/>
    <w:rsid w:val="006B712A"/>
    <w:rsid w:val="006C292D"/>
    <w:rsid w:val="006C42AF"/>
    <w:rsid w:val="006C6DF6"/>
    <w:rsid w:val="006C7B89"/>
    <w:rsid w:val="006D18A8"/>
    <w:rsid w:val="006D3C6A"/>
    <w:rsid w:val="006D4842"/>
    <w:rsid w:val="006D517C"/>
    <w:rsid w:val="006D6379"/>
    <w:rsid w:val="006E2010"/>
    <w:rsid w:val="006E21B6"/>
    <w:rsid w:val="006E27E2"/>
    <w:rsid w:val="006F0ED7"/>
    <w:rsid w:val="006F15BB"/>
    <w:rsid w:val="006F35B5"/>
    <w:rsid w:val="006F384A"/>
    <w:rsid w:val="006F5327"/>
    <w:rsid w:val="006F5F05"/>
    <w:rsid w:val="006F7291"/>
    <w:rsid w:val="007021C0"/>
    <w:rsid w:val="00702FC9"/>
    <w:rsid w:val="00704ED5"/>
    <w:rsid w:val="00705A56"/>
    <w:rsid w:val="007069EA"/>
    <w:rsid w:val="007103AB"/>
    <w:rsid w:val="007141B1"/>
    <w:rsid w:val="0071517A"/>
    <w:rsid w:val="007157A2"/>
    <w:rsid w:val="00716DDE"/>
    <w:rsid w:val="00717BB1"/>
    <w:rsid w:val="007214A8"/>
    <w:rsid w:val="007225BA"/>
    <w:rsid w:val="00722E0E"/>
    <w:rsid w:val="007230EE"/>
    <w:rsid w:val="00732B95"/>
    <w:rsid w:val="00741F29"/>
    <w:rsid w:val="00745837"/>
    <w:rsid w:val="007470D8"/>
    <w:rsid w:val="007472E6"/>
    <w:rsid w:val="00750902"/>
    <w:rsid w:val="007518BC"/>
    <w:rsid w:val="00751BD0"/>
    <w:rsid w:val="007522A6"/>
    <w:rsid w:val="00753F29"/>
    <w:rsid w:val="00757438"/>
    <w:rsid w:val="007606A9"/>
    <w:rsid w:val="00762BE0"/>
    <w:rsid w:val="007639F4"/>
    <w:rsid w:val="007705AD"/>
    <w:rsid w:val="00770767"/>
    <w:rsid w:val="0077214E"/>
    <w:rsid w:val="00773E4A"/>
    <w:rsid w:val="00776AE6"/>
    <w:rsid w:val="007771A9"/>
    <w:rsid w:val="00777324"/>
    <w:rsid w:val="0078017F"/>
    <w:rsid w:val="007809E2"/>
    <w:rsid w:val="00783A44"/>
    <w:rsid w:val="00783D10"/>
    <w:rsid w:val="00784C57"/>
    <w:rsid w:val="00787198"/>
    <w:rsid w:val="00787483"/>
    <w:rsid w:val="007928D9"/>
    <w:rsid w:val="00793EA3"/>
    <w:rsid w:val="007941C6"/>
    <w:rsid w:val="00795EFE"/>
    <w:rsid w:val="00797376"/>
    <w:rsid w:val="007A01CF"/>
    <w:rsid w:val="007A4718"/>
    <w:rsid w:val="007A7664"/>
    <w:rsid w:val="007B04F5"/>
    <w:rsid w:val="007B42EA"/>
    <w:rsid w:val="007B5764"/>
    <w:rsid w:val="007B611C"/>
    <w:rsid w:val="007B6F30"/>
    <w:rsid w:val="007C1078"/>
    <w:rsid w:val="007C67B7"/>
    <w:rsid w:val="007D0816"/>
    <w:rsid w:val="007D24F8"/>
    <w:rsid w:val="007D3452"/>
    <w:rsid w:val="007E2A5E"/>
    <w:rsid w:val="007E414F"/>
    <w:rsid w:val="007E4164"/>
    <w:rsid w:val="007E4C0A"/>
    <w:rsid w:val="007E7CFE"/>
    <w:rsid w:val="007E7F67"/>
    <w:rsid w:val="007F34EC"/>
    <w:rsid w:val="007F399A"/>
    <w:rsid w:val="007F3D3A"/>
    <w:rsid w:val="007F4309"/>
    <w:rsid w:val="007F4ACE"/>
    <w:rsid w:val="00801511"/>
    <w:rsid w:val="00801E7C"/>
    <w:rsid w:val="00805B29"/>
    <w:rsid w:val="00807E7E"/>
    <w:rsid w:val="00810465"/>
    <w:rsid w:val="00812B10"/>
    <w:rsid w:val="00814B1A"/>
    <w:rsid w:val="00814B5D"/>
    <w:rsid w:val="00815192"/>
    <w:rsid w:val="00821373"/>
    <w:rsid w:val="00824F30"/>
    <w:rsid w:val="00826E6C"/>
    <w:rsid w:val="0083706B"/>
    <w:rsid w:val="008421D6"/>
    <w:rsid w:val="008422F6"/>
    <w:rsid w:val="00843B68"/>
    <w:rsid w:val="00843BE2"/>
    <w:rsid w:val="00846995"/>
    <w:rsid w:val="00847248"/>
    <w:rsid w:val="0084796F"/>
    <w:rsid w:val="00850FC1"/>
    <w:rsid w:val="00851925"/>
    <w:rsid w:val="00851FD2"/>
    <w:rsid w:val="0085398B"/>
    <w:rsid w:val="00853B01"/>
    <w:rsid w:val="008543EC"/>
    <w:rsid w:val="00854FB1"/>
    <w:rsid w:val="008556DE"/>
    <w:rsid w:val="00856176"/>
    <w:rsid w:val="0085725C"/>
    <w:rsid w:val="00860ACB"/>
    <w:rsid w:val="00861F5C"/>
    <w:rsid w:val="00862EA4"/>
    <w:rsid w:val="00867450"/>
    <w:rsid w:val="008729AA"/>
    <w:rsid w:val="00872BC1"/>
    <w:rsid w:val="008731C1"/>
    <w:rsid w:val="008741D9"/>
    <w:rsid w:val="008748AD"/>
    <w:rsid w:val="00877E05"/>
    <w:rsid w:val="0088076E"/>
    <w:rsid w:val="00885F2D"/>
    <w:rsid w:val="00886122"/>
    <w:rsid w:val="00890281"/>
    <w:rsid w:val="00893FBD"/>
    <w:rsid w:val="008945CE"/>
    <w:rsid w:val="008948B1"/>
    <w:rsid w:val="00896C87"/>
    <w:rsid w:val="008A0190"/>
    <w:rsid w:val="008A023F"/>
    <w:rsid w:val="008A0BFE"/>
    <w:rsid w:val="008A49D0"/>
    <w:rsid w:val="008A4CDB"/>
    <w:rsid w:val="008A7455"/>
    <w:rsid w:val="008B4279"/>
    <w:rsid w:val="008C05E0"/>
    <w:rsid w:val="008C2DD5"/>
    <w:rsid w:val="008D0D67"/>
    <w:rsid w:val="008D1000"/>
    <w:rsid w:val="008D13CE"/>
    <w:rsid w:val="008D177E"/>
    <w:rsid w:val="008D1797"/>
    <w:rsid w:val="008D2216"/>
    <w:rsid w:val="008D3373"/>
    <w:rsid w:val="008D33E3"/>
    <w:rsid w:val="008D44AA"/>
    <w:rsid w:val="008D46BC"/>
    <w:rsid w:val="008D6132"/>
    <w:rsid w:val="008E0291"/>
    <w:rsid w:val="008E1670"/>
    <w:rsid w:val="008E3F9F"/>
    <w:rsid w:val="008F1199"/>
    <w:rsid w:val="008F1728"/>
    <w:rsid w:val="008F1D75"/>
    <w:rsid w:val="008F59B2"/>
    <w:rsid w:val="008F5AE2"/>
    <w:rsid w:val="008F62A9"/>
    <w:rsid w:val="008F6833"/>
    <w:rsid w:val="008F6A86"/>
    <w:rsid w:val="0090007F"/>
    <w:rsid w:val="00901EA9"/>
    <w:rsid w:val="00902726"/>
    <w:rsid w:val="00902C17"/>
    <w:rsid w:val="00903609"/>
    <w:rsid w:val="00905768"/>
    <w:rsid w:val="0090751A"/>
    <w:rsid w:val="0090782B"/>
    <w:rsid w:val="00911A35"/>
    <w:rsid w:val="00913615"/>
    <w:rsid w:val="00913989"/>
    <w:rsid w:val="00914BD6"/>
    <w:rsid w:val="00914EA5"/>
    <w:rsid w:val="00917654"/>
    <w:rsid w:val="00922A30"/>
    <w:rsid w:val="0092364E"/>
    <w:rsid w:val="0092473A"/>
    <w:rsid w:val="009276F8"/>
    <w:rsid w:val="00930D89"/>
    <w:rsid w:val="00931C44"/>
    <w:rsid w:val="00937A73"/>
    <w:rsid w:val="00942886"/>
    <w:rsid w:val="009429F1"/>
    <w:rsid w:val="00942C63"/>
    <w:rsid w:val="00943436"/>
    <w:rsid w:val="009435C3"/>
    <w:rsid w:val="00944490"/>
    <w:rsid w:val="009477A4"/>
    <w:rsid w:val="00947CC3"/>
    <w:rsid w:val="0095004D"/>
    <w:rsid w:val="00952827"/>
    <w:rsid w:val="009564BD"/>
    <w:rsid w:val="009607AC"/>
    <w:rsid w:val="00960925"/>
    <w:rsid w:val="00960D31"/>
    <w:rsid w:val="009679D7"/>
    <w:rsid w:val="00967F8C"/>
    <w:rsid w:val="00972389"/>
    <w:rsid w:val="00973049"/>
    <w:rsid w:val="00975C82"/>
    <w:rsid w:val="0098363C"/>
    <w:rsid w:val="009855DF"/>
    <w:rsid w:val="00987C90"/>
    <w:rsid w:val="00991054"/>
    <w:rsid w:val="00991415"/>
    <w:rsid w:val="00997587"/>
    <w:rsid w:val="00997CDB"/>
    <w:rsid w:val="009A0875"/>
    <w:rsid w:val="009A11EC"/>
    <w:rsid w:val="009A2E30"/>
    <w:rsid w:val="009A336F"/>
    <w:rsid w:val="009A4FD9"/>
    <w:rsid w:val="009A53F1"/>
    <w:rsid w:val="009B1030"/>
    <w:rsid w:val="009B2008"/>
    <w:rsid w:val="009B4675"/>
    <w:rsid w:val="009B53EC"/>
    <w:rsid w:val="009B55F9"/>
    <w:rsid w:val="009B77EB"/>
    <w:rsid w:val="009C1CC3"/>
    <w:rsid w:val="009C224D"/>
    <w:rsid w:val="009C355B"/>
    <w:rsid w:val="009C4816"/>
    <w:rsid w:val="009C653B"/>
    <w:rsid w:val="009C7631"/>
    <w:rsid w:val="009D3B01"/>
    <w:rsid w:val="009D5260"/>
    <w:rsid w:val="009D6C60"/>
    <w:rsid w:val="009F7244"/>
    <w:rsid w:val="00A00CE1"/>
    <w:rsid w:val="00A0255C"/>
    <w:rsid w:val="00A02697"/>
    <w:rsid w:val="00A10535"/>
    <w:rsid w:val="00A1112A"/>
    <w:rsid w:val="00A116A5"/>
    <w:rsid w:val="00A11ADB"/>
    <w:rsid w:val="00A14183"/>
    <w:rsid w:val="00A1692D"/>
    <w:rsid w:val="00A16F2D"/>
    <w:rsid w:val="00A210A2"/>
    <w:rsid w:val="00A2188A"/>
    <w:rsid w:val="00A23196"/>
    <w:rsid w:val="00A268BF"/>
    <w:rsid w:val="00A2737B"/>
    <w:rsid w:val="00A3296F"/>
    <w:rsid w:val="00A33897"/>
    <w:rsid w:val="00A346A9"/>
    <w:rsid w:val="00A353D0"/>
    <w:rsid w:val="00A3641D"/>
    <w:rsid w:val="00A365FA"/>
    <w:rsid w:val="00A415DC"/>
    <w:rsid w:val="00A419FD"/>
    <w:rsid w:val="00A43C41"/>
    <w:rsid w:val="00A5107C"/>
    <w:rsid w:val="00A51D84"/>
    <w:rsid w:val="00A53C22"/>
    <w:rsid w:val="00A54AF3"/>
    <w:rsid w:val="00A57C66"/>
    <w:rsid w:val="00A619E4"/>
    <w:rsid w:val="00A62B68"/>
    <w:rsid w:val="00A631CC"/>
    <w:rsid w:val="00A63BBB"/>
    <w:rsid w:val="00A647C3"/>
    <w:rsid w:val="00A64B8D"/>
    <w:rsid w:val="00A71540"/>
    <w:rsid w:val="00A74356"/>
    <w:rsid w:val="00A7496B"/>
    <w:rsid w:val="00A76EA1"/>
    <w:rsid w:val="00A77650"/>
    <w:rsid w:val="00A77846"/>
    <w:rsid w:val="00A81602"/>
    <w:rsid w:val="00A83427"/>
    <w:rsid w:val="00A83F26"/>
    <w:rsid w:val="00A851C6"/>
    <w:rsid w:val="00A8539E"/>
    <w:rsid w:val="00A87D47"/>
    <w:rsid w:val="00A9328F"/>
    <w:rsid w:val="00A95151"/>
    <w:rsid w:val="00A962F7"/>
    <w:rsid w:val="00AA4E9A"/>
    <w:rsid w:val="00AA52C5"/>
    <w:rsid w:val="00AA6F3A"/>
    <w:rsid w:val="00AB0062"/>
    <w:rsid w:val="00AB3288"/>
    <w:rsid w:val="00AC027C"/>
    <w:rsid w:val="00AC3474"/>
    <w:rsid w:val="00AC3FA1"/>
    <w:rsid w:val="00AC65F4"/>
    <w:rsid w:val="00AC6671"/>
    <w:rsid w:val="00AC762A"/>
    <w:rsid w:val="00AD0FB2"/>
    <w:rsid w:val="00AD2620"/>
    <w:rsid w:val="00AD312D"/>
    <w:rsid w:val="00AD3AA3"/>
    <w:rsid w:val="00AD3B26"/>
    <w:rsid w:val="00AD4475"/>
    <w:rsid w:val="00AE0A74"/>
    <w:rsid w:val="00AE1F33"/>
    <w:rsid w:val="00AE2472"/>
    <w:rsid w:val="00AE3B49"/>
    <w:rsid w:val="00AE4348"/>
    <w:rsid w:val="00AE4378"/>
    <w:rsid w:val="00AE7163"/>
    <w:rsid w:val="00AF42B2"/>
    <w:rsid w:val="00AF6836"/>
    <w:rsid w:val="00AF76EE"/>
    <w:rsid w:val="00B00CDB"/>
    <w:rsid w:val="00B02048"/>
    <w:rsid w:val="00B020F4"/>
    <w:rsid w:val="00B02E46"/>
    <w:rsid w:val="00B02FA0"/>
    <w:rsid w:val="00B0627D"/>
    <w:rsid w:val="00B07977"/>
    <w:rsid w:val="00B1073F"/>
    <w:rsid w:val="00B26B2D"/>
    <w:rsid w:val="00B34639"/>
    <w:rsid w:val="00B3530C"/>
    <w:rsid w:val="00B36F35"/>
    <w:rsid w:val="00B37E1E"/>
    <w:rsid w:val="00B44F3A"/>
    <w:rsid w:val="00B4523D"/>
    <w:rsid w:val="00B45C9E"/>
    <w:rsid w:val="00B47031"/>
    <w:rsid w:val="00B4746B"/>
    <w:rsid w:val="00B54EDD"/>
    <w:rsid w:val="00B565B7"/>
    <w:rsid w:val="00B57F12"/>
    <w:rsid w:val="00B60EA2"/>
    <w:rsid w:val="00B61392"/>
    <w:rsid w:val="00B61742"/>
    <w:rsid w:val="00B64111"/>
    <w:rsid w:val="00B64368"/>
    <w:rsid w:val="00B70875"/>
    <w:rsid w:val="00B710FC"/>
    <w:rsid w:val="00B719F9"/>
    <w:rsid w:val="00B723F3"/>
    <w:rsid w:val="00B74CF3"/>
    <w:rsid w:val="00B77420"/>
    <w:rsid w:val="00B801F8"/>
    <w:rsid w:val="00B8313B"/>
    <w:rsid w:val="00B8559D"/>
    <w:rsid w:val="00B862B1"/>
    <w:rsid w:val="00B8650A"/>
    <w:rsid w:val="00B9262E"/>
    <w:rsid w:val="00B94C00"/>
    <w:rsid w:val="00B958B9"/>
    <w:rsid w:val="00B96917"/>
    <w:rsid w:val="00B96FD4"/>
    <w:rsid w:val="00BA057E"/>
    <w:rsid w:val="00BA7017"/>
    <w:rsid w:val="00BB1ABE"/>
    <w:rsid w:val="00BB3A91"/>
    <w:rsid w:val="00BB69F5"/>
    <w:rsid w:val="00BC0217"/>
    <w:rsid w:val="00BC0AE2"/>
    <w:rsid w:val="00BC101E"/>
    <w:rsid w:val="00BC1306"/>
    <w:rsid w:val="00BC37B1"/>
    <w:rsid w:val="00BC5C5B"/>
    <w:rsid w:val="00BC67F8"/>
    <w:rsid w:val="00BC6932"/>
    <w:rsid w:val="00BD051A"/>
    <w:rsid w:val="00BD251B"/>
    <w:rsid w:val="00BD2D03"/>
    <w:rsid w:val="00BD5772"/>
    <w:rsid w:val="00BD5833"/>
    <w:rsid w:val="00BD6A0E"/>
    <w:rsid w:val="00BE409B"/>
    <w:rsid w:val="00BE5AA1"/>
    <w:rsid w:val="00BE5CB7"/>
    <w:rsid w:val="00BE6877"/>
    <w:rsid w:val="00BF106A"/>
    <w:rsid w:val="00BF1AB5"/>
    <w:rsid w:val="00BF34DA"/>
    <w:rsid w:val="00BF3856"/>
    <w:rsid w:val="00BF4D40"/>
    <w:rsid w:val="00BF6204"/>
    <w:rsid w:val="00C01FD8"/>
    <w:rsid w:val="00C04330"/>
    <w:rsid w:val="00C06F40"/>
    <w:rsid w:val="00C107F4"/>
    <w:rsid w:val="00C14691"/>
    <w:rsid w:val="00C15DB1"/>
    <w:rsid w:val="00C17619"/>
    <w:rsid w:val="00C176A1"/>
    <w:rsid w:val="00C20DFD"/>
    <w:rsid w:val="00C21D24"/>
    <w:rsid w:val="00C2224C"/>
    <w:rsid w:val="00C22A5A"/>
    <w:rsid w:val="00C23470"/>
    <w:rsid w:val="00C2554D"/>
    <w:rsid w:val="00C26182"/>
    <w:rsid w:val="00C306BA"/>
    <w:rsid w:val="00C32C2C"/>
    <w:rsid w:val="00C35285"/>
    <w:rsid w:val="00C359F4"/>
    <w:rsid w:val="00C36FF1"/>
    <w:rsid w:val="00C374FB"/>
    <w:rsid w:val="00C3776A"/>
    <w:rsid w:val="00C419DF"/>
    <w:rsid w:val="00C467C5"/>
    <w:rsid w:val="00C467F1"/>
    <w:rsid w:val="00C51D44"/>
    <w:rsid w:val="00C53A8F"/>
    <w:rsid w:val="00C53C48"/>
    <w:rsid w:val="00C53DDF"/>
    <w:rsid w:val="00C54E46"/>
    <w:rsid w:val="00C57FAC"/>
    <w:rsid w:val="00C66208"/>
    <w:rsid w:val="00C6703A"/>
    <w:rsid w:val="00C702B4"/>
    <w:rsid w:val="00C70483"/>
    <w:rsid w:val="00C70AAE"/>
    <w:rsid w:val="00C72870"/>
    <w:rsid w:val="00C74562"/>
    <w:rsid w:val="00C817C7"/>
    <w:rsid w:val="00C8280B"/>
    <w:rsid w:val="00C842F0"/>
    <w:rsid w:val="00C84B68"/>
    <w:rsid w:val="00C90C08"/>
    <w:rsid w:val="00C92628"/>
    <w:rsid w:val="00C92C18"/>
    <w:rsid w:val="00C93111"/>
    <w:rsid w:val="00C93F04"/>
    <w:rsid w:val="00C95E29"/>
    <w:rsid w:val="00C97C70"/>
    <w:rsid w:val="00CA129F"/>
    <w:rsid w:val="00CA15C0"/>
    <w:rsid w:val="00CA5DDD"/>
    <w:rsid w:val="00CB044D"/>
    <w:rsid w:val="00CB2E07"/>
    <w:rsid w:val="00CB3674"/>
    <w:rsid w:val="00CB7C0E"/>
    <w:rsid w:val="00CC0CB2"/>
    <w:rsid w:val="00CC3425"/>
    <w:rsid w:val="00CC3756"/>
    <w:rsid w:val="00CC3B52"/>
    <w:rsid w:val="00CC5174"/>
    <w:rsid w:val="00CC53D5"/>
    <w:rsid w:val="00CD1918"/>
    <w:rsid w:val="00CD3EA7"/>
    <w:rsid w:val="00CD41FC"/>
    <w:rsid w:val="00CD4B0A"/>
    <w:rsid w:val="00CD4CFE"/>
    <w:rsid w:val="00CE0F64"/>
    <w:rsid w:val="00CE19FC"/>
    <w:rsid w:val="00CE219E"/>
    <w:rsid w:val="00CE3B5D"/>
    <w:rsid w:val="00CE5587"/>
    <w:rsid w:val="00CE66AC"/>
    <w:rsid w:val="00CF13A8"/>
    <w:rsid w:val="00CF303E"/>
    <w:rsid w:val="00CF53F3"/>
    <w:rsid w:val="00CF59A0"/>
    <w:rsid w:val="00CF71D3"/>
    <w:rsid w:val="00CF77AC"/>
    <w:rsid w:val="00D01C84"/>
    <w:rsid w:val="00D034E1"/>
    <w:rsid w:val="00D0429C"/>
    <w:rsid w:val="00D050CF"/>
    <w:rsid w:val="00D05A88"/>
    <w:rsid w:val="00D05BB6"/>
    <w:rsid w:val="00D0796B"/>
    <w:rsid w:val="00D07FD0"/>
    <w:rsid w:val="00D10F49"/>
    <w:rsid w:val="00D13AD5"/>
    <w:rsid w:val="00D16814"/>
    <w:rsid w:val="00D16B74"/>
    <w:rsid w:val="00D16B8D"/>
    <w:rsid w:val="00D17FB1"/>
    <w:rsid w:val="00D17FB3"/>
    <w:rsid w:val="00D21101"/>
    <w:rsid w:val="00D22383"/>
    <w:rsid w:val="00D331FF"/>
    <w:rsid w:val="00D35623"/>
    <w:rsid w:val="00D37555"/>
    <w:rsid w:val="00D414EA"/>
    <w:rsid w:val="00D42317"/>
    <w:rsid w:val="00D43F9A"/>
    <w:rsid w:val="00D441B0"/>
    <w:rsid w:val="00D4457A"/>
    <w:rsid w:val="00D44714"/>
    <w:rsid w:val="00D4487A"/>
    <w:rsid w:val="00D45990"/>
    <w:rsid w:val="00D50F12"/>
    <w:rsid w:val="00D57AB2"/>
    <w:rsid w:val="00D60CA4"/>
    <w:rsid w:val="00D66D0E"/>
    <w:rsid w:val="00D67A3E"/>
    <w:rsid w:val="00D7276F"/>
    <w:rsid w:val="00D753F9"/>
    <w:rsid w:val="00D76C0B"/>
    <w:rsid w:val="00D805C0"/>
    <w:rsid w:val="00D81720"/>
    <w:rsid w:val="00D85D2B"/>
    <w:rsid w:val="00D91BEC"/>
    <w:rsid w:val="00D96593"/>
    <w:rsid w:val="00D9668F"/>
    <w:rsid w:val="00DA2DC5"/>
    <w:rsid w:val="00DA3A68"/>
    <w:rsid w:val="00DA46DF"/>
    <w:rsid w:val="00DA57A4"/>
    <w:rsid w:val="00DA730C"/>
    <w:rsid w:val="00DA7521"/>
    <w:rsid w:val="00DA79AE"/>
    <w:rsid w:val="00DB0C63"/>
    <w:rsid w:val="00DB0F10"/>
    <w:rsid w:val="00DB1C54"/>
    <w:rsid w:val="00DB3C25"/>
    <w:rsid w:val="00DB65C5"/>
    <w:rsid w:val="00DB6754"/>
    <w:rsid w:val="00DB7385"/>
    <w:rsid w:val="00DC02E9"/>
    <w:rsid w:val="00DC49D1"/>
    <w:rsid w:val="00DC5D2A"/>
    <w:rsid w:val="00DC72BD"/>
    <w:rsid w:val="00DD02FC"/>
    <w:rsid w:val="00DD065F"/>
    <w:rsid w:val="00DD2996"/>
    <w:rsid w:val="00DD51C2"/>
    <w:rsid w:val="00DD6E86"/>
    <w:rsid w:val="00DE146C"/>
    <w:rsid w:val="00DE4C9C"/>
    <w:rsid w:val="00DE5FAD"/>
    <w:rsid w:val="00DE6459"/>
    <w:rsid w:val="00DF0B7A"/>
    <w:rsid w:val="00DF229A"/>
    <w:rsid w:val="00DF247B"/>
    <w:rsid w:val="00DF33BE"/>
    <w:rsid w:val="00DF5D1A"/>
    <w:rsid w:val="00DF5D3D"/>
    <w:rsid w:val="00DF5F20"/>
    <w:rsid w:val="00E0493A"/>
    <w:rsid w:val="00E04B78"/>
    <w:rsid w:val="00E04CD6"/>
    <w:rsid w:val="00E05179"/>
    <w:rsid w:val="00E06654"/>
    <w:rsid w:val="00E0727A"/>
    <w:rsid w:val="00E1304C"/>
    <w:rsid w:val="00E14226"/>
    <w:rsid w:val="00E15A26"/>
    <w:rsid w:val="00E20461"/>
    <w:rsid w:val="00E218EF"/>
    <w:rsid w:val="00E22C05"/>
    <w:rsid w:val="00E23C91"/>
    <w:rsid w:val="00E26D2A"/>
    <w:rsid w:val="00E31141"/>
    <w:rsid w:val="00E31235"/>
    <w:rsid w:val="00E33C54"/>
    <w:rsid w:val="00E33EE1"/>
    <w:rsid w:val="00E3476C"/>
    <w:rsid w:val="00E37A1C"/>
    <w:rsid w:val="00E41252"/>
    <w:rsid w:val="00E43988"/>
    <w:rsid w:val="00E451E5"/>
    <w:rsid w:val="00E46D8D"/>
    <w:rsid w:val="00E50B99"/>
    <w:rsid w:val="00E53BC2"/>
    <w:rsid w:val="00E55063"/>
    <w:rsid w:val="00E5721A"/>
    <w:rsid w:val="00E61C7F"/>
    <w:rsid w:val="00E6243A"/>
    <w:rsid w:val="00E62894"/>
    <w:rsid w:val="00E6464D"/>
    <w:rsid w:val="00E66385"/>
    <w:rsid w:val="00E70F7B"/>
    <w:rsid w:val="00E717F9"/>
    <w:rsid w:val="00E71EF2"/>
    <w:rsid w:val="00E739BA"/>
    <w:rsid w:val="00E773A9"/>
    <w:rsid w:val="00E80CE8"/>
    <w:rsid w:val="00E81E53"/>
    <w:rsid w:val="00E81F37"/>
    <w:rsid w:val="00E845B4"/>
    <w:rsid w:val="00E84BD0"/>
    <w:rsid w:val="00E85AEE"/>
    <w:rsid w:val="00E8644D"/>
    <w:rsid w:val="00E8716F"/>
    <w:rsid w:val="00E913B3"/>
    <w:rsid w:val="00E91EC1"/>
    <w:rsid w:val="00E92ABB"/>
    <w:rsid w:val="00E937F4"/>
    <w:rsid w:val="00E94AE8"/>
    <w:rsid w:val="00EA2EC6"/>
    <w:rsid w:val="00EA403D"/>
    <w:rsid w:val="00EA795C"/>
    <w:rsid w:val="00EB07F9"/>
    <w:rsid w:val="00EB5254"/>
    <w:rsid w:val="00EC2273"/>
    <w:rsid w:val="00EC600E"/>
    <w:rsid w:val="00ED34A2"/>
    <w:rsid w:val="00ED6CF4"/>
    <w:rsid w:val="00ED6D97"/>
    <w:rsid w:val="00ED79CF"/>
    <w:rsid w:val="00EE28CC"/>
    <w:rsid w:val="00EE2CF7"/>
    <w:rsid w:val="00EE712C"/>
    <w:rsid w:val="00EE74AC"/>
    <w:rsid w:val="00EF1B2A"/>
    <w:rsid w:val="00EF24F2"/>
    <w:rsid w:val="00EF4159"/>
    <w:rsid w:val="00EF4991"/>
    <w:rsid w:val="00EF4AA8"/>
    <w:rsid w:val="00EF4F0B"/>
    <w:rsid w:val="00F004AE"/>
    <w:rsid w:val="00F042DD"/>
    <w:rsid w:val="00F06124"/>
    <w:rsid w:val="00F1316D"/>
    <w:rsid w:val="00F140C0"/>
    <w:rsid w:val="00F20505"/>
    <w:rsid w:val="00F20B11"/>
    <w:rsid w:val="00F21600"/>
    <w:rsid w:val="00F229B0"/>
    <w:rsid w:val="00F22CB8"/>
    <w:rsid w:val="00F22EE1"/>
    <w:rsid w:val="00F23033"/>
    <w:rsid w:val="00F23940"/>
    <w:rsid w:val="00F2459B"/>
    <w:rsid w:val="00F25027"/>
    <w:rsid w:val="00F251BC"/>
    <w:rsid w:val="00F27358"/>
    <w:rsid w:val="00F27D31"/>
    <w:rsid w:val="00F31EC8"/>
    <w:rsid w:val="00F36B9C"/>
    <w:rsid w:val="00F370D4"/>
    <w:rsid w:val="00F41CEC"/>
    <w:rsid w:val="00F42A19"/>
    <w:rsid w:val="00F43977"/>
    <w:rsid w:val="00F43C54"/>
    <w:rsid w:val="00F44055"/>
    <w:rsid w:val="00F44D1E"/>
    <w:rsid w:val="00F457C3"/>
    <w:rsid w:val="00F46F22"/>
    <w:rsid w:val="00F47342"/>
    <w:rsid w:val="00F478DB"/>
    <w:rsid w:val="00F50779"/>
    <w:rsid w:val="00F52DD5"/>
    <w:rsid w:val="00F56CF1"/>
    <w:rsid w:val="00F56E21"/>
    <w:rsid w:val="00F601F5"/>
    <w:rsid w:val="00F630C3"/>
    <w:rsid w:val="00F67D42"/>
    <w:rsid w:val="00F701A5"/>
    <w:rsid w:val="00F70FF3"/>
    <w:rsid w:val="00F73BBC"/>
    <w:rsid w:val="00F75CEA"/>
    <w:rsid w:val="00F76048"/>
    <w:rsid w:val="00F7662D"/>
    <w:rsid w:val="00F76AE2"/>
    <w:rsid w:val="00F8053E"/>
    <w:rsid w:val="00F806CE"/>
    <w:rsid w:val="00F81FF6"/>
    <w:rsid w:val="00F82BDE"/>
    <w:rsid w:val="00F83928"/>
    <w:rsid w:val="00F83DC5"/>
    <w:rsid w:val="00F861FD"/>
    <w:rsid w:val="00F87FE9"/>
    <w:rsid w:val="00F90483"/>
    <w:rsid w:val="00F90B6B"/>
    <w:rsid w:val="00F934DD"/>
    <w:rsid w:val="00F942F0"/>
    <w:rsid w:val="00F95522"/>
    <w:rsid w:val="00F96666"/>
    <w:rsid w:val="00F974D3"/>
    <w:rsid w:val="00FA241B"/>
    <w:rsid w:val="00FA3CD7"/>
    <w:rsid w:val="00FA4DC3"/>
    <w:rsid w:val="00FA530F"/>
    <w:rsid w:val="00FA6127"/>
    <w:rsid w:val="00FA6F22"/>
    <w:rsid w:val="00FA6FEB"/>
    <w:rsid w:val="00FA710D"/>
    <w:rsid w:val="00FA750B"/>
    <w:rsid w:val="00FA7BC8"/>
    <w:rsid w:val="00FB0E78"/>
    <w:rsid w:val="00FB35A5"/>
    <w:rsid w:val="00FB39CB"/>
    <w:rsid w:val="00FB5556"/>
    <w:rsid w:val="00FB5D5A"/>
    <w:rsid w:val="00FB6545"/>
    <w:rsid w:val="00FC05D5"/>
    <w:rsid w:val="00FC4C12"/>
    <w:rsid w:val="00FC6C90"/>
    <w:rsid w:val="00FC6DA8"/>
    <w:rsid w:val="00FC7383"/>
    <w:rsid w:val="00FC7F6D"/>
    <w:rsid w:val="00FD0781"/>
    <w:rsid w:val="00FD2656"/>
    <w:rsid w:val="00FD78F3"/>
    <w:rsid w:val="00FE032A"/>
    <w:rsid w:val="00FE1B0C"/>
    <w:rsid w:val="00FE2F71"/>
    <w:rsid w:val="00FE6AD3"/>
    <w:rsid w:val="00FE6E1C"/>
    <w:rsid w:val="00FE6EE0"/>
    <w:rsid w:val="00FF18E7"/>
    <w:rsid w:val="00FF1DB3"/>
    <w:rsid w:val="00FF22EC"/>
    <w:rsid w:val="00FF697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8DD82A"/>
  <w15:chartTrackingRefBased/>
  <w15:docId w15:val="{E6A66693-A318-4628-A84C-8A97300E3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A57A4"/>
    <w:pPr>
      <w:keepNext/>
      <w:keepLines/>
      <w:spacing w:before="360" w:after="80"/>
      <w:outlineLvl w:val="0"/>
    </w:pPr>
    <w:rPr>
      <w:rFonts w:asciiTheme="majorHAnsi" w:eastAsiaTheme="majorEastAsia" w:hAnsiTheme="majorHAnsi" w:cstheme="majorBidi"/>
      <w:color w:val="0F4761" w:themeColor="accent1" w:themeShade="BF"/>
      <w:sz w:val="40"/>
      <w:szCs w:val="40"/>
      <w:lang w:val="en-GB"/>
    </w:rPr>
  </w:style>
  <w:style w:type="paragraph" w:styleId="Ttulo2">
    <w:name w:val="heading 2"/>
    <w:basedOn w:val="Normal"/>
    <w:next w:val="Normal"/>
    <w:link w:val="Ttulo2Car"/>
    <w:uiPriority w:val="9"/>
    <w:unhideWhenUsed/>
    <w:qFormat/>
    <w:rsid w:val="009D3B01"/>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Ttulo3">
    <w:name w:val="heading 3"/>
    <w:basedOn w:val="Normal"/>
    <w:next w:val="Normal"/>
    <w:link w:val="Ttulo3Car"/>
    <w:uiPriority w:val="9"/>
    <w:semiHidden/>
    <w:unhideWhenUsed/>
    <w:qFormat/>
    <w:rsid w:val="00185C55"/>
    <w:pPr>
      <w:keepNext/>
      <w:keepLines/>
      <w:spacing w:before="160" w:after="80"/>
      <w:outlineLvl w:val="2"/>
    </w:pPr>
    <w:rPr>
      <w:rFonts w:asciiTheme="minorHAnsi" w:eastAsiaTheme="majorEastAsia" w:hAnsiTheme="minorHAnsi" w:cstheme="majorBidi"/>
      <w:color w:val="0F4761" w:themeColor="accent1" w:themeShade="BF"/>
      <w:sz w:val="28"/>
      <w:szCs w:val="28"/>
      <w:lang w:val="en-GB"/>
    </w:rPr>
  </w:style>
  <w:style w:type="paragraph" w:styleId="Ttulo4">
    <w:name w:val="heading 4"/>
    <w:basedOn w:val="Normal"/>
    <w:next w:val="Normal"/>
    <w:link w:val="Ttulo4Car"/>
    <w:uiPriority w:val="9"/>
    <w:semiHidden/>
    <w:unhideWhenUsed/>
    <w:qFormat/>
    <w:rsid w:val="00185C55"/>
    <w:pPr>
      <w:keepNext/>
      <w:keepLines/>
      <w:spacing w:before="80" w:after="40"/>
      <w:outlineLvl w:val="3"/>
    </w:pPr>
    <w:rPr>
      <w:rFonts w:asciiTheme="minorHAnsi" w:eastAsiaTheme="majorEastAsia" w:hAnsiTheme="minorHAnsi" w:cstheme="majorBidi"/>
      <w:i/>
      <w:iCs/>
      <w:color w:val="0F4761" w:themeColor="accent1" w:themeShade="BF"/>
      <w:lang w:val="en-GB"/>
    </w:rPr>
  </w:style>
  <w:style w:type="paragraph" w:styleId="Ttulo5">
    <w:name w:val="heading 5"/>
    <w:basedOn w:val="Normal"/>
    <w:next w:val="Normal"/>
    <w:link w:val="Ttulo5Car"/>
    <w:uiPriority w:val="9"/>
    <w:unhideWhenUsed/>
    <w:qFormat/>
    <w:rsid w:val="00185C55"/>
    <w:pPr>
      <w:keepNext/>
      <w:keepLines/>
      <w:spacing w:before="80" w:after="40"/>
      <w:outlineLvl w:val="4"/>
    </w:pPr>
    <w:rPr>
      <w:rFonts w:asciiTheme="minorHAnsi" w:eastAsiaTheme="majorEastAsia" w:hAnsiTheme="minorHAnsi" w:cstheme="majorBidi"/>
      <w:color w:val="0F4761" w:themeColor="accent1" w:themeShade="BF"/>
      <w:lang w:val="en-GB"/>
    </w:rPr>
  </w:style>
  <w:style w:type="paragraph" w:styleId="Ttulo6">
    <w:name w:val="heading 6"/>
    <w:basedOn w:val="Normal"/>
    <w:next w:val="Normal"/>
    <w:link w:val="Ttulo6Car"/>
    <w:uiPriority w:val="9"/>
    <w:semiHidden/>
    <w:unhideWhenUsed/>
    <w:qFormat/>
    <w:rsid w:val="00185C55"/>
    <w:pPr>
      <w:keepNext/>
      <w:keepLines/>
      <w:spacing w:before="40" w:after="0"/>
      <w:outlineLvl w:val="5"/>
    </w:pPr>
    <w:rPr>
      <w:rFonts w:asciiTheme="minorHAnsi" w:eastAsiaTheme="majorEastAsia" w:hAnsiTheme="minorHAnsi" w:cstheme="majorBidi"/>
      <w:i/>
      <w:iCs/>
      <w:color w:val="595959" w:themeColor="text1" w:themeTint="A6"/>
      <w:lang w:val="en-GB"/>
    </w:rPr>
  </w:style>
  <w:style w:type="paragraph" w:styleId="Ttulo7">
    <w:name w:val="heading 7"/>
    <w:basedOn w:val="Normal"/>
    <w:next w:val="Normal"/>
    <w:link w:val="Ttulo7Car"/>
    <w:uiPriority w:val="9"/>
    <w:semiHidden/>
    <w:unhideWhenUsed/>
    <w:qFormat/>
    <w:rsid w:val="009D3B01"/>
    <w:pPr>
      <w:keepNext/>
      <w:keepLines/>
      <w:spacing w:before="40" w:after="0"/>
      <w:outlineLvl w:val="6"/>
    </w:pPr>
    <w:rPr>
      <w:rFonts w:asciiTheme="majorHAnsi" w:eastAsiaTheme="majorEastAsia" w:hAnsiTheme="majorHAnsi" w:cstheme="majorBidi"/>
      <w:i/>
      <w:iCs/>
      <w:color w:val="0A2F40" w:themeColor="accent1" w:themeShade="7F"/>
    </w:rPr>
  </w:style>
  <w:style w:type="paragraph" w:styleId="Ttulo8">
    <w:name w:val="heading 8"/>
    <w:basedOn w:val="Normal"/>
    <w:next w:val="Normal"/>
    <w:link w:val="Ttulo8Car"/>
    <w:uiPriority w:val="9"/>
    <w:semiHidden/>
    <w:unhideWhenUsed/>
    <w:qFormat/>
    <w:rsid w:val="00185C55"/>
    <w:pPr>
      <w:keepNext/>
      <w:keepLines/>
      <w:spacing w:after="0"/>
      <w:outlineLvl w:val="7"/>
    </w:pPr>
    <w:rPr>
      <w:rFonts w:asciiTheme="minorHAnsi" w:eastAsiaTheme="majorEastAsia" w:hAnsiTheme="minorHAnsi" w:cstheme="majorBidi"/>
      <w:i/>
      <w:iCs/>
      <w:color w:val="272727"/>
      <w:lang w:val="en-GB"/>
    </w:rPr>
  </w:style>
  <w:style w:type="paragraph" w:styleId="Ttulo9">
    <w:name w:val="heading 9"/>
    <w:basedOn w:val="Normal"/>
    <w:next w:val="Normal"/>
    <w:link w:val="Ttulo9Car"/>
    <w:uiPriority w:val="9"/>
    <w:semiHidden/>
    <w:unhideWhenUsed/>
    <w:qFormat/>
    <w:rsid w:val="00185C55"/>
    <w:pPr>
      <w:keepNext/>
      <w:keepLines/>
      <w:spacing w:after="0"/>
      <w:outlineLvl w:val="8"/>
    </w:pPr>
    <w:rPr>
      <w:rFonts w:asciiTheme="minorHAnsi" w:eastAsiaTheme="majorEastAsia" w:hAnsiTheme="minorHAnsi" w:cstheme="majorBidi"/>
      <w:color w:val="272727"/>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A57A4"/>
    <w:rPr>
      <w:rFonts w:asciiTheme="majorHAnsi" w:eastAsiaTheme="majorEastAsia" w:hAnsiTheme="majorHAnsi" w:cstheme="majorBidi"/>
      <w:color w:val="0F4761" w:themeColor="accent1" w:themeShade="BF"/>
      <w:sz w:val="40"/>
      <w:szCs w:val="40"/>
      <w:lang w:val="en-GB"/>
    </w:rPr>
  </w:style>
  <w:style w:type="paragraph" w:styleId="Descripcin">
    <w:name w:val="caption"/>
    <w:basedOn w:val="Normal"/>
    <w:next w:val="Normal"/>
    <w:uiPriority w:val="35"/>
    <w:unhideWhenUsed/>
    <w:qFormat/>
    <w:rsid w:val="00991415"/>
    <w:pPr>
      <w:spacing w:after="200" w:line="240" w:lineRule="auto"/>
    </w:pPr>
    <w:rPr>
      <w:i/>
      <w:iCs/>
      <w:color w:val="0E2841" w:themeColor="text2"/>
      <w:sz w:val="18"/>
      <w:szCs w:val="18"/>
    </w:rPr>
  </w:style>
  <w:style w:type="paragraph" w:styleId="Textonotaalfinal">
    <w:name w:val="endnote text"/>
    <w:basedOn w:val="Normal"/>
    <w:link w:val="TextonotaalfinalCar"/>
    <w:uiPriority w:val="99"/>
    <w:semiHidden/>
    <w:unhideWhenUsed/>
    <w:rsid w:val="007C107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C1078"/>
    <w:rPr>
      <w:sz w:val="20"/>
      <w:szCs w:val="20"/>
    </w:rPr>
  </w:style>
  <w:style w:type="character" w:styleId="Refdenotaalfinal">
    <w:name w:val="endnote reference"/>
    <w:basedOn w:val="Fuentedeprrafopredeter"/>
    <w:uiPriority w:val="99"/>
    <w:semiHidden/>
    <w:unhideWhenUsed/>
    <w:rsid w:val="007C1078"/>
    <w:rPr>
      <w:vertAlign w:val="superscript"/>
    </w:rPr>
  </w:style>
  <w:style w:type="character" w:styleId="Refdecomentario">
    <w:name w:val="annotation reference"/>
    <w:basedOn w:val="Fuentedeprrafopredeter"/>
    <w:uiPriority w:val="99"/>
    <w:semiHidden/>
    <w:unhideWhenUsed/>
    <w:rsid w:val="00A8539E"/>
    <w:rPr>
      <w:sz w:val="16"/>
      <w:szCs w:val="16"/>
    </w:rPr>
  </w:style>
  <w:style w:type="paragraph" w:styleId="Textocomentario">
    <w:name w:val="annotation text"/>
    <w:basedOn w:val="Normal"/>
    <w:link w:val="TextocomentarioCar"/>
    <w:uiPriority w:val="99"/>
    <w:unhideWhenUsed/>
    <w:rsid w:val="00A8539E"/>
    <w:pPr>
      <w:spacing w:line="240" w:lineRule="auto"/>
    </w:pPr>
    <w:rPr>
      <w:sz w:val="20"/>
      <w:szCs w:val="20"/>
    </w:rPr>
  </w:style>
  <w:style w:type="character" w:customStyle="1" w:styleId="TextocomentarioCar">
    <w:name w:val="Texto comentario Car"/>
    <w:basedOn w:val="Fuentedeprrafopredeter"/>
    <w:link w:val="Textocomentario"/>
    <w:uiPriority w:val="99"/>
    <w:rsid w:val="00A8539E"/>
    <w:rPr>
      <w:sz w:val="20"/>
      <w:szCs w:val="20"/>
    </w:rPr>
  </w:style>
  <w:style w:type="paragraph" w:styleId="Asuntodelcomentario">
    <w:name w:val="annotation subject"/>
    <w:basedOn w:val="Textocomentario"/>
    <w:next w:val="Textocomentario"/>
    <w:link w:val="AsuntodelcomentarioCar"/>
    <w:uiPriority w:val="99"/>
    <w:semiHidden/>
    <w:unhideWhenUsed/>
    <w:rsid w:val="00A8539E"/>
    <w:rPr>
      <w:b/>
      <w:bCs/>
    </w:rPr>
  </w:style>
  <w:style w:type="character" w:customStyle="1" w:styleId="AsuntodelcomentarioCar">
    <w:name w:val="Asunto del comentario Car"/>
    <w:basedOn w:val="TextocomentarioCar"/>
    <w:link w:val="Asuntodelcomentario"/>
    <w:uiPriority w:val="99"/>
    <w:semiHidden/>
    <w:rsid w:val="00A8539E"/>
    <w:rPr>
      <w:b/>
      <w:bCs/>
      <w:sz w:val="20"/>
      <w:szCs w:val="20"/>
    </w:rPr>
  </w:style>
  <w:style w:type="paragraph" w:styleId="Prrafodelista">
    <w:name w:val="List Paragraph"/>
    <w:basedOn w:val="Normal"/>
    <w:uiPriority w:val="34"/>
    <w:qFormat/>
    <w:rsid w:val="00DB1C54"/>
    <w:pPr>
      <w:ind w:left="720"/>
      <w:contextualSpacing/>
    </w:pPr>
  </w:style>
  <w:style w:type="paragraph" w:styleId="Revisin">
    <w:name w:val="Revision"/>
    <w:hidden/>
    <w:uiPriority w:val="99"/>
    <w:semiHidden/>
    <w:rsid w:val="00246933"/>
    <w:pPr>
      <w:spacing w:after="0" w:line="240" w:lineRule="auto"/>
    </w:pPr>
  </w:style>
  <w:style w:type="character" w:styleId="Hipervnculo">
    <w:name w:val="Hyperlink"/>
    <w:basedOn w:val="Fuentedeprrafopredeter"/>
    <w:uiPriority w:val="99"/>
    <w:unhideWhenUsed/>
    <w:rsid w:val="00255660"/>
    <w:rPr>
      <w:color w:val="0000FF"/>
      <w:u w:val="single"/>
    </w:rPr>
  </w:style>
  <w:style w:type="paragraph" w:styleId="Textonotapie">
    <w:name w:val="footnote text"/>
    <w:basedOn w:val="Normal"/>
    <w:link w:val="TextonotapieCar"/>
    <w:uiPriority w:val="99"/>
    <w:unhideWhenUsed/>
    <w:rsid w:val="00545027"/>
    <w:pPr>
      <w:spacing w:after="0" w:line="240" w:lineRule="auto"/>
    </w:pPr>
    <w:rPr>
      <w:sz w:val="20"/>
      <w:szCs w:val="20"/>
    </w:rPr>
  </w:style>
  <w:style w:type="character" w:customStyle="1" w:styleId="TextonotapieCar">
    <w:name w:val="Texto nota pie Car"/>
    <w:basedOn w:val="Fuentedeprrafopredeter"/>
    <w:link w:val="Textonotapie"/>
    <w:uiPriority w:val="99"/>
    <w:rsid w:val="00545027"/>
    <w:rPr>
      <w:sz w:val="20"/>
      <w:szCs w:val="20"/>
    </w:rPr>
  </w:style>
  <w:style w:type="character" w:styleId="Refdenotaalpie">
    <w:name w:val="footnote reference"/>
    <w:basedOn w:val="Fuentedeprrafopredeter"/>
    <w:uiPriority w:val="99"/>
    <w:semiHidden/>
    <w:unhideWhenUsed/>
    <w:rsid w:val="00545027"/>
    <w:rPr>
      <w:vertAlign w:val="superscript"/>
    </w:rPr>
  </w:style>
  <w:style w:type="paragraph" w:styleId="Encabezado">
    <w:name w:val="header"/>
    <w:basedOn w:val="Normal"/>
    <w:link w:val="EncabezadoCar"/>
    <w:uiPriority w:val="99"/>
    <w:unhideWhenUsed/>
    <w:rsid w:val="005450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45027"/>
  </w:style>
  <w:style w:type="paragraph" w:styleId="Piedepgina">
    <w:name w:val="footer"/>
    <w:basedOn w:val="Normal"/>
    <w:link w:val="PiedepginaCar"/>
    <w:uiPriority w:val="99"/>
    <w:unhideWhenUsed/>
    <w:rsid w:val="005450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45027"/>
  </w:style>
  <w:style w:type="table" w:styleId="Tablaconcuadrcula">
    <w:name w:val="Table Grid"/>
    <w:aliases w:val="RethinkTabelle1"/>
    <w:basedOn w:val="Tablanormal"/>
    <w:uiPriority w:val="39"/>
    <w:rsid w:val="00F95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9D3B01"/>
    <w:rPr>
      <w:rFonts w:asciiTheme="majorHAnsi" w:eastAsiaTheme="majorEastAsia" w:hAnsiTheme="majorHAnsi" w:cstheme="majorBidi"/>
      <w:i/>
      <w:iCs/>
      <w:color w:val="0A2F40" w:themeColor="accent1" w:themeShade="7F"/>
    </w:rPr>
  </w:style>
  <w:style w:type="character" w:customStyle="1" w:styleId="Ttulo2Car">
    <w:name w:val="Título 2 Car"/>
    <w:basedOn w:val="Fuentedeprrafopredeter"/>
    <w:link w:val="Ttulo2"/>
    <w:uiPriority w:val="9"/>
    <w:rsid w:val="009D3B01"/>
    <w:rPr>
      <w:rFonts w:asciiTheme="majorHAnsi" w:eastAsiaTheme="majorEastAsia" w:hAnsiTheme="majorHAnsi" w:cstheme="majorBidi"/>
      <w:color w:val="0F4761" w:themeColor="accent1" w:themeShade="BF"/>
      <w:sz w:val="26"/>
      <w:szCs w:val="26"/>
    </w:rPr>
  </w:style>
  <w:style w:type="character" w:styleId="Mencinsinresolver">
    <w:name w:val="Unresolved Mention"/>
    <w:basedOn w:val="Fuentedeprrafopredeter"/>
    <w:uiPriority w:val="99"/>
    <w:semiHidden/>
    <w:unhideWhenUsed/>
    <w:rsid w:val="00C2224C"/>
    <w:rPr>
      <w:color w:val="605E5C"/>
      <w:shd w:val="clear" w:color="auto" w:fill="E1DFDD"/>
    </w:rPr>
  </w:style>
  <w:style w:type="paragraph" w:styleId="NormalWeb">
    <w:name w:val="Normal (Web)"/>
    <w:basedOn w:val="Normal"/>
    <w:uiPriority w:val="99"/>
    <w:unhideWhenUsed/>
    <w:rsid w:val="0048468F"/>
    <w:pPr>
      <w:spacing w:before="100" w:beforeAutospacing="1" w:after="100" w:afterAutospacing="1" w:line="240" w:lineRule="auto"/>
    </w:pPr>
    <w:rPr>
      <w:rFonts w:eastAsia="Times New Roman" w:cs="Times New Roman"/>
      <w:kern w:val="0"/>
      <w:sz w:val="24"/>
      <w:szCs w:val="24"/>
      <w:lang w:val="en-GB" w:eastAsia="en-GB"/>
      <w14:ligatures w14:val="none"/>
    </w:rPr>
  </w:style>
  <w:style w:type="character" w:customStyle="1" w:styleId="ms-1">
    <w:name w:val="ms-1"/>
    <w:basedOn w:val="Fuentedeprrafopredeter"/>
    <w:rsid w:val="0048468F"/>
  </w:style>
  <w:style w:type="character" w:customStyle="1" w:styleId="max-w-15ch">
    <w:name w:val="max-w-[15ch]"/>
    <w:basedOn w:val="Fuentedeprrafopredeter"/>
    <w:rsid w:val="0048468F"/>
  </w:style>
  <w:style w:type="character" w:customStyle="1" w:styleId="-me-1">
    <w:name w:val="-me-1"/>
    <w:basedOn w:val="Fuentedeprrafopredeter"/>
    <w:rsid w:val="0048468F"/>
  </w:style>
  <w:style w:type="table" w:styleId="Tablanormal5">
    <w:name w:val="Plain Table 5"/>
    <w:basedOn w:val="Tablanormal"/>
    <w:uiPriority w:val="45"/>
    <w:rsid w:val="00407B4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Fuentedeprrafopredeter"/>
    <w:rsid w:val="00005635"/>
  </w:style>
  <w:style w:type="paragraph" w:customStyle="1" w:styleId="pf0">
    <w:name w:val="pf0"/>
    <w:basedOn w:val="Normal"/>
    <w:uiPriority w:val="1"/>
    <w:rsid w:val="00973049"/>
    <w:pPr>
      <w:spacing w:beforeAutospacing="1" w:afterAutospacing="1" w:line="240" w:lineRule="auto"/>
    </w:pPr>
    <w:rPr>
      <w:rFonts w:eastAsia="Times New Roman" w:cs="Times New Roman"/>
      <w:sz w:val="24"/>
      <w:szCs w:val="24"/>
      <w:lang w:val="en-GB" w:eastAsia="en-GB"/>
    </w:rPr>
  </w:style>
  <w:style w:type="character" w:customStyle="1" w:styleId="Ttulo3Car">
    <w:name w:val="Título 3 Car"/>
    <w:basedOn w:val="Fuentedeprrafopredeter"/>
    <w:link w:val="Ttulo3"/>
    <w:uiPriority w:val="9"/>
    <w:semiHidden/>
    <w:rsid w:val="00185C55"/>
    <w:rPr>
      <w:rFonts w:asciiTheme="minorHAnsi" w:eastAsiaTheme="majorEastAsia" w:hAnsiTheme="minorHAnsi" w:cstheme="majorBidi"/>
      <w:color w:val="0F4761" w:themeColor="accent1" w:themeShade="BF"/>
      <w:sz w:val="28"/>
      <w:szCs w:val="28"/>
      <w:lang w:val="en-GB"/>
    </w:rPr>
  </w:style>
  <w:style w:type="character" w:customStyle="1" w:styleId="Ttulo4Car">
    <w:name w:val="Título 4 Car"/>
    <w:basedOn w:val="Fuentedeprrafopredeter"/>
    <w:link w:val="Ttulo4"/>
    <w:uiPriority w:val="9"/>
    <w:semiHidden/>
    <w:rsid w:val="00185C55"/>
    <w:rPr>
      <w:rFonts w:asciiTheme="minorHAnsi" w:eastAsiaTheme="majorEastAsia" w:hAnsiTheme="minorHAnsi" w:cstheme="majorBidi"/>
      <w:i/>
      <w:iCs/>
      <w:color w:val="0F4761" w:themeColor="accent1" w:themeShade="BF"/>
      <w:lang w:val="en-GB"/>
    </w:rPr>
  </w:style>
  <w:style w:type="character" w:customStyle="1" w:styleId="Ttulo5Car">
    <w:name w:val="Título 5 Car"/>
    <w:basedOn w:val="Fuentedeprrafopredeter"/>
    <w:link w:val="Ttulo5"/>
    <w:uiPriority w:val="9"/>
    <w:rsid w:val="00185C55"/>
    <w:rPr>
      <w:rFonts w:asciiTheme="minorHAnsi" w:eastAsiaTheme="majorEastAsia" w:hAnsiTheme="minorHAnsi" w:cstheme="majorBidi"/>
      <w:color w:val="0F4761" w:themeColor="accent1" w:themeShade="BF"/>
      <w:lang w:val="en-GB"/>
    </w:rPr>
  </w:style>
  <w:style w:type="character" w:customStyle="1" w:styleId="Ttulo6Car">
    <w:name w:val="Título 6 Car"/>
    <w:basedOn w:val="Fuentedeprrafopredeter"/>
    <w:link w:val="Ttulo6"/>
    <w:uiPriority w:val="9"/>
    <w:semiHidden/>
    <w:rsid w:val="00185C55"/>
    <w:rPr>
      <w:rFonts w:asciiTheme="minorHAnsi" w:eastAsiaTheme="majorEastAsia" w:hAnsiTheme="minorHAnsi" w:cstheme="majorBidi"/>
      <w:i/>
      <w:iCs/>
      <w:color w:val="595959" w:themeColor="text1" w:themeTint="A6"/>
      <w:lang w:val="en-GB"/>
    </w:rPr>
  </w:style>
  <w:style w:type="character" w:customStyle="1" w:styleId="Ttulo8Car">
    <w:name w:val="Título 8 Car"/>
    <w:basedOn w:val="Fuentedeprrafopredeter"/>
    <w:link w:val="Ttulo8"/>
    <w:uiPriority w:val="9"/>
    <w:semiHidden/>
    <w:rsid w:val="00185C55"/>
    <w:rPr>
      <w:rFonts w:asciiTheme="minorHAnsi" w:eastAsiaTheme="majorEastAsia" w:hAnsiTheme="minorHAnsi" w:cstheme="majorBidi"/>
      <w:i/>
      <w:iCs/>
      <w:color w:val="272727"/>
      <w:lang w:val="en-GB"/>
    </w:rPr>
  </w:style>
  <w:style w:type="character" w:customStyle="1" w:styleId="Ttulo9Car">
    <w:name w:val="Título 9 Car"/>
    <w:basedOn w:val="Fuentedeprrafopredeter"/>
    <w:link w:val="Ttulo9"/>
    <w:uiPriority w:val="9"/>
    <w:semiHidden/>
    <w:rsid w:val="00185C55"/>
    <w:rPr>
      <w:rFonts w:asciiTheme="minorHAnsi" w:eastAsiaTheme="majorEastAsia" w:hAnsiTheme="minorHAnsi" w:cstheme="majorBidi"/>
      <w:color w:val="272727"/>
      <w:lang w:val="en-GB"/>
    </w:rPr>
  </w:style>
  <w:style w:type="paragraph" w:styleId="Ttulo">
    <w:name w:val="Title"/>
    <w:basedOn w:val="Normal"/>
    <w:next w:val="Normal"/>
    <w:link w:val="TtuloCar"/>
    <w:uiPriority w:val="10"/>
    <w:qFormat/>
    <w:rsid w:val="00185C55"/>
    <w:pPr>
      <w:spacing w:after="80" w:line="240" w:lineRule="auto"/>
      <w:contextualSpacing/>
    </w:pPr>
    <w:rPr>
      <w:rFonts w:asciiTheme="majorHAnsi" w:eastAsiaTheme="majorEastAsia" w:hAnsiTheme="majorHAnsi" w:cstheme="majorBidi"/>
      <w:sz w:val="56"/>
      <w:szCs w:val="56"/>
      <w:lang w:val="en-GB"/>
    </w:rPr>
  </w:style>
  <w:style w:type="character" w:customStyle="1" w:styleId="TtuloCar">
    <w:name w:val="Título Car"/>
    <w:basedOn w:val="Fuentedeprrafopredeter"/>
    <w:link w:val="Ttulo"/>
    <w:uiPriority w:val="10"/>
    <w:rsid w:val="00185C55"/>
    <w:rPr>
      <w:rFonts w:asciiTheme="majorHAnsi" w:eastAsiaTheme="majorEastAsia" w:hAnsiTheme="majorHAnsi" w:cstheme="majorBidi"/>
      <w:sz w:val="56"/>
      <w:szCs w:val="56"/>
      <w:lang w:val="en-GB"/>
    </w:rPr>
  </w:style>
  <w:style w:type="paragraph" w:styleId="Subttulo">
    <w:name w:val="Subtitle"/>
    <w:basedOn w:val="Normal"/>
    <w:next w:val="Normal"/>
    <w:link w:val="SubttuloCar"/>
    <w:uiPriority w:val="11"/>
    <w:qFormat/>
    <w:rsid w:val="00185C55"/>
    <w:rPr>
      <w:rFonts w:asciiTheme="minorHAnsi" w:eastAsiaTheme="majorEastAsia" w:hAnsiTheme="minorHAnsi" w:cstheme="majorBidi"/>
      <w:color w:val="595959" w:themeColor="text1" w:themeTint="A6"/>
      <w:sz w:val="28"/>
      <w:szCs w:val="28"/>
      <w:lang w:val="en-GB"/>
    </w:rPr>
  </w:style>
  <w:style w:type="character" w:customStyle="1" w:styleId="SubttuloCar">
    <w:name w:val="Subtítulo Car"/>
    <w:basedOn w:val="Fuentedeprrafopredeter"/>
    <w:link w:val="Subttulo"/>
    <w:uiPriority w:val="11"/>
    <w:rsid w:val="00185C55"/>
    <w:rPr>
      <w:rFonts w:asciiTheme="minorHAnsi" w:eastAsiaTheme="majorEastAsia" w:hAnsiTheme="minorHAnsi" w:cstheme="majorBidi"/>
      <w:color w:val="595959" w:themeColor="text1" w:themeTint="A6"/>
      <w:sz w:val="28"/>
      <w:szCs w:val="28"/>
      <w:lang w:val="en-GB"/>
    </w:rPr>
  </w:style>
  <w:style w:type="paragraph" w:styleId="Cita">
    <w:name w:val="Quote"/>
    <w:basedOn w:val="Normal"/>
    <w:next w:val="Normal"/>
    <w:link w:val="CitaCar"/>
    <w:uiPriority w:val="29"/>
    <w:qFormat/>
    <w:rsid w:val="00185C55"/>
    <w:pPr>
      <w:spacing w:before="160"/>
      <w:jc w:val="center"/>
    </w:pPr>
    <w:rPr>
      <w:i/>
      <w:iCs/>
      <w:color w:val="404040" w:themeColor="text1" w:themeTint="BF"/>
      <w:lang w:val="en-GB"/>
    </w:rPr>
  </w:style>
  <w:style w:type="character" w:customStyle="1" w:styleId="CitaCar">
    <w:name w:val="Cita Car"/>
    <w:basedOn w:val="Fuentedeprrafopredeter"/>
    <w:link w:val="Cita"/>
    <w:uiPriority w:val="29"/>
    <w:rsid w:val="00185C55"/>
    <w:rPr>
      <w:i/>
      <w:iCs/>
      <w:color w:val="404040" w:themeColor="text1" w:themeTint="BF"/>
      <w:lang w:val="en-GB"/>
    </w:rPr>
  </w:style>
  <w:style w:type="character" w:styleId="nfasisintenso">
    <w:name w:val="Intense Emphasis"/>
    <w:basedOn w:val="Fuentedeprrafopredeter"/>
    <w:uiPriority w:val="21"/>
    <w:qFormat/>
    <w:rsid w:val="00185C55"/>
    <w:rPr>
      <w:i/>
      <w:iCs/>
      <w:color w:val="0F4761" w:themeColor="accent1" w:themeShade="BF"/>
    </w:rPr>
  </w:style>
  <w:style w:type="paragraph" w:styleId="Citadestacada">
    <w:name w:val="Intense Quote"/>
    <w:basedOn w:val="Normal"/>
    <w:next w:val="Normal"/>
    <w:link w:val="CitadestacadaCar"/>
    <w:uiPriority w:val="30"/>
    <w:qFormat/>
    <w:rsid w:val="00185C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en-GB"/>
    </w:rPr>
  </w:style>
  <w:style w:type="character" w:customStyle="1" w:styleId="CitadestacadaCar">
    <w:name w:val="Cita destacada Car"/>
    <w:basedOn w:val="Fuentedeprrafopredeter"/>
    <w:link w:val="Citadestacada"/>
    <w:uiPriority w:val="30"/>
    <w:rsid w:val="00185C55"/>
    <w:rPr>
      <w:i/>
      <w:iCs/>
      <w:color w:val="0F4761" w:themeColor="accent1" w:themeShade="BF"/>
      <w:lang w:val="en-GB"/>
    </w:rPr>
  </w:style>
  <w:style w:type="character" w:styleId="Referenciaintensa">
    <w:name w:val="Intense Reference"/>
    <w:basedOn w:val="Fuentedeprrafopredeter"/>
    <w:uiPriority w:val="32"/>
    <w:qFormat/>
    <w:rsid w:val="00185C55"/>
    <w:rPr>
      <w:b/>
      <w:bCs/>
      <w:smallCaps/>
      <w:color w:val="0F4761" w:themeColor="accent1" w:themeShade="BF"/>
      <w:spacing w:val="5"/>
    </w:rPr>
  </w:style>
  <w:style w:type="character" w:customStyle="1" w:styleId="cf01">
    <w:name w:val="cf01"/>
    <w:basedOn w:val="Fuentedeprrafopredeter"/>
    <w:rsid w:val="00185C55"/>
    <w:rPr>
      <w:rFonts w:ascii="Segoe UI" w:hAnsi="Segoe UI" w:cs="Segoe UI" w:hint="default"/>
      <w:sz w:val="18"/>
      <w:szCs w:val="18"/>
    </w:rPr>
  </w:style>
  <w:style w:type="character" w:customStyle="1" w:styleId="cf11">
    <w:name w:val="cf11"/>
    <w:basedOn w:val="Fuentedeprrafopredeter"/>
    <w:rsid w:val="00185C55"/>
    <w:rPr>
      <w:rFonts w:ascii="Segoe UI" w:hAnsi="Segoe UI" w:cs="Segoe UI" w:hint="default"/>
      <w:i/>
      <w:iCs/>
      <w:color w:val="222222"/>
      <w:sz w:val="18"/>
      <w:szCs w:val="18"/>
      <w:shd w:val="clear" w:color="auto" w:fill="FFFFFF"/>
    </w:rPr>
  </w:style>
  <w:style w:type="character" w:customStyle="1" w:styleId="cf21">
    <w:name w:val="cf21"/>
    <w:basedOn w:val="Fuentedeprrafopredeter"/>
    <w:rsid w:val="00185C55"/>
    <w:rPr>
      <w:rFonts w:ascii="Segoe UI" w:hAnsi="Segoe UI" w:cs="Segoe UI" w:hint="default"/>
      <w:b/>
      <w:bCs/>
      <w:color w:val="222222"/>
      <w:sz w:val="18"/>
      <w:szCs w:val="18"/>
      <w:shd w:val="clear" w:color="auto" w:fill="FFFFFF"/>
    </w:rPr>
  </w:style>
  <w:style w:type="character" w:styleId="Mencionar">
    <w:name w:val="Mention"/>
    <w:basedOn w:val="Fuentedeprrafopredeter"/>
    <w:uiPriority w:val="99"/>
    <w:unhideWhenUsed/>
    <w:rsid w:val="00185C55"/>
    <w:rPr>
      <w:color w:val="2B579A"/>
      <w:shd w:val="clear" w:color="auto" w:fill="E6E6E6"/>
    </w:rPr>
  </w:style>
  <w:style w:type="table" w:customStyle="1" w:styleId="TableStyle1">
    <w:name w:val="Table Style 1"/>
    <w:basedOn w:val="Tablanormal"/>
    <w:uiPriority w:val="99"/>
    <w:rsid w:val="00185C55"/>
    <w:pPr>
      <w:spacing w:after="0" w:line="240" w:lineRule="auto"/>
    </w:pPr>
    <w:rPr>
      <w:rFonts w:ascii="Verdana" w:hAnsi="Verdana"/>
      <w:color w:val="404141"/>
      <w:kern w:val="0"/>
      <w:sz w:val="20"/>
      <w:lang w:val="en-US"/>
    </w:rPr>
    <w:tblPr>
      <w:tblStyleRowBandSize w:val="1"/>
      <w:tblStyleColBandSize w:val="1"/>
      <w:tblBorders>
        <w:top w:val="double" w:sz="4" w:space="0" w:color="FFFFFF"/>
        <w:left w:val="double" w:sz="4" w:space="0" w:color="FFFFFF"/>
        <w:bottom w:val="double" w:sz="4" w:space="0" w:color="FFFFFF"/>
        <w:right w:val="double" w:sz="4" w:space="0" w:color="FFFFFF"/>
        <w:insideH w:val="double" w:sz="4" w:space="0" w:color="FFFFFF"/>
        <w:insideV w:val="double" w:sz="4" w:space="0" w:color="FFFFFF"/>
      </w:tblBorders>
    </w:tblPr>
    <w:tcPr>
      <w:shd w:val="clear" w:color="auto" w:fill="FFFFFF"/>
      <w:vAlign w:val="center"/>
    </w:tcPr>
    <w:tblStylePr w:type="firstRow">
      <w:pPr>
        <w:jc w:val="left"/>
      </w:pPr>
      <w:rPr>
        <w:rFonts w:ascii="Verdana" w:hAnsi="Verdana"/>
        <w:b/>
        <w:color w:val="FFFFFF" w:themeColor="background1"/>
        <w:sz w:val="20"/>
      </w:rPr>
      <w:tblPr/>
      <w:tcPr>
        <w:tcBorders>
          <w:top w:val="single" w:sz="4" w:space="0" w:color="23478F"/>
          <w:left w:val="single" w:sz="4" w:space="0" w:color="23478F"/>
          <w:bottom w:val="single" w:sz="4" w:space="0" w:color="23478F"/>
          <w:right w:val="single" w:sz="4" w:space="0" w:color="23478F"/>
          <w:insideH w:val="single" w:sz="4" w:space="0" w:color="23478F"/>
          <w:insideV w:val="single" w:sz="4" w:space="0" w:color="23478F"/>
          <w:tl2br w:val="nil"/>
          <w:tr2bl w:val="nil"/>
        </w:tcBorders>
        <w:shd w:val="clear" w:color="auto" w:fill="23478F"/>
      </w:tcPr>
    </w:tblStylePr>
    <w:tblStylePr w:type="firstCol">
      <w:pPr>
        <w:jc w:val="left"/>
      </w:pPr>
      <w:rPr>
        <w:rFonts w:ascii="Verdana" w:hAnsi="Verdana"/>
        <w:color w:val="FFFFFF" w:themeColor="background1"/>
        <w:sz w:val="20"/>
      </w:rPr>
      <w:tblPr/>
      <w:tcPr>
        <w:shd w:val="clear" w:color="auto" w:fill="6B90DB"/>
      </w:tcPr>
    </w:tblStylePr>
    <w:tblStylePr w:type="band1Horz">
      <w:rPr>
        <w:rFonts w:ascii="Verdana" w:hAnsi="Verdana"/>
        <w:b w:val="0"/>
        <w:sz w:val="20"/>
      </w:rPr>
      <w:tblPr/>
      <w:tcPr>
        <w:tcBorders>
          <w:top w:val="single" w:sz="4" w:space="0" w:color="23478F"/>
          <w:left w:val="single" w:sz="4" w:space="0" w:color="23478F"/>
          <w:bottom w:val="single" w:sz="4" w:space="0" w:color="23478F"/>
          <w:right w:val="single" w:sz="4" w:space="0" w:color="23478F"/>
          <w:insideH w:val="nil"/>
          <w:insideV w:val="single" w:sz="4" w:space="0" w:color="23478F"/>
          <w:tl2br w:val="nil"/>
          <w:tr2bl w:val="nil"/>
        </w:tcBorders>
        <w:shd w:val="clear" w:color="auto" w:fill="BFCFEF"/>
      </w:tcPr>
    </w:tblStylePr>
    <w:tblStylePr w:type="band2Horz">
      <w:tblPr/>
      <w:tcPr>
        <w:tcBorders>
          <w:top w:val="single" w:sz="4" w:space="0" w:color="23478F"/>
          <w:left w:val="single" w:sz="4" w:space="0" w:color="23478F"/>
          <w:bottom w:val="single" w:sz="4" w:space="0" w:color="23478F"/>
          <w:right w:val="single" w:sz="4" w:space="0" w:color="23478F"/>
          <w:insideH w:val="single" w:sz="4" w:space="0" w:color="23478F"/>
          <w:insideV w:val="single" w:sz="4" w:space="0" w:color="23478F"/>
          <w:tl2br w:val="nil"/>
          <w:tr2bl w:val="nil"/>
        </w:tcBorders>
        <w:shd w:val="clear" w:color="auto" w:fill="E6E7E8"/>
      </w:tcPr>
    </w:tblStylePr>
  </w:style>
  <w:style w:type="table" w:customStyle="1" w:styleId="TableStyle11">
    <w:name w:val="Table Style 11"/>
    <w:basedOn w:val="Tablanormal"/>
    <w:uiPriority w:val="99"/>
    <w:rsid w:val="00185C55"/>
    <w:pPr>
      <w:spacing w:after="0" w:line="240" w:lineRule="auto"/>
    </w:pPr>
    <w:rPr>
      <w:rFonts w:ascii="Verdana" w:hAnsi="Verdana"/>
      <w:color w:val="404141"/>
      <w:kern w:val="0"/>
      <w:sz w:val="20"/>
      <w:lang w:val="en-US"/>
    </w:rPr>
    <w:tblPr>
      <w:tblStyleRowBandSize w:val="1"/>
      <w:tblStyleColBandSize w:val="1"/>
      <w:tblBorders>
        <w:top w:val="double" w:sz="4" w:space="0" w:color="FFFFFF"/>
        <w:left w:val="double" w:sz="4" w:space="0" w:color="FFFFFF"/>
        <w:bottom w:val="double" w:sz="4" w:space="0" w:color="FFFFFF"/>
        <w:right w:val="double" w:sz="4" w:space="0" w:color="FFFFFF"/>
        <w:insideH w:val="double" w:sz="4" w:space="0" w:color="FFFFFF"/>
        <w:insideV w:val="double" w:sz="4" w:space="0" w:color="FFFFFF"/>
      </w:tblBorders>
    </w:tblPr>
    <w:tcPr>
      <w:shd w:val="clear" w:color="auto" w:fill="FFFFFF"/>
      <w:vAlign w:val="center"/>
    </w:tcPr>
    <w:tblStylePr w:type="firstRow">
      <w:pPr>
        <w:jc w:val="left"/>
      </w:pPr>
      <w:rPr>
        <w:rFonts w:ascii="Verdana" w:hAnsi="Verdana"/>
        <w:b/>
        <w:color w:val="FFFFFF" w:themeColor="background1"/>
        <w:sz w:val="20"/>
      </w:rPr>
      <w:tblPr/>
      <w:tcPr>
        <w:tcBorders>
          <w:top w:val="single" w:sz="4" w:space="0" w:color="23478F"/>
          <w:left w:val="single" w:sz="4" w:space="0" w:color="23478F"/>
          <w:bottom w:val="single" w:sz="4" w:space="0" w:color="23478F"/>
          <w:right w:val="single" w:sz="4" w:space="0" w:color="23478F"/>
          <w:insideH w:val="single" w:sz="4" w:space="0" w:color="23478F"/>
          <w:insideV w:val="single" w:sz="4" w:space="0" w:color="23478F"/>
          <w:tl2br w:val="nil"/>
          <w:tr2bl w:val="nil"/>
        </w:tcBorders>
        <w:shd w:val="clear" w:color="auto" w:fill="23478F"/>
      </w:tcPr>
    </w:tblStylePr>
    <w:tblStylePr w:type="firstCol">
      <w:pPr>
        <w:jc w:val="left"/>
      </w:pPr>
      <w:rPr>
        <w:rFonts w:ascii="Verdana" w:hAnsi="Verdana"/>
        <w:color w:val="FFFFFF" w:themeColor="background1"/>
        <w:sz w:val="20"/>
      </w:rPr>
      <w:tblPr/>
      <w:tcPr>
        <w:shd w:val="clear" w:color="auto" w:fill="6B90DB"/>
      </w:tcPr>
    </w:tblStylePr>
    <w:tblStylePr w:type="band1Horz">
      <w:rPr>
        <w:rFonts w:ascii="Verdana" w:hAnsi="Verdana"/>
        <w:b w:val="0"/>
        <w:sz w:val="20"/>
      </w:rPr>
      <w:tblPr/>
      <w:tcPr>
        <w:tcBorders>
          <w:top w:val="single" w:sz="4" w:space="0" w:color="23478F"/>
          <w:left w:val="single" w:sz="4" w:space="0" w:color="23478F"/>
          <w:bottom w:val="single" w:sz="4" w:space="0" w:color="23478F"/>
          <w:right w:val="single" w:sz="4" w:space="0" w:color="23478F"/>
          <w:insideH w:val="nil"/>
          <w:insideV w:val="single" w:sz="4" w:space="0" w:color="23478F"/>
          <w:tl2br w:val="nil"/>
          <w:tr2bl w:val="nil"/>
        </w:tcBorders>
        <w:shd w:val="clear" w:color="auto" w:fill="BFCFEF"/>
      </w:tcPr>
    </w:tblStylePr>
    <w:tblStylePr w:type="band2Horz">
      <w:tblPr/>
      <w:tcPr>
        <w:tcBorders>
          <w:top w:val="single" w:sz="4" w:space="0" w:color="23478F"/>
          <w:left w:val="single" w:sz="4" w:space="0" w:color="23478F"/>
          <w:bottom w:val="single" w:sz="4" w:space="0" w:color="23478F"/>
          <w:right w:val="single" w:sz="4" w:space="0" w:color="23478F"/>
          <w:insideH w:val="single" w:sz="4" w:space="0" w:color="23478F"/>
          <w:insideV w:val="single" w:sz="4" w:space="0" w:color="23478F"/>
          <w:tl2br w:val="nil"/>
          <w:tr2bl w:val="nil"/>
        </w:tcBorders>
        <w:shd w:val="clear" w:color="auto" w:fill="E6E7E8"/>
      </w:tcPr>
    </w:tblStylePr>
  </w:style>
  <w:style w:type="paragraph" w:styleId="Textoindependiente">
    <w:name w:val="Body Text"/>
    <w:basedOn w:val="Normal"/>
    <w:link w:val="TextoindependienteCar"/>
    <w:uiPriority w:val="1"/>
    <w:qFormat/>
    <w:rsid w:val="00185C55"/>
    <w:pPr>
      <w:widowControl w:val="0"/>
      <w:spacing w:before="120" w:after="120" w:line="276" w:lineRule="auto"/>
      <w:jc w:val="both"/>
    </w:pPr>
    <w:rPr>
      <w:rFonts w:ascii="Tahoma" w:hAnsi="Tahoma"/>
      <w:color w:val="404141"/>
      <w:sz w:val="20"/>
      <w:szCs w:val="20"/>
      <w:lang w:val="en-GB"/>
    </w:rPr>
  </w:style>
  <w:style w:type="character" w:customStyle="1" w:styleId="TextoindependienteCar">
    <w:name w:val="Texto independiente Car"/>
    <w:basedOn w:val="Fuentedeprrafopredeter"/>
    <w:link w:val="Textoindependiente"/>
    <w:uiPriority w:val="1"/>
    <w:rsid w:val="00185C55"/>
    <w:rPr>
      <w:rFonts w:ascii="Tahoma" w:hAnsi="Tahoma"/>
      <w:color w:val="404141"/>
      <w:sz w:val="20"/>
      <w:szCs w:val="20"/>
      <w:lang w:val="en-GB"/>
    </w:rPr>
  </w:style>
  <w:style w:type="character" w:styleId="Textodelmarcadordeposicin">
    <w:name w:val="Placeholder Text"/>
    <w:basedOn w:val="Fuentedeprrafopredeter"/>
    <w:uiPriority w:val="99"/>
    <w:semiHidden/>
    <w:rsid w:val="00185C55"/>
    <w:rPr>
      <w:color w:val="666666"/>
    </w:rPr>
  </w:style>
  <w:style w:type="character" w:styleId="Hipervnculovisitado">
    <w:name w:val="FollowedHyperlink"/>
    <w:basedOn w:val="Fuentedeprrafopredeter"/>
    <w:uiPriority w:val="99"/>
    <w:semiHidden/>
    <w:unhideWhenUsed/>
    <w:rsid w:val="00185C55"/>
    <w:rPr>
      <w:color w:val="96607D" w:themeColor="followedHyperlink"/>
      <w:u w:val="single"/>
    </w:rPr>
  </w:style>
  <w:style w:type="character" w:styleId="Textoennegrita">
    <w:name w:val="Strong"/>
    <w:basedOn w:val="Fuentedeprrafopredeter"/>
    <w:uiPriority w:val="22"/>
    <w:qFormat/>
    <w:rsid w:val="00185C55"/>
    <w:rPr>
      <w:b/>
      <w:bCs/>
    </w:rPr>
  </w:style>
  <w:style w:type="character" w:styleId="nfasis">
    <w:name w:val="Emphasis"/>
    <w:basedOn w:val="Fuentedeprrafopredeter"/>
    <w:uiPriority w:val="20"/>
    <w:qFormat/>
    <w:rsid w:val="00185C55"/>
    <w:rPr>
      <w:i/>
      <w:iCs/>
    </w:rPr>
  </w:style>
  <w:style w:type="paragraph" w:customStyle="1" w:styleId="paragraph">
    <w:name w:val="paragraph"/>
    <w:basedOn w:val="Normal"/>
    <w:rsid w:val="00185C55"/>
    <w:pPr>
      <w:spacing w:before="100" w:beforeAutospacing="1" w:after="100" w:afterAutospacing="1" w:line="240" w:lineRule="auto"/>
    </w:pPr>
    <w:rPr>
      <w:rFonts w:eastAsia="Times New Roman" w:cs="Times New Roman"/>
      <w:kern w:val="0"/>
      <w:sz w:val="24"/>
      <w:szCs w:val="24"/>
      <w:lang w:val="en-GB" w:eastAsia="en-GB"/>
      <w14:ligatures w14:val="none"/>
    </w:rPr>
  </w:style>
  <w:style w:type="character" w:customStyle="1" w:styleId="eop">
    <w:name w:val="eop"/>
    <w:basedOn w:val="Fuentedeprrafopredeter"/>
    <w:rsid w:val="00185C55"/>
  </w:style>
  <w:style w:type="paragraph" w:styleId="TtuloTDC">
    <w:name w:val="TOC Heading"/>
    <w:basedOn w:val="Ttulo1"/>
    <w:next w:val="Normal"/>
    <w:uiPriority w:val="39"/>
    <w:unhideWhenUsed/>
    <w:qFormat/>
    <w:rsid w:val="00185C55"/>
    <w:pPr>
      <w:spacing w:before="240" w:after="0"/>
      <w:outlineLvl w:val="9"/>
    </w:pPr>
    <w:rPr>
      <w:kern w:val="0"/>
      <w:sz w:val="32"/>
      <w:szCs w:val="32"/>
      <w:lang w:eastAsia="en-GB"/>
      <w14:ligatures w14:val="none"/>
    </w:rPr>
  </w:style>
  <w:style w:type="paragraph" w:styleId="TDC1">
    <w:name w:val="toc 1"/>
    <w:basedOn w:val="Normal"/>
    <w:next w:val="Normal"/>
    <w:autoRedefine/>
    <w:uiPriority w:val="39"/>
    <w:unhideWhenUsed/>
    <w:rsid w:val="00185C55"/>
    <w:pPr>
      <w:spacing w:after="100" w:line="279" w:lineRule="auto"/>
    </w:pPr>
    <w:rPr>
      <w:rFonts w:asciiTheme="minorHAnsi" w:hAnsiTheme="minorHAnsi"/>
      <w:kern w:val="0"/>
      <w:sz w:val="24"/>
      <w:szCs w:val="24"/>
      <w14:ligatures w14:val="none"/>
    </w:rPr>
  </w:style>
  <w:style w:type="paragraph" w:styleId="TDC2">
    <w:name w:val="toc 2"/>
    <w:basedOn w:val="Normal"/>
    <w:next w:val="Normal"/>
    <w:autoRedefine/>
    <w:uiPriority w:val="39"/>
    <w:unhideWhenUsed/>
    <w:rsid w:val="00185C55"/>
    <w:pPr>
      <w:spacing w:after="100" w:line="279" w:lineRule="auto"/>
      <w:ind w:left="240"/>
    </w:pPr>
    <w:rPr>
      <w:rFonts w:asciiTheme="minorHAnsi" w:hAnsiTheme="minorHAnsi"/>
      <w:kern w:val="0"/>
      <w:sz w:val="24"/>
      <w:szCs w:val="24"/>
      <w14:ligatures w14:val="none"/>
    </w:rPr>
  </w:style>
  <w:style w:type="paragraph" w:styleId="Bibliografa">
    <w:name w:val="Bibliography"/>
    <w:basedOn w:val="Normal"/>
    <w:next w:val="Normal"/>
    <w:uiPriority w:val="37"/>
    <w:unhideWhenUsed/>
    <w:rsid w:val="004D075C"/>
    <w:pPr>
      <w:tabs>
        <w:tab w:val="left" w:pos="264"/>
      </w:tabs>
      <w:spacing w:after="0"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14177">
      <w:bodyDiv w:val="1"/>
      <w:marLeft w:val="0"/>
      <w:marRight w:val="0"/>
      <w:marTop w:val="0"/>
      <w:marBottom w:val="0"/>
      <w:divBdr>
        <w:top w:val="none" w:sz="0" w:space="0" w:color="auto"/>
        <w:left w:val="none" w:sz="0" w:space="0" w:color="auto"/>
        <w:bottom w:val="none" w:sz="0" w:space="0" w:color="auto"/>
        <w:right w:val="none" w:sz="0" w:space="0" w:color="auto"/>
      </w:divBdr>
    </w:div>
    <w:div w:id="442725314">
      <w:bodyDiv w:val="1"/>
      <w:marLeft w:val="0"/>
      <w:marRight w:val="0"/>
      <w:marTop w:val="0"/>
      <w:marBottom w:val="0"/>
      <w:divBdr>
        <w:top w:val="none" w:sz="0" w:space="0" w:color="auto"/>
        <w:left w:val="none" w:sz="0" w:space="0" w:color="auto"/>
        <w:bottom w:val="none" w:sz="0" w:space="0" w:color="auto"/>
        <w:right w:val="none" w:sz="0" w:space="0" w:color="auto"/>
      </w:divBdr>
    </w:div>
    <w:div w:id="1134641105">
      <w:bodyDiv w:val="1"/>
      <w:marLeft w:val="0"/>
      <w:marRight w:val="0"/>
      <w:marTop w:val="0"/>
      <w:marBottom w:val="0"/>
      <w:divBdr>
        <w:top w:val="none" w:sz="0" w:space="0" w:color="auto"/>
        <w:left w:val="none" w:sz="0" w:space="0" w:color="auto"/>
        <w:bottom w:val="none" w:sz="0" w:space="0" w:color="auto"/>
        <w:right w:val="none" w:sz="0" w:space="0" w:color="auto"/>
      </w:divBdr>
    </w:div>
    <w:div w:id="186636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281/zenodo.19066849"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E0A90-9532-4E40-A8E5-A2A186AD0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38</Pages>
  <Words>21132</Words>
  <Characters>120459</Characters>
  <Application>Microsoft Office Word</Application>
  <DocSecurity>0</DocSecurity>
  <Lines>1003</Lines>
  <Paragraphs>282</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Universidad de Valladolid</Company>
  <LinksUpToDate>false</LinksUpToDate>
  <CharactersWithSpaces>141309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 PARRADO HERNANDO</dc:creator>
  <cp:keywords/>
  <dc:description/>
  <cp:lastModifiedBy>GONZALO PARRADO HERNANDO</cp:lastModifiedBy>
  <cp:revision>7</cp:revision>
  <cp:lastPrinted>2026-01-09T14:48:00Z</cp:lastPrinted>
  <dcterms:created xsi:type="dcterms:W3CDTF">2026-02-05T11:18:00Z</dcterms:created>
  <dcterms:modified xsi:type="dcterms:W3CDTF">2026-03-17T17:51:00Z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0311f4ed-e038-46ae-9fc9-f7175415b3a0</vt:lpwstr>
  </property>
  <property fmtid="{D5CDD505-2E9C-101B-9397-08002B2CF9AE}" pid="3" name="ZOTERO_PREF_1">
    <vt:lpwstr>&lt;data data-version="3" zotero-version="7.0.32"&gt;&lt;session id="WBObXc7a"/&gt;&lt;style id="http://www.zotero.org/styles/nature" hasBibliography="1" bibliographyStyleHasBeenSet="1"/&gt;&lt;prefs&gt;&lt;pref name="fieldType" value="Field"/&gt;&lt;/prefs&gt;&lt;/data&gt;</vt:lpwstr>
  </property>
</Properties>
</file>