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1DC3" w:rsidRPr="005B3F3B" w:rsidRDefault="00C94494" w:rsidP="005B3F3B">
      <w:pPr>
        <w:spacing w:line="360" w:lineRule="auto"/>
        <w:jc w:val="center"/>
        <w:rPr>
          <w:rFonts w:ascii="Times New Roman" w:eastAsia="Times New Roman" w:hAnsi="Times New Roman" w:cs="Times New Roman"/>
          <w:b/>
          <w:sz w:val="28"/>
          <w:szCs w:val="28"/>
        </w:rPr>
      </w:pPr>
      <w:r w:rsidRPr="005B3F3B">
        <w:rPr>
          <w:rFonts w:ascii="Times New Roman" w:eastAsia="Times New Roman" w:hAnsi="Times New Roman" w:cs="Times New Roman"/>
          <w:b/>
          <w:sz w:val="28"/>
          <w:szCs w:val="28"/>
        </w:rPr>
        <w:t>Supplementary Information</w:t>
      </w:r>
    </w:p>
    <w:p w14:paraId="00000002" w14:textId="77777777" w:rsidR="00761DC3" w:rsidRPr="00BA4C4C" w:rsidRDefault="00C94494" w:rsidP="005B3F3B">
      <w:pPr>
        <w:spacing w:line="360" w:lineRule="auto"/>
        <w:jc w:val="both"/>
        <w:rPr>
          <w:rFonts w:ascii="Times New Roman" w:hAnsi="Times New Roman" w:cs="Times New Roman"/>
          <w:b/>
          <w:sz w:val="28"/>
          <w:szCs w:val="28"/>
        </w:rPr>
      </w:pPr>
      <w:r w:rsidRPr="00BA4C4C">
        <w:rPr>
          <w:rFonts w:ascii="Times New Roman" w:hAnsi="Times New Roman" w:cs="Times New Roman"/>
          <w:b/>
          <w:sz w:val="28"/>
          <w:szCs w:val="28"/>
        </w:rPr>
        <w:t>Table of Contents</w:t>
      </w:r>
    </w:p>
    <w:sdt>
      <w:sdtPr>
        <w:rPr>
          <w:rFonts w:ascii="Times New Roman" w:hAnsi="Times New Roman" w:cs="Times New Roman"/>
          <w:b w:val="0"/>
          <w:bCs w:val="0"/>
          <w:caps w:val="0"/>
          <w:sz w:val="24"/>
          <w:szCs w:val="24"/>
        </w:rPr>
        <w:id w:val="451326302"/>
        <w:docPartObj>
          <w:docPartGallery w:val="Table of Contents"/>
          <w:docPartUnique/>
        </w:docPartObj>
      </w:sdtPr>
      <w:sdtEndPr/>
      <w:sdtContent>
        <w:p w14:paraId="74F6AF71" w14:textId="3905F7E6" w:rsidR="00BA4C4C" w:rsidRPr="00BA4C4C" w:rsidRDefault="00C94494">
          <w:pPr>
            <w:pStyle w:val="TOC1"/>
            <w:rPr>
              <w:rFonts w:ascii="Times New Roman" w:eastAsiaTheme="minorEastAsia" w:hAnsi="Times New Roman" w:cs="Times New Roman"/>
              <w:b w:val="0"/>
              <w:bCs w:val="0"/>
              <w:caps w:val="0"/>
              <w:noProof/>
              <w:kern w:val="2"/>
              <w:sz w:val="24"/>
              <w:szCs w:val="24"/>
              <w14:ligatures w14:val="standardContextual"/>
            </w:rPr>
          </w:pPr>
          <w:r w:rsidRPr="00BA4C4C">
            <w:rPr>
              <w:rFonts w:ascii="Times New Roman" w:hAnsi="Times New Roman" w:cs="Times New Roman"/>
              <w:sz w:val="24"/>
              <w:szCs w:val="24"/>
            </w:rPr>
            <w:fldChar w:fldCharType="begin"/>
          </w:r>
          <w:r w:rsidRPr="00BA4C4C">
            <w:rPr>
              <w:rFonts w:ascii="Times New Roman" w:hAnsi="Times New Roman" w:cs="Times New Roman"/>
              <w:sz w:val="24"/>
              <w:szCs w:val="24"/>
            </w:rPr>
            <w:instrText xml:space="preserve"> TOC \h \u \z \t "Heading 1,1,Heading 2,2,Heading 3,3,"</w:instrText>
          </w:r>
          <w:r w:rsidRPr="00BA4C4C">
            <w:rPr>
              <w:rFonts w:ascii="Times New Roman" w:hAnsi="Times New Roman" w:cs="Times New Roman"/>
              <w:sz w:val="24"/>
              <w:szCs w:val="24"/>
            </w:rPr>
            <w:fldChar w:fldCharType="separate"/>
          </w:r>
          <w:hyperlink w:anchor="_Toc224509805" w:history="1">
            <w:r w:rsidR="00BA4C4C" w:rsidRPr="00BA4C4C">
              <w:rPr>
                <w:rStyle w:val="Hyperlink"/>
                <w:rFonts w:ascii="Times New Roman" w:hAnsi="Times New Roman" w:cs="Times New Roman"/>
                <w:noProof/>
              </w:rPr>
              <w:t>Supplementary methods</w:t>
            </w:r>
            <w:r w:rsidR="00BA4C4C" w:rsidRPr="00BA4C4C">
              <w:rPr>
                <w:rFonts w:ascii="Times New Roman" w:hAnsi="Times New Roman" w:cs="Times New Roman"/>
                <w:noProof/>
                <w:webHidden/>
              </w:rPr>
              <w:tab/>
            </w:r>
            <w:r w:rsidR="00BA4C4C" w:rsidRPr="00BA4C4C">
              <w:rPr>
                <w:rFonts w:ascii="Times New Roman" w:hAnsi="Times New Roman" w:cs="Times New Roman"/>
                <w:noProof/>
                <w:webHidden/>
              </w:rPr>
              <w:fldChar w:fldCharType="begin"/>
            </w:r>
            <w:r w:rsidR="00BA4C4C" w:rsidRPr="00BA4C4C">
              <w:rPr>
                <w:rFonts w:ascii="Times New Roman" w:hAnsi="Times New Roman" w:cs="Times New Roman"/>
                <w:noProof/>
                <w:webHidden/>
              </w:rPr>
              <w:instrText xml:space="preserve"> PAGEREF _Toc224509805 \h </w:instrText>
            </w:r>
            <w:r w:rsidR="00BA4C4C" w:rsidRPr="00BA4C4C">
              <w:rPr>
                <w:rFonts w:ascii="Times New Roman" w:hAnsi="Times New Roman" w:cs="Times New Roman"/>
                <w:noProof/>
                <w:webHidden/>
              </w:rPr>
            </w:r>
            <w:r w:rsidR="00BA4C4C" w:rsidRPr="00BA4C4C">
              <w:rPr>
                <w:rFonts w:ascii="Times New Roman" w:hAnsi="Times New Roman" w:cs="Times New Roman"/>
                <w:noProof/>
                <w:webHidden/>
              </w:rPr>
              <w:fldChar w:fldCharType="separate"/>
            </w:r>
            <w:r w:rsidR="00BA4C4C" w:rsidRPr="00BA4C4C">
              <w:rPr>
                <w:rFonts w:ascii="Times New Roman" w:hAnsi="Times New Roman" w:cs="Times New Roman"/>
                <w:noProof/>
                <w:webHidden/>
              </w:rPr>
              <w:t>2</w:t>
            </w:r>
            <w:r w:rsidR="00BA4C4C" w:rsidRPr="00BA4C4C">
              <w:rPr>
                <w:rFonts w:ascii="Times New Roman" w:hAnsi="Times New Roman" w:cs="Times New Roman"/>
                <w:noProof/>
                <w:webHidden/>
              </w:rPr>
              <w:fldChar w:fldCharType="end"/>
            </w:r>
          </w:hyperlink>
        </w:p>
        <w:p w14:paraId="36B580E8" w14:textId="787603B0"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06" w:history="1">
            <w:r w:rsidRPr="00BA4C4C">
              <w:rPr>
                <w:rStyle w:val="Hyperlink"/>
                <w:rFonts w:ascii="Times New Roman" w:hAnsi="Times New Roman" w:cs="Times New Roman"/>
                <w:noProof/>
              </w:rPr>
              <w:t>MRI acquisition and processing</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_Toc224509806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2</w:t>
            </w:r>
            <w:r w:rsidRPr="00BA4C4C">
              <w:rPr>
                <w:rFonts w:ascii="Times New Roman" w:hAnsi="Times New Roman" w:cs="Times New Roman"/>
                <w:noProof/>
                <w:webHidden/>
              </w:rPr>
              <w:fldChar w:fldCharType="end"/>
            </w:r>
          </w:hyperlink>
        </w:p>
        <w:p w14:paraId="6C1F0BB0" w14:textId="3F661585"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07" w:history="1">
            <w:r w:rsidRPr="00BA4C4C">
              <w:rPr>
                <w:rStyle w:val="Hyperlink"/>
                <w:rFonts w:ascii="Times New Roman" w:hAnsi="Times New Roman" w:cs="Times New Roman"/>
                <w:noProof/>
              </w:rPr>
              <w:t>DNA methylation preprocessing and quality control (QC)</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_Toc224509807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w:t>
            </w:r>
            <w:r w:rsidRPr="00BA4C4C">
              <w:rPr>
                <w:rFonts w:ascii="Times New Roman" w:hAnsi="Times New Roman" w:cs="Times New Roman"/>
                <w:noProof/>
                <w:webHidden/>
              </w:rPr>
              <w:fldChar w:fldCharType="end"/>
            </w:r>
          </w:hyperlink>
        </w:p>
        <w:p w14:paraId="7E103CBF" w14:textId="2247A13C"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08" w:history="1">
            <w:r w:rsidRPr="00BA4C4C">
              <w:rPr>
                <w:rStyle w:val="Hyperlink"/>
                <w:rFonts w:ascii="Times New Roman" w:hAnsi="Times New Roman" w:cs="Times New Roman"/>
                <w:noProof/>
              </w:rPr>
              <w:t>Reliability checks for all CT- and SA-associated CpGs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_Toc224509808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w:t>
            </w:r>
            <w:r w:rsidRPr="00BA4C4C">
              <w:rPr>
                <w:rFonts w:ascii="Times New Roman" w:hAnsi="Times New Roman" w:cs="Times New Roman"/>
                <w:noProof/>
                <w:webHidden/>
              </w:rPr>
              <w:fldChar w:fldCharType="end"/>
            </w:r>
          </w:hyperlink>
        </w:p>
        <w:p w14:paraId="4FF7551C" w14:textId="15396687"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09" w:history="1">
            <w:r w:rsidRPr="00BA4C4C">
              <w:rPr>
                <w:rStyle w:val="Hyperlink"/>
                <w:rFonts w:ascii="Times New Roman" w:hAnsi="Times New Roman" w:cs="Times New Roman"/>
                <w:noProof/>
              </w:rPr>
              <w:t>Measures included in the Phenome-wide association studies (PheWAS)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_Toc224509809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w:t>
            </w:r>
            <w:r w:rsidRPr="00BA4C4C">
              <w:rPr>
                <w:rFonts w:ascii="Times New Roman" w:hAnsi="Times New Roman" w:cs="Times New Roman"/>
                <w:noProof/>
                <w:webHidden/>
              </w:rPr>
              <w:fldChar w:fldCharType="end"/>
            </w:r>
          </w:hyperlink>
        </w:p>
        <w:p w14:paraId="5E88F866" w14:textId="7EC460BC" w:rsidR="00BA4C4C" w:rsidRPr="00BA4C4C" w:rsidRDefault="00BA4C4C">
          <w:pPr>
            <w:pStyle w:val="TOC1"/>
            <w:rPr>
              <w:rFonts w:ascii="Times New Roman" w:eastAsiaTheme="minorEastAsia" w:hAnsi="Times New Roman" w:cs="Times New Roman"/>
              <w:b w:val="0"/>
              <w:bCs w:val="0"/>
              <w:caps w:val="0"/>
              <w:noProof/>
              <w:kern w:val="2"/>
              <w:sz w:val="24"/>
              <w:szCs w:val="24"/>
              <w14:ligatures w14:val="standardContextual"/>
            </w:rPr>
          </w:pPr>
          <w:hyperlink w:anchor="_Toc224509810" w:history="1">
            <w:r w:rsidRPr="00BA4C4C">
              <w:rPr>
                <w:rStyle w:val="Hyperlink"/>
                <w:rFonts w:ascii="Times New Roman" w:hAnsi="Times New Roman" w:cs="Times New Roman"/>
                <w:noProof/>
              </w:rPr>
              <w:t>Supplementary results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_Toc224509810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6</w:t>
            </w:r>
            <w:r w:rsidRPr="00BA4C4C">
              <w:rPr>
                <w:rFonts w:ascii="Times New Roman" w:hAnsi="Times New Roman" w:cs="Times New Roman"/>
                <w:noProof/>
                <w:webHidden/>
              </w:rPr>
              <w:fldChar w:fldCharType="end"/>
            </w:r>
          </w:hyperlink>
        </w:p>
        <w:p w14:paraId="47AE4A1B" w14:textId="369E53D7"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11" w:history="1">
            <w:r w:rsidRPr="00BA4C4C">
              <w:rPr>
                <w:rStyle w:val="Hyperlink"/>
                <w:rFonts w:ascii="Times New Roman" w:hAnsi="Times New Roman" w:cs="Times New Roman"/>
                <w:noProof/>
              </w:rPr>
              <w:t>Functional characterisation of CT- and SA-associated CpGs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_Toc224509811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6</w:t>
            </w:r>
            <w:r w:rsidRPr="00BA4C4C">
              <w:rPr>
                <w:rFonts w:ascii="Times New Roman" w:hAnsi="Times New Roman" w:cs="Times New Roman"/>
                <w:noProof/>
                <w:webHidden/>
              </w:rPr>
              <w:fldChar w:fldCharType="end"/>
            </w:r>
          </w:hyperlink>
        </w:p>
        <w:p w14:paraId="045DBA9D" w14:textId="5BA424FE" w:rsidR="00BA4C4C" w:rsidRPr="00BA4C4C" w:rsidRDefault="00BA4C4C">
          <w:pPr>
            <w:pStyle w:val="TOC1"/>
            <w:rPr>
              <w:rFonts w:ascii="Times New Roman" w:eastAsiaTheme="minorEastAsia" w:hAnsi="Times New Roman" w:cs="Times New Roman"/>
              <w:b w:val="0"/>
              <w:bCs w:val="0"/>
              <w:caps w:val="0"/>
              <w:noProof/>
              <w:kern w:val="2"/>
              <w:sz w:val="24"/>
              <w:szCs w:val="24"/>
              <w14:ligatures w14:val="standardContextual"/>
            </w:rPr>
          </w:pPr>
          <w:hyperlink w:anchor="_Toc224509812" w:history="1">
            <w:r w:rsidRPr="00BA4C4C">
              <w:rPr>
                <w:rStyle w:val="Hyperlink"/>
                <w:rFonts w:ascii="Times New Roman" w:hAnsi="Times New Roman" w:cs="Times New Roman"/>
                <w:noProof/>
              </w:rPr>
              <w:t>Dataset des</w:t>
            </w:r>
            <w:r w:rsidRPr="00BA4C4C">
              <w:rPr>
                <w:rStyle w:val="Hyperlink"/>
                <w:rFonts w:ascii="Times New Roman" w:hAnsi="Times New Roman" w:cs="Times New Roman"/>
                <w:noProof/>
              </w:rPr>
              <w:t>c</w:t>
            </w:r>
            <w:r w:rsidRPr="00BA4C4C">
              <w:rPr>
                <w:rStyle w:val="Hyperlink"/>
                <w:rFonts w:ascii="Times New Roman" w:hAnsi="Times New Roman" w:cs="Times New Roman"/>
                <w:noProof/>
              </w:rPr>
              <w:t>riptions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_Toc224509812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10</w:t>
            </w:r>
            <w:r w:rsidRPr="00BA4C4C">
              <w:rPr>
                <w:rFonts w:ascii="Times New Roman" w:hAnsi="Times New Roman" w:cs="Times New Roman"/>
                <w:noProof/>
                <w:webHidden/>
              </w:rPr>
              <w:fldChar w:fldCharType="end"/>
            </w:r>
          </w:hyperlink>
        </w:p>
        <w:p w14:paraId="1ACCD37B" w14:textId="0C3E9380"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13" w:history="1">
            <w:r w:rsidRPr="00BA4C4C">
              <w:rPr>
                <w:rStyle w:val="Hyperlink"/>
                <w:rFonts w:ascii="Times New Roman" w:hAnsi="Times New Roman" w:cs="Times New Roman"/>
                <w:noProof/>
              </w:rPr>
              <w:t>Discovery datasets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_Toc224509813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10</w:t>
            </w:r>
            <w:r w:rsidRPr="00BA4C4C">
              <w:rPr>
                <w:rFonts w:ascii="Times New Roman" w:hAnsi="Times New Roman" w:cs="Times New Roman"/>
                <w:noProof/>
                <w:webHidden/>
              </w:rPr>
              <w:fldChar w:fldCharType="end"/>
            </w:r>
          </w:hyperlink>
        </w:p>
        <w:p w14:paraId="3ED9E33C" w14:textId="2EA4672F"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14" w:history="1">
            <w:r w:rsidRPr="00BA4C4C">
              <w:rPr>
                <w:rStyle w:val="Hyperlink"/>
                <w:rFonts w:ascii="Times New Roman" w:hAnsi="Times New Roman" w:cs="Times New Roman"/>
                <w:noProof/>
              </w:rPr>
              <w:t>Replication/validation datasets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_Toc224509814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13</w:t>
            </w:r>
            <w:r w:rsidRPr="00BA4C4C">
              <w:rPr>
                <w:rFonts w:ascii="Times New Roman" w:hAnsi="Times New Roman" w:cs="Times New Roman"/>
                <w:noProof/>
                <w:webHidden/>
              </w:rPr>
              <w:fldChar w:fldCharType="end"/>
            </w:r>
          </w:hyperlink>
        </w:p>
        <w:p w14:paraId="47EF4E90" w14:textId="39178715" w:rsidR="00BA4C4C" w:rsidRPr="00BA4C4C" w:rsidRDefault="00BA4C4C">
          <w:pPr>
            <w:pStyle w:val="TOC1"/>
            <w:rPr>
              <w:rFonts w:ascii="Times New Roman" w:eastAsiaTheme="minorEastAsia" w:hAnsi="Times New Roman" w:cs="Times New Roman"/>
              <w:b w:val="0"/>
              <w:bCs w:val="0"/>
              <w:caps w:val="0"/>
              <w:noProof/>
              <w:kern w:val="2"/>
              <w:sz w:val="24"/>
              <w:szCs w:val="24"/>
              <w14:ligatures w14:val="standardContextual"/>
            </w:rPr>
          </w:pPr>
          <w:hyperlink w:anchor="_Toc224509815" w:history="1">
            <w:r w:rsidRPr="00BA4C4C">
              <w:rPr>
                <w:rStyle w:val="Hyperlink"/>
                <w:rFonts w:ascii="Times New Roman" w:hAnsi="Times New Roman" w:cs="Times New Roman"/>
                <w:noProof/>
              </w:rPr>
              <w:t>Acknowledgements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_Toc224509815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18</w:t>
            </w:r>
            <w:r w:rsidRPr="00BA4C4C">
              <w:rPr>
                <w:rFonts w:ascii="Times New Roman" w:hAnsi="Times New Roman" w:cs="Times New Roman"/>
                <w:noProof/>
                <w:webHidden/>
              </w:rPr>
              <w:fldChar w:fldCharType="end"/>
            </w:r>
          </w:hyperlink>
        </w:p>
        <w:p w14:paraId="42A5B504" w14:textId="3B0EEDB7" w:rsidR="00BA4C4C" w:rsidRPr="00BA4C4C" w:rsidRDefault="00BA4C4C">
          <w:pPr>
            <w:pStyle w:val="TOC1"/>
            <w:rPr>
              <w:rFonts w:ascii="Times New Roman" w:eastAsiaTheme="minorEastAsia" w:hAnsi="Times New Roman" w:cs="Times New Roman"/>
              <w:b w:val="0"/>
              <w:bCs w:val="0"/>
              <w:caps w:val="0"/>
              <w:noProof/>
              <w:kern w:val="2"/>
              <w:sz w:val="24"/>
              <w:szCs w:val="24"/>
              <w14:ligatures w14:val="standardContextual"/>
            </w:rPr>
          </w:pPr>
          <w:hyperlink w:anchor="_Toc224509816" w:history="1">
            <w:r w:rsidRPr="00BA4C4C">
              <w:rPr>
                <w:rStyle w:val="Hyperlink"/>
                <w:rFonts w:ascii="Times New Roman" w:hAnsi="Times New Roman" w:cs="Times New Roman"/>
                <w:noProof/>
              </w:rPr>
              <w:t>Supplementary references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_Toc224509816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24</w:t>
            </w:r>
            <w:r w:rsidRPr="00BA4C4C">
              <w:rPr>
                <w:rFonts w:ascii="Times New Roman" w:hAnsi="Times New Roman" w:cs="Times New Roman"/>
                <w:noProof/>
                <w:webHidden/>
              </w:rPr>
              <w:fldChar w:fldCharType="end"/>
            </w:r>
          </w:hyperlink>
        </w:p>
        <w:p w14:paraId="6A1E37F6" w14:textId="2814F261" w:rsidR="00BA4C4C" w:rsidRPr="00BA4C4C" w:rsidRDefault="00BA4C4C">
          <w:pPr>
            <w:pStyle w:val="TOC1"/>
            <w:rPr>
              <w:rFonts w:ascii="Times New Roman" w:eastAsiaTheme="minorEastAsia" w:hAnsi="Times New Roman" w:cs="Times New Roman"/>
              <w:b w:val="0"/>
              <w:bCs w:val="0"/>
              <w:caps w:val="0"/>
              <w:noProof/>
              <w:kern w:val="2"/>
              <w:sz w:val="24"/>
              <w:szCs w:val="24"/>
              <w14:ligatures w14:val="standardContextual"/>
            </w:rPr>
          </w:pPr>
          <w:hyperlink w:anchor="_Toc224509817" w:history="1">
            <w:r w:rsidRPr="00BA4C4C">
              <w:rPr>
                <w:rStyle w:val="Hyperlink"/>
                <w:rFonts w:ascii="Times New Roman" w:hAnsi="Times New Roman" w:cs="Times New Roman"/>
                <w:noProof/>
              </w:rPr>
              <w:t>Supplementary figures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_Toc224509817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30</w:t>
            </w:r>
            <w:r w:rsidRPr="00BA4C4C">
              <w:rPr>
                <w:rFonts w:ascii="Times New Roman" w:hAnsi="Times New Roman" w:cs="Times New Roman"/>
                <w:noProof/>
                <w:webHidden/>
              </w:rPr>
              <w:fldChar w:fldCharType="end"/>
            </w:r>
          </w:hyperlink>
        </w:p>
        <w:p w14:paraId="2455CC95" w14:textId="7F1EE8F9"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18" w:history="1">
            <w:r w:rsidRPr="00BA4C4C">
              <w:rPr>
                <w:rStyle w:val="Hyperlink"/>
                <w:rFonts w:ascii="Times New Roman" w:hAnsi="Times New Roman" w:cs="Times New Roman"/>
                <w:noProof/>
              </w:rPr>
              <w:t>Fig. S1. Overview of the analytic plan of the study.</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_Toc224509818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30</w:t>
            </w:r>
            <w:r w:rsidRPr="00BA4C4C">
              <w:rPr>
                <w:rFonts w:ascii="Times New Roman" w:hAnsi="Times New Roman" w:cs="Times New Roman"/>
                <w:noProof/>
                <w:webHidden/>
              </w:rPr>
              <w:fldChar w:fldCharType="end"/>
            </w:r>
          </w:hyperlink>
        </w:p>
        <w:p w14:paraId="0A963F68" w14:textId="2B862C67"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19" w:history="1">
            <w:r w:rsidRPr="00BA4C4C">
              <w:rPr>
                <w:rStyle w:val="Hyperlink"/>
                <w:rFonts w:ascii="Times New Roman" w:hAnsi="Times New Roman" w:cs="Times New Roman"/>
                <w:noProof/>
              </w:rPr>
              <w:t>Fig. S2. QCEWAS results of average CT and total SA.</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_Toc224509819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31</w:t>
            </w:r>
            <w:r w:rsidRPr="00BA4C4C">
              <w:rPr>
                <w:rFonts w:ascii="Times New Roman" w:hAnsi="Times New Roman" w:cs="Times New Roman"/>
                <w:noProof/>
                <w:webHidden/>
              </w:rPr>
              <w:fldChar w:fldCharType="end"/>
            </w:r>
          </w:hyperlink>
        </w:p>
        <w:p w14:paraId="410B3300" w14:textId="3524B0DE"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20" w:history="1">
            <w:r w:rsidRPr="00BA4C4C">
              <w:rPr>
                <w:rStyle w:val="Hyperlink"/>
                <w:rFonts w:ascii="Times New Roman" w:hAnsi="Times New Roman" w:cs="Times New Roman"/>
                <w:noProof/>
              </w:rPr>
              <w:t>Fig. S3. Forest plots for significantly associated CpGs in the discovery meta-analysis.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_Toc224509820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34</w:t>
            </w:r>
            <w:r w:rsidRPr="00BA4C4C">
              <w:rPr>
                <w:rFonts w:ascii="Times New Roman" w:hAnsi="Times New Roman" w:cs="Times New Roman"/>
                <w:noProof/>
                <w:webHidden/>
              </w:rPr>
              <w:fldChar w:fldCharType="end"/>
            </w:r>
          </w:hyperlink>
        </w:p>
        <w:p w14:paraId="65B06602" w14:textId="700D65DE"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21" w:history="1">
            <w:r w:rsidRPr="00BA4C4C">
              <w:rPr>
                <w:rStyle w:val="Hyperlink"/>
                <w:rFonts w:ascii="Times New Roman" w:hAnsi="Times New Roman" w:cs="Times New Roman"/>
                <w:noProof/>
              </w:rPr>
              <w:t>Fig. S4. Genomic distribution of CpGs located within differentially methylated regions (DMRs) associated with average CT and total SA.</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_Toc224509821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35</w:t>
            </w:r>
            <w:r w:rsidRPr="00BA4C4C">
              <w:rPr>
                <w:rFonts w:ascii="Times New Roman" w:hAnsi="Times New Roman" w:cs="Times New Roman"/>
                <w:noProof/>
                <w:webHidden/>
              </w:rPr>
              <w:fldChar w:fldCharType="end"/>
            </w:r>
          </w:hyperlink>
        </w:p>
        <w:p w14:paraId="3B4640DB" w14:textId="117FE580"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22" w:history="1">
            <w:r w:rsidRPr="00BA4C4C">
              <w:rPr>
                <w:rStyle w:val="Hyperlink"/>
                <w:rFonts w:ascii="Times New Roman" w:hAnsi="Times New Roman" w:cs="Times New Roman"/>
                <w:noProof/>
              </w:rPr>
              <w:t>Fig. S5. Tissue-specific expression enrichment (FUMA analyses) of genes annotated to CT- and SA-associated CpGs based on GTEx v8 transcriptomic data across 54 human tissues.</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_Toc224509822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36</w:t>
            </w:r>
            <w:r w:rsidRPr="00BA4C4C">
              <w:rPr>
                <w:rFonts w:ascii="Times New Roman" w:hAnsi="Times New Roman" w:cs="Times New Roman"/>
                <w:noProof/>
                <w:webHidden/>
              </w:rPr>
              <w:fldChar w:fldCharType="end"/>
            </w:r>
          </w:hyperlink>
        </w:p>
        <w:p w14:paraId="1132DB24" w14:textId="3788DCE5"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23" w:history="1">
            <w:r w:rsidRPr="00BA4C4C">
              <w:rPr>
                <w:rStyle w:val="Hyperlink"/>
                <w:rFonts w:ascii="Times New Roman" w:hAnsi="Times New Roman" w:cs="Times New Roman"/>
                <w:noProof/>
              </w:rPr>
              <w:t>Fig. S6. Trait associations of CpGs linked to average CT and total SA, based on previous studies included in the EWAS Catalog.</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_Toc224509823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37</w:t>
            </w:r>
            <w:r w:rsidRPr="00BA4C4C">
              <w:rPr>
                <w:rFonts w:ascii="Times New Roman" w:hAnsi="Times New Roman" w:cs="Times New Roman"/>
                <w:noProof/>
                <w:webHidden/>
              </w:rPr>
              <w:fldChar w:fldCharType="end"/>
            </w:r>
          </w:hyperlink>
        </w:p>
        <w:p w14:paraId="670DB5CA" w14:textId="44BE1C37" w:rsidR="00BA4C4C" w:rsidRPr="00BA4C4C" w:rsidRDefault="00BA4C4C">
          <w:pPr>
            <w:pStyle w:val="TOC2"/>
            <w:tabs>
              <w:tab w:val="right" w:leader="dot" w:pos="9016"/>
            </w:tabs>
            <w:rPr>
              <w:rFonts w:ascii="Times New Roman" w:eastAsiaTheme="minorEastAsia" w:hAnsi="Times New Roman" w:cs="Times New Roman"/>
              <w:smallCaps w:val="0"/>
              <w:noProof/>
              <w:kern w:val="2"/>
              <w:sz w:val="24"/>
              <w:szCs w:val="24"/>
              <w14:ligatures w14:val="standardContextual"/>
            </w:rPr>
          </w:pPr>
          <w:hyperlink w:anchor="_Toc224509824" w:history="1">
            <w:r w:rsidRPr="00BA4C4C">
              <w:rPr>
                <w:rStyle w:val="Hyperlink"/>
                <w:rFonts w:ascii="Times New Roman" w:hAnsi="Times New Roman" w:cs="Times New Roman"/>
                <w:noProof/>
              </w:rPr>
              <w:t>Fig. S7. Correlations between phenotypic variables included in the Phenome-wide association analyses in the IMAGEN cohort.</w:t>
            </w:r>
            <w:r w:rsidRPr="00BA4C4C">
              <w:rPr>
                <w:rFonts w:ascii="Times New Roman" w:hAnsi="Times New Roman" w:cs="Times New Roman"/>
                <w:noProof/>
                <w:webHidden/>
              </w:rPr>
              <w:tab/>
            </w:r>
            <w:r w:rsidRPr="00BA4C4C">
              <w:rPr>
                <w:rFonts w:ascii="Times New Roman" w:hAnsi="Times New Roman" w:cs="Times New Roman"/>
                <w:noProof/>
                <w:webHidden/>
              </w:rPr>
              <w:fldChar w:fldCharType="begin"/>
            </w:r>
            <w:r w:rsidRPr="00BA4C4C">
              <w:rPr>
                <w:rFonts w:ascii="Times New Roman" w:hAnsi="Times New Roman" w:cs="Times New Roman"/>
                <w:noProof/>
                <w:webHidden/>
              </w:rPr>
              <w:instrText xml:space="preserve"> PAGEREF _Toc224509824 \h </w:instrText>
            </w:r>
            <w:r w:rsidRPr="00BA4C4C">
              <w:rPr>
                <w:rFonts w:ascii="Times New Roman" w:hAnsi="Times New Roman" w:cs="Times New Roman"/>
                <w:noProof/>
                <w:webHidden/>
              </w:rPr>
            </w:r>
            <w:r w:rsidRPr="00BA4C4C">
              <w:rPr>
                <w:rFonts w:ascii="Times New Roman" w:hAnsi="Times New Roman" w:cs="Times New Roman"/>
                <w:noProof/>
                <w:webHidden/>
              </w:rPr>
              <w:fldChar w:fldCharType="separate"/>
            </w:r>
            <w:r w:rsidRPr="00BA4C4C">
              <w:rPr>
                <w:rFonts w:ascii="Times New Roman" w:hAnsi="Times New Roman" w:cs="Times New Roman"/>
                <w:noProof/>
                <w:webHidden/>
              </w:rPr>
              <w:t>38</w:t>
            </w:r>
            <w:r w:rsidRPr="00BA4C4C">
              <w:rPr>
                <w:rFonts w:ascii="Times New Roman" w:hAnsi="Times New Roman" w:cs="Times New Roman"/>
                <w:noProof/>
                <w:webHidden/>
              </w:rPr>
              <w:fldChar w:fldCharType="end"/>
            </w:r>
          </w:hyperlink>
        </w:p>
        <w:p w14:paraId="00000011" w14:textId="1403EBB0" w:rsidR="00761DC3" w:rsidRPr="00BA4C4C" w:rsidRDefault="00C94494" w:rsidP="005B3F3B">
          <w:pPr>
            <w:widowControl w:val="0"/>
            <w:tabs>
              <w:tab w:val="right" w:leader="dot" w:pos="12000"/>
            </w:tabs>
            <w:spacing w:before="60" w:line="360" w:lineRule="auto"/>
            <w:ind w:left="360"/>
            <w:jc w:val="both"/>
            <w:rPr>
              <w:rFonts w:ascii="Times New Roman" w:eastAsia="Arial" w:hAnsi="Times New Roman" w:cs="Times New Roman"/>
              <w:color w:val="000000"/>
              <w:sz w:val="22"/>
              <w:szCs w:val="22"/>
            </w:rPr>
          </w:pPr>
          <w:r w:rsidRPr="00BA4C4C">
            <w:rPr>
              <w:rFonts w:ascii="Times New Roman" w:hAnsi="Times New Roman" w:cs="Times New Roman"/>
            </w:rPr>
            <w:fldChar w:fldCharType="end"/>
          </w:r>
        </w:p>
      </w:sdtContent>
    </w:sdt>
    <w:p w14:paraId="00000012" w14:textId="77777777" w:rsidR="00761DC3" w:rsidRPr="00BA4C4C" w:rsidRDefault="00761DC3" w:rsidP="005B3F3B">
      <w:pPr>
        <w:spacing w:line="360" w:lineRule="auto"/>
        <w:jc w:val="both"/>
        <w:rPr>
          <w:rFonts w:ascii="Times New Roman" w:hAnsi="Times New Roman" w:cs="Times New Roman"/>
        </w:rPr>
        <w:sectPr w:rsidR="00761DC3" w:rsidRPr="00BA4C4C">
          <w:footerReference w:type="even" r:id="rId8"/>
          <w:footerReference w:type="default" r:id="rId9"/>
          <w:pgSz w:w="11906" w:h="16838"/>
          <w:pgMar w:top="1440" w:right="1440" w:bottom="1440" w:left="1440" w:header="708" w:footer="708" w:gutter="0"/>
          <w:pgNumType w:start="1"/>
          <w:cols w:space="720"/>
        </w:sectPr>
      </w:pPr>
    </w:p>
    <w:p w14:paraId="0000001C" w14:textId="3C524929" w:rsidR="00761DC3" w:rsidRPr="005B3F3B" w:rsidRDefault="00C94494" w:rsidP="005B3F3B">
      <w:pPr>
        <w:pStyle w:val="Heading1"/>
        <w:spacing w:line="360" w:lineRule="auto"/>
        <w:jc w:val="both"/>
      </w:pPr>
      <w:bookmarkStart w:id="0" w:name="_Toc224509805"/>
      <w:r w:rsidRPr="005B3F3B">
        <w:lastRenderedPageBreak/>
        <w:t>Supplementary methods</w:t>
      </w:r>
      <w:bookmarkEnd w:id="0"/>
    </w:p>
    <w:p w14:paraId="0000001D" w14:textId="77777777" w:rsidR="00761DC3" w:rsidRPr="005B3F3B" w:rsidRDefault="00C94494" w:rsidP="005B3F3B">
      <w:pPr>
        <w:pStyle w:val="Heading2"/>
        <w:spacing w:line="360" w:lineRule="auto"/>
        <w:jc w:val="both"/>
      </w:pPr>
      <w:bookmarkStart w:id="1" w:name="_Toc224509806"/>
      <w:r w:rsidRPr="005B3F3B">
        <w:t>MRI acquisition and processing</w:t>
      </w:r>
      <w:bookmarkEnd w:id="1"/>
    </w:p>
    <w:p w14:paraId="7FFA8327" w14:textId="322E3943" w:rsidR="00DD3103" w:rsidRDefault="009D52CD"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C</w:t>
      </w:r>
      <w:r w:rsidR="00C94494" w:rsidRPr="005B3F3B">
        <w:rPr>
          <w:rFonts w:ascii="Times New Roman" w:eastAsia="Times New Roman" w:hAnsi="Times New Roman" w:cs="Times New Roman"/>
        </w:rPr>
        <w:t xml:space="preserve">ortical surface area (SA) and cortical thickness (CT) were derived from </w:t>
      </w:r>
      <w:r w:rsidR="00C94494" w:rsidRPr="005B3F3B">
        <w:rPr>
          <w:rFonts w:ascii="Times New Roman" w:eastAsia="Times New Roman" w:hAnsi="Times New Roman" w:cs="Times New Roman"/>
          <w:i/>
        </w:rPr>
        <w:t xml:space="preserve">in vivo </w:t>
      </w:r>
      <w:r w:rsidR="00C94494" w:rsidRPr="005B3F3B">
        <w:rPr>
          <w:rFonts w:ascii="Times New Roman" w:eastAsia="Times New Roman" w:hAnsi="Times New Roman" w:cs="Times New Roman"/>
        </w:rPr>
        <w:t xml:space="preserve">whole-brain T1-weighted magnetic resonance imaging (MRI) scans using </w:t>
      </w:r>
      <w:proofErr w:type="spellStart"/>
      <w:r w:rsidR="00C94494" w:rsidRPr="005B3F3B">
        <w:rPr>
          <w:rFonts w:ascii="Times New Roman" w:eastAsia="Times New Roman" w:hAnsi="Times New Roman" w:cs="Times New Roman"/>
        </w:rPr>
        <w:t>FreeSurfer</w:t>
      </w:r>
      <w:proofErr w:type="spellEnd"/>
      <w:r w:rsidR="00C94494" w:rsidRPr="005B3F3B">
        <w:rPr>
          <w:rFonts w:ascii="Times New Roman" w:eastAsia="Times New Roman" w:hAnsi="Times New Roman" w:cs="Times New Roman"/>
        </w:rPr>
        <w:t xml:space="preserve"> </w:t>
      </w:r>
      <w:r w:rsidRPr="005B3F3B">
        <w:rPr>
          <w:rFonts w:ascii="Times New Roman" w:eastAsia="Times New Roman" w:hAnsi="Times New Roman" w:cs="Times New Roman"/>
        </w:rPr>
        <w:t xml:space="preserve">(v5.3 or later). </w:t>
      </w:r>
      <w:r w:rsidR="00C94494" w:rsidRPr="005B3F3B">
        <w:rPr>
          <w:rFonts w:ascii="Times New Roman" w:eastAsia="Times New Roman" w:hAnsi="Times New Roman" w:cs="Times New Roman"/>
        </w:rPr>
        <w:t xml:space="preserve">MRI </w:t>
      </w:r>
      <w:r w:rsidRPr="005B3F3B">
        <w:rPr>
          <w:rFonts w:ascii="Times New Roman" w:eastAsia="Times New Roman" w:hAnsi="Times New Roman" w:cs="Times New Roman"/>
        </w:rPr>
        <w:t xml:space="preserve">data were acquired at 1.5 Tesla or 3 Tesla using T1-weighted sequences harmonised across sites. Sequence parameters (TR, TE, flip angle) are summarised in </w:t>
      </w:r>
      <w:r w:rsidRPr="005B3F3B">
        <w:rPr>
          <w:rFonts w:ascii="Times New Roman" w:eastAsia="Times New Roman" w:hAnsi="Times New Roman" w:cs="Times New Roman"/>
          <w:b/>
        </w:rPr>
        <w:t>Table S2</w:t>
      </w:r>
      <w:r w:rsidRPr="005B3F3B">
        <w:rPr>
          <w:rFonts w:ascii="Times New Roman" w:eastAsia="Times New Roman" w:hAnsi="Times New Roman" w:cs="Times New Roman"/>
        </w:rPr>
        <w:t>.</w:t>
      </w:r>
    </w:p>
    <w:p w14:paraId="1C76D660" w14:textId="77777777" w:rsidR="00DD3103" w:rsidRPr="005B3F3B" w:rsidRDefault="00DD3103" w:rsidP="005B3F3B">
      <w:pPr>
        <w:spacing w:line="360" w:lineRule="auto"/>
        <w:ind w:left="0"/>
        <w:jc w:val="both"/>
        <w:rPr>
          <w:rFonts w:ascii="Times New Roman" w:eastAsia="Times New Roman" w:hAnsi="Times New Roman" w:cs="Times New Roman"/>
        </w:rPr>
      </w:pPr>
    </w:p>
    <w:p w14:paraId="1DED441D" w14:textId="7F295AA3" w:rsidR="009D52CD" w:rsidRDefault="009D52CD"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lang w:eastAsia="en-GB"/>
        </w:rPr>
        <w:t xml:space="preserve">Image processing and </w:t>
      </w:r>
      <w:r w:rsidRPr="005B3F3B">
        <w:rPr>
          <w:rFonts w:ascii="Times New Roman" w:eastAsia="Times New Roman" w:hAnsi="Times New Roman" w:cs="Times New Roman"/>
        </w:rPr>
        <w:t>q</w:t>
      </w:r>
      <w:r w:rsidR="00C94494" w:rsidRPr="005B3F3B">
        <w:rPr>
          <w:rFonts w:ascii="Times New Roman" w:eastAsia="Times New Roman" w:hAnsi="Times New Roman" w:cs="Times New Roman"/>
        </w:rPr>
        <w:t xml:space="preserve">uality control (QC) </w:t>
      </w:r>
      <w:r w:rsidR="00DD3103">
        <w:rPr>
          <w:rFonts w:ascii="Times New Roman" w:eastAsia="Times New Roman" w:hAnsi="Times New Roman" w:cs="Times New Roman"/>
        </w:rPr>
        <w:t>were performed in accordance with</w:t>
      </w:r>
      <w:r w:rsidR="00C94494" w:rsidRPr="005B3F3B">
        <w:rPr>
          <w:rFonts w:ascii="Times New Roman" w:eastAsia="Times New Roman" w:hAnsi="Times New Roman" w:cs="Times New Roman"/>
        </w:rPr>
        <w:t xml:space="preserve"> the ENIGMA Cortical Quality Control Protocol 2.0 (April 2018)</w:t>
      </w:r>
      <w:r w:rsidRPr="005B3F3B">
        <w:rPr>
          <w:rFonts w:ascii="Times New Roman" w:eastAsia="Times New Roman" w:hAnsi="Times New Roman" w:cs="Times New Roman"/>
        </w:rPr>
        <w:t>, as</w:t>
      </w:r>
      <w:r w:rsidR="00C94494" w:rsidRPr="005B3F3B">
        <w:rPr>
          <w:rFonts w:ascii="Times New Roman" w:eastAsia="Times New Roman" w:hAnsi="Times New Roman" w:cs="Times New Roman"/>
        </w:rPr>
        <w:t xml:space="preserve"> </w:t>
      </w:r>
      <w:r w:rsidRPr="005B3F3B">
        <w:rPr>
          <w:rFonts w:ascii="Times New Roman" w:eastAsia="Times New Roman" w:hAnsi="Times New Roman" w:cs="Times New Roman"/>
          <w:lang w:eastAsia="en-GB"/>
        </w:rPr>
        <w:t xml:space="preserve">previously </w:t>
      </w:r>
      <w:r w:rsidR="00C94494" w:rsidRPr="005B3F3B">
        <w:rPr>
          <w:rFonts w:ascii="Times New Roman" w:eastAsia="Times New Roman" w:hAnsi="Times New Roman" w:cs="Times New Roman"/>
        </w:rPr>
        <w:t>describe</w:t>
      </w:r>
      <w:r w:rsidR="00DD3103">
        <w:rPr>
          <w:rFonts w:ascii="Times New Roman" w:eastAsia="Times New Roman" w:hAnsi="Times New Roman" w:cs="Times New Roman"/>
        </w:rPr>
        <w:t>d</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{"citationID":"cSzyr5xr","properties":{"formattedCitation":"\\super 1\\nosupersub{}","plainCitation":"1","noteIndex":0},"citationItems":[{"id":4218,"uris":["http://zotero.org/users/6242458/items/CQXH3DFT"],"itemData":{"id":4218,"type":"article-journal","abstract":"The cerebral cortex underlies our complex cognitive capabilities, yet little is known about the specific genetic loci that influence human cortical structure. To identify genetic variants that affect cortical structure, we conducted a genome-wide association meta-analysis of brain magnetic resonance imaging data from 51,665 individuals. We analyzed the surface area and average thickness of the whole cortex and 34 regions with known functional specializations. We identified 237 significant loci and found significant enrichment for loci influencing total surface area within regulatory elements that are active during prenatal cortical development, supporting the radial unit hypothesis. Loci that affect regional surface area cluster near genes in Wnt signaling pathways, which influence progenitor expansion and areal identity. Variation in cortical structure is genetically correlated with cognitive function, Parkinson’s disease, insomnia, depression, neuroticism, and attention deficit hyperactivity disorder.","container-title":"Science","DOI":"10.1126/science.aay6690","issue":"6484","page":"eaay6690","publisher":"American Association for the Advancement of Science","source":"science.org (Atypon)","title":"The genetic architecture of the human cerebral cortex","volume":"367","author":[{"family":"Grasby","given":"Katrina L."},{"family":"Jahanshad","given":"Neda"},{"family":"Painter","given":"Jodie N."},{"family":"Colodro-Conde","given":"Lucía"},{"family":"Bralten","given":"Janita"},{"family":"Hibar","given":"Derrek P."},{"family":"Lind","given":"Penelope A."},{"family":"Pizzagalli","given":"Fabrizio"},{"family":"Ching","given":"Christopher R. K."},{"family":"McMahon","given":"Mary Agnes B."},{"family":"Shatokhina","given":"Natalia"},{"family":"Zsembik","given":"Leo C. P."},{"family":"Thomopoulos","given":"Sophia I."},{"family":"Zhu","given":"Alyssa H."},{"family":"Strike","given":"Lachlan T."},{"family":"Agartz","given":"Ingrid"},{"family":"Alhusaini","given":"Saud"},{"family":"Almeida","given":"Marcio A. A."},{"family":"Alnæs","given":"Dag"},{"family":"Amlien","given":"Inge K."},{"family":"Andersson","given":"Micael"},{"family":"Ard","given":"Tyler"},{"family":"Armstrong","given":"Nicola J."},{"family":"Ashley-Koch","given":"Allison"},{"family":"Atkins","given":"Joshua R."},{"family":"Bernard","given":"Manon"},{"family":"Brouwer","given":"Rachel M."},{"family":"Buimer","given":"Elizabeth E. L."},{"family":"Bülow","given":"Robin"},{"family":"Bürger","given":"Christian"},{"family":"Cannon","given":"Dara M."},{"family":"Chakravarty","given":"Mallar"},{"family":"Chen","given":"Qiang"},{"family":"Cheung","given":"Joshua W."},{"family":"Couvy-Duchesne","given":"Baptiste"},{"family":"Dale","given":"Anders M."},{"family":"Dalvie","given":"Shareefa"},{"family":"Araujo","given":"Tânia K.","non-dropping-particle":"de"},{"family":"Zubicaray","given":"Greig I.","non-dropping-particle":"de"},{"family":"Zwarte","given":"Sonja M. C.","non-dropping-particle":"de"},{"family":"Braber","given":"Anouk","non-dropping-particle":"den"},{"family":"Doan","given":"Nhat Trung"},{"family":"Dohm","given":"Katharina"},{"family":"Ehrlich","given":"Stefan"},{"family":"Engelbrecht","given":"Hannah-Ruth"},{"family":"Erk","given":"Susanne"},{"family":"Fan","given":"Chun Chieh"},{"family":"Fedko","given":"Iryna O."},{"family":"Foley","given":"Sonya F."},{"family":"Ford","given":"Judith M."},{"family":"Fukunaga","given":"Masaki"},{"family":"Garrett","given":"Melanie E."},{"family":"Ge","given":"Tian"},{"family":"Giddaluru","given":"Sudheer"},{"family":"Goldman","given":"Aaron L."},{"family":"Green","given":"Melissa J."},{"family":"Groenewold","given":"Nynke A."},{"family":"Grotegerd","given":"Dominik"},{"family":"Gurholt","given":"Tiril P."},{"family":"Gutman","given":"Boris A."},{"family":"Hansell","given":"Narelle K."},{"family":"Harris","given":"Mathew A."},{"family":"Harrison","given":"Marc B."},{"family":"Haswell","given":"Courtney C."},{"family":"Hauser","given":"Michael"},{"family":"Herms","given":"Stefan"},{"family":"Heslenfeld","given":"Dirk J."},{"family":"Ho","given":"New Fei"},{"family":"Hoehn","given":"David"},{"family":"Hoffmann","given":"Per"},{"family":"Holleran","given":"Laurena"},{"family":"Hoogman","given":"Martine"},{"family":"Hottenga","given":"Jouke-Jan"},{"family":"Ikeda","given":"Masashi"},{"family":"Janowitz","given":"Deborah"},{"family":"Jansen","given":"Iris E."},{"family":"Jia","given":"Tianye"},{"family":"Jockwitz","given":"Christiane"},{"family":"Kanai","given":"Ryota"},{"family":"Karama","given":"Sherif"},{"family":"Kasperaviciute","given":"Dalia"},{"family":"Kaufmann","given":"Tobias"},{"family":"Kelly","given":"Sinead"},{"family":"Kikuchi","given":"Masataka"},{"family":"Klein","given":"Marieke"},{"family":"Knapp","given":"Michael"},{"family":"Knodt","given":"Annchen R."},{"family":"Krämer","given":"Bernd"},{"family":"Lam","given":"Max"},{"family":"Lancaster","given":"Thomas M."},{"family":"Lee","given":"Phil H."},{"family":"Lett","given":"Tristram A."},{"family":"Lewis","given":"Lindsay B."},{"family":"Lopes-Cendes","given":"Iscia"},{"family":"Luciano","given":"Michelle"},{"family":"Macciardi","given":"Fabio"},{"family":"Marquand","given":"Andre F."},{"family":"Mathias","given":"Samuel R."},{"family":"Melzer","given":"Tracy R."},{"family":"Milaneschi","given":"Yuri"},{"family":"Mirza-Schreiber","given":"Nazanin"},{"family":"Moreira","given":"Jose C. V."},{"family":"Mühleisen","given":"Thomas W."},{"family":"Müller-Myhsok","given":"Bertram"},{"family":"Najt","given":"Pablo"},{"family":"Nakahara","given":"Soichiro"},{"family":"Nho","given":"Kwangsik"},{"family":"Olde Loohuis","given":"Loes M."},{"family":"Orfanos","given":"Dimitri Papadopoulos"},{"family":"Pearson","given":"John F."},{"family":"Pitcher","given":"Toni L."},{"family":"Pütz","given":"Benno"},{"family":"Quidé","given":"Yann"},{"family":"Ragothaman","given":"Anjanibhargavi"},{"family":"Rashid","given":"Faisal M."},{"family":"Reay","given":"William R."},{"family":"Redlich","given":"Ronny"},{"family":"Reinbold","given":"Céline S."},{"family":"Repple","given":"Jonathan"},{"family":"Richard","given":"Geneviève"},{"family":"Riedel","given":"Brandalyn C."},{"family":"Risacher","given":"Shannon L."},{"family":"Rocha","given":"Cristiane S."},{"family":"Mota","given":"Nina Roth"},{"family":"Salminen","given":"Lauren"},{"family":"Saremi","given":"Arvin"},{"family":"Saykin","given":"Andrew J."},{"family":"Schlag","given":"Fenja"},{"family":"Schmaal","given":"Lianne"},{"family":"Schofield","given":"Peter R."},{"family":"Secolin","given":"Rodrigo"},{"family":"Shapland","given":"Chin Yang"},{"family":"Shen","given":"Li"},{"family":"Shin","given":"Jean"},{"family":"Shumskaya","given":"Elena"},{"family":"Sønderby","given":"Ida E."},{"family":"Sprooten","given":"Emma"},{"family":"Tansey","given":"Katherine E."},{"family":"Teumer","given":"Alexander"},{"family":"Thalamuthu","given":"Anbupalam"},{"family":"Tordesillas-Gutiérrez","given":"Diana"},{"family":"Turner","given":"Jessica A."},{"family":"Uhlmann","given":"Anne"},{"family":"Vallerga","given":"Costanza Ludovica"},{"family":"Meer","given":"Dennis","non-dropping-particle":"van der"},{"family":"Donkelaar","given":"Marjolein M. J.","non-dropping-particle":"van"},{"family":"Eijk","given":"Liza","non-dropping-particle":"van"},{"family":"Erp","given":"Theo G. M.","non-dropping-particle":"van"},{"family":"Haren","given":"Neeltje E. M.","non-dropping-particle":"van"},{"family":"Rooij","given":"Daan","non-dropping-particle":"van"},{"family":"Tol","given":"Marie-José","non-dropping-particle":"van"},{"family":"Veldink","given":"Jan H."},{"family":"Verhoef","given":"Ellen"},{"family":"Walton","given":"Esther"},{"family":"Wang","given":"Mingyuan"},{"family":"Wang","given":"Yunpeng"},{"family":"Wardlaw","given":"Joanna M."},{"family":"Wen","given":"Wei"},{"family":"Westlye","given":"Lars T."},{"family":"Whelan","given":"Christopher D."},{"family":"Witt","given":"Stephanie H."},{"family":"Wittfeld","given":"Katharina"},{"family":"Wolf","given":"Christiane"},{"family":"Wolfers","given":"Thomas"},{"family":"Wu","given":"Jing Qin"},{"family":"Yasuda","given":"Clarissa L."},{"family":"Zaremba","given":"Dario"},{"family":"Zhang","given":"Zuo"},{"family":"Zwiers","given":"Marcel P."},{"family":"Artiges","given":"Eric"},{"family":"Assareh","given":"Amelia A."},{"family":"Ayesa-Arriola","given":"Rosa"},{"family":"Belger","given":"Aysenil"},{"family":"Brandt","given":"Christine L."},{"family":"Brown","given":"Gregory G."},{"family":"Cichon","given":"Sven"},{"family":"Curran","given":"Joanne E."},{"family":"Davies","given":"Gareth E."},{"family":"Degenhardt","given":"Franziska"},{"family":"Dennis","given":"Michelle F."},{"family":"Dietsche","given":"Bruno"},{"family":"Djurovic","given":"Srdjan"},{"family":"Doherty","given":"Colin P."},{"family":"Espiritu","given":"Ryan"},{"family":"Garijo","given":"Daniel"},{"family":"Gil","given":"Yolanda"},{"family":"Gowland","given":"Penny A."},{"family":"Green","given":"Robert C."},{"family":"Häusler","given":"Alexander N."},{"family":"Heindel","given":"Walter"},{"family":"Ho","given":"Beng-Choon"},{"family":"Hoffmann","given":"Wolfgang U."},{"family":"Holsboer","given":"Florian"},{"family":"Homuth","given":"Georg"},{"family":"Hosten","given":"Norbert"},{"family":"Jack","given":"Clifford R."},{"family":"Jang","given":"MiHyun"},{"family":"Jansen","given":"Andreas"},{"family":"Kimbrel","given":"Nathan A."},{"family":"Kolskår","given":"Knut"},{"family":"Koops","given":"Sanne"},{"family":"Krug","given":"Axel"},{"family":"Lim","given":"Kelvin O."},{"family":"Luykx","given":"Jurjen J."},{"family":"Mathalon","given":"Daniel H."},{"family":"Mather","given":"Karen A."},{"family":"Mattay","given":"Venkata S."},{"family":"Matthews","given":"Sarah"},{"family":"Mayoral Van Son","given":"Jaqueline"},{"family":"McEwen","given":"Sarah C."},{"family":"Melle","given":"Ingrid"},{"family":"Morris","given":"Derek W."},{"family":"Mueller","given":"Bryon A."},{"family":"Nauck","given":"Matthias"},{"family":"Nordvik","given":"Jan E."},{"family":"Nöthen","given":"Markus M."},{"family":"O’Leary","given":"Daniel S."},{"family":"Opel","given":"Nils"},{"family":"Martinot","given":"Marie-Laure Paillère"},{"family":"Pike","given":"G. Bruce"},{"family":"Preda","given":"Adrian"},{"family":"Quinlan","given":"Erin B."},{"family":"Rasser","given":"Paul E."},{"family":"Ratnakar","given":"Varun"},{"family":"Reppermund","given":"Simone"},{"family":"Steen","given":"Vidar M."},{"family":"Tooney","given":"Paul A."},{"family":"Torres","given":"Fábio R."},{"family":"Veltman","given":"Dick J."},{"family":"Voyvodic","given":"James T."},{"family":"Whelan","given":"Robert"},{"family":"White","given":"Tonya"},{"family":"Yamamori","given":"Hidenaga"},{"family":"Adams","given":"Hieab H. H."},{"family":"Bis","given":"Joshua C."},{"family":"Debette","given":"Stephanie"},{"family":"Decarli","given":"Charles"},{"family":"Fornage","given":"Myriam"},{"family":"Gudnason","given":"Vilmundur"},{"family":"Hofer","given":"Edith"},{"family":"Ikram","given":"M. Arfan"},{"family":"Launer","given":"Lenore"},{"family":"Longstreth","given":"W. T."},{"family":"Lopez","given":"Oscar L."},{"family":"Mazoyer","given":"Bernard"},{"family":"Mosley","given":"Thomas H."},{"family":"Roshchupkin","given":"Gennady V."},{"family":"Satizabal","given":"Claudia L."},{"family":"Schmidt","given":"Reinhold"},{"family":"Seshadri","given":"Sudha"},{"family":"Yang","given":"Qiong"},{"literal":"Alzheimer’s Disease Neuroimaging Initiative"},{"literal":"CHARGE Consortium"},{"literal":"EPIGEN Consortium"},{"literal":"IMAGEN Consortium"},{"literal":"SYS Consortium"},{"literal":"Parkinson’s Progression Markers Initiative"},{"family":"Alvim","given":"Marina K. M."},{"family":"Ames","given":"David"},{"family":"Anderson","given":"Tim J."},{"family":"Andreassen","given":"Ole A."},{"family":"Arias-Vasquez","given":"Alejandro"},{"family":"Bastin","given":"Mark E."},{"family":"Baune","given":"Bernhard T."},{"family":"Beckham","given":"Jean C."},{"family":"Blangero","given":"John"},{"family":"Boomsma","given":"Dorret I."},{"family":"Brodaty","given":"Henry"},{"family":"Brunner","given":"Han G."},{"family":"Buckner","given":"Randy L."},{"family":"Buitelaar","given":"Jan K."},{"family":"Bustillo","given":"Juan R."},{"family":"Cahn","given":"Wiepke"},{"family":"Cairns","given":"Murray J."},{"family":"Calhoun","given":"Vince"},{"family":"Carr","given":"Vaughan J."},{"family":"Caseras","given":"Xavier"},{"family":"Caspers","given":"Svenja"},{"family":"Cavalleri","given":"Gianpiero L."},{"family":"Cendes","given":"Fernando"},{"family":"Corvin","given":"Aiden"},{"family":"Crespo-Facorro","given":"Benedicto"},{"family":"Dalrymple-Alford","given":"John C."},{"family":"Dannlowski","given":"Udo"},{"family":"Geus","given":"Eco J. C.","non-dropping-particle":"de"},{"family":"Deary","given":"Ian J."},{"family":"Delanty","given":"Norman"},{"family":"Depondt","given":"Chantal"},{"family":"Desrivières","given":"Sylvane"},{"family":"Donohoe","given":"Gary"},{"family":"Espeseth","given":"Thomas"},{"family":"Fernández","given":"Guillén"},{"family":"Fisher","given":"Simon E."},{"family":"Flor","given":"Herta"},{"family":"Forstner","given":"Andreas J."},{"family":"Francks","given":"Clyde"},{"family":"Franke","given":"Barbara"},{"family":"Glahn","given":"David C."},{"family":"Gollub","given":"Randy L."},{"family":"Grabe","given":"Hans J."},{"family":"Gruber","given":"Oliver"},{"family":"Håberg","given":"Asta K."},{"family":"Hariri","given":"Ahmad R."},{"family":"Hartman","given":"Catharina A."},{"family":"Hashimoto","given":"Ryota"},{"family":"Heinz","given":"Andreas"},{"family":"Henskens","given":"Frans A."},{"family":"Hillegers","given":"Manon H. J."},{"family":"Hoekstra","given":"Pieter J."},{"family":"Holmes","given":"Avram J."},{"family":"Hong","given":"L. Elliot"},{"family":"Hopkins","given":"William D."},{"family":"Hulshoff Pol","given":"Hilleke E."},{"family":"Jernigan","given":"Terry L."},{"family":"Jönsson","given":"Erik G."},{"family":"Kahn","given":"René S."},{"family":"Kennedy","given":"Martin A."},{"family":"Kircher","given":"Tilo T. J."},{"family":"Kochunov","given":"Peter"},{"family":"Kwok","given":"John B. J."},{"family":"Le Hellard","given":"Stephanie"},{"family":"Loughland","given":"Carmel M."},{"family":"Martin","given":"Nicholas G."},{"family":"Martinot","given":"Jean-Luc"},{"family":"McDonald","given":"Colm"},{"family":"McMahon","given":"Katie L."},{"family":"Meyer-Lindenberg","given":"Andreas"},{"family":"Michie","given":"Patricia T."},{"family":"Morey","given":"Rajendra A."},{"family":"Mowry","given":"Bryan"},{"family":"Nyberg","given":"Lars"},{"family":"Oosterlaan","given":"Jaap"},{"family":"Ophoff","given":"Roel A."},{"family":"Pantelis","given":"Christos"},{"family":"Paus","given":"Tomas"},{"family":"Pausova","given":"Zdenka"},{"family":"Penninx","given":"Brenda W. J. H."},{"family":"Polderman","given":"Tinca J. C."},{"family":"Posthuma","given":"Danielle"},{"family":"Rietschel","given":"Marcella"},{"family":"Roffman","given":"Joshua L."},{"family":"Rowland","given":"Laura M."},{"family":"Sachdev","given":"Perminder S."},{"family":"Sämann","given":"Philipp G."},{"family":"Schall","given":"Ulrich"},{"family":"Schumann","given":"Gunter"},{"family":"Scott","given":"Rodney J."},{"family":"Sim","given":"Kang"},{"family":"Sisodiya","given":"Sanjay M."},{"family":"Smoller","given":"Jordan W."},{"family":"Sommer","given":"Iris E."},{"family":"St Pourcain","given":"Beate"},{"family":"Stein","given":"Dan J."},{"family":"Toga","given":"Arthur W."},{"family":"Trollor","given":"Julian N."},{"family":"Van der Wee","given":"Nic J. A."},{"family":"Ent","given":"Dennis","non-dropping-particle":"van ’t"},{"family":"Völzke","given":"Henry"},{"family":"Walter","given":"Henrik"},{"family":"Weber","given":"Bernd"},{"family":"Weinberger","given":"Daniel R."},{"family":"Wright","given":"Margaret J."},{"family":"Zhou","given":"Juan"},{"family":"Stein","given":"Jason L."},{"family":"Thompson","given":"Paul M."},{"family":"Medland","given":"Sarah E."},{"literal":"ENHANCING NEUROIMAGING GENETICS THROUGH META-ANALYSIS CONSORTIUM (ENIGMA)—GENETICS WORKING GROUP"}],"issued":{"date-parts":[["2020",3,20]]}}}],"schema":"https://github.com/citation-style-language/schema/raw/master/csl-citation.json"}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w:t>
      </w:r>
      <w:r w:rsidR="007272BE"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Pr="005B3F3B">
        <w:rPr>
          <w:rFonts w:ascii="Times New Roman" w:eastAsia="Times New Roman" w:hAnsi="Times New Roman" w:cs="Times New Roman"/>
          <w:lang w:eastAsia="en-GB"/>
        </w:rPr>
        <w:t xml:space="preserve">Site analysts visually inspected the 34 bilateral cortical segmentations defined by the Desikan-Killiany atlas for each participant. Full documentation of ENIGMA imaging protocols is </w:t>
      </w:r>
      <w:r w:rsidR="00C94494" w:rsidRPr="005B3F3B">
        <w:rPr>
          <w:rFonts w:ascii="Times New Roman" w:eastAsia="Times New Roman" w:hAnsi="Times New Roman" w:cs="Times New Roman"/>
        </w:rPr>
        <w:t xml:space="preserve">available at </w:t>
      </w:r>
      <w:hyperlink r:id="rId10">
        <w:r w:rsidR="00761DC3" w:rsidRPr="005B3F3B">
          <w:rPr>
            <w:rFonts w:ascii="Times New Roman" w:eastAsia="Times New Roman" w:hAnsi="Times New Roman" w:cs="Times New Roman"/>
            <w:color w:val="1155CC"/>
            <w:u w:val="single"/>
          </w:rPr>
          <w:t>https://enigma.ini.usc.edu/protocols/imaging-protocols/</w:t>
        </w:r>
      </w:hyperlink>
      <w:r w:rsidR="00C94494" w:rsidRPr="005B3F3B">
        <w:rPr>
          <w:rFonts w:ascii="Times New Roman" w:eastAsia="Times New Roman" w:hAnsi="Times New Roman" w:cs="Times New Roman"/>
        </w:rPr>
        <w:t xml:space="preserve"> and </w:t>
      </w:r>
      <w:hyperlink r:id="rId11">
        <w:r w:rsidR="00761DC3" w:rsidRPr="005B3F3B">
          <w:rPr>
            <w:rFonts w:ascii="Times New Roman" w:eastAsia="Times New Roman" w:hAnsi="Times New Roman" w:cs="Times New Roman"/>
            <w:color w:val="1155CC"/>
            <w:u w:val="single"/>
          </w:rPr>
          <w:t>https://github.com/ENIGMA-git/ENIGMA-FreeSurfer-protocol</w:t>
        </w:r>
      </w:hyperlink>
      <w:r w:rsidR="00C94494" w:rsidRPr="005B3F3B">
        <w:rPr>
          <w:rFonts w:ascii="Times New Roman" w:eastAsia="Times New Roman" w:hAnsi="Times New Roman" w:cs="Times New Roman"/>
        </w:rPr>
        <w:t xml:space="preserve">. </w:t>
      </w:r>
    </w:p>
    <w:p w14:paraId="3CE53FCD" w14:textId="77777777" w:rsidR="00DD3103" w:rsidRPr="005B3F3B" w:rsidRDefault="00DD3103" w:rsidP="005B3F3B">
      <w:pPr>
        <w:spacing w:line="360" w:lineRule="auto"/>
        <w:ind w:left="0"/>
        <w:jc w:val="both"/>
        <w:rPr>
          <w:rFonts w:ascii="Times New Roman" w:eastAsia="Times New Roman" w:hAnsi="Times New Roman" w:cs="Times New Roman"/>
        </w:rPr>
      </w:pPr>
    </w:p>
    <w:p w14:paraId="42958E0C" w14:textId="32AF8734" w:rsidR="009D52CD" w:rsidRDefault="009D52CD"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R</w:t>
      </w:r>
      <w:r w:rsidR="00C94494" w:rsidRPr="005B3F3B">
        <w:rPr>
          <w:rFonts w:ascii="Times New Roman" w:eastAsia="Times New Roman" w:hAnsi="Times New Roman" w:cs="Times New Roman"/>
        </w:rPr>
        <w:t xml:space="preserve">egional </w:t>
      </w:r>
      <w:r w:rsidRPr="005B3F3B">
        <w:rPr>
          <w:rFonts w:ascii="Times New Roman" w:eastAsia="Times New Roman" w:hAnsi="Times New Roman" w:cs="Times New Roman"/>
        </w:rPr>
        <w:t>CT and SA measures were extracted according to the Desikan–Killiany atlas (34 regions per hemisphere). Global CT was computed as the mean across all 68 cortical regions, and total SA as the summed surface area across the same regions.</w:t>
      </w:r>
    </w:p>
    <w:p w14:paraId="020630A5" w14:textId="77777777" w:rsidR="00DD3103" w:rsidRPr="005B3F3B" w:rsidRDefault="00DD3103" w:rsidP="005B3F3B">
      <w:pPr>
        <w:spacing w:line="360" w:lineRule="auto"/>
        <w:ind w:left="0"/>
        <w:jc w:val="both"/>
        <w:rPr>
          <w:rFonts w:ascii="Times New Roman" w:eastAsia="Times New Roman" w:hAnsi="Times New Roman" w:cs="Times New Roman"/>
        </w:rPr>
      </w:pPr>
    </w:p>
    <w:p w14:paraId="00000020" w14:textId="590513C1" w:rsidR="00761DC3" w:rsidRPr="005B3F3B" w:rsidRDefault="009D52CD"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lang w:eastAsia="en-GB"/>
        </w:rPr>
        <w:t xml:space="preserve">For regional analyses, </w:t>
      </w:r>
      <w:r w:rsidR="00C94494" w:rsidRPr="005B3F3B">
        <w:rPr>
          <w:rFonts w:ascii="Times New Roman" w:eastAsia="Times New Roman" w:hAnsi="Times New Roman" w:cs="Times New Roman"/>
        </w:rPr>
        <w:t xml:space="preserve">cortical </w:t>
      </w:r>
      <w:r w:rsidRPr="005B3F3B">
        <w:rPr>
          <w:rFonts w:ascii="Times New Roman" w:eastAsia="Times New Roman" w:hAnsi="Times New Roman" w:cs="Times New Roman"/>
        </w:rPr>
        <w:t xml:space="preserve">regions of interest </w:t>
      </w:r>
      <w:r w:rsidR="00C94494" w:rsidRPr="005B3F3B">
        <w:rPr>
          <w:rFonts w:ascii="Times New Roman" w:eastAsia="Times New Roman" w:hAnsi="Times New Roman" w:cs="Times New Roman"/>
        </w:rPr>
        <w:t xml:space="preserve">were grouped into anatomically defined lobes. The frontal lobe </w:t>
      </w:r>
      <w:r w:rsidRPr="005B3F3B">
        <w:rPr>
          <w:rFonts w:ascii="Times New Roman" w:eastAsia="Times New Roman" w:hAnsi="Times New Roman" w:cs="Times New Roman"/>
        </w:rPr>
        <w:t>comprise</w:t>
      </w:r>
      <w:r w:rsidR="00DD3103">
        <w:rPr>
          <w:rFonts w:ascii="Times New Roman" w:eastAsia="Times New Roman" w:hAnsi="Times New Roman" w:cs="Times New Roman"/>
        </w:rPr>
        <w:t>d</w:t>
      </w:r>
      <w:r w:rsidRPr="005B3F3B">
        <w:rPr>
          <w:rFonts w:ascii="Times New Roman" w:eastAsia="Times New Roman" w:hAnsi="Times New Roman" w:cs="Times New Roman"/>
        </w:rPr>
        <w:t xml:space="preserve"> </w:t>
      </w:r>
      <w:r w:rsidR="00C94494" w:rsidRPr="005B3F3B">
        <w:rPr>
          <w:rFonts w:ascii="Times New Roman" w:eastAsia="Times New Roman" w:hAnsi="Times New Roman" w:cs="Times New Roman"/>
        </w:rPr>
        <w:t xml:space="preserve">the superior frontal, rostral and caudal middle frontal, pars </w:t>
      </w:r>
      <w:proofErr w:type="spellStart"/>
      <w:r w:rsidR="00C94494" w:rsidRPr="005B3F3B">
        <w:rPr>
          <w:rFonts w:ascii="Times New Roman" w:eastAsia="Times New Roman" w:hAnsi="Times New Roman" w:cs="Times New Roman"/>
        </w:rPr>
        <w:t>opercularis</w:t>
      </w:r>
      <w:proofErr w:type="spellEnd"/>
      <w:r w:rsidR="00C94494" w:rsidRPr="005B3F3B">
        <w:rPr>
          <w:rFonts w:ascii="Times New Roman" w:eastAsia="Times New Roman" w:hAnsi="Times New Roman" w:cs="Times New Roman"/>
        </w:rPr>
        <w:t xml:space="preserve">, pars triangularis, pars orbitalis, lateral and medial orbitofrontal, precentral, paracentral, and frontal pole. The temporal lobe </w:t>
      </w:r>
      <w:r w:rsidR="003A4B5F" w:rsidRPr="005B3F3B">
        <w:rPr>
          <w:rFonts w:ascii="Times New Roman" w:eastAsia="Times New Roman" w:hAnsi="Times New Roman" w:cs="Times New Roman"/>
        </w:rPr>
        <w:t xml:space="preserve">included </w:t>
      </w:r>
      <w:r w:rsidR="00C94494" w:rsidRPr="005B3F3B">
        <w:rPr>
          <w:rFonts w:ascii="Times New Roman" w:eastAsia="Times New Roman" w:hAnsi="Times New Roman" w:cs="Times New Roman"/>
        </w:rPr>
        <w:t xml:space="preserve">superior, middle, and inferior temporal gyri, banks of the superior temporal sulcus, fusiform, transverse temporal, entorhinal, temporal pole, and parahippocampal </w:t>
      </w:r>
      <w:r w:rsidR="003A4B5F" w:rsidRPr="005B3F3B">
        <w:rPr>
          <w:rFonts w:ascii="Times New Roman" w:eastAsia="Times New Roman" w:hAnsi="Times New Roman" w:cs="Times New Roman"/>
        </w:rPr>
        <w:t>regions</w:t>
      </w:r>
      <w:r w:rsidR="00C94494" w:rsidRPr="005B3F3B">
        <w:rPr>
          <w:rFonts w:ascii="Times New Roman" w:eastAsia="Times New Roman" w:hAnsi="Times New Roman" w:cs="Times New Roman"/>
        </w:rPr>
        <w:t xml:space="preserve">. The occipital lobe included the lateral occipital, lingual, cuneus, and pericalcarine cortices. The parietal lobe </w:t>
      </w:r>
      <w:r w:rsidR="003A4B5F" w:rsidRPr="005B3F3B">
        <w:rPr>
          <w:rFonts w:ascii="Times New Roman" w:eastAsia="Times New Roman" w:hAnsi="Times New Roman" w:cs="Times New Roman"/>
        </w:rPr>
        <w:t>comprised</w:t>
      </w:r>
      <w:r w:rsidR="00DD3103">
        <w:rPr>
          <w:rFonts w:ascii="Times New Roman" w:eastAsia="Times New Roman" w:hAnsi="Times New Roman" w:cs="Times New Roman"/>
        </w:rPr>
        <w:t xml:space="preserve"> the</w:t>
      </w:r>
      <w:r w:rsidR="003A4B5F" w:rsidRPr="005B3F3B">
        <w:rPr>
          <w:rFonts w:ascii="Times New Roman" w:eastAsia="Times New Roman" w:hAnsi="Times New Roman" w:cs="Times New Roman"/>
        </w:rPr>
        <w:t xml:space="preserve"> </w:t>
      </w:r>
      <w:r w:rsidR="00C94494" w:rsidRPr="005B3F3B">
        <w:rPr>
          <w:rFonts w:ascii="Times New Roman" w:eastAsia="Times New Roman" w:hAnsi="Times New Roman" w:cs="Times New Roman"/>
        </w:rPr>
        <w:t>superior parietal, inferior parietal, supramarginal, postcentral, and precuneus</w:t>
      </w:r>
      <w:r w:rsidR="003A4B5F" w:rsidRPr="005B3F3B">
        <w:rPr>
          <w:rFonts w:ascii="Times New Roman" w:eastAsia="Times New Roman" w:hAnsi="Times New Roman" w:cs="Times New Roman"/>
        </w:rPr>
        <w:t xml:space="preserve"> regions</w:t>
      </w:r>
      <w:r w:rsidR="00C94494" w:rsidRPr="005B3F3B">
        <w:rPr>
          <w:rFonts w:ascii="Times New Roman" w:eastAsia="Times New Roman" w:hAnsi="Times New Roman" w:cs="Times New Roman"/>
        </w:rPr>
        <w:t>. The cingulate cortex included rostral anterior, caudal anterior, posterior, and isthmus cingulate regions</w:t>
      </w:r>
      <w:r w:rsidR="003A4B5F" w:rsidRPr="005B3F3B">
        <w:rPr>
          <w:rFonts w:ascii="Times New Roman" w:eastAsia="Times New Roman" w:hAnsi="Times New Roman" w:cs="Times New Roman"/>
        </w:rPr>
        <w:t>, and t</w:t>
      </w:r>
      <w:r w:rsidR="00C94494" w:rsidRPr="005B3F3B">
        <w:rPr>
          <w:rFonts w:ascii="Times New Roman" w:eastAsia="Times New Roman" w:hAnsi="Times New Roman" w:cs="Times New Roman"/>
        </w:rPr>
        <w:t>he insula was analysed separately. Lobe-wise CT</w:t>
      </w:r>
      <w:r w:rsidR="003A4B5F" w:rsidRPr="005B3F3B">
        <w:rPr>
          <w:rFonts w:ascii="Times New Roman" w:eastAsia="Times New Roman" w:hAnsi="Times New Roman" w:cs="Times New Roman"/>
        </w:rPr>
        <w:t xml:space="preserve">, calculated </w:t>
      </w:r>
      <w:r w:rsidR="00C94494" w:rsidRPr="005B3F3B">
        <w:rPr>
          <w:rFonts w:ascii="Times New Roman" w:eastAsia="Times New Roman" w:hAnsi="Times New Roman" w:cs="Times New Roman"/>
        </w:rPr>
        <w:t xml:space="preserve">as the </w:t>
      </w:r>
      <w:r w:rsidR="003A4B5F" w:rsidRPr="005B3F3B">
        <w:rPr>
          <w:rFonts w:ascii="Times New Roman" w:eastAsia="Times New Roman" w:hAnsi="Times New Roman" w:cs="Times New Roman"/>
        </w:rPr>
        <w:t xml:space="preserve">mean </w:t>
      </w:r>
      <w:r w:rsidR="00C94494" w:rsidRPr="005B3F3B">
        <w:rPr>
          <w:rFonts w:ascii="Times New Roman" w:eastAsia="Times New Roman" w:hAnsi="Times New Roman" w:cs="Times New Roman"/>
        </w:rPr>
        <w:t xml:space="preserve">across constituent regions, </w:t>
      </w:r>
      <w:r w:rsidR="003A4B5F" w:rsidRPr="005B3F3B">
        <w:rPr>
          <w:rFonts w:ascii="Times New Roman" w:eastAsia="Times New Roman" w:hAnsi="Times New Roman" w:cs="Times New Roman"/>
        </w:rPr>
        <w:t xml:space="preserve">and </w:t>
      </w:r>
      <w:r w:rsidR="00C94494" w:rsidRPr="005B3F3B">
        <w:rPr>
          <w:rFonts w:ascii="Times New Roman" w:eastAsia="Times New Roman" w:hAnsi="Times New Roman" w:cs="Times New Roman"/>
        </w:rPr>
        <w:t>SA</w:t>
      </w:r>
      <w:r w:rsidR="003A4B5F" w:rsidRPr="005B3F3B">
        <w:rPr>
          <w:rFonts w:ascii="Times New Roman" w:eastAsia="Times New Roman" w:hAnsi="Times New Roman" w:cs="Times New Roman"/>
        </w:rPr>
        <w:t>,</w:t>
      </w:r>
      <w:r w:rsidR="00C94494" w:rsidRPr="005B3F3B">
        <w:rPr>
          <w:rFonts w:ascii="Times New Roman" w:eastAsia="Times New Roman" w:hAnsi="Times New Roman" w:cs="Times New Roman"/>
        </w:rPr>
        <w:t xml:space="preserve"> as the summed </w:t>
      </w:r>
      <w:r w:rsidR="003A4B5F" w:rsidRPr="005B3F3B">
        <w:rPr>
          <w:rFonts w:ascii="Times New Roman" w:eastAsia="Times New Roman" w:hAnsi="Times New Roman" w:cs="Times New Roman"/>
        </w:rPr>
        <w:t xml:space="preserve">surface </w:t>
      </w:r>
      <w:r w:rsidR="00C94494" w:rsidRPr="005B3F3B">
        <w:rPr>
          <w:rFonts w:ascii="Times New Roman" w:eastAsia="Times New Roman" w:hAnsi="Times New Roman" w:cs="Times New Roman"/>
        </w:rPr>
        <w:t xml:space="preserve">area of those regions, </w:t>
      </w:r>
      <w:r w:rsidR="003A4B5F" w:rsidRPr="005B3F3B">
        <w:rPr>
          <w:rFonts w:ascii="Times New Roman" w:eastAsia="Times New Roman" w:hAnsi="Times New Roman" w:cs="Times New Roman"/>
        </w:rPr>
        <w:t xml:space="preserve">were </w:t>
      </w:r>
      <w:r w:rsidR="00C94494" w:rsidRPr="005B3F3B">
        <w:rPr>
          <w:rFonts w:ascii="Times New Roman" w:eastAsia="Times New Roman" w:hAnsi="Times New Roman" w:cs="Times New Roman"/>
        </w:rPr>
        <w:t xml:space="preserve">first </w:t>
      </w:r>
      <w:r w:rsidR="003A4B5F" w:rsidRPr="005B3F3B">
        <w:rPr>
          <w:rFonts w:ascii="Times New Roman" w:eastAsia="Times New Roman" w:hAnsi="Times New Roman" w:cs="Times New Roman"/>
        </w:rPr>
        <w:t xml:space="preserve">computed </w:t>
      </w:r>
      <w:r w:rsidR="00C94494" w:rsidRPr="005B3F3B">
        <w:rPr>
          <w:rFonts w:ascii="Times New Roman" w:eastAsia="Times New Roman" w:hAnsi="Times New Roman" w:cs="Times New Roman"/>
        </w:rPr>
        <w:t>within each hemisphere and then aggregated bilaterally.</w:t>
      </w:r>
    </w:p>
    <w:p w14:paraId="00000021"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22" w14:textId="77777777" w:rsidR="00761DC3" w:rsidRPr="005B3F3B" w:rsidRDefault="00C94494" w:rsidP="005B3F3B">
      <w:pPr>
        <w:pStyle w:val="Heading2"/>
        <w:spacing w:line="360" w:lineRule="auto"/>
        <w:jc w:val="both"/>
      </w:pPr>
      <w:bookmarkStart w:id="2" w:name="bookmark=id.7s536pc84ltp" w:colFirst="0" w:colLast="0"/>
      <w:bookmarkStart w:id="3" w:name="_Toc224509807"/>
      <w:bookmarkEnd w:id="2"/>
      <w:r w:rsidRPr="005B3F3B">
        <w:lastRenderedPageBreak/>
        <w:t>DNA methylation preprocessing and quality control (QC)</w:t>
      </w:r>
      <w:bookmarkEnd w:id="3"/>
    </w:p>
    <w:p w14:paraId="3B035ED6" w14:textId="444B81EF" w:rsidR="003A4B5F"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DNAm </w:t>
      </w:r>
      <w:r w:rsidR="003A4B5F" w:rsidRPr="005B3F3B">
        <w:rPr>
          <w:rFonts w:ascii="Times New Roman" w:eastAsia="Times New Roman" w:hAnsi="Times New Roman" w:cs="Times New Roman"/>
        </w:rPr>
        <w:t xml:space="preserve">was measured in </w:t>
      </w:r>
      <w:r w:rsidRPr="005B3F3B">
        <w:rPr>
          <w:rFonts w:ascii="Times New Roman" w:eastAsia="Times New Roman" w:hAnsi="Times New Roman" w:cs="Times New Roman"/>
        </w:rPr>
        <w:t>whole</w:t>
      </w:r>
      <w:r w:rsidR="003A4B5F" w:rsidRPr="005B3F3B">
        <w:rPr>
          <w:rFonts w:ascii="Times New Roman" w:eastAsia="Times New Roman" w:hAnsi="Times New Roman" w:cs="Times New Roman"/>
        </w:rPr>
        <w:t xml:space="preserve"> </w:t>
      </w:r>
      <w:r w:rsidRPr="005B3F3B">
        <w:rPr>
          <w:rFonts w:ascii="Times New Roman" w:eastAsia="Times New Roman" w:hAnsi="Times New Roman" w:cs="Times New Roman"/>
        </w:rPr>
        <w:t xml:space="preserve">blood using the Illumina </w:t>
      </w:r>
      <w:r w:rsidR="003A4B5F" w:rsidRPr="005B3F3B">
        <w:rPr>
          <w:rFonts w:ascii="Times New Roman" w:eastAsia="Times New Roman" w:hAnsi="Times New Roman" w:cs="Times New Roman"/>
          <w:lang w:eastAsia="en-GB"/>
        </w:rPr>
        <w:t xml:space="preserve">Infinium </w:t>
      </w:r>
      <w:proofErr w:type="spellStart"/>
      <w:r w:rsidR="003A4B5F" w:rsidRPr="005B3F3B">
        <w:rPr>
          <w:rFonts w:ascii="Times New Roman" w:eastAsia="Times New Roman" w:hAnsi="Times New Roman" w:cs="Times New Roman"/>
          <w:lang w:eastAsia="en-GB"/>
        </w:rPr>
        <w:t>MethylationEPIC</w:t>
      </w:r>
      <w:proofErr w:type="spellEnd"/>
      <w:r w:rsidR="003A4B5F" w:rsidRPr="005B3F3B">
        <w:rPr>
          <w:rFonts w:ascii="Times New Roman" w:eastAsia="Times New Roman" w:hAnsi="Times New Roman" w:cs="Times New Roman"/>
          <w:lang w:eastAsia="en-GB"/>
        </w:rPr>
        <w:t xml:space="preserve"> </w:t>
      </w:r>
      <w:r w:rsidRPr="005B3F3B">
        <w:rPr>
          <w:rFonts w:ascii="Times New Roman" w:eastAsia="Times New Roman" w:hAnsi="Times New Roman" w:cs="Times New Roman"/>
        </w:rPr>
        <w:t xml:space="preserve">array (v1.0 or v2.0) in discovery cohorts and the Illumina </w:t>
      </w:r>
      <w:r w:rsidR="003A4B5F" w:rsidRPr="005B3F3B">
        <w:rPr>
          <w:rFonts w:ascii="Times New Roman" w:eastAsia="Times New Roman" w:hAnsi="Times New Roman" w:cs="Times New Roman"/>
          <w:lang w:eastAsia="en-GB"/>
        </w:rPr>
        <w:t xml:space="preserve">HumanMethylation450 BeadChip </w:t>
      </w:r>
      <w:r w:rsidRPr="005B3F3B">
        <w:rPr>
          <w:rFonts w:ascii="Times New Roman" w:eastAsia="Times New Roman" w:hAnsi="Times New Roman" w:cs="Times New Roman"/>
        </w:rPr>
        <w:t xml:space="preserve">array in replication cohorts. </w:t>
      </w:r>
    </w:p>
    <w:p w14:paraId="768230ED" w14:textId="77777777" w:rsidR="003A4B5F" w:rsidRPr="005B3F3B" w:rsidRDefault="003A4B5F" w:rsidP="005B3F3B">
      <w:pPr>
        <w:spacing w:line="360" w:lineRule="auto"/>
        <w:ind w:left="0"/>
        <w:jc w:val="both"/>
        <w:rPr>
          <w:rFonts w:ascii="Times New Roman" w:eastAsia="Times New Roman" w:hAnsi="Times New Roman" w:cs="Times New Roman"/>
        </w:rPr>
      </w:pPr>
    </w:p>
    <w:p w14:paraId="0F188623" w14:textId="772B6A83" w:rsidR="000C494F" w:rsidRDefault="003A4B5F"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lang w:eastAsia="en-GB"/>
        </w:rPr>
        <w:t xml:space="preserve">EPIC v1.0 and v2.0 interrogate </w:t>
      </w:r>
      <w:r w:rsidR="00C94494" w:rsidRPr="005B3F3B">
        <w:rPr>
          <w:rFonts w:ascii="Times New Roman" w:eastAsia="Times New Roman" w:hAnsi="Times New Roman" w:cs="Times New Roman"/>
        </w:rPr>
        <w:t xml:space="preserve">&gt;850,000 CpGs and &gt;900,000 CpGs, </w:t>
      </w:r>
      <w:r w:rsidRPr="005B3F3B">
        <w:rPr>
          <w:rFonts w:ascii="Times New Roman" w:eastAsia="Times New Roman" w:hAnsi="Times New Roman" w:cs="Times New Roman"/>
          <w:lang w:eastAsia="en-GB"/>
        </w:rPr>
        <w:t>respectively</w:t>
      </w:r>
      <w:r w:rsidRPr="005B3F3B">
        <w:rPr>
          <w:rFonts w:ascii="Times New Roman" w:eastAsia="Times New Roman" w:hAnsi="Times New Roman" w:cs="Times New Roman"/>
        </w:rPr>
        <w:t xml:space="preserve">, </w:t>
      </w:r>
      <w:r w:rsidR="00C94494" w:rsidRPr="005B3F3B">
        <w:rPr>
          <w:rFonts w:ascii="Times New Roman" w:eastAsia="Times New Roman" w:hAnsi="Times New Roman" w:cs="Times New Roman"/>
        </w:rPr>
        <w:t>with substantial probe overlap (~77.6%)</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{"citationID":"Vf0311pH","properties":{"formattedCitation":"\\super 2\\nosupersub{}","plainCitation":"2","noteIndex":0},"citationItems":[{"id":4893,"uris":["http://zotero.org/users/6242458/items/AHPXICAF"],"itemData":{"id":4893,"type":"article-journal","abstract":"DNA methylation, one of the best characterized epigenetic marks in the human genome, plays a pivotal role in gene transcription regulation and other biological processes in humans. On top of that, the DNA methylome undergoes profound changes in cancer and other disorders. However, large-scale and population-based studies are limited by high costs and the need for considerable expertise in data analysis for whole-genome bisulphite-sequencing methodologies. Following the success of the EPIC DNA methylation microarray, the newly developed Infinium HumanMethylationEPIC version 2.0 (900K EPIC v2) is now available. This new array contains more than 900,000 CpG probes covering the human genome and excluding masked probes from the previous version. The 900K EPIC v2 microarray adds more than 200,000 probes covering extra DNA cis-regulatory regions such as enhancers, super-enhancers and CTCF binding regions. Herein, we have technically and biologically validated the new methylation array to show its high reproducibility and consistency among technical replicates and with DNA extracted from FFPE tissue. In addition, we have hybridized primary normal and tumoural tissues and cancer cell lines from different sources and tested the robustness of the 900K EPIC v2 microarray when analysing the different DNA methylation profiles. The validation highlights the improvements offered by the new array and demonstrates the versatility of this updated tool for characterizing the DNA methylome in human health and disease.","container-title":"Epigenetics","DOI":"10.1080/15592294.2023.2185742","ISSN":"1559-2308","issue":"1","journalAbbreviation":"Epigenetics","language":"eng","page":"2185742","PMID":"36871255","PMCID":"PMC9988339","source":"PubMed","title":"Validation of the new EPIC DNA methylation microarray (900K EPIC v2) for high-throughput profiling of the human DNA methylome","volume":"18","author":[{"family":"Noguera-Castells","given":"Aleix"},{"family":"García-Prieto","given":"Carlos A."},{"family":"Álvarez-Errico","given":"Damiana"},{"family":"Esteller","given":"Manel"}],"issued":{"date-parts":[["2023",12]]}}}],"schema":"https://github.com/citation-style-language/schema/raw/master/csl-citation.json"}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xml:space="preserve"> and </w:t>
      </w:r>
      <w:r w:rsidR="00F30485" w:rsidRPr="005B3F3B">
        <w:rPr>
          <w:rFonts w:ascii="Times New Roman" w:eastAsia="Times New Roman" w:hAnsi="Times New Roman" w:cs="Times New Roman"/>
        </w:rPr>
        <w:t xml:space="preserve">expanded </w:t>
      </w:r>
      <w:r w:rsidR="00C94494" w:rsidRPr="005B3F3B">
        <w:rPr>
          <w:rFonts w:ascii="Times New Roman" w:eastAsia="Times New Roman" w:hAnsi="Times New Roman" w:cs="Times New Roman"/>
        </w:rPr>
        <w:t>coverage of open chromatin and enhancer elements</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{"citationID":"jj5o44NG","properties":{"formattedCitation":"\\super 3\\uc0\\u8211{}5\\nosupersub{}","plainCitation":"3–5","noteIndex":0},"citationItems":[{"id":4882,"uris":["http://zotero.org/users/6242458/items/EXFI4NZ7"],"itemData":{"id":4882,"type":"article-journal","abstract":"The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research.","container-title":"Nature","DOI":"10.1038/nature11247","ISSN":"1476-4687","issue":"7414","journalAbbreviation":"Nature","language":"eng","page":"57-74","PMID":"22955616","PMCID":"PMC3439153","source":"PubMed","title":"An integrated encyclopedia of DNA elements in the human genome","volume":"489","author":[{"literal":"ENCODE Project Consortium"}],"issued":{"date-parts":[["2012",9,6]]}}},{"id":4887,"uris":["http://zotero.org/users/6242458/items/6ADMGRUJ"],"itemData":{"id":4887,"type":"article-journal","abstract":"The FANTOM5 project investigates transcription initiation activities in more than 1,000 human and mouse primary cells, cell lines and tissues using CAGE. Based on manual curation of sample information and development of an ontology for sample classification, we assemble the resulting data into a centralized data resource (http://fantom.gsc.riken.jp/5/). This resource contains web-based tools and data-access points for the research community to search and extract data related to samples, genes, promoter activities, transcription factors and enhancers across the FANTOM5 atlas.","container-title":"Genome Biology","DOI":"10.1186/s13059-014-0560-6","ISSN":"1474-760X","issue":"1","journalAbbreviation":"Genome Biol","language":"eng","page":"22","PMID":"25723102","PMCID":"PMC4310165","source":"PubMed","title":"Gateways to the FANTOM5 promoter level mammalian expression atlas","volume":"16","author":[{"family":"Lizio","given":"Marina"},{"family":"Harshbarger","given":"Jayson"},{"family":"Shimoji","given":"Hisashi"},{"family":"Severin","given":"Jessica"},{"family":"Kasukawa","given":"Takeya"},{"family":"Sahin","given":"Serkan"},{"family":"Abugessaisa","given":"Imad"},{"family":"Fukuda","given":"Shiro"},{"family":"Hori","given":"Fumi"},{"family":"Ishikawa-Kato","given":"Sachi"},{"family":"Mungall","given":"Christopher J."},{"family":"Arner","given":"Erik"},{"family":"Baillie","given":"J. Kenneth"},{"family":"Bertin","given":"Nicolas"},{"family":"Bono","given":"Hidemasa"},{"family":"Hoon","given":"Michiel","non-dropping-particle":"de"},{"family":"Diehl","given":"Alexander D."},{"family":"Dimont","given":"Emmanuel"},{"family":"Freeman","given":"Tom C."},{"family":"Fujieda","given":"Kaori"},{"family":"Hide","given":"Winston"},{"family":"Kaliyaperumal","given":"Rajaram"},{"family":"Katayama","given":"Toshiaki"},{"family":"Lassmann","given":"Timo"},{"family":"Meehan","given":"Terrence F."},{"family":"Nishikata","given":"Koro"},{"family":"Ono","given":"Hiromasa"},{"family":"Rehli","given":"Michael"},{"family":"Sandelin","given":"Albin"},{"family":"Schultes","given":"Erik A."},{"family":"Hoen","given":"Peter A. C.","non-dropping-particle":"'t"},{"family":"Tatum","given":"Zuotian"},{"family":"Thompson","given":"Mark"},{"family":"Toyoda","given":"Tetsuro"},{"family":"Wright","given":"Derek W."},{"family":"Daub","given":"Carsten O."},{"family":"Itoh","given":"Masayoshi"},{"family":"Carninci","given":"Piero"},{"family":"Hayashizaki","given":"Yoshihide"},{"family":"Forrest","given":"Alistair R. R."},{"family":"Kawaji","given":"Hideya"},{"literal":"FANTOM consortium"}],"issued":{"date-parts":[["2015",1,5]]}}},{"id":4885,"uris":["http://zotero.org/users/6242458/items/WIS3KAYA"],"itemData":{"id":4885,"type":"article-journal","abstract":"The human and mouse genomes contain instructions that specify RNAs and proteins and govern the timing, magnitude, and cellular context of their production. To better delineate these elements, phase III of the Encyclopedia of DNA Elements (ENCODE) Project has expanded analysis of the cell and tissue repertoires of RNA transcription, chromatin structure and modification, DNA methylation, chromatin looping, and occupancy by transcription factors and RNA-binding proteins. Here we summarize these efforts, which have produced 5,992 new experimental datasets, including systematic determinations across mouse fetal development. All data are available through the ENCODE data portal (https://www.encodeproject.org), including phase II ENCODE1 and Roadmap Epigenomics2 data. We have developed a registry of 926,535 human and 339,815 mouse candidate cis-regulatory elements, covering 7.9 and 3.4% of their respective genomes, by integrating selected datatypes associated with gene regulation, and constructed a web-based server (SCREEN; http://screen.encodeproject.org) to provide flexible, user-defined access to this resource. Collectively, the ENCODE data and registry provide an expansive resource for the scientific community to build a better understanding of the organization and function of the human and mouse genomes.","container-title":"Nature","DOI":"10.1038/s41586-020-2493-4","ISSN":"1476-4687","issue":"7818","language":"en","license":"2020 The Author(s)","page":"699-710","publisher":"Nature Publishing Group","source":"www.nature.com","title":"Expanded encyclopaedias of DNA elements in the human and mouse genomes","volume":"583","author":[{"family":"Moore","given":"Jill E."},{"family":"Purcaro","given":"Michael J."},{"family":"Pratt","given":"Henry E."},{"family":"Epstein","given":"Charles B."},{"family":"Shoresh","given":"Noam"},{"family":"Adrian","given":"Jessika"},{"family":"Kawli","given":"Trupti"},{"family":"Davis","given":"Carrie A."},{"family":"Dobin","given":"Alexander"},{"family":"Kaul","given":"Rajinder"},{"family":"Halow","given":"Jessica"},{"family":"Van Nostrand","given":"Eric L."},{"family":"Freese","given":"Peter"},{"family":"Gorkin","given":"David U."},{"family":"Shen","given":"Yin"},{"family":"He","given":"Yupeng"},{"family":"Mackiewicz","given":"Mark"},{"family":"Pauli-Behn","given":"Florencia"},{"family":"Williams","given":"Brian A."},{"family":"Mortazavi","given":"Ali"},{"family":"Keller","given":"Cheryl A."},{"family":"Zhang","given":"Xiao-Ou"},{"family":"Elhajjajy","given":"Shaimae I."},{"family":"Huey","given":"Jack"},{"family":"Dickel","given":"Diane E."},{"family":"Snetkova","given":"Valentina"},{"family":"Wei","given":"Xintao"},{"family":"Wang","given":"Xiaofeng"},{"family":"Rivera-Mulia","given":"Juan Carlos"},{"family":"Rozowsky","given":"Joel"},{"family":"Zhang","given":"Jing"},{"family":"Chhetri","given":"Surya B."},{"family":"Zhang","given":"Jialing"},{"family":"Victorsen","given":"Alec"},{"family":"White","given":"Kevin P."},{"family":"Visel","given":"Axel"},{"family":"Yeo","given":"Gene W."},{"family":"Burge","given":"Christopher B."},{"family":"Lécuyer","given":"Eric"},{"family":"Gilbert","given":"David M."},{"family":"Dekker","given":"Job"},{"family":"Rinn","given":"John"},{"family":"Mendenhall","given":"Eric M."},{"family":"Ecker","given":"Joseph R."},{"family":"Kellis","given":"Manolis"},{"family":"Klein","given":"Robert J."},{"family":"Noble","given":"William S."},{"family":"Kundaje","given":"Anshul"},{"family":"Guigó","given":"Roderic"},{"family":"Farnham","given":"Peggy J."},{"family":"Cherry","given":"J. Michael"},{"family":"Myers","given":"Richard M."},{"family":"Ren","given":"Bing"},{"family":"Graveley","given":"Brenton R."},{"family":"Gerstein","given":"Mark B."},{"family":"Pennacchio","given":"Len A."},{"family":"Snyder","given":"Michael P."},{"family":"Bernstein","given":"Bradley E."},{"family":"Wold","given":"Barbara"},{"family":"Hardison","given":"Ross C."},{"family":"Gingeras","given":"Thomas R."},{"family":"Stamatoyannopoulos","given":"John A."},{"family":"Weng","given":"Zhiping"}],"issued":{"date-parts":[["2020",7]]}}}],"schema":"https://github.com/citation-style-language/schema/raw/master/csl-citation.json"}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3–5</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xml:space="preserve">. The 450K array </w:t>
      </w:r>
      <w:r w:rsidR="00F30485" w:rsidRPr="005B3F3B">
        <w:rPr>
          <w:rFonts w:ascii="Times New Roman" w:eastAsia="Times New Roman" w:hAnsi="Times New Roman" w:cs="Times New Roman"/>
        </w:rPr>
        <w:t xml:space="preserve">profiles </w:t>
      </w:r>
      <w:r w:rsidR="00C94494" w:rsidRPr="005B3F3B">
        <w:rPr>
          <w:rFonts w:ascii="Times New Roman" w:eastAsia="Times New Roman" w:hAnsi="Times New Roman" w:cs="Times New Roman"/>
        </w:rPr>
        <w:t>&gt;480,000 CpGs</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{"citationID":"GTIASWu5","properties":{"formattedCitation":"\\super 6\\nosupersub{}","plainCitation":"6","noteIndex":0},"citationItems":[{"id":4896,"uris":["http://zotero.org/users/6242458/items/AIVTEB6N"],"itemData":{"id":4896,"type":"article-journal","abstract":"BACKGROUND: Huge progress has been made in the development of array- or sequencing-based technologies for DNA methylation analysis. The Illumina Infinium(®) Human Methylation 450K BeadChip (Illumina Inc., CA, USA) allows the simultaneous quantitative monitoring of more than 480,000 CpG positions, enabling large-scale epigenotyping studies. However, the assay combines two different assay chemistries, which may cause a bias in the analysis if all signals are merged as a unique source of methylation measurement.\nMATERIALS &amp; METHODS: We confirm in three 450K data sets that Infinium I signals are more stable and cover a wider dynamic range of methylation values than Infinium II signals. We evaluated the methylation profile of Infinium I and II probes obtained with different normalization protocols and compared these results with the methylation values of a subset of CpGs analyzed by pyrosequencing.\nRESULTS: We developed a subset quantile normalization approach for the processing of 450K BeadChips. The Infinium I signals were used as 'anchors' to normalize Infinium II signals at the level of probe coverage categories. Our normalization approach outperformed alternative normalization or correction approaches in terms of bias correction and methylation signal estimation. We further implemented a complete preprocessing protocol that solves most of the issues currently raised by 450K array users.\nCONCLUSION: We developed a complete preprocessing pipeline for 450K BeadChip data using an original subset quantile normalization approach that performs both sample normalization and efficient Infinium I/II shift correction. The scripts, being freely available from the authors, will allow researchers to concentrate on the biological analysis of data, such as the identification of DNA methylation signatures.","container-title":"Epigenomics","DOI":"10.2217/epi.12.21","ISSN":"1750-192X","issue":"3","journalAbbreviation":"Epigenomics","language":"eng","page":"325-341","PMID":"22690668","source":"PubMed","title":"Complete pipeline for Infinium(®) Human Methylation 450K BeadChip data processing using subset quantile normalization for accurate DNA methylation estimation","volume":"4","author":[{"family":"Touleimat","given":"Nizar"},{"family":"Tost","given":"Jörg"}],"issued":{"date-parts":[["2012",6]]}}}],"schema":"https://github.com/citation-style-language/schema/raw/master/csl-citation.json"}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6</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xml:space="preserve"> and served as the replication</w:t>
      </w:r>
      <w:r w:rsidR="000C494F" w:rsidRPr="005B3F3B">
        <w:rPr>
          <w:rFonts w:ascii="Times New Roman" w:eastAsia="Times New Roman" w:hAnsi="Times New Roman" w:cs="Times New Roman"/>
        </w:rPr>
        <w:t xml:space="preserve"> platform</w:t>
      </w:r>
      <w:r w:rsidR="00C94494" w:rsidRPr="005B3F3B">
        <w:rPr>
          <w:rFonts w:ascii="Times New Roman" w:eastAsia="Times New Roman" w:hAnsi="Times New Roman" w:cs="Times New Roman"/>
        </w:rPr>
        <w:t xml:space="preserve">. </w:t>
      </w:r>
      <w:r w:rsidR="000C494F" w:rsidRPr="005B3F3B">
        <w:rPr>
          <w:rFonts w:ascii="Times New Roman" w:eastAsia="Times New Roman" w:hAnsi="Times New Roman" w:cs="Times New Roman"/>
        </w:rPr>
        <w:t>High cross-platform reproducibility has been reported previously</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{"citationID":"5T9HrZQq","properties":{"formattedCitation":"\\super 7\\uc0\\u8211{}9\\nosupersub{}","plainCitation":"7–9","noteIndex":0},"citationItems":[{"id":4900,"uris":["http://zotero.org/users/6242458/items/RQTLE2RX"],"itemData":{"id":4900,"type":"article-journal","abstract":"Illumina HumanMethylation450 BeadChip (450K) has been commonly used to investigate DNA methylation in human tissues. Recently, it has been replaced by Illumina HumanMethylationEPIC BeadChip (EPIC) covering over 850,000 CpGs distributed genome-wide. Many consortia have now datasets coming from both arrays and aspire to analyze the two together. The placenta shows a high number of intermediate methylation levels and is often investigated for obstetric/birth outcomes, and potentially for long-term programming in offspring. We performed a systematic comparison between the two arrays using 108 duplicate placental samples from Gen3G birth cohort. We find that placenta shows a high per-sample correlation between the arrays, and higher median correlations at individual CpGs than those reported for blood. We identify 26,340 probes with absolute difference in per cent methylation &gt;10%. We conclude that EPIC and 450K placental data can be combined, and we provide two lists of CpGs that should be excluded to avoid misleading results.","container-title":"Epigenetics","DOI":"10.1080/15592294.2019.1634975","ISSN":"1559-2294","issue":"12","journalAbbreviation":"Epigenetics","page":"1177-1182","PMID":"31250700","PMCID":"PMC6791701","source":"PubMed Central","title":"Comparison of Illumina 450K and EPIC arrays in placental DNA methylation","volume":"14","author":[{"family":"Fernandez-Jimenez","given":"Nora"},{"family":"Allard","given":"Catherine"},{"family":"Bouchard","given":"Luigi"},{"family":"Perron","given":"Patrice"},{"family":"Bustamante","given":"Mariona"},{"family":"Bilbao","given":"Jose Ramon"},{"family":"Hivert","given":"Marie-France"}],"issued":{"date-parts":[["2019",6,28]]}}},{"id":4903,"uris":["http://zotero.org/users/6242458/items/GXLE5EFH"],"itemData":{"id":4903,"type":"article-journal","abstract":"Analysis of DNA methylation helps to understand the effects of environmental exposures as well as the role of epigenetics in human health. Illumina, Inc. recently replaced the HumanMethylation450 BeadChip (450K) with the EPIC BeadChip, which nearly doubles the measured CpG sites to &gt;850,000. Although the new chip uses the same underlying technology, it is important to establish if data between the two platforms are comparable within cohorts and for meta-analyses. DNA methylation was assessed by 450K and EPIC using whole blood from newborn (n = 109) and 14-year-old (n = 86) participants of the Center for the Health Assessment of Mothers and Children of Salinas. The overall per-sample correlations were very high (r &gt;0.99), although many individual CpG sites, especially those with low variance of methylation, had lower correlations (median r = 0.24). There was also a small subset of CpGs with large mean methylation β-value differences between platforms, in both the newborn and 14-year datasets. However, estimates of cell type proportion prediction by 450K and EPIC were highly correlated at both ages. Finally, differentially methylated positions between boys and girls replicated very well by both platforms in newborns and older children. These findings are encouraging for application of combined data from EPIC and 450K platforms for birth cohorts and other population studies. These data in children corroborate recent comparisons of the two BeadChips in adults and in cancer cell lines. However, researchers should be cautious when characterizing individual CpG sites and consider independent methods for validation of significant hits.","container-title":"Epigenetics","DOI":"10.1080/15592294.2018.1497386","ISSN":"1559-2294","issue":"6","journalAbbreviation":"Epigenetics","page":"655-664","PMID":"30044683","PMCID":"PMC6140901","source":"PubMed Central","title":"Comparison of DNA methylation measured by Illumina 450K and EPIC BeadChips in blood of newborns and 14-year-old children","volume":"13","author":[{"family":"Solomon","given":"Olivia"},{"family":"MacIsaac","given":"Julie"},{"family":"Quach","given":"Hong"},{"family":"Tindula","given":"Gwen"},{"family":"Kobor","given":"Michael S."},{"family":"Huen","given":"Karen"},{"family":"Meaney","given":"Michael J."},{"family":"Eskenazi","given":"Brenda"},{"family":"Barcellos","given":"Lisa F."},{"family":"Holland","given":"Nina"}],"issued":{"date-parts":[["2018",8,15]]}}},{"id":6763,"uris":["http://zotero.org/users/6242458/items/QYNIEB74"],"itemData":{"id":6763,"type":"article-journal","abstract":"DNA methylation (DNAm) is the most commonly measured epigenetic mechanism in human populations, with most studies using Illumina arrays to assess DNAm levels. In 2023, Illumina updated their DNAm arrays to the EPIC version 2 (EPICv2), building on prior iterations, namely the EPIC version 1 (EPICv1) and 450K arrays. Whether DNAm measurements are stable across these three generations of arrays has yet not been investigated, limiting the ability of researchers-especially those with longitudinal data-to compare and replicate results across arrays. Here, we present results from a study of 30 child participants (15 male; 15 female) from the Drakenstein Child Health Study, who had DNAm measured on all three of the latest arrays: 450K, EPICv1, and EPICv2. Using these data, we created an annotation of probe quality across arrays, which includes the intraclass correlations, interquartile ranges, correlations, and array bias (i.e., the extent to which DNAm levels were explained by array type) of all CpGs. We also present results from an analysis of sex differences, where we found that CpGs with lower replicability across arrays had higher array-based variance, suggesting this variance metric help guide replication efforts. We also showed that epigenetic age estimates across arrays were more stable when using the principal component versions of epigenetic clocks. Ultimately, this collection of results provides a framework for investigating the replicability and longitudinal stability of epigenetic changes across multiple versions of Illumina DNAm arrays.","container-title":"Clinical Epigenetics","DOI":"10.1186/s13148-024-01761-4","ISSN":"1868-7083","issue":"1","journalAbbreviation":"Clin Epigenetics","language":"eng","page":"166","PMID":"39578866","PMCID":"PMC11583407","source":"PubMed","title":"Technical variability across the 450K, EPICv1, and EPICv2 DNA methylation arrays: lessons learned for clinical and longitudinal studies","title-short":"Technical variability across the 450K, EPICv1, and EPICv2 DNA methylation arrays","volume":"16","author":[{"family":"Lussier","given":"Alexandre A."},{"family":"Schuurmans","given":"Isabel K."},{"family":"Großbach","given":"Anna"},{"family":"Maclsaac","given":"Julie"},{"family":"Dever","given":"Kristy"},{"family":"Koen","given":"Nastassja"},{"family":"Zar","given":"Heather J."},{"family":"Stein","given":"Dan J."},{"family":"Kobor","given":"Michael S."},{"family":"Dunn","given":"Erin C."}],"issued":{"date-parts":[["2024",11,22]]}}}],"schema":"https://github.com/citation-style-language/schema/raw/master/csl-citation.json"}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7–9</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w:t>
      </w:r>
    </w:p>
    <w:p w14:paraId="5101BE1D" w14:textId="77777777" w:rsidR="00B001C8" w:rsidRPr="005B3F3B" w:rsidRDefault="00B001C8" w:rsidP="005B3F3B">
      <w:pPr>
        <w:spacing w:line="360" w:lineRule="auto"/>
        <w:ind w:left="0"/>
        <w:jc w:val="both"/>
        <w:rPr>
          <w:rFonts w:ascii="Times New Roman" w:eastAsia="Times New Roman" w:hAnsi="Times New Roman" w:cs="Times New Roman"/>
        </w:rPr>
      </w:pPr>
    </w:p>
    <w:p w14:paraId="29C570AE" w14:textId="2D9410E1" w:rsidR="00B25863" w:rsidRDefault="000C494F" w:rsidP="005B3F3B">
      <w:pPr>
        <w:spacing w:line="360" w:lineRule="auto"/>
        <w:ind w:left="0"/>
        <w:jc w:val="both"/>
        <w:rPr>
          <w:rFonts w:ascii="Times New Roman" w:eastAsia="Times New Roman" w:hAnsi="Times New Roman" w:cs="Times New Roman"/>
        </w:rPr>
      </w:pPr>
      <w:bookmarkStart w:id="4" w:name="_heading=h.ru6a9l61yd1p" w:colFirst="0" w:colLast="0"/>
      <w:bookmarkEnd w:id="4"/>
      <w:r w:rsidRPr="005B3F3B">
        <w:rPr>
          <w:rFonts w:ascii="Times New Roman" w:eastAsia="Times New Roman" w:hAnsi="Times New Roman" w:cs="Times New Roman"/>
          <w:lang w:eastAsia="en-GB"/>
        </w:rPr>
        <w:t xml:space="preserve">Preprocessing and </w:t>
      </w:r>
      <w:r w:rsidR="00C94494" w:rsidRPr="005B3F3B">
        <w:rPr>
          <w:rFonts w:ascii="Times New Roman" w:eastAsia="Times New Roman" w:hAnsi="Times New Roman" w:cs="Times New Roman"/>
        </w:rPr>
        <w:t xml:space="preserve">QC </w:t>
      </w:r>
      <w:r w:rsidRPr="005B3F3B">
        <w:rPr>
          <w:rFonts w:ascii="Times New Roman" w:eastAsia="Times New Roman" w:hAnsi="Times New Roman" w:cs="Times New Roman"/>
          <w:lang w:eastAsia="en-GB"/>
        </w:rPr>
        <w:t xml:space="preserve">were performed using the </w:t>
      </w:r>
      <w:r w:rsidR="00C94494" w:rsidRPr="005B3F3B">
        <w:rPr>
          <w:rFonts w:ascii="Times New Roman" w:eastAsia="Times New Roman" w:hAnsi="Times New Roman" w:cs="Times New Roman"/>
          <w:i/>
          <w:iCs/>
        </w:rPr>
        <w:t>minfi</w:t>
      </w:r>
      <w:r w:rsidR="00C94494" w:rsidRPr="005B3F3B">
        <w:rPr>
          <w:rFonts w:ascii="Times New Roman" w:eastAsia="Times New Roman" w:hAnsi="Times New Roman" w:cs="Times New Roman"/>
        </w:rPr>
        <w:t xml:space="preserve"> R package</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{"citationID":"o1qpWj2o","properties":{"formattedCitation":"\\super 10\\nosupersub{}","plainCitation":"10","noteIndex":0},"citationItems":[{"id":4948,"uris":["http://zotero.org/users/6242458/items/WIM4HFC6"],"itemData":{"id":4948,"type":"article-journal","abstract":"MOTIVATION: The recently released Infinium HumanMethylation450 array (the '450k' array) provides a high-throughput assay to quantify DNA methylation (DNAm) at </w:instrText>
      </w:r>
      <w:r w:rsidR="004105A5" w:rsidRPr="005B3F3B">
        <w:rPr>
          <w:rFonts w:ascii="Cambria Math" w:eastAsia="Times New Roman" w:hAnsi="Cambria Math" w:cs="Cambria Math"/>
        </w:rPr>
        <w:instrText>∼</w:instrText>
      </w:r>
      <w:r w:rsidR="004105A5" w:rsidRPr="005B3F3B">
        <w:rPr>
          <w:rFonts w:ascii="Times New Roman" w:eastAsia="Times New Roman" w:hAnsi="Times New Roman" w:cs="Times New Roman"/>
        </w:rPr>
        <w:instrText xml:space="preserve">450 000 loci across a range of genomic features. Although less comprehensive than high-throughput sequencing-based techniques, this product is more cost-effective and promises to be the most widely used DNAm high-throughput measurement technology over the next several years.\nRESULTS: Here we describe a suite of computational tools that incorporate state-of-the-art statistical techniques for the analysis of DNAm data. The software is structured to easily adapt to future versions of the technology. We include methods for preprocessing, quality assessment and detection of differentially methylated regions from the kilobase to the megabase scale. We show how our software provides a powerful and flexible development platform for future methods. We also illustrate how our methods empower the technology to make discoveries previously thought to be possible only with sequencing-based methods.\nAVAILABILITY AND IMPLEMENTATION: http://bioconductor.org/packages/release/bioc/html/minfi.html.\nCONTACT: khansen@jhsph.edu; rafa@jimmy.harvard.edu\nSUPPLEMENTARY INFORMATION: Supplementary data are available at Bioinformatics online.","container-title":"Bioinformatics (Oxford, England)","DOI":"10.1093/bioinformatics/btu049","ISSN":"1367-4811","issue":"10","journalAbbreviation":"Bioinformatics","language":"eng","page":"1363-1369","PMID":"24478339","PMCID":"PMC4016708","source":"PubMed","title":"Minfi: a flexible and comprehensive Bioconductor package for the analysis of Infinium DNA methylation microarrays","title-short":"Minfi","volume":"30","author":[{"family":"Aryee","given":"Martin J."},{"family":"Jaffe","given":"Andrew E."},{"family":"Corrada-Bravo","given":"Hector"},{"family":"Ladd-Acosta","given":"Christine"},{"family":"Feinberg","given":"Andrew P."},{"family":"Hansen","given":"Kasper D."},{"family":"Irizarry","given":"Rafael A."}],"issued":{"date-parts":[["2014",5,15]]}}}],"schema":"https://github.com/citation-style-language/schema/raw/master/csl-citation.json"}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10</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xml:space="preserve">. </w:t>
      </w:r>
      <w:r w:rsidRPr="005B3F3B">
        <w:rPr>
          <w:rFonts w:ascii="Times New Roman" w:eastAsia="Times New Roman" w:hAnsi="Times New Roman" w:cs="Times New Roman"/>
        </w:rPr>
        <w:t>R</w:t>
      </w:r>
      <w:r w:rsidR="00C94494" w:rsidRPr="005B3F3B">
        <w:rPr>
          <w:rFonts w:ascii="Times New Roman" w:eastAsia="Times New Roman" w:hAnsi="Times New Roman" w:cs="Times New Roman"/>
        </w:rPr>
        <w:t xml:space="preserve">ed and green channel intensities were mapped to methylated and unmethylated signals, and average intensities were used to assess sample quality. Initial </w:t>
      </w:r>
      <w:r w:rsidRPr="005B3F3B">
        <w:rPr>
          <w:rFonts w:ascii="Times New Roman" w:eastAsia="Times New Roman" w:hAnsi="Times New Roman" w:cs="Times New Roman"/>
        </w:rPr>
        <w:t>QC</w:t>
      </w:r>
      <w:r w:rsidR="00C94494" w:rsidRPr="005B3F3B">
        <w:rPr>
          <w:rFonts w:ascii="Times New Roman" w:eastAsia="Times New Roman" w:hAnsi="Times New Roman" w:cs="Times New Roman"/>
        </w:rPr>
        <w:t xml:space="preserve"> was </w:t>
      </w:r>
      <w:r w:rsidR="00B25863" w:rsidRPr="005B3F3B">
        <w:rPr>
          <w:rFonts w:ascii="Times New Roman" w:eastAsia="Times New Roman" w:hAnsi="Times New Roman" w:cs="Times New Roman"/>
        </w:rPr>
        <w:t xml:space="preserve">conducted </w:t>
      </w:r>
      <w:r w:rsidR="00C94494" w:rsidRPr="005B3F3B">
        <w:rPr>
          <w:rFonts w:ascii="Times New Roman" w:eastAsia="Times New Roman" w:hAnsi="Times New Roman" w:cs="Times New Roman"/>
        </w:rPr>
        <w:t xml:space="preserve">using </w:t>
      </w:r>
      <w:proofErr w:type="spellStart"/>
      <w:r w:rsidR="00C94494" w:rsidRPr="005B3F3B">
        <w:rPr>
          <w:rFonts w:ascii="Times New Roman" w:eastAsia="Times New Roman" w:hAnsi="Times New Roman" w:cs="Times New Roman"/>
          <w:i/>
        </w:rPr>
        <w:t>preprocessIllumina</w:t>
      </w:r>
      <w:proofErr w:type="spellEnd"/>
      <w:r w:rsidR="00C94494" w:rsidRPr="005B3F3B">
        <w:rPr>
          <w:rFonts w:ascii="Times New Roman" w:eastAsia="Times New Roman" w:hAnsi="Times New Roman" w:cs="Times New Roman"/>
        </w:rPr>
        <w:t xml:space="preserve">. Principal component analysis (PCA) </w:t>
      </w:r>
      <w:r w:rsidR="00B25863" w:rsidRPr="005B3F3B">
        <w:rPr>
          <w:rFonts w:ascii="Times New Roman" w:eastAsia="Times New Roman" w:hAnsi="Times New Roman" w:cs="Times New Roman"/>
        </w:rPr>
        <w:t>based on</w:t>
      </w:r>
      <w:r w:rsidR="00C94494" w:rsidRPr="005B3F3B">
        <w:rPr>
          <w:rFonts w:ascii="Times New Roman" w:eastAsia="Times New Roman" w:hAnsi="Times New Roman" w:cs="Times New Roman"/>
        </w:rPr>
        <w:t xml:space="preserve"> singular value decomposition </w:t>
      </w:r>
      <w:r w:rsidR="00B25863" w:rsidRPr="005B3F3B">
        <w:rPr>
          <w:rFonts w:ascii="Times New Roman" w:eastAsia="Times New Roman" w:hAnsi="Times New Roman" w:cs="Times New Roman"/>
        </w:rPr>
        <w:t>was applied</w:t>
      </w:r>
      <w:r w:rsidR="00C94494" w:rsidRPr="005B3F3B">
        <w:rPr>
          <w:rFonts w:ascii="Times New Roman" w:eastAsia="Times New Roman" w:hAnsi="Times New Roman" w:cs="Times New Roman"/>
        </w:rPr>
        <w:t xml:space="preserve"> to identify outliers</w:t>
      </w:r>
      <w:r w:rsidR="00B25863" w:rsidRPr="005B3F3B">
        <w:rPr>
          <w:rFonts w:ascii="Times New Roman" w:eastAsia="Times New Roman" w:hAnsi="Times New Roman" w:cs="Times New Roman"/>
        </w:rPr>
        <w:t xml:space="preserve">; </w:t>
      </w:r>
      <w:r w:rsidR="00C94494" w:rsidRPr="005B3F3B">
        <w:rPr>
          <w:rFonts w:ascii="Times New Roman" w:eastAsia="Times New Roman" w:hAnsi="Times New Roman" w:cs="Times New Roman"/>
        </w:rPr>
        <w:t xml:space="preserve"> </w:t>
      </w:r>
      <w:r w:rsidR="00B25863" w:rsidRPr="005B3F3B">
        <w:rPr>
          <w:rFonts w:ascii="Times New Roman" w:eastAsia="Times New Roman" w:hAnsi="Times New Roman" w:cs="Times New Roman"/>
        </w:rPr>
        <w:t>s</w:t>
      </w:r>
      <w:r w:rsidR="00C94494" w:rsidRPr="005B3F3B">
        <w:rPr>
          <w:rFonts w:ascii="Times New Roman" w:eastAsia="Times New Roman" w:hAnsi="Times New Roman" w:cs="Times New Roman"/>
        </w:rPr>
        <w:t xml:space="preserve">amples </w:t>
      </w:r>
      <w:r w:rsidR="00B25863" w:rsidRPr="005B3F3B">
        <w:rPr>
          <w:rFonts w:ascii="Times New Roman" w:eastAsia="Times New Roman" w:hAnsi="Times New Roman" w:cs="Times New Roman"/>
        </w:rPr>
        <w:t>exceeding</w:t>
      </w:r>
      <w:r w:rsidR="00C94494" w:rsidRPr="005B3F3B">
        <w:rPr>
          <w:rFonts w:ascii="Times New Roman" w:eastAsia="Times New Roman" w:hAnsi="Times New Roman" w:cs="Times New Roman"/>
        </w:rPr>
        <w:t xml:space="preserve"> three standard deviations from the median </w:t>
      </w:r>
      <w:r w:rsidR="00B25863" w:rsidRPr="005B3F3B">
        <w:rPr>
          <w:rFonts w:ascii="Times New Roman" w:eastAsia="Times New Roman" w:hAnsi="Times New Roman" w:cs="Times New Roman"/>
          <w:lang w:eastAsia="en-GB"/>
        </w:rPr>
        <w:t xml:space="preserve">on the first four principal components </w:t>
      </w:r>
      <w:r w:rsidR="00C94494" w:rsidRPr="005B3F3B">
        <w:rPr>
          <w:rFonts w:ascii="Times New Roman" w:eastAsia="Times New Roman" w:hAnsi="Times New Roman" w:cs="Times New Roman"/>
        </w:rPr>
        <w:t xml:space="preserve">were </w:t>
      </w:r>
      <w:r w:rsidR="00B25863" w:rsidRPr="005B3F3B">
        <w:rPr>
          <w:rFonts w:ascii="Times New Roman" w:eastAsia="Times New Roman" w:hAnsi="Times New Roman" w:cs="Times New Roman"/>
        </w:rPr>
        <w:t>excluded</w:t>
      </w:r>
      <w:r w:rsidR="007272BE"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{"citationID":"6Nk7Vgs1","properties":{"formattedCitation":"\\super 11,12\\nosupersub{}","plainCitation":"11,12","noteIndex":0},"citationItems":[{"id":4010,"uris":["http://zotero.org/users/6242458/items/DS4Y8DDP"],"itemData":{"id":4010,"type":"article-journal","abstract":"DNA methylation, which is modulated by both genetic factors and environmental exposures, may offer a unique opportunity to discover novel biomarkers of disease-related brain phenotypes, even when measured in other tissues than brain, such as blood. A few studies of small sample sizes have revealed associations between blood DNA methylation and neuropsychopathology, however, large-scale epigenome-wide association studies (EWAS) are needed to investigate the utility of DNA methylation profiling as a peripheral marker for the brain. Here, in an analysis of eleven international cohorts, totalling 3337 individuals, we report epigenome-wide meta-analyses of blood DNA methylation with volumes of the hippocampus, thalamus and nucleus accumbens (NAcc)—three subcortical regions selected for their associations with disease and heritability and volumetric variability. Analyses of individual CpGs revealed genome-wide significant associations with hippocampal volume at two loci. No significant associations were found for analyses of thalamus and nucleus accumbens volumes. Cluster-based analyses revealed additional differentially methylated regions (DMRs) associated with hippocampal volume. DNA methylation at these loci affected expression of proximal genes involved in learning and memory, stem cell maintenance and differentiation, fatty acid metabolism and type-2 diabetes. These DNA methylation marks, their interaction with genetic variants and their impact on gene expression offer new insights into the relationship between epigenetic variation and brain structure and may provide the basis for biomarker discovery in neurodegeneration and neuropsychiatric conditions.","container-title":"Molecular Psychiatry","DOI":"10.1038/s41380-019-0605-z","ISSN":"1476-5578","issue":"8","journalAbbreviation":"Mol Psychiatry","language":"en","license":"2019 The Author(s)","note":"number: 8","page":"3884-3895","publisher":"Nature Publishing Group","source":"www.nature.com","title":"Epigenome-wide meta-analysis of blood DNA methylation and its association with subcortical volumes: findings from the ENIGMA Epigenetics Working Group","title-short":"Epigenome-wide meta-analysis of blood DNA methylation and its association with subcortical volumes","volume":"26","author":[{"family":"Jia","given":"Tianye"},{"family":"Chu","given":"Congying"},{"family":"Liu","given":"Yun"},{"family":"Dongen","given":"Jenny","non-dropping-particle":"van"},{"family":"Papastergios","given":"Evangelos"},{"family":"Armstrong","given":"Nicola J."},{"family":"Bastin","given":"Mark E."},{"family":"Carrillo-Roa","given":"Tania"},{"family":"Braber","given":"Anouk","non-dropping-particle":"den"},{"family":"Harris","given":"Mathew"},{"family":"Jansen","given":"Rick"},{"family":"Liu","given":"Jingyu"},{"family":"Luciano","given":"Michelle"},{"family":"Ori","given":"Anil P. S."},{"family":"Roiz Santiañez","given":"Roberto"},{"family":"Ruggeri","given":"Barbara"},{"family":"Sarkisyan","given":"Daniil"},{"family":"Shin","given":"Jean"},{"family":"Sungeun","given":"Kim"},{"family":"Tordesillas Gutiérrez","given":"Diana"},{"family":"Ent","given":"Dennis","non-dropping-particle":"van’t"},{"family":"Ames","given":"David"},{"family":"Artiges","given":"Eric"},{"family":"Bakalkin","given":"Georgy"},{"family":"Banaschewski","given":"Tobias"},{"family":"Bokde","given":"Arun L. W."},{"family":"Brodaty","given":"Henry"},{"family":"Bromberg","given":"Uli"},{"family":"Brouwer","given":"Rachel"},{"family":"Büchel","given":"Christian"},{"family":"Burke Quinlan","given":"Erin"},{"family":"Cahn","given":"Wiepke"},{"family":"Zubicaray","given":"Greig I.","non-dropping-particle":"de"},{"family":"Ehrlich","given":"Stefan"},{"family":"Ekström","given":"Tomas J."},{"family":"Flor","given":"Herta"},{"family":"Fröhner","given":"Juliane H."},{"family":"Frouin","given":"Vincent"},{"family":"Garavan","given":"Hugh"},{"family":"Gowland","given":"Penny"},{"family":"Heinz","given":"Andreas"},{"family":"Hoare","given":"Jacqueline"},{"family":"Ittermann","given":"Bernd"},{"family":"Jahanshad","given":"Neda"},{"family":"Jiang","given":"Jiyang"},{"family":"Kwok","given":"John B."},{"family":"Martin","given":"Nicholas G."},{"family":"Martinot","given":"Jean-Luc"},{"family":"Mather","given":"Karen A."},{"family":"McMahon","given":"Katie L."},{"family":"McRae","given":"Allan F."},{"family":"Nees","given":"Frauke"},{"family":"Papadopoulos Orfanos","given":"Dimitri"},{"family":"Paus","given":"Tomáš"},{"family":"Poustka","given":"Luise"},{"family":"Sämann","given":"Philipp G."},{"family":"Schofield","given":"Peter R."},{"family":"Smolka","given":"Michael N."},{"family":"Stein","given":"Dan J."},{"family":"Strike","given":"Lachlan T."},{"family":"Teeuw","given":"Jalmar"},{"family":"Thalamuthu","given":"Anbupalam"},{"family":"Trollor","given":"Julian"},{"family":"Walter","given":"Henrik"},{"family":"Wardlaw","given":"Joanna M."},{"family":"Wen","given":"Wei"},{"family":"Whelan","given":"Robert"},{"family":"Apostolova","given":"Liana G."},{"family":"Binder","given":"Elisabeth B."},{"family":"Boomsma","given":"Dorret I."},{"family":"Calhoun","given":"Vince"},{"family":"Crespo-Facorro","given":"Benedicto"},{"family":"Deary","given":"Ian J."},{"family":"Hulshoff Pol","given":"Hilleke"},{"family":"Ophoff","given":"Roel A."},{"family":"Pausova","given":"Zdenka"},{"family":"Sachdev","given":"Perminder S."},{"family":"Saykin","given":"Andrew"},{"family":"Wright","given":"Margaret J."},{"family":"Thompson","given":"Paul M."},{"family":"Schumann","given":"Gunter"},{"family":"Desrivières","given":"Sylvane"}],"issued":{"date-parts":[["2021",8]]}}},{"id":4951,"uris":["http://zotero.org/users/6242458/items/F2TRJJWM"],"itemData":{"id":4951,"type":"article-journal","abstract":"Background\nNegative life events (NLEs) increase the risk for externalizing behaviors (EBs) and internalizing behaviors (IBs) in adolescence and adult psychopathology. DNA methylation associated with behavioral problems may reflect this risk and long-lasting effects of NLEs.\nMethods\nTo identify consistent associations between blood DNA methylation and EBs or IBs across adolescence, we conducted longitudinal epigenome-wide association studies (EWASs) using data from the IMAGEN cohort, collected at ages 14 and 19 years (n = 506). Significant findings were validated in a separate subsample (n = 823). Methylation risk scores were generated by 10-fold cross-validation and further tested for their associations with gray matter volumes and NLEs.\nResults\nNo significant findings were obtained for the IB-EWAS. The EB-EWAS identified a genome-wide significant locus in a gene linked to attention-deficit/hyperactivity disorder (ADHD) (IQSEC1, cg01460382; p = 1.26 × 10−8). Other most significant CpG sites were near ADHD-related genes and enriched for genes regulating tumor necrosis factor and interferon-γ signaling, highlighting the relevance of EB-EWAS findings for ADHD. Analyses with the EB methylation risk scores suggested that it partly reflected comorbidity with IBs in late adolescence. Specific to EBs, EB methylation risk scores correlated with smaller gray matter volumes in medial orbitofrontal and anterior/middle cingulate cortices, brain regions known to associate with ADHD and conduct problems. Longitudinal mediation analyses indicated that EB-related DNA methylation were more likely the outcomes of problematic behaviors accentuated by NLEs, and less likely the epigenetic bases of such behaviors.\nConclusions\nOur findings suggest that novel epigenetic mechanisms through which NLEs exert short and longer-term effects on behavior may contribute to ADHD.","collection-title":"Stress Response: Circuits and Impact","container-title":"Biological Psychiatry","DOI":"10.1016/j.biopsych.2022.06.012","ISSN":"0006-3223","issue":"4","journalAbbreviation":"Biological Psychiatry","page":"342-351","source":"ScienceDirect","title":"Associations of DNA Methylation With Behavioral Problems, Gray Matter Volumes, and Negative Life Events Across Adolescence: Evidence From the Longitudinal IMAGEN Study","title-short":"Associations of DNA Methylation With Behavioral Problems, Gray Matter Volumes, and Negative Life Events Across Adolescence","volume":"93","author":[{"family":"Sun","given":"Yan"},{"family":"Jia","given":"Tianye"},{"family":"Barker","given":"Edward D."},{"family":"Chen","given":"Di"},{"family":"Zhang","given":"Zuo"},{"family":"Xu","given":"Jiayuan"},{"family":"Chang","given":"Suhua"},{"family":"Zhou","given":"Guangdong"},{"family":"Liu","given":"Yun"},{"family":"Tay","given":"Nicole"},{"family":"Luo","given":"Qiang"},{"family":"Chang","given":"Xiao"},{"family":"Banaschewski","given":"Tobias"},{"family":"Bokde","given":"Arun L. W."},{"family":"Flor","given":"Herta"},{"family":"Grigis","given":"Antoine"},{"family":"Garavan","given":"Hugh"},{"family":"Heinz","given":"Andreas"},{"family":"Martinot","given":"Jean-Luc"},{"family":"Paillère Martinot","given":"Marie-Laure"},{"family":"Artiges","given":"Eric"},{"family":"Nees","given":"Frauke"},{"family":"Orfanos","given":"Dimitri Papadopoulos"},{"family":"Paus","given":"Tomáš"},{"family":"Poustka","given":"Luise"},{"family":"Hohmann","given":"Sarah"},{"family":"Millenet","given":"Sabina"},{"family":"Fröhner","given":"Juliane H."},{"family":"Smolka","given":"Michael N."},{"family":"Walter","given":"Henrik"},{"family":"Whelan","given":"Robert"},{"family":"Lu","given":"Lin"},{"family":"Shi","given":"Jie"},{"family":"Schumann","given":"Gunter"},{"family":"Desrivières","given":"Sylvane"}],"issued":{"date-parts":[["2023",2,15]]}}}],"schema":"https://github.com/citation-style-language/schema/raw/master/csl-citation.json"} </w:instrText>
      </w:r>
      <w:r w:rsidR="007272BE"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11,12</w:t>
      </w:r>
      <w:r w:rsidR="007272BE"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Sex was predicted using sex chromosome</w:t>
      </w:r>
      <w:r w:rsidR="00B25863" w:rsidRPr="005B3F3B">
        <w:rPr>
          <w:rFonts w:ascii="Times New Roman" w:eastAsia="Times New Roman" w:hAnsi="Times New Roman" w:cs="Times New Roman"/>
        </w:rPr>
        <w:t xml:space="preserve"> probe intensities</w:t>
      </w:r>
      <w:r w:rsidR="00C94494" w:rsidRPr="005B3F3B">
        <w:rPr>
          <w:rFonts w:ascii="Times New Roman" w:eastAsia="Times New Roman" w:hAnsi="Times New Roman" w:cs="Times New Roman"/>
        </w:rPr>
        <w:t xml:space="preserve">, and samples with discordant predicted and recorded sex were </w:t>
      </w:r>
      <w:r w:rsidR="00B25863" w:rsidRPr="005B3F3B">
        <w:rPr>
          <w:rFonts w:ascii="Times New Roman" w:eastAsia="Times New Roman" w:hAnsi="Times New Roman" w:cs="Times New Roman"/>
        </w:rPr>
        <w:t>removed</w:t>
      </w:r>
      <w:r w:rsidR="00C94494" w:rsidRPr="005B3F3B">
        <w:rPr>
          <w:rFonts w:ascii="Times New Roman" w:eastAsia="Times New Roman" w:hAnsi="Times New Roman" w:cs="Times New Roman"/>
        </w:rPr>
        <w:t xml:space="preserve">. </w:t>
      </w:r>
    </w:p>
    <w:p w14:paraId="22421DDC" w14:textId="77777777" w:rsidR="00B001C8" w:rsidRPr="005B3F3B" w:rsidRDefault="00B001C8" w:rsidP="005B3F3B">
      <w:pPr>
        <w:spacing w:line="360" w:lineRule="auto"/>
        <w:ind w:left="0"/>
        <w:jc w:val="both"/>
        <w:rPr>
          <w:rFonts w:ascii="Times New Roman" w:eastAsia="Times New Roman" w:hAnsi="Times New Roman" w:cs="Times New Roman"/>
        </w:rPr>
      </w:pPr>
    </w:p>
    <w:p w14:paraId="00000025" w14:textId="62546F51"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Samples processed in separate batches were merged prior to </w:t>
      </w:r>
      <w:r w:rsidR="00B25863" w:rsidRPr="005B3F3B">
        <w:rPr>
          <w:rFonts w:ascii="Times New Roman" w:eastAsia="Times New Roman" w:hAnsi="Times New Roman" w:cs="Times New Roman"/>
        </w:rPr>
        <w:t>normalisation</w:t>
      </w:r>
      <w:r w:rsidRPr="005B3F3B">
        <w:rPr>
          <w:rFonts w:ascii="Times New Roman" w:eastAsia="Times New Roman" w:hAnsi="Times New Roman" w:cs="Times New Roman"/>
        </w:rPr>
        <w:t xml:space="preserve">. Stratified quantile normalisation was applied using the </w:t>
      </w:r>
      <w:proofErr w:type="spellStart"/>
      <w:r w:rsidRPr="005B3F3B">
        <w:rPr>
          <w:rFonts w:ascii="Times New Roman" w:eastAsia="Times New Roman" w:hAnsi="Times New Roman" w:cs="Times New Roman"/>
          <w:i/>
        </w:rPr>
        <w:t>preprocessQuantile</w:t>
      </w:r>
      <w:proofErr w:type="spellEnd"/>
      <w:r w:rsidRPr="005B3F3B">
        <w:rPr>
          <w:rFonts w:ascii="Times New Roman" w:eastAsia="Times New Roman" w:hAnsi="Times New Roman" w:cs="Times New Roman"/>
        </w:rPr>
        <w:t>. PCA on normalised beta</w:t>
      </w:r>
      <w:r w:rsidR="00B25863" w:rsidRPr="005B3F3B">
        <w:rPr>
          <w:rFonts w:ascii="Times New Roman" w:eastAsia="Times New Roman" w:hAnsi="Times New Roman" w:cs="Times New Roman"/>
        </w:rPr>
        <w:t>-</w:t>
      </w:r>
      <w:r w:rsidRPr="005B3F3B">
        <w:rPr>
          <w:rFonts w:ascii="Times New Roman" w:eastAsia="Times New Roman" w:hAnsi="Times New Roman" w:cs="Times New Roman"/>
        </w:rPr>
        <w:t xml:space="preserve">values was </w:t>
      </w:r>
      <w:r w:rsidR="00B25863" w:rsidRPr="005B3F3B">
        <w:rPr>
          <w:rFonts w:ascii="Times New Roman" w:eastAsia="Times New Roman" w:hAnsi="Times New Roman" w:cs="Times New Roman"/>
        </w:rPr>
        <w:t>used to capture major sources of technical and biological variation</w:t>
      </w:r>
      <w:r w:rsidRPr="005B3F3B">
        <w:rPr>
          <w:rFonts w:ascii="Times New Roman" w:eastAsia="Times New Roman" w:hAnsi="Times New Roman" w:cs="Times New Roman"/>
        </w:rPr>
        <w:t xml:space="preserve">. </w:t>
      </w:r>
      <w:r w:rsidR="00B25863" w:rsidRPr="005B3F3B">
        <w:rPr>
          <w:rFonts w:ascii="Times New Roman" w:eastAsia="Times New Roman" w:hAnsi="Times New Roman" w:cs="Times New Roman"/>
        </w:rPr>
        <w:t>P</w:t>
      </w:r>
      <w:r w:rsidRPr="005B3F3B">
        <w:rPr>
          <w:rFonts w:ascii="Times New Roman" w:eastAsia="Times New Roman" w:hAnsi="Times New Roman" w:cs="Times New Roman"/>
        </w:rPr>
        <w:t>roportions of six major blood cell types (granulocytes, B cells, CD4</w:t>
      </w:r>
      <w:r w:rsidRPr="00B001C8">
        <w:rPr>
          <w:rFonts w:ascii="Times New Roman" w:eastAsia="Times New Roman" w:hAnsi="Times New Roman" w:cs="Times New Roman"/>
          <w:vertAlign w:val="superscript"/>
        </w:rPr>
        <w:t>+</w:t>
      </w:r>
      <w:r w:rsidRPr="005B3F3B">
        <w:rPr>
          <w:rFonts w:ascii="Times New Roman" w:eastAsia="Times New Roman" w:hAnsi="Times New Roman" w:cs="Times New Roman"/>
        </w:rPr>
        <w:t xml:space="preserve"> T cells, CD8</w:t>
      </w:r>
      <w:r w:rsidRPr="00B001C8">
        <w:rPr>
          <w:rFonts w:ascii="Times New Roman" w:eastAsia="Times New Roman" w:hAnsi="Times New Roman" w:cs="Times New Roman"/>
          <w:vertAlign w:val="superscript"/>
        </w:rPr>
        <w:t xml:space="preserve">+ </w:t>
      </w:r>
      <w:r w:rsidRPr="005B3F3B">
        <w:rPr>
          <w:rFonts w:ascii="Times New Roman" w:eastAsia="Times New Roman" w:hAnsi="Times New Roman" w:cs="Times New Roman"/>
        </w:rPr>
        <w:t xml:space="preserve">T cells, monocytes, and NK cells) </w:t>
      </w:r>
      <w:r w:rsidR="00B25863" w:rsidRPr="005B3F3B">
        <w:rPr>
          <w:rFonts w:ascii="Times New Roman" w:eastAsia="Times New Roman" w:hAnsi="Times New Roman" w:cs="Times New Roman"/>
        </w:rPr>
        <w:t xml:space="preserve">were estimated </w:t>
      </w:r>
      <w:r w:rsidRPr="005B3F3B">
        <w:rPr>
          <w:rFonts w:ascii="Times New Roman" w:eastAsia="Times New Roman" w:hAnsi="Times New Roman" w:cs="Times New Roman"/>
        </w:rPr>
        <w:t xml:space="preserve">using the </w:t>
      </w:r>
      <w:r w:rsidRPr="005B3F3B">
        <w:rPr>
          <w:rFonts w:ascii="Times New Roman" w:eastAsia="Times New Roman" w:hAnsi="Times New Roman" w:cs="Times New Roman"/>
          <w:i/>
        </w:rPr>
        <w:t>estimateCellCounts2</w:t>
      </w:r>
      <w:r w:rsidRPr="005B3F3B">
        <w:rPr>
          <w:rFonts w:ascii="Times New Roman" w:eastAsia="Times New Roman" w:hAnsi="Times New Roman" w:cs="Times New Roman"/>
        </w:rPr>
        <w:t xml:space="preserve"> function, based on a reference panel</w:t>
      </w:r>
      <w:r w:rsidR="002A7DB6"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{"citationID":"GYo7RueY","properties":{"formattedCitation":"\\super 13\\nosupersub{}","plainCitation":"13","noteIndex":0},"citationItems":[{"id":6247,"uris":["http://zotero.org/users/6242458/items/VB65RV6S"],"itemData":{"id":6247,"type":"article-journal","abstract":"Background\nUmbilical cord blood (UCB) is commonly used in epigenome-wide association studies of prenatal exposures. Accounting for cell type composition is critical in such studies as it reduces confounding due to the cell specificity of DNA methylation (DNAm). In the absence of cell sorting information, statistical methods can be applied to deconvolve heterogeneous cell mixtures. Among these methods, reference-based approaches leverage age-appropriate cell-specific DNAm profiles to estimate cellular composition. In UCB, four reference datasets comprising DNAm signatures profiled in purified cell populations have been published using the Illumina 450 K and EPIC arrays. These datasets are biologically and technically different, and currently, there is no consensus on how to best apply them. Here, we systematically evaluate and compare these datasets and provide recommendations for reference-based UCB deconvolution.\n\nResults\nWe first evaluated the four reference datasets to ascertain both the purity of the samples and the potential cell cross-contamination. We filtered samples and combined datasets to obtain a joint UCB reference. We selected deconvolution libraries using two different approaches: automatic selection using the top differentially methylated probes from the function pickCompProbes in minfi and a standardized library selected using the IDOL (Identifying Optimal Libraries) iterative algorithm. We compared the performance of each reference separately and in combination, using the two approaches for reference library selection, and validated the results in an independent cohort (Generation R Study, n = 191) with matched Fluorescence-Activated Cell Sorting measured cell counts. Strict filtering and combination of the references significantly improved the accuracy and efficiency of cell type estimates. Ultimately, the IDOL library outperformed the library from the automatic selection method implemented in pickCompProbes.\n\nConclusion\nThese results have important implications for epigenetic studies in UCB as implementing this method will optimally reduce confounding due to cellular heterogeneity. This work provides guidelines for future reference-based UCB deconvolution and establishes a framework for combining reference datasets in other tissues.\n\nElectronic supplementary material\nThe online version of this article (10.1186/s13148-019-0717-y) contains supplementary material, which is available to authorized users.","container-title":"Clinical Epigenetics","DOI":"10.1186/s13148-019-0717-y","ISSN":"1868-7075","journalAbbreviation":"Clin Epigenetics","page":"125","PMID":"31455416","PMCID":"PMC6712867","source":"PubMed Central","title":"Systematic evaluation and validation of reference and library selection methods for deconvolution of cord blood DNA methylation data","volume":"11","author":[{"family":"Gervin","given":"Kristina"},{"family":"Salas","given":"Lucas A."},{"family":"Bakulski","given":"Kelly M."},{"family":"Zelm","given":"Menno C.","non-dropping-particle":"van"},{"family":"Koestler","given":"Devin C."},{"family":"Wiencke","given":"John K."},{"family":"Duijts","given":"Liesbeth"},{"family":"Moll","given":"Henriëtte A."},{"family":"Kelsey","given":"Karl T."},{"family":"Kobor","given":"Michael S."},{"family":"Lyle","given":"Robert"},{"family":"Christensen","given":"Brock C."},{"family":"Felix","given":"Janine F."},{"family":"Jones","given":"Meaghan J."}],"issued":{"date-parts":[["2019",8,27]]}}}],"schema":"https://github.com/citation-style-language/schema/raw/master/csl-citation.json"} </w:instrText>
      </w:r>
      <w:r w:rsidR="002A7DB6"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13</w:t>
      </w:r>
      <w:r w:rsidR="002A7DB6"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Full analysis scripts and documentation will be made </w:t>
      </w:r>
      <w:r w:rsidR="00B25863" w:rsidRPr="005B3F3B">
        <w:rPr>
          <w:rFonts w:ascii="Times New Roman" w:eastAsia="Times New Roman" w:hAnsi="Times New Roman" w:cs="Times New Roman"/>
        </w:rPr>
        <w:t xml:space="preserve">publicly </w:t>
      </w:r>
      <w:r w:rsidRPr="005B3F3B">
        <w:rPr>
          <w:rFonts w:ascii="Times New Roman" w:eastAsia="Times New Roman" w:hAnsi="Times New Roman" w:cs="Times New Roman"/>
        </w:rPr>
        <w:t xml:space="preserve">available upon publication at: </w:t>
      </w:r>
      <w:hyperlink r:id="rId12">
        <w:r w:rsidR="00761DC3" w:rsidRPr="005B3F3B">
          <w:rPr>
            <w:rFonts w:ascii="Times New Roman" w:eastAsia="Times New Roman" w:hAnsi="Times New Roman" w:cs="Times New Roman"/>
            <w:color w:val="467886"/>
            <w:u w:val="single"/>
          </w:rPr>
          <w:t>https://github.com/XinyangYu918/Meta-analysis-of-cortical-EWAS</w:t>
        </w:r>
      </w:hyperlink>
      <w:r w:rsidRPr="005B3F3B">
        <w:rPr>
          <w:rFonts w:ascii="Times New Roman" w:eastAsia="Times New Roman" w:hAnsi="Times New Roman" w:cs="Times New Roman"/>
        </w:rPr>
        <w:t>.</w:t>
      </w:r>
    </w:p>
    <w:p w14:paraId="00000026"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27" w14:textId="5CEA5997" w:rsidR="00761DC3" w:rsidRPr="005B3F3B" w:rsidRDefault="00C94494" w:rsidP="005B3F3B">
      <w:pPr>
        <w:pStyle w:val="Heading2"/>
        <w:spacing w:line="360" w:lineRule="auto"/>
        <w:jc w:val="both"/>
      </w:pPr>
      <w:bookmarkStart w:id="5" w:name="_Toc224509808"/>
      <w:r w:rsidRPr="005B3F3B">
        <w:t>Reliability checks for all CT- and SA-associated CpGs</w:t>
      </w:r>
      <w:bookmarkEnd w:id="5"/>
      <w:r w:rsidRPr="005B3F3B">
        <w:t xml:space="preserve"> </w:t>
      </w:r>
    </w:p>
    <w:p w14:paraId="61A28BFE" w14:textId="01C4C090" w:rsidR="00204703" w:rsidRPr="005B3F3B" w:rsidRDefault="00A71D1F"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R</w:t>
      </w:r>
      <w:r w:rsidR="00204703" w:rsidRPr="005B3F3B">
        <w:rPr>
          <w:rFonts w:ascii="Times New Roman" w:eastAsia="Times New Roman" w:hAnsi="Times New Roman" w:cs="Times New Roman"/>
        </w:rPr>
        <w:t xml:space="preserve">eliability of </w:t>
      </w:r>
      <w:r w:rsidRPr="005B3F3B">
        <w:rPr>
          <w:rFonts w:ascii="Times New Roman" w:eastAsia="Times New Roman" w:hAnsi="Times New Roman" w:cs="Times New Roman"/>
        </w:rPr>
        <w:t xml:space="preserve">FDR-significant </w:t>
      </w:r>
      <w:r w:rsidR="00CA3CAB" w:rsidRPr="005B3F3B">
        <w:rPr>
          <w:rFonts w:ascii="Times New Roman" w:eastAsia="Times New Roman" w:hAnsi="Times New Roman" w:cs="Times New Roman"/>
        </w:rPr>
        <w:t>CT-</w:t>
      </w:r>
      <w:r w:rsidR="00204703" w:rsidRPr="005B3F3B">
        <w:rPr>
          <w:rFonts w:ascii="Times New Roman" w:eastAsia="Times New Roman" w:hAnsi="Times New Roman" w:cs="Times New Roman"/>
        </w:rPr>
        <w:t xml:space="preserve"> and </w:t>
      </w:r>
      <w:r w:rsidR="00CA3CAB" w:rsidRPr="005B3F3B">
        <w:rPr>
          <w:rFonts w:ascii="Times New Roman" w:eastAsia="Times New Roman" w:hAnsi="Times New Roman" w:cs="Times New Roman"/>
        </w:rPr>
        <w:t>SA-</w:t>
      </w:r>
      <w:r w:rsidR="00204703" w:rsidRPr="005B3F3B">
        <w:rPr>
          <w:rFonts w:ascii="Times New Roman" w:eastAsia="Times New Roman" w:hAnsi="Times New Roman" w:cs="Times New Roman"/>
        </w:rPr>
        <w:t xml:space="preserve">associated CpGs </w:t>
      </w:r>
      <w:r w:rsidRPr="005B3F3B">
        <w:rPr>
          <w:rFonts w:ascii="Times New Roman" w:eastAsia="Times New Roman" w:hAnsi="Times New Roman" w:cs="Times New Roman"/>
        </w:rPr>
        <w:t xml:space="preserve">was </w:t>
      </w:r>
      <w:r w:rsidR="00B8782D" w:rsidRPr="005B3F3B">
        <w:rPr>
          <w:rFonts w:ascii="Times New Roman" w:eastAsia="Times New Roman" w:hAnsi="Times New Roman" w:cs="Times New Roman"/>
        </w:rPr>
        <w:t>assessed using published cross-platform intraclass correlation coefficients (ICCs) for probes shared between the Illumina 450K and EPIC arrays</w:t>
      </w:r>
      <w:r w:rsidR="002A7DB6"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{"citationID":"6tl46hGz","properties":{"formattedCitation":"\\super 14\\nosupersub{}","plainCitation":"14","noteIndex":0},"citationItems":[{"id":6485,"uris":["http://zotero.org/users/6242458/items/TBWUNKP5"],"itemData":{"id":6485,"type":"article-journal","abstract":"DNA methylation plays an important role in both normal human development and risk of disease. The most utilized method of assessing DNA methylation uses BeadChips, generating an epigenome-wide “snapshot” of &gt;450,000 observations (probe measurements) per assay. However, the reliability of each of these measurements is not equal, and little consideration is paid to consequences for research. We correlated repeat measurements of the same DNA samples using the Illumina HumanMethylation450K and the Infinium MethylationEPIC BeadChips in 350 blood DNA samples. Probes that were reliably measured were more heritable and showed consistent associations with environmental exposures, gene expression, and greater cross-tissue concordance. Unreliable probes were less replicable and generated an unknown volume of false negatives. This serves as a lesson for working with DNA methylation data, but the lessons are equally applicable to working with other data: as we advance toward generating increasingly greater volumes of data, failure to document reliability risks harming reproducibility., , •Measurements of DNA methylation made using BeadChip probes are differentially reliable•Unreliable probes were less heritable, less replicable, and less functionally relevant•This has serious implications for reporting and evaluating DNA methylation findings•Reliability joins replicability and reproducibility to make three fundamental Rs of STEM, Although DNA methylation data are used widely by researchers in many fields, the reliability of these data are surprisingly variable. Our findings remind us that, in an age of increasingly big data, research is only as robust as its foundations. We hope that our findings will improve the integrity of DNA methylation studies. We also hope that our findings serve as a cautionary reminder for those generating and implementing big data of any type: reliability is a fundamental aspect of replicability. Conducting analysis with reliable data will improve chances of replicable findings, which might lead to more actionable targets for further research. To the extent that reliable data improve replicability, the knock-on effect will be more public confidence in research and less effort spent trying to replicate findings that are bound to fail., DNA methylation is an important mechanism of gene regulation. The most popular method to measure methylation is to use BeadChips that contain probes to index hundreds of thousands of methylation sites at once. However, these probes are not equally reliable. In blood DNA, unreliable probes were less heritable and less likely to index gene expression, and associations were less replicable. This has serious downstream consequences for reproducible science and should serve as a caution for all data scientists regardless of discipline.","container-title":"Patterns","DOI":"10.1016/j.patter.2020.100014","ISSN":"2666-3899","issue":"2","journalAbbreviation":"Patterns (N Y)","page":"100014","PMID":"32885222","PMCID":"PMC7467214","source":"PubMed Central","title":"Patterns of Reliability: Assessing the Reproducibility and Integrity of DNA Methylation Measurement","title-short":"Patterns of Reliability","volume":"1","author":[{"family":"Sugden","given":"Karen"},{"family":"Hannon","given":"Eilis J."},{"family":"Arseneault","given":"Louise"},{"family":"Belsky","given":"Daniel W."},{"family":"Corcoran","given":"David L."},{"family":"Fisher","given":"Helen L."},{"family":"Houts","given":"Renate M."},{"family":"Kandaswamy","given":"Radhika"},{"family":"Moffitt","given":"Terrie E."},{"family":"Poulton","given":"Richie"},{"family":"Prinz","given":"Joseph A."},{"family":"Rasmussen","given":"Line J.H."},{"family":"Williams","given":"Benjamin S."},{"family":"Wong","given":"Chloe C.Y."},{"family":"Mill","given":"Jonathan"},{"family":"Caspi","given":"Avshalom"}],"issued":{"date-parts":[["2020",4,23]]}}}],"schema":"https://github.com/citation-style-language/schema/raw/master/csl-citation.json"} </w:instrText>
      </w:r>
      <w:r w:rsidR="002A7DB6"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14</w:t>
      </w:r>
      <w:r w:rsidR="002A7DB6" w:rsidRPr="005B3F3B">
        <w:rPr>
          <w:rFonts w:ascii="Times New Roman" w:eastAsia="Times New Roman" w:hAnsi="Times New Roman" w:cs="Times New Roman"/>
        </w:rPr>
        <w:fldChar w:fldCharType="end"/>
      </w:r>
      <w:r w:rsidR="00C94494" w:rsidRPr="005B3F3B">
        <w:rPr>
          <w:rFonts w:ascii="Times New Roman" w:eastAsia="Times New Roman" w:hAnsi="Times New Roman" w:cs="Times New Roman"/>
        </w:rPr>
        <w:t xml:space="preserve">, </w:t>
      </w:r>
      <w:r w:rsidR="00B8782D" w:rsidRPr="005B3F3B">
        <w:rPr>
          <w:rFonts w:ascii="Times New Roman" w:eastAsia="Times New Roman" w:hAnsi="Times New Roman" w:cs="Times New Roman"/>
        </w:rPr>
        <w:t xml:space="preserve">indicating predominantly good-to-excellent reproducibility (14/15 CpGs ICC ≥ 0.40), with one low-reliability CpG interpreted cautiously in downstream analyses </w:t>
      </w:r>
      <w:r w:rsidR="00204703" w:rsidRPr="005B3F3B">
        <w:rPr>
          <w:rFonts w:ascii="Times New Roman" w:eastAsia="Times New Roman" w:hAnsi="Times New Roman" w:cs="Times New Roman"/>
        </w:rPr>
        <w:t>(</w:t>
      </w:r>
      <w:r w:rsidR="00204703" w:rsidRPr="005B3F3B">
        <w:rPr>
          <w:rFonts w:ascii="Times New Roman" w:eastAsia="Times New Roman" w:hAnsi="Times New Roman" w:cs="Times New Roman"/>
          <w:b/>
          <w:bCs/>
        </w:rPr>
        <w:t>Table S4</w:t>
      </w:r>
      <w:r w:rsidR="00C94494" w:rsidRPr="005B3F3B">
        <w:rPr>
          <w:rFonts w:ascii="Times New Roman" w:eastAsia="Times New Roman" w:hAnsi="Times New Roman" w:cs="Times New Roman"/>
        </w:rPr>
        <w:t xml:space="preserve">). </w:t>
      </w:r>
    </w:p>
    <w:p w14:paraId="76F63478" w14:textId="77777777" w:rsidR="00CA3CAB" w:rsidRPr="005B3F3B" w:rsidRDefault="00CA3CAB" w:rsidP="005B3F3B">
      <w:pPr>
        <w:spacing w:line="360" w:lineRule="auto"/>
        <w:ind w:left="0"/>
        <w:jc w:val="both"/>
        <w:rPr>
          <w:rFonts w:ascii="Times New Roman" w:hAnsi="Times New Roman" w:cs="Times New Roman"/>
        </w:rPr>
      </w:pPr>
    </w:p>
    <w:p w14:paraId="0000002A" w14:textId="77777777" w:rsidR="00761DC3" w:rsidRPr="005B3F3B" w:rsidRDefault="00C94494" w:rsidP="005B3F3B">
      <w:pPr>
        <w:pStyle w:val="Heading2"/>
        <w:spacing w:line="360" w:lineRule="auto"/>
        <w:jc w:val="both"/>
      </w:pPr>
      <w:bookmarkStart w:id="6" w:name="_Toc224509809"/>
      <w:r w:rsidRPr="005B3F3B">
        <w:lastRenderedPageBreak/>
        <w:t>Measures included in the Phenome-wide association studies (</w:t>
      </w:r>
      <w:proofErr w:type="spellStart"/>
      <w:r w:rsidRPr="005B3F3B">
        <w:t>PheWAS</w:t>
      </w:r>
      <w:proofErr w:type="spellEnd"/>
      <w:r w:rsidRPr="005B3F3B">
        <w:t>)</w:t>
      </w:r>
      <w:bookmarkEnd w:id="6"/>
    </w:p>
    <w:p w14:paraId="0000002B" w14:textId="376E85F3"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Phenome-wide association analyses (</w:t>
      </w:r>
      <w:proofErr w:type="spellStart"/>
      <w:r w:rsidRPr="005B3F3B">
        <w:rPr>
          <w:rFonts w:ascii="Times New Roman" w:eastAsia="Times New Roman" w:hAnsi="Times New Roman" w:cs="Times New Roman"/>
        </w:rPr>
        <w:t>PheWAS</w:t>
      </w:r>
      <w:proofErr w:type="spellEnd"/>
      <w:r w:rsidRPr="005B3F3B">
        <w:rPr>
          <w:rFonts w:ascii="Times New Roman" w:eastAsia="Times New Roman" w:hAnsi="Times New Roman" w:cs="Times New Roman"/>
        </w:rPr>
        <w:t>) were conducted in the IMAGEN cohort (</w:t>
      </w:r>
      <w:r w:rsidRPr="005B3F3B">
        <w:rPr>
          <w:rFonts w:ascii="Times New Roman" w:eastAsia="Times New Roman" w:hAnsi="Times New Roman" w:cs="Times New Roman"/>
          <w:i/>
        </w:rPr>
        <w:t>N</w:t>
      </w:r>
      <w:r w:rsidRPr="005B3F3B">
        <w:rPr>
          <w:rFonts w:ascii="Times New Roman" w:eastAsia="Times New Roman" w:hAnsi="Times New Roman" w:cs="Times New Roman"/>
        </w:rPr>
        <w:t xml:space="preserve"> = 1,191; mean age = 19.02 ± 0.73 years) to </w:t>
      </w:r>
      <w:r w:rsidR="005A1CBD" w:rsidRPr="005B3F3B">
        <w:rPr>
          <w:rFonts w:ascii="Times New Roman" w:eastAsia="Times New Roman" w:hAnsi="Times New Roman" w:cs="Times New Roman"/>
        </w:rPr>
        <w:t xml:space="preserve">examine </w:t>
      </w:r>
      <w:r w:rsidRPr="005B3F3B">
        <w:rPr>
          <w:rFonts w:ascii="Times New Roman" w:eastAsia="Times New Roman" w:hAnsi="Times New Roman" w:cs="Times New Roman"/>
        </w:rPr>
        <w:t>associations between CpG</w:t>
      </w:r>
      <w:r w:rsidR="005A1CBD" w:rsidRPr="005B3F3B">
        <w:rPr>
          <w:rFonts w:ascii="Times New Roman" w:eastAsia="Times New Roman" w:hAnsi="Times New Roman" w:cs="Times New Roman"/>
        </w:rPr>
        <w:t>s</w:t>
      </w:r>
      <w:r w:rsidRPr="005B3F3B">
        <w:rPr>
          <w:rFonts w:ascii="Times New Roman" w:eastAsia="Times New Roman" w:hAnsi="Times New Roman" w:cs="Times New Roman"/>
        </w:rPr>
        <w:t xml:space="preserve"> identified in the discovery EWAS of cortical morphology and a broad range of </w:t>
      </w:r>
      <w:r w:rsidR="005A1CBD" w:rsidRPr="005B3F3B">
        <w:rPr>
          <w:rFonts w:ascii="Times New Roman" w:hAnsi="Times New Roman" w:cs="Times New Roman"/>
        </w:rPr>
        <w:t>behavioural, clinical, cognitive, and environmental phenotypes</w:t>
      </w:r>
      <w:r w:rsidRPr="005B3F3B">
        <w:rPr>
          <w:rFonts w:ascii="Times New Roman" w:eastAsia="Times New Roman" w:hAnsi="Times New Roman" w:cs="Times New Roman"/>
        </w:rPr>
        <w:t>. IMAGEN</w:t>
      </w:r>
      <w:r w:rsidR="005A1CBD" w:rsidRPr="005B3F3B">
        <w:rPr>
          <w:rFonts w:ascii="Times New Roman" w:eastAsia="Times New Roman" w:hAnsi="Times New Roman" w:cs="Times New Roman"/>
        </w:rPr>
        <w:t xml:space="preserve"> employed a harmonised, structured assessment protocol comprising standardised self-report questionnaires, clinician-administered interviews, and behavioural tasks. </w:t>
      </w:r>
      <w:r w:rsidRPr="005B3F3B">
        <w:rPr>
          <w:rFonts w:ascii="Times New Roman" w:eastAsia="Times New Roman" w:hAnsi="Times New Roman" w:cs="Times New Roman"/>
        </w:rPr>
        <w:t xml:space="preserve">Measures were grouped into conceptually related domains, as </w:t>
      </w:r>
      <w:r w:rsidR="005A1CBD" w:rsidRPr="005B3F3B">
        <w:rPr>
          <w:rFonts w:ascii="Times New Roman" w:eastAsia="Times New Roman" w:hAnsi="Times New Roman" w:cs="Times New Roman"/>
        </w:rPr>
        <w:t xml:space="preserve">outlined </w:t>
      </w:r>
      <w:r w:rsidRPr="005B3F3B">
        <w:rPr>
          <w:rFonts w:ascii="Times New Roman" w:eastAsia="Times New Roman" w:hAnsi="Times New Roman" w:cs="Times New Roman"/>
        </w:rPr>
        <w:t>below.</w:t>
      </w:r>
    </w:p>
    <w:p w14:paraId="0000002C"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2D" w14:textId="3DCA0CCA"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Anthropometric measures</w:t>
      </w:r>
      <w:r w:rsidRPr="005B3F3B">
        <w:rPr>
          <w:rFonts w:ascii="Times New Roman" w:eastAsia="Times New Roman" w:hAnsi="Times New Roman" w:cs="Times New Roman"/>
        </w:rPr>
        <w:t xml:space="preserve">: </w:t>
      </w:r>
      <w:r w:rsidR="005A1CBD" w:rsidRPr="005B3F3B">
        <w:rPr>
          <w:rFonts w:ascii="Times New Roman" w:eastAsia="Times New Roman" w:hAnsi="Times New Roman" w:cs="Times New Roman"/>
        </w:rPr>
        <w:t>H</w:t>
      </w:r>
      <w:r w:rsidRPr="005B3F3B">
        <w:rPr>
          <w:rFonts w:ascii="Times New Roman" w:eastAsia="Times New Roman" w:hAnsi="Times New Roman" w:cs="Times New Roman"/>
        </w:rPr>
        <w:t>eight and weight</w:t>
      </w:r>
      <w:r w:rsidR="005A1CBD" w:rsidRPr="005B3F3B">
        <w:rPr>
          <w:rFonts w:ascii="Times New Roman" w:eastAsia="Times New Roman" w:hAnsi="Times New Roman" w:cs="Times New Roman"/>
        </w:rPr>
        <w:t xml:space="preserve"> were measured during clinical assessments using standardised protocols.</w:t>
      </w:r>
      <w:r w:rsidRPr="005B3F3B">
        <w:rPr>
          <w:rFonts w:ascii="Times New Roman" w:eastAsia="Times New Roman" w:hAnsi="Times New Roman" w:cs="Times New Roman"/>
        </w:rPr>
        <w:t xml:space="preserve"> </w:t>
      </w:r>
      <w:r w:rsidR="005A1CBD" w:rsidRPr="005B3F3B">
        <w:rPr>
          <w:rFonts w:ascii="Times New Roman" w:eastAsia="Times New Roman" w:hAnsi="Times New Roman" w:cs="Times New Roman"/>
        </w:rPr>
        <w:t>B</w:t>
      </w:r>
      <w:r w:rsidRPr="005B3F3B">
        <w:rPr>
          <w:rFonts w:ascii="Times New Roman" w:eastAsia="Times New Roman" w:hAnsi="Times New Roman" w:cs="Times New Roman"/>
        </w:rPr>
        <w:t xml:space="preserve">ody mass index (BMI) was calculated as weight </w:t>
      </w:r>
      <w:r w:rsidR="005A1CBD" w:rsidRPr="005B3F3B">
        <w:rPr>
          <w:rFonts w:ascii="Times New Roman" w:eastAsia="Times New Roman" w:hAnsi="Times New Roman" w:cs="Times New Roman"/>
        </w:rPr>
        <w:t>(</w:t>
      </w:r>
      <w:r w:rsidRPr="005B3F3B">
        <w:rPr>
          <w:rFonts w:ascii="Times New Roman" w:eastAsia="Times New Roman" w:hAnsi="Times New Roman" w:cs="Times New Roman"/>
        </w:rPr>
        <w:t>kg</w:t>
      </w:r>
      <w:r w:rsidR="005A1CBD" w:rsidRPr="005B3F3B">
        <w:rPr>
          <w:rFonts w:ascii="Times New Roman" w:eastAsia="Times New Roman" w:hAnsi="Times New Roman" w:cs="Times New Roman"/>
        </w:rPr>
        <w:t>)</w:t>
      </w:r>
      <w:r w:rsidRPr="005B3F3B">
        <w:rPr>
          <w:rFonts w:ascii="Times New Roman" w:eastAsia="Times New Roman" w:hAnsi="Times New Roman" w:cs="Times New Roman"/>
        </w:rPr>
        <w:t xml:space="preserve"> divided by height squared (m</w:t>
      </w:r>
      <w:r w:rsidR="00CA3CAB" w:rsidRPr="005B3F3B">
        <w:rPr>
          <w:rFonts w:ascii="Times New Roman" w:eastAsia="Times New Roman" w:hAnsi="Times New Roman" w:cs="Times New Roman"/>
          <w:vertAlign w:val="superscript"/>
        </w:rPr>
        <w:t>2</w:t>
      </w:r>
      <w:r w:rsidRPr="005B3F3B">
        <w:rPr>
          <w:rFonts w:ascii="Times New Roman" w:eastAsia="Times New Roman" w:hAnsi="Times New Roman" w:cs="Times New Roman"/>
        </w:rPr>
        <w:t xml:space="preserve">). </w:t>
      </w:r>
    </w:p>
    <w:p w14:paraId="0000002E"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2F" w14:textId="3C6D71F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Cognitive performance</w:t>
      </w:r>
      <w:r w:rsidRPr="005B3F3B">
        <w:rPr>
          <w:rFonts w:ascii="Times New Roman" w:eastAsia="Times New Roman" w:hAnsi="Times New Roman" w:cs="Times New Roman"/>
        </w:rPr>
        <w:t>: cognitive function was assessed using selected tasks from the Cambridge Neuropsychological Test Automated Battery (CANTAB), includ</w:t>
      </w:r>
      <w:r w:rsidR="005A1CBD" w:rsidRPr="005B3F3B">
        <w:rPr>
          <w:rFonts w:ascii="Times New Roman" w:eastAsia="Times New Roman" w:hAnsi="Times New Roman" w:cs="Times New Roman"/>
        </w:rPr>
        <w:t>ing</w:t>
      </w:r>
      <w:r w:rsidRPr="005B3F3B">
        <w:rPr>
          <w:rFonts w:ascii="Times New Roman" w:eastAsia="Times New Roman" w:hAnsi="Times New Roman" w:cs="Times New Roman"/>
        </w:rPr>
        <w:t xml:space="preserve"> the Affective Go/No-Go (AGN), Cambridge Gambling Task (CGT), Spatial Working Memory (SWM), and Rapid Visual Processing (RVP). Outcome </w:t>
      </w:r>
      <w:r w:rsidR="005A1CBD" w:rsidRPr="005B3F3B">
        <w:rPr>
          <w:rFonts w:ascii="Times New Roman" w:eastAsia="Times New Roman" w:hAnsi="Times New Roman" w:cs="Times New Roman"/>
        </w:rPr>
        <w:t>included</w:t>
      </w:r>
      <w:r w:rsidRPr="005B3F3B">
        <w:rPr>
          <w:rFonts w:ascii="Times New Roman" w:eastAsia="Times New Roman" w:hAnsi="Times New Roman" w:cs="Times New Roman"/>
        </w:rPr>
        <w:t xml:space="preserve"> latency, response bias, decision quality, risk adjustment, impulsivity, and strategy use.</w:t>
      </w:r>
    </w:p>
    <w:p w14:paraId="00000030"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1" w14:textId="1439C0AD"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Eating behaviours</w:t>
      </w:r>
      <w:r w:rsidRPr="005B3F3B">
        <w:rPr>
          <w:rFonts w:ascii="Times New Roman" w:eastAsia="Times New Roman" w:hAnsi="Times New Roman" w:cs="Times New Roman"/>
        </w:rPr>
        <w:t xml:space="preserve">: eating behaviours were evaluated using </w:t>
      </w:r>
      <w:r w:rsidR="005A1CBD" w:rsidRPr="005B3F3B">
        <w:rPr>
          <w:rFonts w:ascii="Times New Roman" w:eastAsia="Times New Roman" w:hAnsi="Times New Roman" w:cs="Times New Roman"/>
        </w:rPr>
        <w:t>t</w:t>
      </w:r>
      <w:r w:rsidRPr="005B3F3B">
        <w:rPr>
          <w:rFonts w:ascii="Times New Roman" w:eastAsia="Times New Roman" w:hAnsi="Times New Roman" w:cs="Times New Roman"/>
        </w:rPr>
        <w:t>he Eating Disorder Examination Questionnaire (EDE-Q)</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{"citationID":"riihy708","properties":{"formattedCitation":"\\super 15\\nosupersub{}","plainCitation":"15","noteIndex":0},"citationItems":[{"id":6096,"uris":["http://zotero.org/users/6242458/items/KLU6CYQ2"],"itemData":{"id":6096,"type":"article-journal","abstract":"A detailed comparison was made of two methods for assessing the features of eating disorders. An investigator-based interview was compared with a self-report questionnaire based directly on that interview. A number of important discrepancies emerged. Although the two measures performed similarly with respect to the assessment of unambiguous behavioral features such as self-induced vomiting and dieting, the self-report questionnaire generated higher scores than the interview when assessing more complex features such as binge eating and concerns about shape. Both methods underestimated body weight.","container-title":"The International Journal of Eating Disorders","ISSN":"0276-3478","issue":"4","journalAbbreviation":"Int J Eat Disord","language":"eng","page":"363-370","PMID":"7866415","source":"PubMed","title":"Assessment of eating disorders: interview or self-report questionnaire?","title-short":"Assessment of eating disorders","volume":"16","author":[{"family":"Fairburn","given":"C. G."},{"family":"Beglin","given":"S. J."}],"issued":{"date-parts":[["1994",12]]}}}],"schema":"https://github.com/citation-style-language/schema/raw/master/csl-citation.json"}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15</w:t>
      </w:r>
      <w:r w:rsidR="00CA3CAB" w:rsidRPr="005B3F3B">
        <w:rPr>
          <w:rFonts w:ascii="Times New Roman" w:eastAsia="Times New Roman" w:hAnsi="Times New Roman" w:cs="Times New Roman"/>
        </w:rPr>
        <w:fldChar w:fldCharType="end"/>
      </w:r>
      <w:r w:rsidR="005A1CBD" w:rsidRPr="005B3F3B">
        <w:rPr>
          <w:rFonts w:ascii="Times New Roman" w:eastAsia="Times New Roman" w:hAnsi="Times New Roman" w:cs="Times New Roman"/>
        </w:rPr>
        <w:t xml:space="preserve">, assessing disordered </w:t>
      </w:r>
      <w:r w:rsidRPr="005B3F3B">
        <w:rPr>
          <w:rFonts w:ascii="Times New Roman" w:eastAsia="Times New Roman" w:hAnsi="Times New Roman" w:cs="Times New Roman"/>
        </w:rPr>
        <w:t xml:space="preserve">eating behaviours </w:t>
      </w:r>
      <w:r w:rsidR="005A1CBD" w:rsidRPr="005B3F3B">
        <w:rPr>
          <w:rFonts w:ascii="Times New Roman" w:eastAsia="Times New Roman" w:hAnsi="Times New Roman" w:cs="Times New Roman"/>
        </w:rPr>
        <w:t>and related attitudes, and t</w:t>
      </w:r>
      <w:r w:rsidRPr="005B3F3B">
        <w:rPr>
          <w:rFonts w:ascii="Times New Roman" w:eastAsia="Times New Roman" w:hAnsi="Times New Roman" w:cs="Times New Roman"/>
        </w:rPr>
        <w:t>he Three-Factor Eating Questionnaire (TFEQ)</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{"citationID":"sErnSbBI","properties":{"formattedCitation":"\\super 16,17\\nosupersub{}","plainCitation":"16,17","noteIndex":0},"citationItems":[{"id":3172,"uris":["http://zotero.org/users/6242458/items/3IVVALMK"],"itemData":{"id":3172,"type":"article-journal","abstract":"OBJECTIVE: To evaluate the construct validity of the Three-Factor Eating Questionnaire (TFEQ) in obese men and women.","container-title":"International Journal of Obesity","DOI":"10.1038/sj.ijo.0801442","ISSN":"1476-5497","issue":"12","journalAbbreviation":"Int J Obes","language":"en","page":"1715-1725","source":"www.nature.com","title":"Psychometric properties and factor structure of the Three-Factor Eating Questionnaire (TFEQ) in obese men and women. Results from the Swedish Obese Subjects (SOS) study","volume":"24","author":[{"family":"Karlsson","given":"J."},{"family":"Persson","given":"L.-O."},{"family":"Sjöström","given":"L."},{"family":"Sullivan","given":"M."}],"issued":{"date-parts":[["2000",12]]}}},{"id":3028,"uris":["http://zotero.org/users/6242458/items/LUQKFKX5"],"itemData":{"id":3028,"type":"article-journal","abstract":"The aim of the study was to examine the construct validity of the Three-Factor Eating Questionnaire -R18 (TFEQ-R18), a measure of eating behaviour, and to evaluate cognitive restraint, uncontrolled eating and emotional eating in a sample of adolescent and young adult females of different weights.","container-title":"International Journal of Behavioral Nutrition and Physical Activity","DOI":"10.1186/1479-5868-6-41","ISSN":"1479-5868","issue":"1","journalAbbreviation":"International Journal of Behavioral Nutrition and Physical Activity","page":"41","source":"BioMed Central","title":"Three factor eating questionnaire-R18 as a measure of cognitive restraint, uncontrolled eating and emotional eating in a sample of young Finnish females","volume":"6","author":[{"family":"Anglé","given":"Susanna"},{"family":"Engblom","given":"Janne"},{"family":"Eriksson","given":"Tiina"},{"family":"Kautiainen","given":"Susanna"},{"family":"Saha","given":"Marja-Terttu"},{"family":"Lindfors","given":"Pirjo"},{"family":"Lehtinen","given":"Matti"},{"family":"Rimpelä","given":"Arja"}],"issued":{"date-parts":[["2009",7,17]]}}}],"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16,17</w:t>
      </w:r>
      <w:r w:rsidR="00CA3CAB" w:rsidRPr="005B3F3B">
        <w:rPr>
          <w:rFonts w:ascii="Times New Roman" w:eastAsia="Times New Roman" w:hAnsi="Times New Roman" w:cs="Times New Roman"/>
        </w:rPr>
        <w:fldChar w:fldCharType="end"/>
      </w:r>
      <w:r w:rsidR="005A1CBD" w:rsidRPr="005B3F3B">
        <w:rPr>
          <w:rFonts w:ascii="Times New Roman" w:eastAsia="Times New Roman" w:hAnsi="Times New Roman" w:cs="Times New Roman"/>
        </w:rPr>
        <w:t>, measuring</w:t>
      </w:r>
      <w:r w:rsidRPr="005B3F3B">
        <w:rPr>
          <w:rFonts w:ascii="Times New Roman" w:eastAsia="Times New Roman" w:hAnsi="Times New Roman" w:cs="Times New Roman"/>
        </w:rPr>
        <w:t xml:space="preserve"> cognitive restraint, uncontrolled eating, and emotional eating.</w:t>
      </w:r>
    </w:p>
    <w:p w14:paraId="00000032"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3" w14:textId="7011EF95"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Environmental and life stressors</w:t>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Childhood adversity was assessed</w:t>
      </w:r>
      <w:r w:rsidRPr="005B3F3B">
        <w:rPr>
          <w:rFonts w:ascii="Times New Roman" w:eastAsia="Times New Roman" w:hAnsi="Times New Roman" w:cs="Times New Roman"/>
        </w:rPr>
        <w:t xml:space="preserve"> using the Childhood Trauma Questionnaire (CTQ)</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{"citationID":"wythE8y5","properties":{"formattedCitation":"\\super 18\\nosupersub{}","plainCitation":"18","noteIndex":0},"citationItems":[{"id":6098,"uris":["http://zotero.org/users/6242458/items/6BFIFZYH"],"itemData":{"id":6098,"type":"article-journal","abstract":"OBJECTIVE: To present initial findings on the validity of a recently developed maltreatment inventory, the Childhood Trauma Questionnaire (CTQ), in a sample of adolescent psychiatric patients.\nMETHOD: Three hundred ninety-eight male and female adolescents (aged 12 to 17 years) admitted to the inpatient service of a private psychiatric hospital were given the CTQ as part of a larger test battery. Structured interviews were also conducted with the primary therapists of 190 of the patients to obtain ratings of abuse and neglect based on all available data, including clinical interviews with patients and their relatives and information from referring clinicians and agencies.\nRESULTS: Principal-components analysis of the CTQ items yielded five rotated factors-emotional abuse, emotional neglect, sexual abuse, physical abuse, and physical neglect-closely replicating the factor structure in an earlier study of adult patients. The internal consistency of the CTQ factors was extremely high both in the entire sample and in every subgroup examined. When CTQ factor scores were compared with therapists' ratings in a series of logistic regression analyses, relationships between the two sets of variables were highly specific, supporting the convergent and discriminant validity of the CTQ. Finally, when therapists' ratings were used as the validity criterion, the CTQ exhibited good sensitivity for all forms of maltreatment, and satisfactory or better levels of specificity.\nCONCLUSIONS: These initial findings suggest that the CTQ is a sensitive and valid screening questionnaire for childhood trauma in an adolescent psychiatric inpatient setting.","container-title":"Journal of the American Academy of Child and Adolescent Psychiatry","DOI":"10.1097/00004583-199703000-00012","ISSN":"0890-8567","issue":"3","journalAbbreviation":"J Am Acad Child Adolesc Psychiatry","language":"eng","page":"340-348","PMID":"9055514","source":"PubMed","title":"Validity of the Childhood Trauma Questionnaire in an adolescent psychiatric population","volume":"36","author":[{"family":"Bernstein","given":"D. P."},{"family":"Ahluvalia","given":"T."},{"family":"Pogge","given":"D."},{"family":"Handelsman","given":"L."}],"issued":{"date-parts":[["1997",3]]}}}],"schema":"https://github.com/citation-style-language/schema/raw/master/csl-citation.json"}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18</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capturing</w:t>
      </w:r>
      <w:r w:rsidRPr="005B3F3B">
        <w:rPr>
          <w:rFonts w:ascii="Times New Roman" w:eastAsia="Times New Roman" w:hAnsi="Times New Roman" w:cs="Times New Roman"/>
        </w:rPr>
        <w:t xml:space="preserve"> emotional abuse, physical abuse, sexual abuse, emotional neglect, and physical neglect. </w:t>
      </w:r>
      <w:r w:rsidR="003638ED" w:rsidRPr="005B3F3B">
        <w:rPr>
          <w:rFonts w:ascii="Times New Roman" w:hAnsi="Times New Roman" w:cs="Times New Roman"/>
        </w:rPr>
        <w:t xml:space="preserve">Stressful life events were measured using </w:t>
      </w:r>
      <w:r w:rsidRPr="005B3F3B">
        <w:rPr>
          <w:rFonts w:ascii="Times New Roman" w:eastAsia="Times New Roman" w:hAnsi="Times New Roman" w:cs="Times New Roman"/>
        </w:rPr>
        <w:t>the Life Events Questionnaire (LEQ), adapted from the Stressful Life Event Questionnaire</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{"citationID":"YAr4EkTe","properties":{"formattedCitation":"\\super 19\\nosupersub{}","plainCitation":"19","noteIndex":0},"citationItems":[{"id":4021,"uris":["http://zotero.org/users/6242458/items/SE94RN3J"],"itemData":{"id":4021,"type":"article-journal","abstract":"Administered a 39-item life-event questionnaire to 1,018 adolescents (10th–12th graders), who indicated the perceived desirability of each event and whether the event had actually happened to them either during the past year or more than 1 yr earlier. A multidimensional scaling revealed 7 interpretable dimensions of stress: Family/Parents, Accident/Illness, Sexuality, Autonomy, Deviance, Relocation, and Distress. Each dimension was scored for desirability, and occurrence was summed using unit weighting. Sex, race, and grade-level differences were evaluated for each item and scale score. The scales calculated for the 2 different time periods revealed that stress was correlated over time only for corresponding areas. The stress scales were related to measures of health and psychological functioning through canonical and product-moment correlation analyses; distinct patterns of association were revealed. Alternative methods of scoring life events are evaluated. (44 ref) (PsycINFO Database Record (c) 2016 APA, all rights reserved)","container-title":"Journal of Health and Social Behavior","DOI":"10.2307/2136681","ISSN":"2150-6000","note":"publisher-place: US","page":"400-415","publisher":"American Sociological Assn","source":"APA PsycNet","title":"A multidimensional assessment of stressful life events among adolescents: Derivation and correlates","title-short":"A multidimensional assessment of stressful life events among adolescents","volume":"22","author":[{"family":"Newcomb","given":"Michael D."},{"family":"Huba","given":"George J."},{"family":"Bentler","given":"Peter M."}],"issued":{"date-parts":[["1981"]]}}}],"schema":"https://github.com/citation-style-language/schema/raw/master/csl-citation.json"}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19</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covering</w:t>
      </w:r>
      <w:r w:rsidRPr="005B3F3B">
        <w:rPr>
          <w:rFonts w:ascii="Times New Roman" w:eastAsia="Times New Roman" w:hAnsi="Times New Roman" w:cs="Times New Roman"/>
        </w:rPr>
        <w:t xml:space="preserve"> domains such as family conflict, accidents, deviant behaviour, emotional distress, relocation, and </w:t>
      </w:r>
      <w:r w:rsidR="003638ED" w:rsidRPr="005B3F3B">
        <w:rPr>
          <w:rFonts w:ascii="Times New Roman" w:eastAsia="Times New Roman" w:hAnsi="Times New Roman" w:cs="Times New Roman"/>
        </w:rPr>
        <w:t>sexuality-</w:t>
      </w:r>
      <w:r w:rsidRPr="005B3F3B">
        <w:rPr>
          <w:rFonts w:ascii="Times New Roman" w:eastAsia="Times New Roman" w:hAnsi="Times New Roman" w:cs="Times New Roman"/>
        </w:rPr>
        <w:t xml:space="preserve">related </w:t>
      </w:r>
      <w:r w:rsidR="003638ED" w:rsidRPr="005B3F3B">
        <w:rPr>
          <w:rFonts w:ascii="Times New Roman" w:eastAsia="Times New Roman" w:hAnsi="Times New Roman" w:cs="Times New Roman"/>
        </w:rPr>
        <w:t>events</w:t>
      </w:r>
      <w:r w:rsidRPr="005B3F3B">
        <w:rPr>
          <w:rFonts w:ascii="Times New Roman" w:eastAsia="Times New Roman" w:hAnsi="Times New Roman" w:cs="Times New Roman"/>
        </w:rPr>
        <w:t>.</w:t>
      </w:r>
    </w:p>
    <w:p w14:paraId="00000034"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5" w14:textId="52222186"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Mental health outcomes</w:t>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Psychiatric</w:t>
      </w:r>
      <w:r w:rsidRPr="005B3F3B">
        <w:rPr>
          <w:rFonts w:ascii="Times New Roman" w:eastAsia="Times New Roman" w:hAnsi="Times New Roman" w:cs="Times New Roman"/>
        </w:rPr>
        <w:t xml:space="preserve"> symptoms were </w:t>
      </w:r>
      <w:r w:rsidR="003638ED" w:rsidRPr="005B3F3B">
        <w:rPr>
          <w:rFonts w:ascii="Times New Roman" w:eastAsia="Times New Roman" w:hAnsi="Times New Roman" w:cs="Times New Roman"/>
        </w:rPr>
        <w:t xml:space="preserve">assessed </w:t>
      </w:r>
      <w:r w:rsidRPr="005B3F3B">
        <w:rPr>
          <w:rFonts w:ascii="Times New Roman" w:eastAsia="Times New Roman" w:hAnsi="Times New Roman" w:cs="Times New Roman"/>
        </w:rPr>
        <w:t xml:space="preserve">using </w:t>
      </w:r>
      <w:r w:rsidR="003638ED" w:rsidRPr="005B3F3B">
        <w:rPr>
          <w:rFonts w:ascii="Times New Roman" w:eastAsia="Times New Roman" w:hAnsi="Times New Roman" w:cs="Times New Roman"/>
        </w:rPr>
        <w:t>t</w:t>
      </w:r>
      <w:r w:rsidRPr="005B3F3B">
        <w:rPr>
          <w:rFonts w:ascii="Times New Roman" w:eastAsia="Times New Roman" w:hAnsi="Times New Roman" w:cs="Times New Roman"/>
        </w:rPr>
        <w:t>he adult self-report Development and Well-Being Assessment (DAWBA)</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{"citationID":"XG6SBFmy","properties":{"formattedCitation":"\\super 20\\nosupersub{}","plainCitation":"20","noteIndex":0},"citationItems":[{"id":4019,"uris":["http://zotero.org/users/6242458/items/UAF2YJF3"],"itemData":{"id":4019,"type":"article-journal","abstract":"The Development and Well-Being Assessment (DAWBA) is a novel package of questionnaires, interviews, and rating techniques designed to generate ICD-10 and DSM-IV psychiatric diagnoses on 5-16-year-olds. Nonclinical interviewers administer a structured interview to parents about psychiatric symptoms and resultant impact. When definite symptoms are identified by the structured questions, interviewers use open-ended questions and supplementary prompts to get parents to describe the problems in their own words. These descriptions are transcribed verbatim by the interviewers but are not rated by them. A similar interview is administered to 11-16-year-olds. Teachers complete a brief questionnaire covering the main conduct, emotional, and hyperactivity symptoms and any resultant impairment. The different sorts of information are brought together by a computer program that also predicts likely diagnoses. These computer-generated summary sheets and diagnoses form a convenient starting point for experienced clinical raters, who decide whether to accept or overturn the computer diagnosis (or lack of diagnosis) in the light of their review of all the data, including transcripts. In the present study, the DAWBA was administered to community (N = 491) and clinic (N = 39) samples. There was excellent discrimination between community and clinic samples in rates of diagnosed disorder. Within the community sample, subjects with and without diagnosed disorders differed markedly in external characteristics and prognosis. In the clinic sample, there was substantial agreement between DAWBA and case note diagnoses, though the DAWBA diagnosed more comorbid disorders. The use of screening questions and skip rules greatly reduced interview length by allowing many sections to be omitted with very little loss of positive information. Overall, the DAWBA successfully combined the cheapness and simplicity of respondent-based measures with the clinical persuasiveness of investigator-based diagnoses. The DAWBA has considerable potential as an epidemiological measure, and may prove to be of clinical value too.","container-title":"Journal of Child Psychology and Psychiatry, and Allied Disciplines","ISSN":"0021-9630","issue":"5","journalAbbreviation":"J Child Psychol Psychiatry","language":"eng","page":"645-655","PMID":"10946756","source":"PubMed","title":"The development and well-being assessment: description and initial validation of an integrated assessment of child and adolescent psychopathology","title-short":"The Development and Well-Being Assessment","volume":"41","author":[{"family":"Goodman","given":"R."},{"family":"Ford","given":"T."},{"family":"Richards","given":"H."},{"family":"Gatward","given":"R."},{"family":"Meltzer","given":"H."}],"issued":{"date-parts":[["2000",7]]}}}],"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20</w:t>
      </w:r>
      <w:r w:rsidR="00CA3CAB" w:rsidRPr="005B3F3B">
        <w:rPr>
          <w:rFonts w:ascii="Times New Roman" w:eastAsia="Times New Roman" w:hAnsi="Times New Roman" w:cs="Times New Roman"/>
        </w:rPr>
        <w:fldChar w:fldCharType="end"/>
      </w:r>
      <w:r w:rsidR="003638ED" w:rsidRPr="005B3F3B">
        <w:rPr>
          <w:rFonts w:ascii="Times New Roman" w:eastAsia="Times New Roman" w:hAnsi="Times New Roman" w:cs="Times New Roman"/>
        </w:rPr>
        <w:t>,</w:t>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t</w:t>
      </w:r>
      <w:r w:rsidRPr="005B3F3B">
        <w:rPr>
          <w:rFonts w:ascii="Times New Roman" w:eastAsia="Times New Roman" w:hAnsi="Times New Roman" w:cs="Times New Roman"/>
        </w:rPr>
        <w:t>he Strengths and Difficulties Questionnaire (SDQ)</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{"citationID":"aSFLoYwS","properties":{"formattedCitation":"\\super 21\\nosupersub{}","plainCitation":"21","noteIndex":0},"citationItems":[{"id":3016,"uris":["http://zotero.org/users/6242458/items/AQV936NS"],"itemData":{"id":3016,"type":"article-journal","abstract":"A novel behavioural screening questionnaire, the Strengths and Difficulties Questionnaire (SDQ), was administered along with Rutter questionnaires to parents and teachers of 403 children drawn from dental and psychiatric clinics. Scores derived from the SDQ and Rutter questionnaires were highly correlated; parent-teacher correlations for the two sets of measures were comparable or favoured the SDQ. The two sets of measures did not differ in their ability to discriminate between psychiatric and dental clinic attenders. These preliminary findings suggest that the SDQ functions as well as the Rutter questionnaires while offering the following additional advantages: a focus on strengths as well as difficulties; better coverage of inattention, peer relationships, and prosocial behaviour; a shorter format; and a single form suitable for both parents and teachers, perhaps thereby increasing parent-teacher correlations.","container-title":"Journal of Child Psychology and Psychiatry","DOI":"10.1111/j.1469-7610.1997.tb01545.x","ISSN":"1469-7610","issue":"5","language":"en","note":"_eprint: https://onlinelibrary.wiley.com/doi/pdf/10.1111/j.1469-7610.1997.tb01545.x","page":"581-586","source":"Wiley Online Library","title":"The Strengths and Difficulties Questionnaire: A Research Note","title-short":"The Strengths and Difficulties Questionnaire","volume":"38","author":[{"family":"Goodman","given":"Robert"}],"issued":{"date-parts":[["1997"]]}}}],"schema":"https://github.com/citation-style-language/schema/raw/master/csl-citation.json"}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21</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and</w:t>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t</w:t>
      </w:r>
      <w:r w:rsidRPr="005B3F3B">
        <w:rPr>
          <w:rFonts w:ascii="Times New Roman" w:eastAsia="Times New Roman" w:hAnsi="Times New Roman" w:cs="Times New Roman"/>
        </w:rPr>
        <w:t>he Community Assessment of Psychic Experience (CAPE-42)</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{"citationID":"RI7B8pi2","properties":{"formattedCitation":"\\super 22\\nosupersub{}","plainCitation":"22","noteIndex":0},"citationItems":[{"id":6108,"uris":["http://zotero.org/users/6242458/items/MQS6IPJJ"],"itemData":{"id":6108,"type":"article-journal","abstract":"Recent findings on intervention options in individuals at ultra-high risk (UHR) for psychosis underline the necessity of a screening tool that facilitates early detection in low-threshold, non-specialized settings. The aim of this study was to examine, whether the Community Assessment of Psychic Experience (CAPE) could be used as a screening tool to detect individuals at an increased risk for developing psychosis in a clinical, help-seeking population. The utility of the CAPE was assessed against the Comprehensive Assessment of At-Risk Mental States (CAARMS). The CAPE is a 42-item self-report questionnaire that proved to be stable, reliable and valid for self reported psychotic-like experiences in the general population. 165 individuals between 13 and 24years of age were assessed for being at UHR for developing psychosis. 50.9% individuals were CAARMS-positive and 49.1% were CAARMS-negative. The ROC-analysis provided two cut-off points: The cut-off value of 3.20 in the positive dimension showed a sensitivity of 67%, a specificity of 73%, a positive predictive value of 72% and a negative predictive value of 68%. The cut-off value of 2.80 in the positive dimension showed a higher sensitivity (83%) and a better negative predictive value (74%), but a lower specificity (49%) and a reduced positive predictive value (63%). Our results show promise that the CAPE is a valid, simple and cost-effective instrument for detecting individuals at UHR in a clinical population. It may represent a useful screening tool for calling clinicians' attention to subjects with psychotic-like experiences.","container-title":"Schizophrenia Research","DOI":"10.1016/j.schres.2012.08.008","ISSN":"1573-2509","issue":"2-3","journalAbbreviation":"Schizophr Res","language":"eng","page":"210-214","PMID":"22986044","source":"PubMed","title":"The Community Assessment of Psychic Experience (CAPE) questionnaire as a screening-instrument in the detection of individuals at ultra-high risk for psychosis","volume":"141","author":[{"family":"Mossaheb","given":"Nilufar"},{"family":"Becker","given":"Jana"},{"family":"Schaefer","given":"Miriam R."},{"family":"Klier","given":"Claudia M."},{"family":"Schloegelhofer","given":"Monika"},{"family":"Papageorgiou","given":"Konstantinos"},{"family":"Amminger","given":"G. Paul"}],"issued":{"date-parts":[["2012",11]]}}}],"schema":"https://github.com/citation-style-language/schema/raw/master/csl-citation.json"}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22</w:t>
      </w:r>
      <w:r w:rsidR="00CA3CAB" w:rsidRPr="005B3F3B">
        <w:rPr>
          <w:rFonts w:ascii="Times New Roman" w:eastAsia="Times New Roman" w:hAnsi="Times New Roman" w:cs="Times New Roman"/>
        </w:rPr>
        <w:fldChar w:fldCharType="end"/>
      </w:r>
      <w:r w:rsidR="003638ED"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lastRenderedPageBreak/>
        <w:t>Depressive symptoms and rumination</w:t>
      </w:r>
      <w:r w:rsidR="003638ED" w:rsidRPr="005B3F3B" w:rsidDel="003638ED">
        <w:rPr>
          <w:rFonts w:ascii="Times New Roman" w:eastAsia="Times New Roman" w:hAnsi="Times New Roman" w:cs="Times New Roman"/>
        </w:rPr>
        <w:t xml:space="preserve"> </w:t>
      </w:r>
      <w:r w:rsidR="003638ED" w:rsidRPr="005B3F3B">
        <w:rPr>
          <w:rFonts w:ascii="Times New Roman" w:hAnsi="Times New Roman" w:cs="Times New Roman"/>
        </w:rPr>
        <w:t>were measured using</w:t>
      </w:r>
      <w:r w:rsidR="003638ED" w:rsidRPr="005B3F3B" w:rsidDel="003638ED">
        <w:rPr>
          <w:rFonts w:ascii="Times New Roman" w:eastAsia="Times New Roman" w:hAnsi="Times New Roman" w:cs="Times New Roman"/>
        </w:rPr>
        <w:t xml:space="preserve"> </w:t>
      </w:r>
      <w:r w:rsidRPr="005B3F3B">
        <w:rPr>
          <w:rFonts w:ascii="Times New Roman" w:eastAsia="Times New Roman" w:hAnsi="Times New Roman" w:cs="Times New Roman"/>
        </w:rPr>
        <w:t>the Adolescent Depression Rating Scale (ADRS)</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{"citationID":"Be36Z6sH","properties":{"formattedCitation":"\\super 23\\nosupersub{}","plainCitation":"23","noteIndex":0},"citationItems":[{"id":6102,"uris":["http://zotero.org/users/6242458/items/G22FKBC8"],"itemData":{"id":6102,"type":"article-journal","abstract":"Background\nTo examine the psychometric properties of the Adolescent Depression Rating Scale (ADRS), a new measure was specifically designed to evaluate adolescent depression.\n\nMethods\nThe 11-item clinician-report and 44-item self-report versions of the ADRS were developed from a qualitative phase involving interviews of experts and adolescents. These two instruments were then administered to 402 French speaking adolescents with and without depressive disorders. Item distribution, internal consistency, convergent validity, discriminant validity and factorial structure were assessed.\n\nResults\nAfter reduction procedures, a 10-item clinician version and a 10-item self-report version were obtained. The ADRS demonstrated good internal consistency (alpha Cronbach coefficient &gt;.70). It also discriminated better between adolescents with and without depression than the Hamilton Depressive Rating Scale and the Beck Depression Inventory (BDI-13).\n\nConclusion\nThe ADRS is a useful, short, clinician-report and self-report scale to evaluate adolescent depression. Further studies to replicate our findings and evaluate ADRS sensitivity to effects of treatment and psychometric properties in populations of adolescents with several psychiatric disorders are warranted.","container-title":"BMC Psychiatry","DOI":"10.1186/1471-244X-7-2","ISSN":"1471-244X","journalAbbreviation":"BMC Psychiatry","page":"2","PMID":"17222346","PMCID":"PMC1785378","source":"PubMed Central","title":"The Adolescent Depression Rating Scale (ADRS): a validation study","title-short":"The Adolescent Depression Rating Scale (ADRS)","volume":"7","author":[{"family":"Revah-Levy","given":"Anne"},{"family":"Birmaher","given":"Boris"},{"family":"Gasquet","given":"Isabelle"},{"family":"Falissard","given":"Bruno"}],"issued":{"date-parts":[["2007",1,12]]}}}],"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23</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and the Ruminative Response Scale (RRS)</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{"citationID":"Dru07cxb","properties":{"formattedCitation":"\\super 24\\nosupersub{}","plainCitation":"24","noteIndex":0},"citationItems":[{"id":6105,"uris":["http://zotero.org/users/6242458/items/6Z73YKLZ"],"itemData":{"id":6105,"type":"article-journal","abstract":"Background\nThe Ruminative Response Scale (RRS)-short form is one of the most widely used measures of rumination, comprising ten items and two components: reflection and brooding. The aim of this study was to investigate RRS validity and reliability in a clinical sample of French patients with major depressive disorder (MDD).\n\nSubjects and methods\nOutpatients with a DSM-IV-TR diagnosis of MDD were recruited from a public academic hospital in France. Depressive symptoms were evaluated by the Beck Depression Inventory, anxiety by the State-Trait Anxiety Inventory – state scale, and quality of life by the 36-Item Short Form Health Survey (SF-36) questionnaire. Confirmatory factor analyses, item-dimension correlations, Cronbach’s α-coefficients, Rasch statistics, and external validity were tested. Differential item functioning analyses were performed for sex.\n\nResults\nA total of 109 patients participated. The final reflection–brooding two-factor model of the RRS showed a good fit (root-mean-square error of approximation 0.041, comparative fit index 0.987, standardized root-mean-square residual 0.048) after removing one item (daily diary writing). Internal item consistency and reliability were satisfactory for the two dimensions. External validity testing confirmed that RRS scores were correlated with Beck Depression Inventory, State-Trait Anxiety Inventory, and SF-36 scores. There was no differential item functioning across sexes.\n\nConclusion\nThese results demonstrated good scale reliability and validity for assessing rumination in patients with MDD.","container-title":"Patient preference and adherence","DOI":"10.2147/PPA.S125730","ISSN":"1177-889X","journalAbbreviation":"Patient Prefer Adherence","page":"929-937","PMID":"28553085","PMCID":"PMC5440078","source":"PubMed Central","title":"Psychometric properties of the Ruminative Response Scale-short form in a clinical sample of patients with major depressive disorder","volume":"11","author":[{"family":"Parola","given":"Nathalie"},{"family":"Zendjidjian","given":"Xavier Yves"},{"family":"Alessandrini","given":"Marine"},{"family":"Baumstarck","given":"Karine"},{"family":"Loundou","given":"Anderson"},{"family":"Fond","given":"Guillaume"},{"family":"Berna","given":"Fabrice"},{"family":"Lançon","given":"Christophe"},{"family":"Auquier","given":"Pascal"},{"family":"Boyer","given":"Laurent"}],"issued":{"date-parts":[["2017",5,12]]}}}],"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24</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respectively.</w:t>
      </w:r>
    </w:p>
    <w:p w14:paraId="00000036"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7" w14:textId="5D803452"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Personality traits</w:t>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P</w:t>
      </w:r>
      <w:r w:rsidRPr="005B3F3B">
        <w:rPr>
          <w:rFonts w:ascii="Times New Roman" w:eastAsia="Times New Roman" w:hAnsi="Times New Roman" w:cs="Times New Roman"/>
        </w:rPr>
        <w:t>ersonality w</w:t>
      </w:r>
      <w:r w:rsidR="003638ED" w:rsidRPr="005B3F3B">
        <w:rPr>
          <w:rFonts w:ascii="Times New Roman" w:eastAsia="Times New Roman" w:hAnsi="Times New Roman" w:cs="Times New Roman"/>
        </w:rPr>
        <w:t>as assessed</w:t>
      </w:r>
      <w:r w:rsidRPr="005B3F3B">
        <w:rPr>
          <w:rFonts w:ascii="Times New Roman" w:eastAsia="Times New Roman" w:hAnsi="Times New Roman" w:cs="Times New Roman"/>
        </w:rPr>
        <w:t xml:space="preserve"> using the revised NEO Five-Factor Personality Inventory (NEO-PI-R)</w:t>
      </w:r>
      <w:r w:rsidR="00CA3CAB"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{"citationID":"pd9y6YAr","properties":{"formattedCitation":"\\super 25\\nosupersub{}","plainCitation":"25","noteIndex":0},"citationItems":[{"id":3726,"uris":["http://zotero.org/users/6242458/items/MP53XNUP"],"itemData":{"id":3726,"type":"chapter","abstract":"In some respects, the Revised NEO Personality Inventory (NEO-PI-R) (Costa and McCrae, 1985b, 1989a, 1992b) is a cutting-edge instrument. In other respects, the NEO-PI-R is profoundly conservative, deeply rooted in the research of generations of personality psychologists. This chapter discusses the evolution of the NEO-PI-R; item selection and scale development; approaches to validation; and applications of the NEO-PI-R. (PsycInfo Database Record (c) 2021 APA, all rights reserved)","container-title":"The SAGE handbook of personality theory and assessment, Vol 2: Personality measurement and testing","DOI":"10.4135/9781849200479.n9","ISBN":"978-1-4129-4652-0","page":"179-198","publisher":"Sage Publications, Inc","publisher-place":"Thousand Oaks, CA, US","source":"APA PsycNet","title":"The Revised NEO Personality Inventory (NEO-PI-R)","author":[{"family":"Costa Jr.","given":"Paul T."},{"family":"McCrae","given":"Robert R."}],"issued":{"date-parts":[["2008"]]}}}],"schema":"https://github.com/citation-style-language/schema/raw/master/csl-citation.json"} </w:instrText>
      </w:r>
      <w:r w:rsidR="00CA3CAB"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25</w:t>
      </w:r>
      <w:r w:rsidR="00CA3CAB"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capturing</w:t>
      </w:r>
      <w:r w:rsidRPr="005B3F3B">
        <w:rPr>
          <w:rFonts w:ascii="Times New Roman" w:eastAsia="Times New Roman" w:hAnsi="Times New Roman" w:cs="Times New Roman"/>
        </w:rPr>
        <w:t xml:space="preserve"> neuroticism, extraversion, openness, agreeableness, and conscientiousness. Additional trait</w:t>
      </w:r>
      <w:r w:rsidR="00B001C8">
        <w:rPr>
          <w:rFonts w:ascii="Times New Roman" w:eastAsia="Times New Roman" w:hAnsi="Times New Roman" w:cs="Times New Roman"/>
        </w:rPr>
        <w:t>s</w:t>
      </w:r>
      <w:r w:rsidRPr="005B3F3B">
        <w:rPr>
          <w:rFonts w:ascii="Times New Roman" w:eastAsia="Times New Roman" w:hAnsi="Times New Roman" w:cs="Times New Roman"/>
        </w:rPr>
        <w:t xml:space="preserve"> were </w:t>
      </w:r>
      <w:r w:rsidR="003638ED" w:rsidRPr="005B3F3B">
        <w:rPr>
          <w:rFonts w:ascii="Times New Roman" w:eastAsia="Times New Roman" w:hAnsi="Times New Roman" w:cs="Times New Roman"/>
        </w:rPr>
        <w:t xml:space="preserve">measured </w:t>
      </w:r>
      <w:r w:rsidRPr="005B3F3B">
        <w:rPr>
          <w:rFonts w:ascii="Times New Roman" w:eastAsia="Times New Roman" w:hAnsi="Times New Roman" w:cs="Times New Roman"/>
        </w:rPr>
        <w:t>using the Temperament and Character Inventory (TCI)</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{"citationID":"6G3ZOVPq","properties":{"formattedCitation":"\\super 26\\nosupersub{}","plainCitation":"26","noteIndex":0},"citationItems":[{"id":6111,"uris":["http://zotero.org/users/6242458/items/T7MGCC5K"],"itemData":{"id":6111,"type":"article-journal","abstract":"In this study, we describe a psychobiological model of the structure and development of personality that accounts for dimensions of both temperament and character. Previous research has confirmed four dimensions of temperament: novelty seeking, harm avoidance, reward dependence, and persistence, which are independently heritable, manifest early in life, and involve preconceptual biases in perceptual memory and habit formation. For the first time, we describe three dimensions of character that mature in adulthood and influence personal and social effectiveness by insight learning about self-concepts. Self-concepts vary according to the extent to which a person identifies the self as (1) an autonomous individual, (2) an integral part of humanity, and (3) an integral part of the universe as a whole. Each aspect of self-concept corresponds to one of three character dimensions called self-directedness, cooperativeness, and self-transcendence, respectively. We also describe the conceptual background and development of a self-report measure of these dimensions, the Temperament and Character Inventory. Data on 300 individuals from the general population support the reliability and structure of these seven personality dimensions. We discuss the implications for studies of information processing, inheritance, development, diagnosis, and treatment.","container-title":"Archives of General Psychiatry","DOI":"10.1001/archpsyc.1993.01820240059008","ISSN":"0003-990X","issue":"12","journalAbbreviation":"Arch Gen Psychiatry","language":"eng","page":"975-990","PMID":"8250684","source":"PubMed","title":"A psychobiological model of temperament and character","volume":"50","author":[{"family":"Cloninger","given":"C. R."},{"family":"Svrakic","given":"D. M."},{"family":"Przybeck","given":"T. R."}],"issued":{"date-parts":[["1993",12]]}}}],"schema":"https://github.com/citation-style-language/schema/raw/master/csl-citation.json"}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26</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and its extended version (TCI-3)</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{"citationID":"HKXryXYc","properties":{"formattedCitation":"\\super 27\\nosupersub{}","plainCitation":"27","noteIndex":0},"citationItems":[{"id":6113,"uris":["http://zotero.org/users/6242458/items/4SYJSIVJ"],"itemData":{"id":6113,"type":"book","publisher-place":"St Louis, MO: Center for Psychobiology of Personality, Washington University","title":"The temperament and character inventory-revised","author":[{"family":"Cloninger","given":"C. Robert"}],"issued":{"date-parts":[["1999"]]}}}],"schema":"https://github.com/citation-style-language/schema/raw/master/csl-citation.json"}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27</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3638ED" w:rsidRPr="005B3F3B">
        <w:rPr>
          <w:rFonts w:ascii="Times New Roman" w:eastAsia="Times New Roman" w:hAnsi="Times New Roman" w:cs="Times New Roman"/>
        </w:rPr>
        <w:t>and t</w:t>
      </w:r>
      <w:r w:rsidRPr="005B3F3B">
        <w:rPr>
          <w:rFonts w:ascii="Times New Roman" w:eastAsia="Times New Roman" w:hAnsi="Times New Roman" w:cs="Times New Roman"/>
        </w:rPr>
        <w:t>he Substance Use Risk Profile Scale (SURPS</w:t>
      </w:r>
      <w:r w:rsidR="000C505F" w:rsidRPr="005B3F3B">
        <w:rPr>
          <w:rFonts w:ascii="Times New Roman" w:eastAsia="Times New Roman" w:hAnsi="Times New Roman" w:cs="Times New Roman"/>
        </w:rPr>
        <w:t>)</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{"citationID":"IBsanH4E","properties":{"formattedCitation":"\\super 28\\nosupersub{}","plainCitation":"28","noteIndex":0},"citationItems":[{"id":3723,"uris":["http://zotero.org/users/6242458/items/JMPDRMCI"],"itemData":{"id":3723,"type":"article-journal","abstract":"The Substance Use Risk Profile Scale (SURPS) is based on a model of personality risk for substance abuse in which four personality dimensions (hopelessness, anxiety sensitivity, impulsivity, and sensation seeking) are hypothesized to differentially relate to specific patterns of substance use. The current series of studies is a preliminary exploration of the psychometric properties of the SURPS in two populations (undergraduate and high school students). In study 1, an analysis of the internal structure of two versions of the SURPS shows that the abbreviated version best reflects the 4-factor structure. Concurrent, discriminant, and incremental validity of the SURPS is supported by convergent/divergent relationships between the SURPS subscales and other theoretically relevant personality and drug use criterion measures. In Study 2, the factorial structure of the SURPS is confirmed and evidence is provided for its test–retest reliability and validity with respect to measuring personality vulnerability to reinforcement-specific substance use patterns. In Study 3, the SURPS was administered in a more youthful population to test its sensitivity in identifying younger problematic drinkers. The results from the current series of studies demonstrate support for the reliability and construct validity of the SURPS, and suggest that four personality dimensions may be linked to substance-related behavior through different reinforcement processes. This brief assessment tool may have important implications for clinicians and future research.","container-title":"Addictive Behaviors","DOI":"10.1016/j.addbeh.2009.07.001","ISSN":"0306-4603","issue":"12","journalAbbreviation":"Addictive Behaviors","language":"en","page":"1042-1055","source":"ScienceDirect","title":"The substance use risk profile scale: A scale measuring traits linked to reinforcement-specific substance use profiles","title-short":"The substance use risk profile scale","volume":"34","author":[{"family":"Woicik","given":"Patricia A."},{"family":"Stewart","given":"Sherry H."},{"family":"Pihl","given":"Robert O."},{"family":"Conrod","given":"Patricia J."}],"issued":{"date-parts":[["2009",12,1]]}}}],"schema":"https://github.com/citation-style-language/schema/raw/master/csl-citation.json"}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28</w:t>
      </w:r>
      <w:r w:rsidR="000C505F" w:rsidRPr="005B3F3B">
        <w:rPr>
          <w:rFonts w:ascii="Times New Roman" w:eastAsia="Times New Roman" w:hAnsi="Times New Roman" w:cs="Times New Roman"/>
        </w:rPr>
        <w:fldChar w:fldCharType="end"/>
      </w:r>
      <w:r w:rsidR="003638ED" w:rsidRPr="005B3F3B">
        <w:rPr>
          <w:rFonts w:ascii="Times New Roman" w:eastAsia="Times New Roman" w:hAnsi="Times New Roman" w:cs="Times New Roman"/>
        </w:rPr>
        <w:t xml:space="preserve">, </w:t>
      </w:r>
      <w:r w:rsidR="003638ED" w:rsidRPr="005B3F3B">
        <w:rPr>
          <w:rFonts w:ascii="Times New Roman" w:hAnsi="Times New Roman" w:cs="Times New Roman"/>
        </w:rPr>
        <w:t xml:space="preserve">assessing novelty seeking, impulsivity, emotional reactivity, persistence, </w:t>
      </w:r>
      <w:r w:rsidRPr="005B3F3B">
        <w:rPr>
          <w:rFonts w:ascii="Times New Roman" w:eastAsia="Times New Roman" w:hAnsi="Times New Roman" w:cs="Times New Roman"/>
        </w:rPr>
        <w:t>hopelessness, anxiety sensitivity, and sensation seeking.</w:t>
      </w:r>
    </w:p>
    <w:p w14:paraId="00000038"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9" w14:textId="6A676192"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Social and interpersonal functioning</w:t>
      </w:r>
      <w:r w:rsidRPr="005B3F3B">
        <w:rPr>
          <w:rFonts w:ascii="Times New Roman" w:eastAsia="Times New Roman" w:hAnsi="Times New Roman" w:cs="Times New Roman"/>
        </w:rPr>
        <w:t>: social functioning was assessed using the Interpersonal Reactivity Index (IRI)</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{"citationID":"ks5cnn3a","properties":{"formattedCitation":"\\super 29\\nosupersub{}","plainCitation":"29","noteIndex":0},"citationItems":[{"id":6116,"uris":["http://zotero.org/users/6242458/items/WMJ2J3N3"],"itemData":{"id":6116,"type":"article-journal","abstract":"Describes the Interpersonal Reactivity Index (IRI) and its relationships with measures of social functioning, self-esteem, emotionality, and sensitivity to others. 677 male and 667 female undergraduates served as Ss. Each of the 4 IRI subscales displayed a distinctive and predictable pattern of relationships with these measures, as well as with previous unidimensional empathy measures. Findings provide evidence for a multidimensional approach to empathy. (29 ref) (PsycINFO Database Record (c) 2019 APA, all rights reserved)","container-title":"Journal of Personality and Social Psychology","DOI":"10.1037/0022-3514.44.1.113","ISSN":"1939-1315","issue":"1","note":"publisher-place: US","page":"113-126","publisher":"American Psychological Association","source":"APA PsycNet","title":"Measuring individual differences in empathy: Evidence for a multidimensional approach","title-short":"Measuring individual differences in empathy","volume":"44","author":[{"family":"Davis","given":"Mark H."}],"issued":{"date-parts":[["1983"]]}}}],"schema":"https://github.com/citation-style-language/schema/raw/master/csl-citation.json"}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29</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0C6259" w:rsidRPr="005B3F3B">
        <w:rPr>
          <w:rFonts w:ascii="Times New Roman" w:eastAsia="Times New Roman" w:hAnsi="Times New Roman" w:cs="Times New Roman"/>
        </w:rPr>
        <w:t>and t</w:t>
      </w:r>
      <w:r w:rsidRPr="005B3F3B">
        <w:rPr>
          <w:rFonts w:ascii="Times New Roman" w:eastAsia="Times New Roman" w:hAnsi="Times New Roman" w:cs="Times New Roman"/>
        </w:rPr>
        <w:t>he Perception of Adult Attachment Questionnaire (PAAQ)</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{"citationID":"2vq0eyI1","properties":{"formattedCitation":"\\super 30\\nosupersub{}","plainCitation":"30","noteIndex":0},"citationItems":[{"id":6119,"uris":["http://zotero.org/users/6242458/items/3QCSDUU9"],"itemData":{"id":6119,"type":"paper-conference","event-title":"biennial meeting of the Society for Research in Child Development","publisher-place":"Seattle, WA","title":"The Inventory of Adult Attachment: Validation of a new measure","author":[{"family":"Lichtenstein","given":"J"},{"family":"Cassidy","given":"J"}],"issued":{"date-parts":[["1991"]]}}}],"schema":"https://github.com/citation-style-language/schema/raw/master/csl-citation.json"}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30</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Peer victimisation and perpetration were assessed using items adapted from the Bully Questionnaire</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{"citationID":"3Sx08dzO","properties":{"formattedCitation":"\\super 31\\nosupersub{}","plainCitation":"31","noteIndex":0},"citationItems":[{"id":6120,"uris":["http://zotero.org/users/6242458/items/KWHFTTJA"],"itemData":{"id":6120,"type":"thesis","language":"en","note":"Institution: American Psychological Association","publisher":"Research Centre for Health Promotion‚ University of Bergen","publisher-place":"Bergen‚ Norway","source":"DOI.org (Crossref)","title":"Revised Olweus Bully/Victim Questionnaire","URL":"https://doi.apa.org/doi/10.1037/t09634-000","author":[{"family":"Olweus","given":"Dan"}],"accessed":{"date-parts":[["2025",6,15]]},"issued":{"date-parts":[["1996"]]}}}],"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31</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w:t>
      </w:r>
    </w:p>
    <w:p w14:paraId="0000003A"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3B" w14:textId="1DF4E6B4"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Somatisation</w:t>
      </w:r>
      <w:r w:rsidRPr="005B3F3B">
        <w:rPr>
          <w:rFonts w:ascii="Times New Roman" w:eastAsia="Times New Roman" w:hAnsi="Times New Roman" w:cs="Times New Roman"/>
        </w:rPr>
        <w:t xml:space="preserve">: </w:t>
      </w:r>
      <w:r w:rsidR="000C6259" w:rsidRPr="005B3F3B">
        <w:rPr>
          <w:rFonts w:ascii="Times New Roman" w:eastAsia="Times New Roman" w:hAnsi="Times New Roman" w:cs="Times New Roman"/>
        </w:rPr>
        <w:t xml:space="preserve">Frequency of </w:t>
      </w:r>
      <w:r w:rsidRPr="005B3F3B">
        <w:rPr>
          <w:rFonts w:ascii="Times New Roman" w:eastAsia="Times New Roman" w:hAnsi="Times New Roman" w:cs="Times New Roman"/>
        </w:rPr>
        <w:t>somatic symptoms w</w:t>
      </w:r>
      <w:r w:rsidR="000C6259" w:rsidRPr="005B3F3B">
        <w:rPr>
          <w:rFonts w:ascii="Times New Roman" w:eastAsia="Times New Roman" w:hAnsi="Times New Roman" w:cs="Times New Roman"/>
        </w:rPr>
        <w:t>as</w:t>
      </w:r>
      <w:r w:rsidRPr="005B3F3B">
        <w:rPr>
          <w:rFonts w:ascii="Times New Roman" w:eastAsia="Times New Roman" w:hAnsi="Times New Roman" w:cs="Times New Roman"/>
        </w:rPr>
        <w:t xml:space="preserve"> measured using the </w:t>
      </w:r>
      <w:r w:rsidR="000C6259" w:rsidRPr="005B3F3B">
        <w:rPr>
          <w:rFonts w:ascii="Times New Roman" w:eastAsia="Times New Roman" w:hAnsi="Times New Roman" w:cs="Times New Roman"/>
        </w:rPr>
        <w:t xml:space="preserve">35-item </w:t>
      </w:r>
      <w:r w:rsidRPr="005B3F3B">
        <w:rPr>
          <w:rFonts w:ascii="Times New Roman" w:eastAsia="Times New Roman" w:hAnsi="Times New Roman" w:cs="Times New Roman"/>
        </w:rPr>
        <w:t xml:space="preserve">Children’s Somatisation Inventory (CSI), based on </w:t>
      </w:r>
      <w:r w:rsidR="000C6259" w:rsidRPr="005B3F3B">
        <w:rPr>
          <w:rFonts w:ascii="Times New Roman" w:eastAsia="Times New Roman" w:hAnsi="Times New Roman" w:cs="Times New Roman"/>
        </w:rPr>
        <w:t xml:space="preserve">DSM-III-R </w:t>
      </w:r>
      <w:r w:rsidRPr="005B3F3B">
        <w:rPr>
          <w:rFonts w:ascii="Times New Roman" w:eastAsia="Times New Roman" w:hAnsi="Times New Roman" w:cs="Times New Roman"/>
        </w:rPr>
        <w:t>criteria for somatisation disorders</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{"citationID":"LOq8YVIz","properties":{"formattedCitation":"\\super 32\\nosupersub{}","plainCitation":"32","noteIndex":0},"citationItems":[{"id":6121,"uris":["http://zotero.org/users/6242458/items/5RDZPBXR"],"itemData":{"id":6121,"type":"book","publisher-place":"Washington DC: American Psychiatric Press.","title":"Diagnostic and statistical manual of mental disorders (3rd ed., Revised (DSM-III-R))","author":[{"family":"American Psychiatric Association","given":""}],"issued":{"date-parts":[["1987"]]}}}],"schema":"https://github.com/citation-style-language/schema/raw/master/csl-citation.json"}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32</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w:t>
      </w:r>
    </w:p>
    <w:p w14:paraId="0000003C" w14:textId="77777777" w:rsidR="00761DC3" w:rsidRPr="005B3F3B" w:rsidRDefault="00761DC3" w:rsidP="005B3F3B">
      <w:pPr>
        <w:spacing w:line="360" w:lineRule="auto"/>
        <w:jc w:val="both"/>
        <w:rPr>
          <w:rFonts w:ascii="Times New Roman" w:eastAsia="Times New Roman" w:hAnsi="Times New Roman" w:cs="Times New Roman"/>
        </w:rPr>
      </w:pPr>
    </w:p>
    <w:p w14:paraId="0000003D" w14:textId="08BEAA75" w:rsidR="00761DC3" w:rsidRPr="005B3F3B" w:rsidRDefault="00C94494" w:rsidP="005B3F3B">
      <w:pPr>
        <w:spacing w:line="360" w:lineRule="auto"/>
        <w:ind w:left="0"/>
        <w:jc w:val="both"/>
        <w:rPr>
          <w:rFonts w:ascii="Times New Roman" w:eastAsia="Times New Roman" w:hAnsi="Times New Roman" w:cs="Times New Roman"/>
        </w:rPr>
      </w:pPr>
      <w:bookmarkStart w:id="7" w:name="_heading=h.xveqojg8lvvk" w:colFirst="0" w:colLast="0"/>
      <w:bookmarkEnd w:id="7"/>
      <w:r w:rsidRPr="005B3F3B">
        <w:rPr>
          <w:rFonts w:ascii="Times New Roman" w:eastAsia="Times New Roman" w:hAnsi="Times New Roman" w:cs="Times New Roman"/>
          <w:i/>
        </w:rPr>
        <w:t>Substance use</w:t>
      </w:r>
      <w:r w:rsidRPr="005B3F3B">
        <w:rPr>
          <w:rFonts w:ascii="Times New Roman" w:eastAsia="Times New Roman" w:hAnsi="Times New Roman" w:cs="Times New Roman"/>
        </w:rPr>
        <w:t xml:space="preserve">: </w:t>
      </w:r>
      <w:r w:rsidR="000C6259" w:rsidRPr="005B3F3B">
        <w:rPr>
          <w:rFonts w:ascii="Times New Roman" w:eastAsia="Times New Roman" w:hAnsi="Times New Roman" w:cs="Times New Roman"/>
        </w:rPr>
        <w:t xml:space="preserve">Alcohol </w:t>
      </w:r>
      <w:r w:rsidRPr="005B3F3B">
        <w:rPr>
          <w:rFonts w:ascii="Times New Roman" w:eastAsia="Times New Roman" w:hAnsi="Times New Roman" w:cs="Times New Roman"/>
        </w:rPr>
        <w:t xml:space="preserve">use </w:t>
      </w:r>
      <w:r w:rsidR="000C6259" w:rsidRPr="005B3F3B">
        <w:rPr>
          <w:rFonts w:ascii="Times New Roman" w:eastAsia="Times New Roman" w:hAnsi="Times New Roman" w:cs="Times New Roman"/>
        </w:rPr>
        <w:t xml:space="preserve">and related problems </w:t>
      </w:r>
      <w:r w:rsidRPr="005B3F3B">
        <w:rPr>
          <w:rFonts w:ascii="Times New Roman" w:eastAsia="Times New Roman" w:hAnsi="Times New Roman" w:cs="Times New Roman"/>
        </w:rPr>
        <w:t>were assessed using the Alcohol Use Disorders Identification Test (AUDIT)</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{"citationID":"AADZqOoA","properties":{"formattedCitation":"\\super 33\\nosupersub{}","plainCitation":"33","noteIndex":0},"citationItems":[{"id":4519,"uris":["http://zotero.org/users/6242458/items/TX7YM6SL"],"itemData":{"id":4519,"type":"article-journal","abstract":"The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 (Abingdon, England)","DOI":"10.1111/j.1360-0443.1993.tb02093.x","ISSN":"0965-2140","issue":"6","journalAbbreviation":"Addiction","language":"eng","page":"791-804","PMID":"8329970","source":"PubMed","title":"Development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33</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the Michigan Alcoholism Screening Test (MAST)</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{"citationID":"HZvUBub8","properties":{"formattedCitation":"\\super 34\\nosupersub{}","plainCitation":"34","noteIndex":0},"citationItems":[{"id":6123,"uris":["http://zotero.org/users/6242458/items/KVARNK4Z"],"itemData":{"id":6123,"type":"article-journal","abstract":"The michigan alcoholism screening test (mast), devised to provide a consistent, quantifiable, structured interview instrument to detect alcoholism, consists of 25 questions that can be rapidly administered. 5 groups were given the mast: hospitalized alcoholics, a control group, persons convicted of drunk driving, persons convicted of drunk and disorderly behavior, and drivers whose licenses were under review. The validity of the mast was assessed by searching the records of legal, social, and medical agencies and reviewing the ss' driving and criminal records. The mast responses of 15 ss who were found to be alcoholic in the record search were analyzed to determine where the screening failures had occurred. Recommendations are made for reducing the number of such \"false negatives.\" (PsycINFO Database Record (c) 2016 APA, all rights reserved)","container-title":"The American Journal of Psychiatry","DOI":"10.1176/ajp.127.12.1653","ISSN":"1535-7228","issue":"12","note":"publisher-place: US","page":"1653-1658","publisher":"American Psychiatric Assn","source":"APA PsycNet","title":"The Michigan Alcoholism Screening Test: The quest for a new diagnostic instrument","title-short":"The Michigan Alcoholism Screening Test","volume":"127","author":[{"family":"Selzer","given":"Melvin L."}],"issued":{"date-parts":[["1971"]]}}}],"schema":"https://github.com/citation-style-language/schema/raw/master/csl-citation.json"}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34</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and the Rutgers Alcohol Problem Index (RAPI)</w:t>
      </w:r>
      <w:r w:rsidR="000C505F" w:rsidRPr="005B3F3B">
        <w:rPr>
          <w:rFonts w:ascii="Times New Roman" w:eastAsia="Times New Roman" w:hAnsi="Times New Roman" w:cs="Times New Roman"/>
        </w:rPr>
        <w:fldChar w:fldCharType="begin"/>
      </w:r>
      <w:r w:rsidR="004105A5" w:rsidRPr="005B3F3B">
        <w:rPr>
          <w:rFonts w:ascii="Times New Roman" w:eastAsia="Times New Roman" w:hAnsi="Times New Roman" w:cs="Times New Roman"/>
        </w:rPr>
        <w:instrText xml:space="preserve"> ADDIN ZOTERO_ITEM CSL_CITATION {"citationID":"1AxsiIfx","properties":{"formattedCitation":"\\super 35\\nosupersub{}","plainCitation":"35","noteIndex":0},"citationItems":[{"id":6125,"uris":["http://zotero.org/users/6242458/items/9R34IZAX"],"itemData":{"id":6125,"type":"article-journal","abstract":"Longitudinal data were obtained from a nonclinical sample of 1,308 male and female adolescents covering the age range from 12 to 21. Factor analyses of 52 symptoms and/or consequences of alcohol use yielded three problem dimensions. In addition, a unidimensional, 23-item scale (the Rutgers Alcohol Problem Index, RAPI) was constructed with an internal consistency of .92. Correlations between RAPI and alcohol-use intensity were moderately strong for all age groups at each test occasion (ranging from .20 to .57), yet low enough to suggest that identification of problem drinkers requires both types of measures. The results suggest that the RAPI may be a useful tool for the standardized and efficient assessment of problem drinking during adolescence.","container-title":"Journal of Studies on Alcohol","DOI":"10.15288/jsa.1989.50.30","ISSN":"0096-882X","issue":"1","journalAbbreviation":"J. Stud. Alcohol","page":"30-37","publisher":"Alcohol Research Documentation, Inc.","source":"jsad.com (Atypon)","title":"Towards the assessment of adolescent problem drinking.","volume":"50","author":[{"family":"White","given":"H R"},{"family":"Labouvie","given":"E W"}],"issued":{"date-parts":[["1989",1]]}}}],"schema":"https://github.com/citation-style-language/schema/raw/master/csl-citation.json"} </w:instrText>
      </w:r>
      <w:r w:rsidR="000C505F" w:rsidRPr="005B3F3B">
        <w:rPr>
          <w:rFonts w:ascii="Times New Roman" w:eastAsia="Times New Roman" w:hAnsi="Times New Roman" w:cs="Times New Roman"/>
        </w:rPr>
        <w:fldChar w:fldCharType="separate"/>
      </w:r>
      <w:r w:rsidR="004105A5" w:rsidRPr="005B3F3B">
        <w:rPr>
          <w:rFonts w:ascii="Times New Roman" w:hAnsi="Times New Roman" w:cs="Times New Roman"/>
          <w:vertAlign w:val="superscript"/>
        </w:rPr>
        <w:t>35</w:t>
      </w:r>
      <w:r w:rsidR="000C505F"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000C6259" w:rsidRPr="005B3F3B">
        <w:rPr>
          <w:rFonts w:ascii="Times New Roman" w:eastAsia="Times New Roman" w:hAnsi="Times New Roman" w:cs="Times New Roman"/>
        </w:rPr>
        <w:t>L</w:t>
      </w:r>
      <w:r w:rsidRPr="005B3F3B">
        <w:rPr>
          <w:rFonts w:ascii="Times New Roman" w:eastAsia="Times New Roman" w:hAnsi="Times New Roman" w:cs="Times New Roman"/>
        </w:rPr>
        <w:t>ifetime use of substances including amphetamines, cannabis, cocaine, crack, ecstasy (MDMA), GHB, glue, heroin, ketamine, LSD, mushrooms, synthetic cannabinoids, tranquillisers, and tobacco</w:t>
      </w:r>
      <w:r w:rsidR="000C6259" w:rsidRPr="005B3F3B">
        <w:rPr>
          <w:rFonts w:ascii="Times New Roman" w:eastAsia="Times New Roman" w:hAnsi="Times New Roman" w:cs="Times New Roman"/>
        </w:rPr>
        <w:t xml:space="preserve"> was recorded</w:t>
      </w:r>
      <w:r w:rsidRPr="005B3F3B">
        <w:rPr>
          <w:rFonts w:ascii="Times New Roman" w:eastAsia="Times New Roman" w:hAnsi="Times New Roman" w:cs="Times New Roman"/>
        </w:rPr>
        <w:t>.</w:t>
      </w:r>
    </w:p>
    <w:p w14:paraId="0000003E" w14:textId="77777777" w:rsidR="00761DC3" w:rsidRPr="005B3F3B" w:rsidRDefault="00761DC3" w:rsidP="005B3F3B">
      <w:pPr>
        <w:spacing w:line="360" w:lineRule="auto"/>
        <w:jc w:val="both"/>
        <w:rPr>
          <w:rFonts w:ascii="Times New Roman" w:eastAsia="Times New Roman" w:hAnsi="Times New Roman" w:cs="Times New Roman"/>
        </w:rPr>
      </w:pPr>
    </w:p>
    <w:p w14:paraId="0000003F" w14:textId="166CA674"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Urban environment</w:t>
      </w:r>
      <w:r w:rsidRPr="005B3F3B">
        <w:rPr>
          <w:rFonts w:ascii="Times New Roman" w:eastAsia="Times New Roman" w:hAnsi="Times New Roman" w:cs="Times New Roman"/>
        </w:rPr>
        <w:t xml:space="preserve">: urbanicity was </w:t>
      </w:r>
      <w:r w:rsidR="000C6259" w:rsidRPr="005B3F3B">
        <w:rPr>
          <w:rFonts w:ascii="Times New Roman" w:eastAsia="Times New Roman" w:hAnsi="Times New Roman" w:cs="Times New Roman"/>
        </w:rPr>
        <w:t xml:space="preserve">defined </w:t>
      </w:r>
      <w:r w:rsidRPr="005B3F3B">
        <w:rPr>
          <w:rFonts w:ascii="Times New Roman" w:eastAsia="Times New Roman" w:hAnsi="Times New Roman" w:cs="Times New Roman"/>
        </w:rPr>
        <w:t>based on early-life (up to age 15) and current residential location</w:t>
      </w:r>
      <w:r w:rsidR="000C6259" w:rsidRPr="005B3F3B">
        <w:rPr>
          <w:rFonts w:ascii="Times New Roman" w:eastAsia="Times New Roman" w:hAnsi="Times New Roman" w:cs="Times New Roman"/>
        </w:rPr>
        <w:t>,</w:t>
      </w:r>
      <w:r w:rsidRPr="005B3F3B">
        <w:rPr>
          <w:rFonts w:ascii="Times New Roman" w:eastAsia="Times New Roman" w:hAnsi="Times New Roman" w:cs="Times New Roman"/>
        </w:rPr>
        <w:t xml:space="preserve"> classified </w:t>
      </w:r>
      <w:r w:rsidR="000C6259" w:rsidRPr="005B3F3B">
        <w:rPr>
          <w:rFonts w:ascii="Times New Roman" w:eastAsia="Times New Roman" w:hAnsi="Times New Roman" w:cs="Times New Roman"/>
        </w:rPr>
        <w:t>by</w:t>
      </w:r>
      <w:r w:rsidRPr="005B3F3B">
        <w:rPr>
          <w:rFonts w:ascii="Times New Roman" w:eastAsia="Times New Roman" w:hAnsi="Times New Roman" w:cs="Times New Roman"/>
        </w:rPr>
        <w:t xml:space="preserve"> population size to quantify exposure to urban </w:t>
      </w:r>
      <w:r w:rsidR="000C6259" w:rsidRPr="005B3F3B">
        <w:rPr>
          <w:rFonts w:ascii="Times New Roman" w:eastAsia="Times New Roman" w:hAnsi="Times New Roman" w:cs="Times New Roman"/>
        </w:rPr>
        <w:t>environments</w:t>
      </w:r>
      <w:r w:rsidRPr="005B3F3B">
        <w:rPr>
          <w:rFonts w:ascii="Times New Roman" w:eastAsia="Times New Roman" w:hAnsi="Times New Roman" w:cs="Times New Roman"/>
        </w:rPr>
        <w:t>.</w:t>
      </w:r>
    </w:p>
    <w:p w14:paraId="134540D8" w14:textId="77777777" w:rsidR="000C6259" w:rsidRPr="005B3F3B" w:rsidRDefault="000C6259" w:rsidP="005B3F3B">
      <w:pPr>
        <w:spacing w:line="360" w:lineRule="auto"/>
        <w:ind w:left="0"/>
        <w:jc w:val="both"/>
        <w:rPr>
          <w:rFonts w:ascii="Times New Roman" w:eastAsia="Times New Roman" w:hAnsi="Times New Roman" w:cs="Times New Roman"/>
        </w:rPr>
      </w:pPr>
    </w:p>
    <w:p w14:paraId="29835DF8" w14:textId="77777777" w:rsidR="00CC3B58" w:rsidRPr="005B3F3B" w:rsidRDefault="000C6259" w:rsidP="005B3F3B">
      <w:pPr>
        <w:spacing w:line="360" w:lineRule="auto"/>
        <w:ind w:left="0"/>
        <w:jc w:val="both"/>
        <w:rPr>
          <w:rFonts w:ascii="Times New Roman" w:eastAsia="Times New Roman" w:hAnsi="Times New Roman" w:cs="Times New Roman"/>
        </w:rPr>
        <w:sectPr w:rsidR="00CC3B58" w:rsidRPr="005B3F3B">
          <w:pgSz w:w="11906" w:h="16838"/>
          <w:pgMar w:top="1440" w:right="1440" w:bottom="1440" w:left="1440" w:header="708" w:footer="708" w:gutter="0"/>
          <w:cols w:space="720"/>
        </w:sectPr>
      </w:pPr>
      <w:r w:rsidRPr="005B3F3B">
        <w:rPr>
          <w:rFonts w:ascii="Times New Roman" w:eastAsia="Times New Roman" w:hAnsi="Times New Roman" w:cs="Times New Roman"/>
        </w:rPr>
        <w:t xml:space="preserve">Accumulating evidence indicates that environmentally responsive DNAm loci exert pleiotropic effects across behavioural, psychiatric, cognitive, and cardiometabolic domains. We therefore implemented a domain-spanning </w:t>
      </w:r>
      <w:proofErr w:type="spellStart"/>
      <w:r w:rsidRPr="005B3F3B">
        <w:rPr>
          <w:rFonts w:ascii="Times New Roman" w:eastAsia="Times New Roman" w:hAnsi="Times New Roman" w:cs="Times New Roman"/>
        </w:rPr>
        <w:t>PheWAS</w:t>
      </w:r>
      <w:proofErr w:type="spellEnd"/>
      <w:r w:rsidRPr="005B3F3B">
        <w:rPr>
          <w:rFonts w:ascii="Times New Roman" w:eastAsia="Times New Roman" w:hAnsi="Times New Roman" w:cs="Times New Roman"/>
        </w:rPr>
        <w:t xml:space="preserve"> framework to characterise the broader phenotypic embedding of cortical morphology–associated CpGs within this multiorgan regulatory landscape. Phenotypes were pre-specified according to the structured IMAGEN assessment protocol and grouped into conceptually defined domains to minimise analytical flexibility</w:t>
      </w:r>
      <w:r w:rsidR="00794D9B" w:rsidRPr="005B3F3B">
        <w:rPr>
          <w:rFonts w:ascii="Times New Roman" w:eastAsia="Times New Roman" w:hAnsi="Times New Roman" w:cs="Times New Roman"/>
        </w:rPr>
        <w:t xml:space="preserve"> (</w:t>
      </w:r>
      <w:r w:rsidR="00794D9B" w:rsidRPr="005B3F3B">
        <w:rPr>
          <w:rFonts w:ascii="Times New Roman" w:eastAsia="Times New Roman" w:hAnsi="Times New Roman" w:cs="Times New Roman"/>
          <w:b/>
          <w:bCs/>
        </w:rPr>
        <w:t>Fig. S</w:t>
      </w:r>
      <w:r w:rsidR="00AA38E4" w:rsidRPr="005B3F3B">
        <w:rPr>
          <w:rFonts w:ascii="Times New Roman" w:eastAsia="Times New Roman" w:hAnsi="Times New Roman" w:cs="Times New Roman"/>
          <w:b/>
          <w:bCs/>
        </w:rPr>
        <w:t>7</w:t>
      </w:r>
      <w:r w:rsidR="00794D9B" w:rsidRPr="005B3F3B">
        <w:rPr>
          <w:rFonts w:ascii="Times New Roman" w:eastAsia="Times New Roman" w:hAnsi="Times New Roman" w:cs="Times New Roman"/>
        </w:rPr>
        <w:t>)</w:t>
      </w:r>
      <w:r w:rsidRPr="005B3F3B">
        <w:rPr>
          <w:rFonts w:ascii="Times New Roman" w:eastAsia="Times New Roman" w:hAnsi="Times New Roman" w:cs="Times New Roman"/>
        </w:rPr>
        <w:t xml:space="preserve">. Multiple testing was conservatively controlled using Bonferroni correction across all </w:t>
      </w:r>
      <w:r w:rsidRPr="005B3F3B">
        <w:rPr>
          <w:rFonts w:ascii="Times New Roman" w:eastAsia="Times New Roman" w:hAnsi="Times New Roman" w:cs="Times New Roman"/>
        </w:rPr>
        <w:lastRenderedPageBreak/>
        <w:t>CpGs and phenotypes, ensuring that reported associations reflect robust signal rather than residual multiplicity.</w:t>
      </w:r>
    </w:p>
    <w:p w14:paraId="7EEB87BA" w14:textId="77777777" w:rsidR="00CC3B58" w:rsidRPr="005B3F3B" w:rsidRDefault="00CC3B58" w:rsidP="005B3F3B">
      <w:pPr>
        <w:pStyle w:val="Heading1"/>
        <w:spacing w:line="360" w:lineRule="auto"/>
        <w:jc w:val="both"/>
      </w:pPr>
      <w:bookmarkStart w:id="8" w:name="_Toc224509810"/>
      <w:r w:rsidRPr="005B3F3B">
        <w:lastRenderedPageBreak/>
        <w:t>Supplementary results</w:t>
      </w:r>
      <w:bookmarkEnd w:id="8"/>
    </w:p>
    <w:p w14:paraId="2CC2E215" w14:textId="77777777" w:rsidR="00CC3B58" w:rsidRPr="005B3F3B" w:rsidRDefault="00CC3B58" w:rsidP="005B3F3B">
      <w:pPr>
        <w:pStyle w:val="Heading2"/>
        <w:spacing w:line="360" w:lineRule="auto"/>
        <w:jc w:val="both"/>
      </w:pPr>
      <w:bookmarkStart w:id="9" w:name="_Toc224509811"/>
      <w:r w:rsidRPr="005B3F3B">
        <w:t>Functional characterisation of CT- and SA-associated CpGs</w:t>
      </w:r>
      <w:bookmarkEnd w:id="9"/>
    </w:p>
    <w:p w14:paraId="4B680EAE" w14:textId="3598AB8F"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Genomic annotation</w:t>
      </w:r>
      <w:r w:rsidRPr="005B3F3B">
        <w:rPr>
          <w:rFonts w:ascii="Times New Roman" w:eastAsia="Times New Roman" w:hAnsi="Times New Roman" w:cs="Times New Roman"/>
        </w:rPr>
        <w:t xml:space="preserve">: CpGs associated with cortical morphology at FDR-significance were primarily located within gene bodies or intergenic regions, notably in </w:t>
      </w:r>
      <w:proofErr w:type="spellStart"/>
      <w:r w:rsidRPr="005B3F3B">
        <w:rPr>
          <w:rFonts w:ascii="Times New Roman" w:eastAsia="Times New Roman" w:hAnsi="Times New Roman" w:cs="Times New Roman"/>
        </w:rPr>
        <w:t>OpenSea</w:t>
      </w:r>
      <w:proofErr w:type="spellEnd"/>
      <w:r w:rsidRPr="005B3F3B">
        <w:rPr>
          <w:rFonts w:ascii="Times New Roman" w:eastAsia="Times New Roman" w:hAnsi="Times New Roman" w:cs="Times New Roman"/>
        </w:rPr>
        <w:t xml:space="preserve"> contexts (</w:t>
      </w:r>
      <w:r w:rsidRPr="00E80F6E">
        <w:rPr>
          <w:rFonts w:ascii="Times New Roman" w:eastAsia="Times New Roman" w:hAnsi="Times New Roman" w:cs="Times New Roman"/>
          <w:b/>
          <w:bCs/>
        </w:rPr>
        <w:t>Fig.</w:t>
      </w:r>
      <w:r w:rsidRPr="005B3F3B">
        <w:rPr>
          <w:rFonts w:ascii="Times New Roman" w:eastAsia="Times New Roman" w:hAnsi="Times New Roman" w:cs="Times New Roman"/>
        </w:rPr>
        <w:t xml:space="preserve"> </w:t>
      </w:r>
      <w:r w:rsidR="008F60FA">
        <w:rPr>
          <w:rFonts w:ascii="Times New Roman" w:eastAsia="Times New Roman" w:hAnsi="Times New Roman" w:cs="Times New Roman"/>
          <w:b/>
          <w:bCs/>
        </w:rPr>
        <w:t>4</w:t>
      </w:r>
      <w:r w:rsidRPr="005B3F3B">
        <w:rPr>
          <w:rFonts w:ascii="Times New Roman" w:eastAsia="Times New Roman" w:hAnsi="Times New Roman" w:cs="Times New Roman"/>
          <w:b/>
          <w:bCs/>
        </w:rPr>
        <w:t>a-b</w:t>
      </w:r>
      <w:r w:rsidRPr="005B3F3B">
        <w:rPr>
          <w:rFonts w:ascii="Times New Roman" w:eastAsia="Times New Roman" w:hAnsi="Times New Roman" w:cs="Times New Roman"/>
        </w:rPr>
        <w:t>), suggesting that most loci may act through non-promoter regulatory mechanisms.</w:t>
      </w:r>
    </w:p>
    <w:p w14:paraId="7207F4E3" w14:textId="77777777" w:rsidR="00CC3B58" w:rsidRPr="005B3F3B" w:rsidRDefault="00CC3B58" w:rsidP="005B3F3B">
      <w:pPr>
        <w:spacing w:line="360" w:lineRule="auto"/>
        <w:ind w:left="0"/>
        <w:jc w:val="both"/>
        <w:rPr>
          <w:rFonts w:ascii="Times New Roman" w:eastAsia="Times New Roman" w:hAnsi="Times New Roman" w:cs="Times New Roman"/>
        </w:rPr>
      </w:pPr>
    </w:p>
    <w:p w14:paraId="364A93D7" w14:textId="3BA1CC30"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rPr>
        <w:t>Regulatory landscape and chromatin state</w:t>
      </w:r>
      <w:r w:rsidRPr="005B3F3B">
        <w:rPr>
          <w:rFonts w:ascii="Times New Roman" w:eastAsia="Times New Roman" w:hAnsi="Times New Roman" w:cs="Times New Roman"/>
        </w:rPr>
        <w:t xml:space="preserve">: We next assessed chromatin state and histone mark enrichment for CpGs reaching </w:t>
      </w:r>
      <w:r w:rsidRPr="005B3F3B">
        <w:rPr>
          <w:rFonts w:ascii="Times New Roman" w:eastAsia="Times New Roman" w:hAnsi="Times New Roman" w:cs="Times New Roman"/>
          <w:i/>
          <w:iCs/>
        </w:rPr>
        <w:t>P</w:t>
      </w:r>
      <w:r w:rsidRPr="005B3F3B">
        <w:rPr>
          <w:rFonts w:ascii="Times New Roman" w:eastAsia="Times New Roman" w:hAnsi="Times New Roman" w:cs="Times New Roman"/>
        </w:rPr>
        <w:t xml:space="preserve"> &lt; 1×10</w:t>
      </w:r>
      <w:r w:rsidRPr="005B3F3B">
        <w:rPr>
          <w:rFonts w:ascii="Times New Roman" w:eastAsia="Times New Roman" w:hAnsi="Times New Roman" w:cs="Times New Roman"/>
          <w:vertAlign w:val="superscript"/>
        </w:rPr>
        <w:t>-5</w:t>
      </w:r>
      <w:r w:rsidRPr="005B3F3B">
        <w:rPr>
          <w:rFonts w:ascii="Times New Roman" w:eastAsia="Times New Roman" w:hAnsi="Times New Roman" w:cs="Times New Roman"/>
        </w:rPr>
        <w:t xml:space="preserve"> (CT: </w:t>
      </w:r>
      <w:r w:rsidRPr="005B3F3B">
        <w:rPr>
          <w:rFonts w:ascii="Times New Roman" w:eastAsia="Times New Roman" w:hAnsi="Times New Roman" w:cs="Times New Roman"/>
          <w:i/>
        </w:rPr>
        <w:t>N</w:t>
      </w:r>
      <w:r w:rsidRPr="005B3F3B">
        <w:rPr>
          <w:rFonts w:ascii="Times New Roman" w:eastAsia="Times New Roman" w:hAnsi="Times New Roman" w:cs="Times New Roman"/>
        </w:rPr>
        <w:t xml:space="preserve"> = 68; SA: </w:t>
      </w:r>
      <w:r w:rsidRPr="005B3F3B">
        <w:rPr>
          <w:rFonts w:ascii="Times New Roman" w:eastAsia="Times New Roman" w:hAnsi="Times New Roman" w:cs="Times New Roman"/>
          <w:i/>
        </w:rPr>
        <w:t>N</w:t>
      </w:r>
      <w:r w:rsidRPr="005B3F3B">
        <w:rPr>
          <w:rFonts w:ascii="Times New Roman" w:eastAsia="Times New Roman" w:hAnsi="Times New Roman" w:cs="Times New Roman"/>
        </w:rPr>
        <w:t xml:space="preserve"> = 52) using NIH Roadmap Epigenomics annotations across 10 brain tissues. CT-associated CpGs showed a distinct regulatory signature, characterised by enrichment in transcription start site-flanking regions (</w:t>
      </w:r>
      <w:proofErr w:type="spellStart"/>
      <w:r w:rsidRPr="005B3F3B">
        <w:rPr>
          <w:rFonts w:ascii="Times New Roman" w:eastAsia="Times New Roman" w:hAnsi="Times New Roman" w:cs="Times New Roman"/>
        </w:rPr>
        <w:t>TssAFlnk</w:t>
      </w:r>
      <w:proofErr w:type="spellEnd"/>
      <w:r w:rsidRPr="005B3F3B">
        <w:rPr>
          <w:rFonts w:ascii="Times New Roman" w:eastAsia="Times New Roman" w:hAnsi="Times New Roman" w:cs="Times New Roman"/>
        </w:rPr>
        <w:t>) and depletion from active core promoters (</w:t>
      </w:r>
      <w:proofErr w:type="spellStart"/>
      <w:r w:rsidRPr="005B3F3B">
        <w:rPr>
          <w:rFonts w:ascii="Times New Roman" w:eastAsia="Times New Roman" w:hAnsi="Times New Roman" w:cs="Times New Roman"/>
        </w:rPr>
        <w:t>TssA</w:t>
      </w:r>
      <w:proofErr w:type="spellEnd"/>
      <w:r w:rsidRPr="005B3F3B">
        <w:rPr>
          <w:rFonts w:ascii="Times New Roman" w:eastAsia="Times New Roman" w:hAnsi="Times New Roman" w:cs="Times New Roman"/>
        </w:rPr>
        <w:t xml:space="preserve">). Enrichment of flanking TSS states was observed in the anterior caudate, dorsolateral prefrontal cortex, angular gyrus, and hippocampus (all </w:t>
      </w:r>
      <w:r w:rsidRPr="005B3F3B">
        <w:rPr>
          <w:rFonts w:ascii="Times New Roman" w:eastAsia="Times New Roman" w:hAnsi="Times New Roman" w:cs="Times New Roman"/>
          <w:i/>
          <w:iCs/>
        </w:rPr>
        <w:t>P</w:t>
      </w:r>
      <w:r w:rsidRPr="005B3F3B">
        <w:rPr>
          <w:rFonts w:ascii="Times New Roman" w:eastAsia="Times New Roman" w:hAnsi="Times New Roman" w:cs="Times New Roman"/>
          <w:vertAlign w:val="subscript"/>
        </w:rPr>
        <w:t>FDR</w:t>
      </w:r>
      <w:r w:rsidRPr="005B3F3B">
        <w:rPr>
          <w:rFonts w:ascii="Times New Roman" w:eastAsia="Times New Roman" w:hAnsi="Times New Roman" w:cs="Times New Roman"/>
        </w:rPr>
        <w:t xml:space="preserve"> &lt; 0.05; odds ratios 2.9–3.5; </w:t>
      </w:r>
      <w:r w:rsidRPr="005B3F3B">
        <w:rPr>
          <w:rFonts w:ascii="Times New Roman" w:eastAsia="Times New Roman" w:hAnsi="Times New Roman" w:cs="Times New Roman"/>
          <w:b/>
        </w:rPr>
        <w:t xml:space="preserve">Fig. </w:t>
      </w:r>
      <w:r w:rsidR="00F850DE">
        <w:rPr>
          <w:rFonts w:ascii="Times New Roman" w:eastAsia="Times New Roman" w:hAnsi="Times New Roman" w:cs="Times New Roman"/>
          <w:b/>
        </w:rPr>
        <w:t>4c</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b/>
        </w:rPr>
        <w:t>Table S8</w:t>
      </w:r>
      <w:r w:rsidRPr="005B3F3B">
        <w:rPr>
          <w:rFonts w:ascii="Times New Roman" w:eastAsia="Times New Roman" w:hAnsi="Times New Roman" w:cs="Times New Roman"/>
        </w:rPr>
        <w:t>), whereas active promoter states were consistently depleted across multiple cortical and subcortical regions, including the angular gyrus, inferior temporal lobe, cingulate cortex, and foetal brain tissues. Additional enrichment was observed for enhancer elements in the angular gyrus. Histone mark analyses were concordant, showing significant enrichment of H3K4me1, a canonical enhancer-associated modification, in the dorsolateral prefrontal cortex, anterior caudate, and angular gyrus (</w:t>
      </w:r>
      <w:r w:rsidRPr="005B3F3B">
        <w:rPr>
          <w:rFonts w:ascii="Times New Roman" w:eastAsia="Times New Roman" w:hAnsi="Times New Roman" w:cs="Times New Roman"/>
          <w:b/>
        </w:rPr>
        <w:t>Table S9</w:t>
      </w:r>
      <w:r w:rsidRPr="005B3F3B">
        <w:rPr>
          <w:rFonts w:ascii="Times New Roman" w:eastAsia="Times New Roman" w:hAnsi="Times New Roman" w:cs="Times New Roman"/>
        </w:rPr>
        <w:t>). Together, these findings indicate that CT-associated CpGs preferentially localise to enhancer and TSS-flanking regulatory elements, consistent with context-dependent modulation of gene expression rather than constitutive promoter activity.</w:t>
      </w:r>
    </w:p>
    <w:p w14:paraId="66165DD2" w14:textId="77777777" w:rsidR="00CC3B58" w:rsidRPr="005B3F3B" w:rsidRDefault="00CC3B58" w:rsidP="005B3F3B">
      <w:pPr>
        <w:spacing w:line="360" w:lineRule="auto"/>
        <w:ind w:left="0"/>
        <w:jc w:val="both"/>
        <w:rPr>
          <w:rFonts w:ascii="Times New Roman" w:eastAsia="Times New Roman" w:hAnsi="Times New Roman" w:cs="Times New Roman"/>
        </w:rPr>
      </w:pPr>
    </w:p>
    <w:p w14:paraId="031A1C68"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In contrast, SA-associated CpGs showed no enrichment for active chromatin states but were enriched for the repressive mark H3K27me3 in the brain germinal matrix (</w:t>
      </w:r>
      <w:r w:rsidRPr="005B3F3B">
        <w:rPr>
          <w:rFonts w:ascii="Times New Roman" w:eastAsia="Times New Roman" w:hAnsi="Times New Roman" w:cs="Times New Roman"/>
          <w:i/>
        </w:rPr>
        <w:t>P</w:t>
      </w:r>
      <w:r w:rsidRPr="005B3F3B">
        <w:rPr>
          <w:rFonts w:ascii="Times New Roman" w:eastAsia="Times New Roman" w:hAnsi="Times New Roman" w:cs="Times New Roman"/>
          <w:i/>
          <w:vertAlign w:val="subscript"/>
        </w:rPr>
        <w:t>FDR</w:t>
      </w:r>
      <w:r w:rsidRPr="005B3F3B">
        <w:rPr>
          <w:rFonts w:ascii="Times New Roman" w:eastAsia="Times New Roman" w:hAnsi="Times New Roman" w:cs="Times New Roman"/>
        </w:rPr>
        <w:t xml:space="preserve"> = 0.044), implicating </w:t>
      </w:r>
      <w:proofErr w:type="spellStart"/>
      <w:r w:rsidRPr="005B3F3B">
        <w:rPr>
          <w:rFonts w:ascii="Times New Roman" w:eastAsia="Times New Roman" w:hAnsi="Times New Roman" w:cs="Times New Roman"/>
        </w:rPr>
        <w:t>polycomb</w:t>
      </w:r>
      <w:proofErr w:type="spellEnd"/>
      <w:r w:rsidRPr="005B3F3B">
        <w:rPr>
          <w:rFonts w:ascii="Times New Roman" w:eastAsia="Times New Roman" w:hAnsi="Times New Roman" w:cs="Times New Roman"/>
        </w:rPr>
        <w:t>-mediated repression during early neurodevelopment. These results support distinct epigenetic architectures for CT and SA, with CT reflecting regulatory activity in differentiated cortical regions and SA reflecting earlier developmental programmes.</w:t>
      </w:r>
    </w:p>
    <w:p w14:paraId="1BC07077" w14:textId="77777777" w:rsidR="00CC3B58" w:rsidRPr="005B3F3B" w:rsidRDefault="00CC3B58" w:rsidP="005B3F3B">
      <w:pPr>
        <w:spacing w:line="360" w:lineRule="auto"/>
        <w:ind w:left="0"/>
        <w:jc w:val="both"/>
        <w:rPr>
          <w:rFonts w:ascii="Times New Roman" w:eastAsia="Times New Roman" w:hAnsi="Times New Roman" w:cs="Times New Roman"/>
        </w:rPr>
      </w:pPr>
    </w:p>
    <w:p w14:paraId="40A73EEE" w14:textId="1EE331BB"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rPr>
        <w:t>Tissue-specific gene expression:</w:t>
      </w:r>
      <w:r w:rsidRPr="005B3F3B">
        <w:rPr>
          <w:rFonts w:ascii="Times New Roman" w:eastAsia="Times New Roman" w:hAnsi="Times New Roman" w:cs="Times New Roman"/>
        </w:rPr>
        <w:t xml:space="preserve"> Tissue-specific expression analyses using FUMA</w:t>
      </w:r>
      <w:r w:rsidRPr="005B3F3B">
        <w:rPr>
          <w:rFonts w:ascii="Times New Roman" w:eastAsia="Times New Roman" w:hAnsi="Times New Roman" w:cs="Times New Roman"/>
        </w:rPr>
        <w:fldChar w:fldCharType="begin"/>
      </w:r>
      <w:r w:rsidR="00501D77" w:rsidRPr="005B3F3B">
        <w:rPr>
          <w:rFonts w:ascii="Times New Roman" w:eastAsia="Times New Roman" w:hAnsi="Times New Roman" w:cs="Times New Roman"/>
        </w:rPr>
        <w:instrText xml:space="preserve"> ADDIN ZOTERO_ITEM CSL_CITATION {"citationID":"lk7TUc3K","properties":{"formattedCitation":"\\super 36\\nosupersub{}","plainCitation":"36","noteIndex":0},"citationItems":[{"id":4489,"uris":["http://zotero.org/users/6242458/items/46L4BH5T"],"itemData":{"id":4489,"type":"article-journal","abstract":"A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Commun","language":"en","license":"2017 The Author(s)","note":"number: 1","page":"1826","publisher":"Nature Publishing Group","source":"www.nature.com","title":"Functional mapping and annotation of genetic associations with FUMA","volume":"8","author":[{"family":"Watanabe","given":"Kyoko"},{"family":"Taskesen","given":"Erdogan"},{"family":"Bochoven","given":"Arjen","non-dropping-particle":"van"},{"family":"Posthuma","given":"Danielle"}],"issued":{"date-parts":[["2017",11,28]]}}}],"schema":"https://github.com/citation-style-language/schema/raw/master/csl-citation.json"} </w:instrText>
      </w:r>
      <w:r w:rsidRPr="005B3F3B">
        <w:rPr>
          <w:rFonts w:ascii="Times New Roman" w:eastAsia="Times New Roman" w:hAnsi="Times New Roman" w:cs="Times New Roman"/>
        </w:rPr>
        <w:fldChar w:fldCharType="separate"/>
      </w:r>
      <w:r w:rsidR="00501D77" w:rsidRPr="005B3F3B">
        <w:rPr>
          <w:rFonts w:ascii="Times New Roman" w:hAnsi="Times New Roman" w:cs="Times New Roman"/>
          <w:vertAlign w:val="superscript"/>
        </w:rPr>
        <w:t>36</w:t>
      </w:r>
      <w:r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revealed marked differences between CT and SA (</w:t>
      </w:r>
      <w:r w:rsidR="00F850DE" w:rsidRPr="005B3F3B">
        <w:rPr>
          <w:rFonts w:ascii="Times New Roman" w:eastAsia="Times New Roman" w:hAnsi="Times New Roman" w:cs="Times New Roman"/>
          <w:b/>
        </w:rPr>
        <w:t xml:space="preserve">Fig. </w:t>
      </w:r>
      <w:r w:rsidR="00F850DE">
        <w:rPr>
          <w:rFonts w:ascii="Times New Roman" w:eastAsia="Times New Roman" w:hAnsi="Times New Roman" w:cs="Times New Roman"/>
          <w:b/>
        </w:rPr>
        <w:t>S5</w:t>
      </w:r>
      <w:r w:rsidRPr="005B3F3B">
        <w:rPr>
          <w:rFonts w:ascii="Times New Roman" w:eastAsia="Times New Roman" w:hAnsi="Times New Roman" w:cs="Times New Roman"/>
        </w:rPr>
        <w:t xml:space="preserve">). Genes mapped to CT-associated CpGs showed strong enrichment in brain tissues, alongside significant enrichment in blood and multiple peripheral tissues, suggesting systemic coordination. Directionality-stratified analyses indicated that CT-associated CpGs preferentially index genes that are relatively downregulated </w:t>
      </w:r>
      <w:r w:rsidRPr="005B3F3B">
        <w:rPr>
          <w:rFonts w:ascii="Times New Roman" w:eastAsia="Times New Roman" w:hAnsi="Times New Roman" w:cs="Times New Roman"/>
        </w:rPr>
        <w:lastRenderedPageBreak/>
        <w:t>across all brain tissues, heart, blood, liver, colon, kidney, and spleen, whereas enrichment for upregulated genes was limited to adipose, lung, and vagina. This pattern suggests that CT-associated epigenetic variation predominantly reflects repressive or fine-tuning transcriptional programmes, consistent with enhancer-mediated regulation. These expression profiles converge on a multiorgan regulatory network spanning neural, cardiovascular, metabolic, renal, and immune systems, aligning with emerging frameworks linking chronic inflammation, cardiometabolic-renal dysfunction, premature mortality, mental health, and dementia risk</w:t>
      </w:r>
      <w:r w:rsidRPr="005B3F3B">
        <w:rPr>
          <w:rFonts w:ascii="Times New Roman" w:eastAsia="Times New Roman" w:hAnsi="Times New Roman" w:cs="Times New Roman"/>
        </w:rPr>
        <w:fldChar w:fldCharType="begin"/>
      </w:r>
      <w:r w:rsidR="00501D77" w:rsidRPr="005B3F3B">
        <w:rPr>
          <w:rFonts w:ascii="Times New Roman" w:eastAsia="Times New Roman" w:hAnsi="Times New Roman" w:cs="Times New Roman"/>
        </w:rPr>
        <w:instrText xml:space="preserve"> ADDIN ZOTERO_ITEM CSL_CITATION {"citationID":"nOKbCQkj","properties":{"formattedCitation":"\\super 37,38\\nosupersub{}","plainCitation":"37,38","noteIndex":0},"citationItems":[{"id":6740,"uris":["http://zotero.org/users/6242458/items/XDDT9VIR"],"itemData":{"id":6740,"type":"article-journal","abstract":"BACKGROUND: Cardiovascular-Kidney-Metabolic Syndrome (CKM) has profound impacts on cardiovascular events and mortality, yet its association with dementia risk remains poorly understood.\nOBJECTIVES: To investigate associations between CKM and dementia risk.\nDESIGN: The prospective cohort study is within the Health, Aging, and Body Composition study, which enrolled participants from 1997 to 1998, with a 15-year follow-up for incident dementia.\nSETTING: The population-based study took place in two US communities in Memphis, Tennessee, and Pittsburgh, Pennsylvania.\nPARTICIPANTS: Of the 3,075 participants aged 70 to 79 years initially enrolled, 14 were excluded for lacking baseline cognitive assessment, 308 for baseline cognitive impairment, 4 for missing follow-up, and 108 for missing CKM data, resulting in 2,641 in the analysis.\nMEASUREMENTS: CKM staging, as defined recently by the American Heart Association framework, was based on constructs comprising dysfunctional adiposity, metabolic risk factors, chronic kidney disease (CKD), and cardiovascular disease (CVD). Dementia was identified using hospital records, prescriptions for dementia medication, and a test of global cognition. Adjusted Cox and Fine-Gray proportional hazards models were used to estimate dementia risk and account for competing risk of death.\nRESULTS: The 2,641 participants had a mean (SD) age of 74 (2.8) years at baseline; 53 % were female, 36 % were of Black race, and had a range of baseline CKM: 3 % Stage 0 (no CKM), 4 % Stage 1 (excess/dysfunctional adiposity), 26 % Stage 2 (metabolic risk factors), 24 % Stage 3 (subclinical CVD and CKD), and 43 % Stage 4 (clinical CVD and CKD). Compared to participants with CKM Stages 0-2, those with CKM Stages 3-4 had a 50 % increase in dementia risk (hazard ratio 1.50, 95 % CI 1.20 to 1.86) in the fully adjusted model. The association remained significant after additional adjustment for metabolic risk factors, CVD, and CKD, both separately and together. Accounting for competing risk of death yielded similar results.\nCONCLUSIONS: Among community-dwelling older adults, advanced CKM is associated with an increased risk of dementia. Older adults with CKM may need to be followed closely for adverse cognitive outcomes, and modifiable risk factors should be managed proactively.","container-title":"The Journal of Prevention of Alzheimer's Disease","DOI":"10.1016/j.tjpad.2025.100112","ISSN":"2426-0266","issue":"5","journalAbbreviation":"J Prev Alzheimers Dis","language":"eng","page":"100112","PMID":"40044514","PMCID":"PMC12184011","source":"PubMed","title":"Cardiovascular-kidney-metabolic syndrome and incidence of dementia among older adults","volume":"12","author":[{"family":"Jiang","given":"Xiaqing"},{"family":"Bahorik","given":"Amber L."},{"family":"Dintica","given":"Christina S."},{"family":"Yaffe","given":"Kristine"}],"issued":{"date-parts":[["2025",5]]}}},{"id":6738,"uris":["http://zotero.org/users/6242458/items/9VK5UCV7"],"itemData":{"id":6738,"type":"article-journal","abstract":"A growing appreciation of the pathophysiological interrelatedness of metabolic risk factors such as obesity and diabetes, chronic kidney disease, and cardiovascular disease has led to the conceptualization of cardiovascular-kidney-metabolic syndrome. The confluence of metabolic risk factors and chronic kidney disease within cardiovascular-kidney-metabolic syndrome is strongly linked to risk for adverse cardiovascular and kidney outcomes. In addition, there are unique management considerations for individuals with established cardiovascular disease and coexisting metabolic risk factors, chronic kidney disease, or both. An extensive body of literature supports our scientific understanding of, and approach to, prevention and management for individuals with cardiovascular-kidney-metabolic syndrome. However, there are critical gaps in knowledge related to cardiovascular-kidney-metabolic syndrome in terms of mechanisms of disease development, heterogeneity within clinical phenotypes, interplay between social determinants of health and biological risk factors, and accurate assessments of disease incidence in the context of competing risks. There are also key limitations in the data supporting the clinical care for cardiovascular-kidney-metabolic syndrome, particularly in terms of early-life prevention, screening for risk factors, interdisciplinary care models, optimal strategies for supporting lifestyle modification and weight loss, targeting of emerging cardioprotective and kidney-protective therapies, management of patients with both cardiovascular disease and chronic kidney disease, and the impact of systematically assessing and addressing social determinants of health. This scientific statement uses a crosswalk of major guidelines, in addition to a review of the scientific literature, to summarize the evidence and fundamental gaps related to the science, screening, prevention, and management of cardiovascular-kidney-metabolic syndrome.","container-title":"Circulation","DOI":"10.1161/CIR.0000000000001186","ISSN":"1524-4539","issue":"20","journalAbbreviation":"Circulation","language":"eng","page":"1636-1664","PMID":"37807920","source":"PubMed","title":"A Synopsis of the Evidence for the Science and Clinical Management of Cardiovascular-Kidney-Metabolic (CKM) Syndrome: A Scientific Statement From the American Heart Association","title-short":"A Synopsis of the Evidence for the Science and Clinical Management of Cardiovascular-Kidney-Metabolic (CKM) Syndrome","volume":"148","author":[{"family":"Ndumele","given":"Chiadi E."},{"family":"Neeland","given":"Ian J."},{"family":"Tuttle","given":"Katherine R."},{"family":"Chow","given":"Sheryl L."},{"family":"Mathew","given":"Roy O."},{"family":"Khan","given":"Sadiya S."},{"family":"Coresh","given":"Josef"},{"family":"Baker-Smith","given":"Carissa M."},{"family":"Carnethon","given":"Mercedes R."},{"family":"Després","given":"Jean-Pierre"},{"family":"Ho","given":"Jennifer E."},{"family":"Joseph","given":"Joshua J."},{"family":"Kernan","given":"Walter N."},{"family":"Khera","given":"Amit"},{"family":"Kosiborod","given":"Mikhail N."},{"family":"Lekavich","given":"Carolyn L."},{"family":"Lewis","given":"Eldrin F."},{"family":"Lo","given":"Kevin B."},{"family":"Ozkan","given":"Bige"},{"family":"Palaniappan","given":"Latha P."},{"family":"Patel","given":"Sonali S."},{"family":"Pencina","given":"Michael J."},{"family":"Powell-Wiley","given":"Tiffany M."},{"family":"Sperling","given":"Laurence S."},{"family":"Virani","given":"Salim S."},{"family":"Wright","given":"Jackson T."},{"family":"Rajgopal Singh","given":"Radhika"},{"family":"Elkind","given":"Mitchell S. V."},{"family":"Rangaswami","given":"Janani"},{"literal":"American Heart Association"}],"issued":{"date-parts":[["2023",11,14]]}}}],"schema":"https://github.com/citation-style-language/schema/raw/master/csl-citation.json"} </w:instrText>
      </w:r>
      <w:r w:rsidRPr="005B3F3B">
        <w:rPr>
          <w:rFonts w:ascii="Times New Roman" w:eastAsia="Times New Roman" w:hAnsi="Times New Roman" w:cs="Times New Roman"/>
        </w:rPr>
        <w:fldChar w:fldCharType="separate"/>
      </w:r>
      <w:r w:rsidR="00501D77" w:rsidRPr="005B3F3B">
        <w:rPr>
          <w:rFonts w:ascii="Times New Roman" w:hAnsi="Times New Roman" w:cs="Times New Roman"/>
          <w:vertAlign w:val="superscript"/>
        </w:rPr>
        <w:t>37,38</w:t>
      </w:r>
      <w:r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w:t>
      </w:r>
      <w:r w:rsidRPr="005B3F3B">
        <w:rPr>
          <w:rFonts w:ascii="Times New Roman" w:eastAsia="Times New Roman" w:hAnsi="Times New Roman" w:cs="Times New Roman"/>
          <w:highlight w:val="yellow"/>
        </w:rPr>
        <w:t xml:space="preserve"> </w:t>
      </w:r>
      <w:r w:rsidRPr="005B3F3B">
        <w:rPr>
          <w:rFonts w:ascii="Times New Roman" w:eastAsia="Times New Roman" w:hAnsi="Times New Roman" w:cs="Times New Roman"/>
        </w:rPr>
        <w:t xml:space="preserve"> In contrast, genes mapped to SA-associated CpGs showed weaker and more restricted tissue-specific enrichment, with preferential downregulation in blood, heart, liver, and basal ganglia, consistent with a more developmentally constrained transcriptional footprint.</w:t>
      </w:r>
      <w:r w:rsidRPr="005B3F3B" w:rsidDel="00FC291D">
        <w:rPr>
          <w:rFonts w:ascii="Times New Roman" w:eastAsia="Times New Roman" w:hAnsi="Times New Roman" w:cs="Times New Roman"/>
        </w:rPr>
        <w:t xml:space="preserve"> </w:t>
      </w:r>
    </w:p>
    <w:p w14:paraId="6B25F5B1" w14:textId="77777777" w:rsidR="00CC3B58" w:rsidRPr="005B3F3B" w:rsidRDefault="00CC3B58" w:rsidP="005B3F3B">
      <w:pPr>
        <w:spacing w:line="360" w:lineRule="auto"/>
        <w:ind w:left="0"/>
        <w:jc w:val="both"/>
        <w:rPr>
          <w:rFonts w:ascii="Times New Roman" w:eastAsia="Times New Roman" w:hAnsi="Times New Roman" w:cs="Times New Roman"/>
        </w:rPr>
      </w:pPr>
    </w:p>
    <w:p w14:paraId="2A4F8136"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rPr>
        <w:t xml:space="preserve">DNAm-gene expression </w:t>
      </w:r>
      <w:sdt>
        <w:sdtPr>
          <w:rPr>
            <w:rFonts w:ascii="Times New Roman" w:hAnsi="Times New Roman" w:cs="Times New Roman"/>
          </w:rPr>
          <w:tag w:val="goog_rdk_105"/>
          <w:id w:val="-1761693625"/>
        </w:sdtPr>
        <w:sdtEndPr/>
        <w:sdtContent/>
      </w:sdt>
      <w:sdt>
        <w:sdtPr>
          <w:rPr>
            <w:rFonts w:ascii="Times New Roman" w:hAnsi="Times New Roman" w:cs="Times New Roman"/>
          </w:rPr>
          <w:tag w:val="goog_rdk_106"/>
          <w:id w:val="-1074085663"/>
        </w:sdtPr>
        <w:sdtEndPr/>
        <w:sdtContent/>
      </w:sdt>
      <w:r w:rsidRPr="005B3F3B">
        <w:rPr>
          <w:rFonts w:ascii="Times New Roman" w:eastAsia="Times New Roman" w:hAnsi="Times New Roman" w:cs="Times New Roman"/>
          <w:i/>
          <w:iCs/>
        </w:rPr>
        <w:t xml:space="preserve">correlations: </w:t>
      </w:r>
      <w:r w:rsidRPr="005B3F3B">
        <w:rPr>
          <w:rFonts w:ascii="Times New Roman" w:eastAsia="Times New Roman" w:hAnsi="Times New Roman" w:cs="Times New Roman"/>
        </w:rPr>
        <w:t>We further assessed correlations between DNA methylation and gene expression across six tissues using EWAS Toolkit data derived from TCGA cohorts (</w:t>
      </w:r>
      <w:r w:rsidRPr="005B3F3B">
        <w:rPr>
          <w:rFonts w:ascii="Times New Roman" w:eastAsia="Times New Roman" w:hAnsi="Times New Roman" w:cs="Times New Roman"/>
          <w:b/>
        </w:rPr>
        <w:t>Table S10</w:t>
      </w:r>
      <w:r w:rsidRPr="005B3F3B">
        <w:rPr>
          <w:rFonts w:ascii="Times New Roman" w:eastAsia="Times New Roman" w:hAnsi="Times New Roman" w:cs="Times New Roman"/>
        </w:rPr>
        <w:t xml:space="preserve">). Several </w:t>
      </w:r>
      <w:r w:rsidRPr="005B3F3B">
        <w:rPr>
          <w:rFonts w:ascii="Times New Roman" w:eastAsia="Times New Roman" w:hAnsi="Times New Roman" w:cs="Times New Roman"/>
          <w:bCs/>
        </w:rPr>
        <w:t>replicated CT-associated CpGs</w:t>
      </w:r>
      <w:r w:rsidRPr="005B3F3B">
        <w:rPr>
          <w:rFonts w:ascii="Times New Roman" w:eastAsia="Times New Roman" w:hAnsi="Times New Roman" w:cs="Times New Roman"/>
        </w:rPr>
        <w:t xml:space="preserve"> showed robust transcriptional coupling. The </w:t>
      </w:r>
      <w:r w:rsidRPr="005B3F3B">
        <w:rPr>
          <w:rFonts w:ascii="Times New Roman" w:eastAsia="Times New Roman" w:hAnsi="Times New Roman" w:cs="Times New Roman"/>
          <w:bCs/>
        </w:rPr>
        <w:t>replicated promoter CpG cg12303084 (</w:t>
      </w:r>
      <w:r w:rsidRPr="005B3F3B">
        <w:rPr>
          <w:rFonts w:ascii="Times New Roman" w:eastAsia="Times New Roman" w:hAnsi="Times New Roman" w:cs="Times New Roman"/>
          <w:bCs/>
          <w:i/>
        </w:rPr>
        <w:t>ZMYND8</w:t>
      </w:r>
      <w:r w:rsidRPr="005B3F3B">
        <w:rPr>
          <w:rFonts w:ascii="Times New Roman" w:eastAsia="Times New Roman" w:hAnsi="Times New Roman" w:cs="Times New Roman"/>
          <w:bCs/>
        </w:rPr>
        <w:t xml:space="preserve">), </w:t>
      </w:r>
      <w:r w:rsidRPr="005B3F3B">
        <w:rPr>
          <w:rFonts w:ascii="Times New Roman" w:eastAsia="Times New Roman" w:hAnsi="Times New Roman" w:cs="Times New Roman"/>
        </w:rPr>
        <w:t>also implicated via DMR analysis</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showed consistent </w:t>
      </w:r>
      <w:r w:rsidRPr="005B3F3B">
        <w:rPr>
          <w:rFonts w:ascii="Times New Roman" w:eastAsia="Times New Roman" w:hAnsi="Times New Roman" w:cs="Times New Roman"/>
          <w:bCs/>
        </w:rPr>
        <w:t xml:space="preserve">inverse correlations with expression across </w:t>
      </w:r>
      <w:r w:rsidRPr="005B3F3B">
        <w:rPr>
          <w:rFonts w:ascii="Times New Roman" w:eastAsia="Times New Roman" w:hAnsi="Times New Roman" w:cs="Times New Roman"/>
        </w:rPr>
        <w:t xml:space="preserve">brain, liver, colon, and stomach, with a positive association in testis, indicating tissue-specific regulation. The </w:t>
      </w:r>
      <w:r w:rsidRPr="005B3F3B">
        <w:rPr>
          <w:rFonts w:ascii="Times New Roman" w:eastAsia="Times New Roman" w:hAnsi="Times New Roman" w:cs="Times New Roman"/>
          <w:bCs/>
        </w:rPr>
        <w:t>gene-body CpG cg01015663 (</w:t>
      </w:r>
      <w:r w:rsidRPr="005B3F3B">
        <w:rPr>
          <w:rFonts w:ascii="Times New Roman" w:eastAsia="Times New Roman" w:hAnsi="Times New Roman" w:cs="Times New Roman"/>
          <w:bCs/>
          <w:i/>
        </w:rPr>
        <w:t>TCEA3</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showed a strong </w:t>
      </w:r>
      <w:r w:rsidRPr="005B3F3B">
        <w:rPr>
          <w:rFonts w:ascii="Times New Roman" w:eastAsia="Times New Roman" w:hAnsi="Times New Roman" w:cs="Times New Roman"/>
          <w:bCs/>
        </w:rPr>
        <w:t>inverse correlation with expression in the brain</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i/>
          <w:iCs/>
        </w:rPr>
        <w:t>r</w:t>
      </w:r>
      <w:r w:rsidRPr="005B3F3B">
        <w:rPr>
          <w:rFonts w:ascii="Times New Roman" w:eastAsia="Times New Roman" w:hAnsi="Times New Roman" w:cs="Times New Roman"/>
        </w:rPr>
        <w:t xml:space="preserve"> = -0.671), alongside positive correlations in liver and testis, while </w:t>
      </w:r>
      <w:r w:rsidRPr="005B3F3B">
        <w:rPr>
          <w:rFonts w:ascii="Times New Roman" w:eastAsia="Times New Roman" w:hAnsi="Times New Roman" w:cs="Times New Roman"/>
          <w:bCs/>
        </w:rPr>
        <w:t>cg03636183 (</w:t>
      </w:r>
      <w:r w:rsidRPr="005B3F3B">
        <w:rPr>
          <w:rFonts w:ascii="Times New Roman" w:eastAsia="Times New Roman" w:hAnsi="Times New Roman" w:cs="Times New Roman"/>
          <w:bCs/>
          <w:i/>
        </w:rPr>
        <w:t>F2RL3</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showed inverse association in the brain and positive associations in testis and kidney. </w:t>
      </w:r>
    </w:p>
    <w:p w14:paraId="471CBC79" w14:textId="77777777" w:rsidR="00CC3B58" w:rsidRPr="005B3F3B" w:rsidRDefault="00CC3B58" w:rsidP="005B3F3B">
      <w:pPr>
        <w:spacing w:line="360" w:lineRule="auto"/>
        <w:ind w:left="0"/>
        <w:jc w:val="both"/>
        <w:rPr>
          <w:rFonts w:ascii="Times New Roman" w:eastAsia="Times New Roman" w:hAnsi="Times New Roman" w:cs="Times New Roman"/>
        </w:rPr>
      </w:pPr>
    </w:p>
    <w:p w14:paraId="34774F37" w14:textId="77777777" w:rsidR="00CC3B58" w:rsidRPr="005B3F3B" w:rsidRDefault="00CC3B58" w:rsidP="005B3F3B">
      <w:pPr>
        <w:spacing w:line="360" w:lineRule="auto"/>
        <w:ind w:left="0"/>
        <w:jc w:val="both"/>
        <w:rPr>
          <w:rFonts w:ascii="Times New Roman" w:eastAsia="Times New Roman" w:hAnsi="Times New Roman" w:cs="Times New Roman"/>
          <w:i/>
          <w:iCs/>
        </w:rPr>
      </w:pPr>
      <w:r w:rsidRPr="005B3F3B">
        <w:rPr>
          <w:rFonts w:ascii="Times New Roman" w:eastAsia="Times New Roman" w:hAnsi="Times New Roman" w:cs="Times New Roman"/>
        </w:rPr>
        <w:t xml:space="preserve">Several </w:t>
      </w:r>
      <w:r w:rsidRPr="005B3F3B">
        <w:rPr>
          <w:rFonts w:ascii="Times New Roman" w:eastAsia="Times New Roman" w:hAnsi="Times New Roman" w:cs="Times New Roman"/>
          <w:bCs/>
        </w:rPr>
        <w:t>DMR-associated CT CpGs</w:t>
      </w:r>
      <w:r w:rsidRPr="005B3F3B">
        <w:rPr>
          <w:rFonts w:ascii="Times New Roman" w:eastAsia="Times New Roman" w:hAnsi="Times New Roman" w:cs="Times New Roman"/>
        </w:rPr>
        <w:t xml:space="preserve"> also showed transcriptional coupling, including </w:t>
      </w:r>
      <w:r w:rsidRPr="005B3F3B">
        <w:rPr>
          <w:rFonts w:ascii="Times New Roman" w:eastAsia="Times New Roman" w:hAnsi="Times New Roman" w:cs="Times New Roman"/>
          <w:bCs/>
        </w:rPr>
        <w:t>cg14284211 (</w:t>
      </w:r>
      <w:r w:rsidRPr="005B3F3B">
        <w:rPr>
          <w:rFonts w:ascii="Times New Roman" w:eastAsia="Times New Roman" w:hAnsi="Times New Roman" w:cs="Times New Roman"/>
          <w:bCs/>
          <w:i/>
        </w:rPr>
        <w:t>FKBP5</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bCs/>
        </w:rPr>
        <w:t>cg00024404 (</w:t>
      </w:r>
      <w:r w:rsidRPr="005B3F3B">
        <w:rPr>
          <w:rFonts w:ascii="Times New Roman" w:eastAsia="Times New Roman" w:hAnsi="Times New Roman" w:cs="Times New Roman"/>
          <w:bCs/>
          <w:i/>
        </w:rPr>
        <w:t>SERINC5</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and </w:t>
      </w:r>
      <w:r w:rsidRPr="005B3F3B">
        <w:rPr>
          <w:rFonts w:ascii="Times New Roman" w:eastAsia="Times New Roman" w:hAnsi="Times New Roman" w:cs="Times New Roman"/>
          <w:bCs/>
        </w:rPr>
        <w:t>cg13127741 (</w:t>
      </w:r>
      <w:r w:rsidRPr="005B3F3B">
        <w:rPr>
          <w:rFonts w:ascii="Times New Roman" w:eastAsia="Times New Roman" w:hAnsi="Times New Roman" w:cs="Times New Roman"/>
          <w:bCs/>
          <w:i/>
        </w:rPr>
        <w:t>COMMD7</w:t>
      </w:r>
      <w:r w:rsidRPr="005B3F3B">
        <w:rPr>
          <w:rFonts w:ascii="Times New Roman" w:eastAsia="Times New Roman" w:hAnsi="Times New Roman" w:cs="Times New Roman"/>
          <w:bCs/>
        </w:rPr>
        <w:t>), with</w:t>
      </w:r>
      <w:r w:rsidRPr="005B3F3B">
        <w:rPr>
          <w:rFonts w:ascii="Times New Roman" w:eastAsia="Times New Roman" w:hAnsi="Times New Roman" w:cs="Times New Roman"/>
        </w:rPr>
        <w:t xml:space="preserve"> predominantly inverse correlations at promoter-associated loci, consistent with canonical models of methylation-mediated repression.</w:t>
      </w:r>
      <w:r w:rsidRPr="005B3F3B">
        <w:rPr>
          <w:rFonts w:ascii="Times New Roman" w:eastAsia="Times New Roman" w:hAnsi="Times New Roman" w:cs="Times New Roman"/>
          <w:i/>
          <w:iCs/>
        </w:rPr>
        <w:t xml:space="preserve"> </w:t>
      </w:r>
      <w:r w:rsidRPr="005B3F3B">
        <w:rPr>
          <w:rFonts w:ascii="Times New Roman" w:eastAsia="Times New Roman" w:hAnsi="Times New Roman" w:cs="Times New Roman"/>
        </w:rPr>
        <w:t xml:space="preserve">For </w:t>
      </w:r>
      <w:r w:rsidRPr="005B3F3B">
        <w:rPr>
          <w:rFonts w:ascii="Times New Roman" w:eastAsia="Times New Roman" w:hAnsi="Times New Roman" w:cs="Times New Roman"/>
          <w:bCs/>
        </w:rPr>
        <w:t>SA</w:t>
      </w:r>
      <w:r w:rsidRPr="005B3F3B">
        <w:rPr>
          <w:rFonts w:ascii="Times New Roman" w:eastAsia="Times New Roman" w:hAnsi="Times New Roman" w:cs="Times New Roman"/>
        </w:rPr>
        <w:t xml:space="preserve">, although no replicated CpGs were identified, </w:t>
      </w:r>
      <w:r w:rsidRPr="005B3F3B">
        <w:rPr>
          <w:rFonts w:ascii="Times New Roman" w:eastAsia="Times New Roman" w:hAnsi="Times New Roman" w:cs="Times New Roman"/>
          <w:bCs/>
        </w:rPr>
        <w:t>DMR-associated loci such as</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bCs/>
        </w:rPr>
        <w:t>cg10016608 (</w:t>
      </w:r>
      <w:r w:rsidRPr="005B3F3B">
        <w:rPr>
          <w:rFonts w:ascii="Times New Roman" w:eastAsia="Times New Roman" w:hAnsi="Times New Roman" w:cs="Times New Roman"/>
          <w:bCs/>
          <w:i/>
        </w:rPr>
        <w:t>GAS2L2</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and </w:t>
      </w:r>
      <w:r w:rsidRPr="005B3F3B">
        <w:rPr>
          <w:rFonts w:ascii="Times New Roman" w:eastAsia="Times New Roman" w:hAnsi="Times New Roman" w:cs="Times New Roman"/>
          <w:bCs/>
        </w:rPr>
        <w:t>cg19832721 (</w:t>
      </w:r>
      <w:r w:rsidRPr="005B3F3B">
        <w:rPr>
          <w:rFonts w:ascii="Times New Roman" w:eastAsia="Times New Roman" w:hAnsi="Times New Roman" w:cs="Times New Roman"/>
          <w:bCs/>
          <w:i/>
        </w:rPr>
        <w:t>KANSL1</w:t>
      </w:r>
      <w:r w:rsidRPr="005B3F3B">
        <w:rPr>
          <w:rFonts w:ascii="Times New Roman" w:eastAsia="Times New Roman" w:hAnsi="Times New Roman" w:cs="Times New Roman"/>
          <w:bCs/>
        </w:rPr>
        <w:t>)</w:t>
      </w:r>
      <w:r w:rsidRPr="005B3F3B">
        <w:rPr>
          <w:rFonts w:ascii="Times New Roman" w:eastAsia="Times New Roman" w:hAnsi="Times New Roman" w:cs="Times New Roman"/>
        </w:rPr>
        <w:t xml:space="preserve"> showed notable tissue-specific associations. </w:t>
      </w:r>
    </w:p>
    <w:p w14:paraId="6026C1FA" w14:textId="77777777" w:rsidR="00CC3B58" w:rsidRPr="005B3F3B" w:rsidRDefault="00CC3B58" w:rsidP="005B3F3B">
      <w:pPr>
        <w:spacing w:line="360" w:lineRule="auto"/>
        <w:ind w:left="0"/>
        <w:jc w:val="both"/>
        <w:rPr>
          <w:rFonts w:ascii="Times New Roman" w:eastAsia="Times New Roman" w:hAnsi="Times New Roman" w:cs="Times New Roman"/>
        </w:rPr>
      </w:pPr>
    </w:p>
    <w:p w14:paraId="49EC7B39"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Together, these findings demonstrate that </w:t>
      </w:r>
      <w:r w:rsidRPr="005B3F3B">
        <w:rPr>
          <w:rFonts w:ascii="Times New Roman" w:eastAsia="Times New Roman" w:hAnsi="Times New Roman" w:cs="Times New Roman"/>
          <w:bCs/>
        </w:rPr>
        <w:t xml:space="preserve">replicated CT-associated CpGs –particularly those mapping to </w:t>
      </w:r>
      <w:r w:rsidRPr="005B3F3B">
        <w:rPr>
          <w:rFonts w:ascii="Times New Roman" w:eastAsia="Times New Roman" w:hAnsi="Times New Roman" w:cs="Times New Roman"/>
          <w:bCs/>
          <w:i/>
        </w:rPr>
        <w:t>ZMYND8</w:t>
      </w:r>
      <w:r w:rsidRPr="005B3F3B">
        <w:rPr>
          <w:rFonts w:ascii="Times New Roman" w:eastAsia="Times New Roman" w:hAnsi="Times New Roman" w:cs="Times New Roman"/>
          <w:bCs/>
        </w:rPr>
        <w:t xml:space="preserve">, </w:t>
      </w:r>
      <w:r w:rsidRPr="005B3F3B">
        <w:rPr>
          <w:rFonts w:ascii="Times New Roman" w:eastAsia="Times New Roman" w:hAnsi="Times New Roman" w:cs="Times New Roman"/>
          <w:bCs/>
          <w:i/>
        </w:rPr>
        <w:t>TCEA3</w:t>
      </w:r>
      <w:r w:rsidRPr="005B3F3B">
        <w:rPr>
          <w:rFonts w:ascii="Times New Roman" w:eastAsia="Times New Roman" w:hAnsi="Times New Roman" w:cs="Times New Roman"/>
          <w:bCs/>
        </w:rPr>
        <w:t xml:space="preserve">, and </w:t>
      </w:r>
      <w:r w:rsidRPr="005B3F3B">
        <w:rPr>
          <w:rFonts w:ascii="Times New Roman" w:eastAsia="Times New Roman" w:hAnsi="Times New Roman" w:cs="Times New Roman"/>
          <w:bCs/>
          <w:i/>
        </w:rPr>
        <w:t>F2RL3</w:t>
      </w:r>
      <w:r w:rsidRPr="005B3F3B">
        <w:rPr>
          <w:rFonts w:ascii="Times New Roman" w:eastAsia="Times New Roman" w:hAnsi="Times New Roman" w:cs="Times New Roman"/>
          <w:bCs/>
        </w:rPr>
        <w:t>– exhibit robust, tissue-dependent methylation-expression coupling</w:t>
      </w:r>
      <w:r w:rsidRPr="005B3F3B">
        <w:rPr>
          <w:rFonts w:ascii="Times New Roman" w:eastAsia="Times New Roman" w:hAnsi="Times New Roman" w:cs="Times New Roman"/>
        </w:rPr>
        <w:t>, supporting their functional relevance. The convergence of chromatin state, tissue-specific expression, and DNAm-expression correlation analyses underscores the biological plausibility of these loci in underlying interindividual variation in cortical structure.</w:t>
      </w:r>
    </w:p>
    <w:p w14:paraId="104006A9" w14:textId="77777777" w:rsidR="00CC3B58" w:rsidRPr="005B3F3B" w:rsidRDefault="00CC3B58" w:rsidP="005B3F3B">
      <w:pPr>
        <w:spacing w:line="360" w:lineRule="auto"/>
        <w:ind w:left="0"/>
        <w:jc w:val="both"/>
        <w:rPr>
          <w:rFonts w:ascii="Times New Roman" w:eastAsia="Times New Roman" w:hAnsi="Times New Roman" w:cs="Times New Roman"/>
        </w:rPr>
      </w:pPr>
    </w:p>
    <w:p w14:paraId="034C49C7" w14:textId="29642D9F"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bCs/>
          <w:i/>
        </w:rPr>
        <w:t>Pathway enrichment analyses:</w:t>
      </w:r>
      <w:r w:rsidRPr="005B3F3B">
        <w:rPr>
          <w:rFonts w:ascii="Times New Roman" w:eastAsia="Times New Roman" w:hAnsi="Times New Roman" w:cs="Times New Roman"/>
        </w:rPr>
        <w:t xml:space="preserve"> KEGG pathway enrichment analyses of genes annotated to CpGs associated with cortical morphology (</w:t>
      </w:r>
      <w:r w:rsidRPr="005B3F3B">
        <w:rPr>
          <w:rFonts w:ascii="Times New Roman" w:eastAsia="Times New Roman" w:hAnsi="Times New Roman" w:cs="Times New Roman"/>
          <w:i/>
          <w:iCs/>
        </w:rPr>
        <w:t>P</w:t>
      </w:r>
      <w:r w:rsidRPr="005B3F3B">
        <w:rPr>
          <w:rFonts w:ascii="Times New Roman" w:eastAsia="Times New Roman" w:hAnsi="Times New Roman" w:cs="Times New Roman"/>
        </w:rPr>
        <w:t xml:space="preserve"> &lt; 1×10</w:t>
      </w:r>
      <w:r w:rsidRPr="005B3F3B">
        <w:rPr>
          <w:rFonts w:ascii="Times New Roman" w:eastAsia="Times New Roman" w:hAnsi="Times New Roman" w:cs="Times New Roman"/>
          <w:vertAlign w:val="superscript"/>
        </w:rPr>
        <w:t>-5</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b/>
        </w:rPr>
        <w:t>Table S11</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b/>
        </w:rPr>
        <w:t xml:space="preserve">Fig. </w:t>
      </w:r>
      <w:r w:rsidR="00A958C7">
        <w:rPr>
          <w:rFonts w:ascii="Times New Roman" w:eastAsia="Times New Roman" w:hAnsi="Times New Roman" w:cs="Times New Roman"/>
          <w:b/>
        </w:rPr>
        <w:t>4d</w:t>
      </w:r>
      <w:r w:rsidRPr="005B3F3B">
        <w:rPr>
          <w:rFonts w:ascii="Times New Roman" w:eastAsia="Times New Roman" w:hAnsi="Times New Roman" w:cs="Times New Roman"/>
        </w:rPr>
        <w:t xml:space="preserve">) revealed marked differences between CT and SA. Genes linked to </w:t>
      </w:r>
      <w:r w:rsidRPr="005B3F3B">
        <w:rPr>
          <w:rFonts w:ascii="Times New Roman" w:eastAsia="Times New Roman" w:hAnsi="Times New Roman" w:cs="Times New Roman"/>
          <w:bCs/>
        </w:rPr>
        <w:t>CT-associated CpGs</w:t>
      </w:r>
      <w:r w:rsidRPr="005B3F3B">
        <w:rPr>
          <w:rFonts w:ascii="Times New Roman" w:eastAsia="Times New Roman" w:hAnsi="Times New Roman" w:cs="Times New Roman"/>
        </w:rPr>
        <w:t xml:space="preserve"> showed broad and robust enrichment across pathways related to </w:t>
      </w:r>
      <w:r w:rsidRPr="005B3F3B">
        <w:rPr>
          <w:rFonts w:ascii="Times New Roman" w:eastAsia="Times New Roman" w:hAnsi="Times New Roman" w:cs="Times New Roman"/>
          <w:bCs/>
        </w:rPr>
        <w:t>environmental sensing and detoxification</w:t>
      </w:r>
      <w:r w:rsidRPr="005B3F3B">
        <w:rPr>
          <w:rFonts w:ascii="Times New Roman" w:eastAsia="Times New Roman" w:hAnsi="Times New Roman" w:cs="Times New Roman"/>
        </w:rPr>
        <w:t xml:space="preserve"> (e.g. olfactory transduction, drug metabolism, metabolism of xenobiotics by cytochrome P450, glutathione metabolism), alongside </w:t>
      </w:r>
      <w:r w:rsidRPr="005B3F3B">
        <w:rPr>
          <w:rFonts w:ascii="Times New Roman" w:eastAsia="Times New Roman" w:hAnsi="Times New Roman" w:cs="Times New Roman"/>
          <w:bCs/>
        </w:rPr>
        <w:t>cellular signalling and neurobiological processes</w:t>
      </w:r>
      <w:r w:rsidRPr="005B3F3B">
        <w:rPr>
          <w:rFonts w:ascii="Times New Roman" w:eastAsia="Times New Roman" w:hAnsi="Times New Roman" w:cs="Times New Roman"/>
        </w:rPr>
        <w:t xml:space="preserve">, including </w:t>
      </w:r>
      <w:r w:rsidRPr="005B3F3B">
        <w:rPr>
          <w:rFonts w:ascii="Times New Roman" w:eastAsia="Times New Roman" w:hAnsi="Times New Roman" w:cs="Times New Roman"/>
          <w:bCs/>
        </w:rPr>
        <w:t>cell adhesion molecules, axon guidance, long-term potentiation</w:t>
      </w:r>
      <w:r w:rsidRPr="005B3F3B">
        <w:rPr>
          <w:rFonts w:ascii="Times New Roman" w:eastAsia="Times New Roman" w:hAnsi="Times New Roman" w:cs="Times New Roman"/>
        </w:rPr>
        <w:t xml:space="preserve">, and </w:t>
      </w:r>
      <w:proofErr w:type="spellStart"/>
      <w:r w:rsidRPr="005B3F3B">
        <w:rPr>
          <w:rFonts w:ascii="Times New Roman" w:eastAsia="Times New Roman" w:hAnsi="Times New Roman" w:cs="Times New Roman"/>
          <w:bCs/>
        </w:rPr>
        <w:t>Wnt</w:t>
      </w:r>
      <w:proofErr w:type="spellEnd"/>
      <w:r w:rsidRPr="005B3F3B">
        <w:rPr>
          <w:rFonts w:ascii="Times New Roman" w:eastAsia="Times New Roman" w:hAnsi="Times New Roman" w:cs="Times New Roman"/>
          <w:bCs/>
        </w:rPr>
        <w:t xml:space="preserve"> and Hedgehog signalling</w:t>
      </w:r>
      <w:r w:rsidRPr="005B3F3B">
        <w:rPr>
          <w:rFonts w:ascii="Times New Roman" w:eastAsia="Times New Roman" w:hAnsi="Times New Roman" w:cs="Times New Roman"/>
        </w:rPr>
        <w:t xml:space="preserve">. Additional enrichment was observed for pathways involved in </w:t>
      </w:r>
      <w:r w:rsidRPr="005B3F3B">
        <w:rPr>
          <w:rFonts w:ascii="Times New Roman" w:eastAsia="Times New Roman" w:hAnsi="Times New Roman" w:cs="Times New Roman"/>
          <w:bCs/>
        </w:rPr>
        <w:t>autophagy, transcriptional regulation, protein export, and DNA repair</w:t>
      </w:r>
      <w:r w:rsidRPr="005B3F3B">
        <w:rPr>
          <w:rFonts w:ascii="Times New Roman" w:eastAsia="Times New Roman" w:hAnsi="Times New Roman" w:cs="Times New Roman"/>
        </w:rPr>
        <w:t xml:space="preserve">, as well as for multiple </w:t>
      </w:r>
      <w:r w:rsidRPr="005B3F3B">
        <w:rPr>
          <w:rFonts w:ascii="Times New Roman" w:eastAsia="Times New Roman" w:hAnsi="Times New Roman" w:cs="Times New Roman"/>
          <w:bCs/>
        </w:rPr>
        <w:t>neurodegenerative and cancer-related pathways</w:t>
      </w:r>
      <w:r w:rsidRPr="005B3F3B">
        <w:rPr>
          <w:rFonts w:ascii="Times New Roman" w:eastAsia="Times New Roman" w:hAnsi="Times New Roman" w:cs="Times New Roman"/>
        </w:rPr>
        <w:t xml:space="preserve">, indicating pleiotropic involvement of CT-linked regulatory loci across brain and systemic disease processes. In contrast, genes annotated to </w:t>
      </w:r>
      <w:r w:rsidRPr="005B3F3B">
        <w:rPr>
          <w:rFonts w:ascii="Times New Roman" w:eastAsia="Times New Roman" w:hAnsi="Times New Roman" w:cs="Times New Roman"/>
          <w:bCs/>
        </w:rPr>
        <w:t>SA-associated CpGs</w:t>
      </w:r>
      <w:r w:rsidRPr="005B3F3B">
        <w:rPr>
          <w:rFonts w:ascii="Times New Roman" w:eastAsia="Times New Roman" w:hAnsi="Times New Roman" w:cs="Times New Roman"/>
        </w:rPr>
        <w:t xml:space="preserve"> showed a </w:t>
      </w:r>
      <w:r w:rsidRPr="005B3F3B">
        <w:rPr>
          <w:rFonts w:ascii="Times New Roman" w:eastAsia="Times New Roman" w:hAnsi="Times New Roman" w:cs="Times New Roman"/>
          <w:bCs/>
        </w:rPr>
        <w:t>more restricted enrichment profile</w:t>
      </w:r>
      <w:r w:rsidRPr="005B3F3B">
        <w:rPr>
          <w:rFonts w:ascii="Times New Roman" w:eastAsia="Times New Roman" w:hAnsi="Times New Roman" w:cs="Times New Roman"/>
        </w:rPr>
        <w:t xml:space="preserve">, primarily involving </w:t>
      </w:r>
      <w:r w:rsidRPr="005B3F3B">
        <w:rPr>
          <w:rFonts w:ascii="Times New Roman" w:eastAsia="Times New Roman" w:hAnsi="Times New Roman" w:cs="Times New Roman"/>
          <w:bCs/>
        </w:rPr>
        <w:t>metabolic and detoxification pathways</w:t>
      </w:r>
      <w:r w:rsidRPr="005B3F3B">
        <w:rPr>
          <w:rFonts w:ascii="Times New Roman" w:eastAsia="Times New Roman" w:hAnsi="Times New Roman" w:cs="Times New Roman"/>
        </w:rPr>
        <w:t xml:space="preserve">. Together, these results further support a model in which </w:t>
      </w:r>
      <w:r w:rsidRPr="005B3F3B">
        <w:rPr>
          <w:rFonts w:ascii="Times New Roman" w:eastAsia="Times New Roman" w:hAnsi="Times New Roman" w:cs="Times New Roman"/>
          <w:bCs/>
        </w:rPr>
        <w:t>CT-associated CpGs implicate diverse regulatory programmes integrating environmental, metabolic, and neuroplastic processes</w:t>
      </w:r>
      <w:r w:rsidRPr="005B3F3B">
        <w:rPr>
          <w:rFonts w:ascii="Times New Roman" w:eastAsia="Times New Roman" w:hAnsi="Times New Roman" w:cs="Times New Roman"/>
        </w:rPr>
        <w:t xml:space="preserve">, whereas </w:t>
      </w:r>
      <w:r w:rsidRPr="005B3F3B">
        <w:rPr>
          <w:rFonts w:ascii="Times New Roman" w:eastAsia="Times New Roman" w:hAnsi="Times New Roman" w:cs="Times New Roman"/>
          <w:bCs/>
        </w:rPr>
        <w:t>SA-associated CpGs map to a narrower set of broadly acting metabolic pathways</w:t>
      </w:r>
      <w:r w:rsidRPr="005B3F3B">
        <w:rPr>
          <w:rFonts w:ascii="Times New Roman" w:eastAsia="Times New Roman" w:hAnsi="Times New Roman" w:cs="Times New Roman"/>
        </w:rPr>
        <w:t>, consistent with their distinct epigenetic and developmental architectures.</w:t>
      </w:r>
    </w:p>
    <w:p w14:paraId="20B71C9B" w14:textId="77777777" w:rsidR="00CC3B58" w:rsidRPr="005B3F3B" w:rsidRDefault="00CC3B58" w:rsidP="005B3F3B">
      <w:pPr>
        <w:spacing w:line="360" w:lineRule="auto"/>
        <w:ind w:left="0"/>
        <w:jc w:val="both"/>
        <w:rPr>
          <w:rFonts w:ascii="Times New Roman" w:eastAsia="Times New Roman" w:hAnsi="Times New Roman" w:cs="Times New Roman"/>
        </w:rPr>
      </w:pPr>
    </w:p>
    <w:p w14:paraId="2BD11A76" w14:textId="28C5E4DB" w:rsidR="00CC3B58" w:rsidRPr="005B3F3B" w:rsidRDefault="00CC3B58" w:rsidP="005B3F3B">
      <w:pPr>
        <w:spacing w:line="360" w:lineRule="auto"/>
        <w:ind w:left="0"/>
        <w:jc w:val="both"/>
        <w:rPr>
          <w:rFonts w:ascii="Times New Roman" w:eastAsia="Times New Roman" w:hAnsi="Times New Roman" w:cs="Times New Roman"/>
        </w:rPr>
      </w:pPr>
      <w:bookmarkStart w:id="10" w:name="bookmark=id.miwerflkc22r" w:colFirst="0" w:colLast="0"/>
      <w:bookmarkEnd w:id="10"/>
      <w:r w:rsidRPr="005B3F3B">
        <w:rPr>
          <w:rFonts w:ascii="Times New Roman" w:eastAsia="Times New Roman" w:hAnsi="Times New Roman" w:cs="Times New Roman"/>
          <w:i/>
          <w:iCs/>
        </w:rPr>
        <w:t xml:space="preserve">Trait </w:t>
      </w:r>
      <w:sdt>
        <w:sdtPr>
          <w:rPr>
            <w:rFonts w:ascii="Times New Roman" w:hAnsi="Times New Roman" w:cs="Times New Roman"/>
          </w:rPr>
          <w:tag w:val="goog_rdk_112"/>
          <w:id w:val="139938144"/>
        </w:sdtPr>
        <w:sdtEndPr/>
        <w:sdtContent/>
      </w:sdt>
      <w:r w:rsidRPr="005B3F3B">
        <w:rPr>
          <w:rFonts w:ascii="Times New Roman" w:eastAsia="Times New Roman" w:hAnsi="Times New Roman" w:cs="Times New Roman"/>
          <w:i/>
          <w:iCs/>
        </w:rPr>
        <w:t>enrichment analyses</w:t>
      </w:r>
      <w:r w:rsidRPr="005B3F3B">
        <w:rPr>
          <w:rFonts w:ascii="Times New Roman" w:eastAsia="Times New Roman" w:hAnsi="Times New Roman" w:cs="Times New Roman"/>
        </w:rPr>
        <w:t>: Analysis using the EWAS Atlas showed that CpGs associated with cortical morphology (</w:t>
      </w:r>
      <w:r w:rsidRPr="005B3F3B">
        <w:rPr>
          <w:rFonts w:ascii="Times New Roman" w:eastAsia="Times New Roman" w:hAnsi="Times New Roman" w:cs="Times New Roman"/>
          <w:i/>
          <w:iCs/>
        </w:rPr>
        <w:t>P</w:t>
      </w:r>
      <w:r w:rsidRPr="005B3F3B">
        <w:rPr>
          <w:rFonts w:ascii="Times New Roman" w:eastAsia="Times New Roman" w:hAnsi="Times New Roman" w:cs="Times New Roman"/>
        </w:rPr>
        <w:t xml:space="preserve"> &lt; 1×10</w:t>
      </w:r>
      <w:r w:rsidRPr="005B3F3B">
        <w:rPr>
          <w:rFonts w:ascii="Times New Roman" w:eastAsia="Times New Roman" w:hAnsi="Times New Roman" w:cs="Times New Roman"/>
          <w:vertAlign w:val="superscript"/>
        </w:rPr>
        <w:t>-5</w:t>
      </w:r>
      <w:r w:rsidRPr="005B3F3B">
        <w:rPr>
          <w:rFonts w:ascii="Times New Roman" w:eastAsia="Times New Roman" w:hAnsi="Times New Roman" w:cs="Times New Roman"/>
        </w:rPr>
        <w:t>) were significantly overrepresented among CpGs previously linked to a broad range of behavioural, clinical, and environmental traits (</w:t>
      </w:r>
      <w:r w:rsidRPr="005B3F3B">
        <w:rPr>
          <w:rFonts w:ascii="Times New Roman" w:eastAsia="Times New Roman" w:hAnsi="Times New Roman" w:cs="Times New Roman"/>
          <w:b/>
        </w:rPr>
        <w:t xml:space="preserve">Table S12; Fig. </w:t>
      </w:r>
      <w:r w:rsidR="001731E8">
        <w:rPr>
          <w:rFonts w:ascii="Times New Roman" w:eastAsia="Times New Roman" w:hAnsi="Times New Roman" w:cs="Times New Roman"/>
          <w:b/>
        </w:rPr>
        <w:t>5</w:t>
      </w:r>
      <w:r w:rsidRPr="005B3F3B">
        <w:rPr>
          <w:rFonts w:ascii="Times New Roman" w:eastAsia="Times New Roman" w:hAnsi="Times New Roman" w:cs="Times New Roman"/>
          <w:b/>
        </w:rPr>
        <w:t>a</w:t>
      </w:r>
      <w:r w:rsidRPr="005B3F3B">
        <w:rPr>
          <w:rFonts w:ascii="Times New Roman" w:eastAsia="Times New Roman" w:hAnsi="Times New Roman" w:cs="Times New Roman"/>
        </w:rPr>
        <w:t>). CT-associated CpGs showed particularly strong enrichment for traits related to environmental exposure and systemic health, including smoking-related phenotypes, lung cancer risk, lung function, air pollution, and IgG glycosylation, highlighting overlap with exposure-sensitive and immune-modulated epigenetic signatures. Robust enrichment was also observed for educational attainment, cognitive function, wellbeing, poverty status, and mortality, in line with the brain- and blood-enriched transcriptional programmes identified in the FUMA analyses. Additional overlap with cardiometabolic traits (e.g. cardiovascular risk, type 2 diabetes, body mass index), immune-mediated disorders (Crohn’s disease, multiple sclerosis, allergic asthma), and neurodegenerative disease (Alzheimer’s disease) further aligns with the multiorgan regulatory networks and metabolic–inflammatory pathways highlighted by KEGG pathway enrichment.</w:t>
      </w:r>
    </w:p>
    <w:p w14:paraId="0FF0FB89" w14:textId="77777777" w:rsidR="00CC3B58" w:rsidRPr="005B3F3B" w:rsidRDefault="00CC3B58" w:rsidP="005B3F3B">
      <w:pPr>
        <w:spacing w:line="360" w:lineRule="auto"/>
        <w:ind w:left="0"/>
        <w:jc w:val="both"/>
        <w:rPr>
          <w:rFonts w:ascii="Times New Roman" w:eastAsia="Times New Roman" w:hAnsi="Times New Roman" w:cs="Times New Roman"/>
        </w:rPr>
      </w:pPr>
    </w:p>
    <w:p w14:paraId="2AEE6201"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lastRenderedPageBreak/>
        <w:t xml:space="preserve">In contrast, SA-associated CpGs showed a more restricted trait enrichment profile, with significant overlap primarily involving psychiatric outcomes (depressive disorder), prenatal maternal conditions (hypertensive disorders in pregnancy), and immune and inflammatory traits (Crohn’s disease, psoriasis, systemic lupus erythematosus, fractional exhaled nitric oxide). </w:t>
      </w:r>
    </w:p>
    <w:p w14:paraId="163292CA" w14:textId="77777777" w:rsidR="00CC3B58" w:rsidRPr="005B3F3B" w:rsidRDefault="00CC3B58" w:rsidP="005B3F3B">
      <w:pPr>
        <w:spacing w:line="360" w:lineRule="auto"/>
        <w:ind w:left="0"/>
        <w:jc w:val="both"/>
        <w:rPr>
          <w:rFonts w:ascii="Times New Roman" w:eastAsia="Times New Roman" w:hAnsi="Times New Roman" w:cs="Times New Roman"/>
        </w:rPr>
      </w:pPr>
    </w:p>
    <w:p w14:paraId="2D35FB5E"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Together, these trait-level enrichments further support a model in which CT-associated CpGs capture environmentally responsive, systemically integrated regulatory processes.</w:t>
      </w:r>
    </w:p>
    <w:p w14:paraId="0AF91088" w14:textId="77777777" w:rsidR="00CC3B58" w:rsidRPr="005B3F3B" w:rsidRDefault="00CC3B58" w:rsidP="005B3F3B">
      <w:pPr>
        <w:spacing w:line="360" w:lineRule="auto"/>
        <w:ind w:left="0"/>
        <w:jc w:val="both"/>
        <w:rPr>
          <w:rFonts w:ascii="Times New Roman" w:eastAsia="Times New Roman" w:hAnsi="Times New Roman" w:cs="Times New Roman"/>
        </w:rPr>
      </w:pPr>
    </w:p>
    <w:p w14:paraId="0FFBDA8C"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 xml:space="preserve">Overlap with previously reported EWAS signals: </w:t>
      </w:r>
      <w:r w:rsidRPr="005B3F3B">
        <w:rPr>
          <w:rFonts w:ascii="Times New Roman" w:eastAsia="Times New Roman" w:hAnsi="Times New Roman" w:cs="Times New Roman"/>
        </w:rPr>
        <w:t xml:space="preserve">Across CpGs associated with cortical morphology at </w:t>
      </w:r>
      <w:r w:rsidRPr="005B3F3B">
        <w:rPr>
          <w:rFonts w:ascii="Times New Roman" w:eastAsia="Times New Roman" w:hAnsi="Times New Roman" w:cs="Times New Roman"/>
          <w:i/>
          <w:iCs/>
        </w:rPr>
        <w:t>P</w:t>
      </w:r>
      <w:r w:rsidRPr="005B3F3B">
        <w:rPr>
          <w:rFonts w:ascii="Times New Roman" w:eastAsia="Times New Roman" w:hAnsi="Times New Roman" w:cs="Times New Roman"/>
        </w:rPr>
        <w:t xml:space="preserve"> &lt; 1×10</w:t>
      </w:r>
      <w:r w:rsidRPr="005B3F3B">
        <w:rPr>
          <w:rFonts w:ascii="Times New Roman" w:eastAsia="Times New Roman" w:hAnsi="Times New Roman" w:cs="Times New Roman"/>
          <w:vertAlign w:val="superscript"/>
        </w:rPr>
        <w:t>-5</w:t>
      </w:r>
      <w:r w:rsidRPr="005B3F3B">
        <w:rPr>
          <w:rFonts w:ascii="Times New Roman" w:eastAsia="Times New Roman" w:hAnsi="Times New Roman" w:cs="Times New Roman"/>
        </w:rPr>
        <w:t>, overlap with prior EWAS signals revealed a convergent association with a shared spectrum of traits (</w:t>
      </w:r>
      <w:r w:rsidRPr="005B3F3B">
        <w:rPr>
          <w:rFonts w:ascii="Times New Roman" w:eastAsia="Times New Roman" w:hAnsi="Times New Roman" w:cs="Times New Roman"/>
          <w:b/>
        </w:rPr>
        <w:t>Table S13</w:t>
      </w:r>
      <w:r w:rsidRPr="005B3F3B">
        <w:rPr>
          <w:rFonts w:ascii="Times New Roman" w:eastAsia="Times New Roman" w:hAnsi="Times New Roman" w:cs="Times New Roman"/>
        </w:rPr>
        <w:t>), particularly among CT-associated loci, spanning environmental exposures (smoking, alcohol use), ageing, cardiometabolic-renal dysfunction, inflammatory and immune processes, and mortality-related outcomes. This convergence was evident for replicated CT CpGs, including cg03636183 (</w:t>
      </w:r>
      <w:r w:rsidRPr="005B3F3B">
        <w:rPr>
          <w:rFonts w:ascii="Times New Roman" w:eastAsia="Times New Roman" w:hAnsi="Times New Roman" w:cs="Times New Roman"/>
          <w:i/>
        </w:rPr>
        <w:t>F2RL3</w:t>
      </w:r>
      <w:r w:rsidRPr="005B3F3B">
        <w:rPr>
          <w:rFonts w:ascii="Times New Roman" w:eastAsia="Times New Roman" w:hAnsi="Times New Roman" w:cs="Times New Roman"/>
        </w:rPr>
        <w:t>), cg12303084 (</w:t>
      </w:r>
      <w:r w:rsidRPr="005B3F3B">
        <w:rPr>
          <w:rFonts w:ascii="Times New Roman" w:eastAsia="Times New Roman" w:hAnsi="Times New Roman" w:cs="Times New Roman"/>
          <w:i/>
        </w:rPr>
        <w:t>ZMYND8</w:t>
      </w:r>
      <w:r w:rsidRPr="005B3F3B">
        <w:rPr>
          <w:rFonts w:ascii="Times New Roman" w:eastAsia="Times New Roman" w:hAnsi="Times New Roman" w:cs="Times New Roman"/>
        </w:rPr>
        <w:t>), cg01015663 (</w:t>
      </w:r>
      <w:r w:rsidRPr="005B3F3B">
        <w:rPr>
          <w:rFonts w:ascii="Times New Roman" w:eastAsia="Times New Roman" w:hAnsi="Times New Roman" w:cs="Times New Roman"/>
          <w:i/>
        </w:rPr>
        <w:t>TCEA3</w:t>
      </w:r>
      <w:r w:rsidRPr="005B3F3B">
        <w:rPr>
          <w:rFonts w:ascii="Times New Roman" w:eastAsia="Times New Roman" w:hAnsi="Times New Roman" w:cs="Times New Roman"/>
        </w:rPr>
        <w:t>), and cg13518625 (</w:t>
      </w:r>
      <w:r w:rsidRPr="005B3F3B">
        <w:rPr>
          <w:rFonts w:ascii="Times New Roman" w:eastAsia="Times New Roman" w:hAnsi="Times New Roman" w:cs="Times New Roman"/>
          <w:i/>
          <w:iCs/>
        </w:rPr>
        <w:t>DUSP4/SARAF</w:t>
      </w:r>
      <w:r w:rsidRPr="005B3F3B">
        <w:rPr>
          <w:rFonts w:ascii="Times New Roman" w:eastAsia="Times New Roman" w:hAnsi="Times New Roman" w:cs="Times New Roman"/>
        </w:rPr>
        <w:t xml:space="preserve">), and aligns with the observation that CT-associated CpGs map to a multiorgan regulatory network with predominantly downregulated expression across neural, cardiovascular, metabolic, renal, and immune tissues. </w:t>
      </w:r>
    </w:p>
    <w:p w14:paraId="4BFBD59F" w14:textId="77777777" w:rsidR="00CC3B58" w:rsidRPr="005B3F3B" w:rsidRDefault="00CC3B58" w:rsidP="005B3F3B">
      <w:pPr>
        <w:spacing w:line="360" w:lineRule="auto"/>
        <w:ind w:left="0"/>
        <w:jc w:val="both"/>
        <w:rPr>
          <w:rFonts w:ascii="Times New Roman" w:eastAsia="Times New Roman" w:hAnsi="Times New Roman" w:cs="Times New Roman"/>
        </w:rPr>
      </w:pPr>
    </w:p>
    <w:p w14:paraId="173F0769" w14:textId="77777777" w:rsidR="00CC3B58" w:rsidRPr="005B3F3B" w:rsidRDefault="00CC3B58"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Together, these findings support a model in which replicated CT-associated CpGs capture epigenetic variation operating along a systemic axis of chronic inflammation, cardiometabolic–renal dysfunction, and ageing-related vulnerability, rather than isolated, tissue-specific effects.</w:t>
      </w:r>
    </w:p>
    <w:p w14:paraId="08BD0D6D" w14:textId="77777777" w:rsidR="00CC3B58" w:rsidRPr="005B3F3B" w:rsidRDefault="00CC3B58" w:rsidP="005B3F3B">
      <w:pPr>
        <w:spacing w:line="360" w:lineRule="auto"/>
        <w:ind w:left="0"/>
        <w:jc w:val="both"/>
        <w:rPr>
          <w:rFonts w:ascii="Times New Roman" w:eastAsia="Times New Roman" w:hAnsi="Times New Roman" w:cs="Times New Roman"/>
        </w:rPr>
        <w:sectPr w:rsidR="00CC3B58" w:rsidRPr="005B3F3B">
          <w:pgSz w:w="11906" w:h="16838"/>
          <w:pgMar w:top="1440" w:right="1440" w:bottom="1440" w:left="1440" w:header="708" w:footer="708" w:gutter="0"/>
          <w:cols w:space="720"/>
        </w:sectPr>
      </w:pPr>
    </w:p>
    <w:p w14:paraId="1142A0E8" w14:textId="65047168" w:rsidR="001079B2" w:rsidRPr="005B3F3B" w:rsidRDefault="001079B2" w:rsidP="005B3F3B">
      <w:pPr>
        <w:pStyle w:val="Heading1"/>
        <w:spacing w:line="360" w:lineRule="auto"/>
        <w:jc w:val="both"/>
      </w:pPr>
      <w:bookmarkStart w:id="11" w:name="_Toc224509812"/>
      <w:r w:rsidRPr="005B3F3B">
        <w:lastRenderedPageBreak/>
        <w:t>Dataset descriptions</w:t>
      </w:r>
      <w:bookmarkEnd w:id="11"/>
    </w:p>
    <w:p w14:paraId="147B273D" w14:textId="2DD91208" w:rsidR="001079B2" w:rsidRPr="005B3F3B" w:rsidRDefault="001079B2"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Demographics, DNAm and MRI acquisition pipelines for each cohort are summarised in </w:t>
      </w:r>
      <w:r w:rsidRPr="005B3F3B">
        <w:rPr>
          <w:rFonts w:ascii="Times New Roman" w:eastAsia="Times New Roman" w:hAnsi="Times New Roman" w:cs="Times New Roman"/>
          <w:b/>
          <w:bCs/>
        </w:rPr>
        <w:t>Tables S</w:t>
      </w:r>
      <w:r w:rsidR="00A729C9" w:rsidRPr="005B3F3B">
        <w:rPr>
          <w:rFonts w:ascii="Times New Roman" w:eastAsia="Times New Roman" w:hAnsi="Times New Roman" w:cs="Times New Roman"/>
          <w:b/>
          <w:bCs/>
        </w:rPr>
        <w:t>1-2</w:t>
      </w:r>
      <w:r w:rsidR="00A729C9" w:rsidRPr="005B3F3B">
        <w:rPr>
          <w:rFonts w:ascii="Times New Roman" w:eastAsia="Times New Roman" w:hAnsi="Times New Roman" w:cs="Times New Roman"/>
        </w:rPr>
        <w:t>.</w:t>
      </w:r>
    </w:p>
    <w:p w14:paraId="4E6D0AB6" w14:textId="77777777" w:rsidR="00EC49FA" w:rsidRPr="005B3F3B" w:rsidRDefault="00EC49FA" w:rsidP="005B3F3B">
      <w:pPr>
        <w:pStyle w:val="Heading2"/>
        <w:spacing w:line="360" w:lineRule="auto"/>
        <w:jc w:val="both"/>
      </w:pPr>
    </w:p>
    <w:p w14:paraId="2EF1D6CA" w14:textId="32890AB8" w:rsidR="007C0CB7" w:rsidRPr="005B3F3B" w:rsidRDefault="007C0CB7" w:rsidP="005B3F3B">
      <w:pPr>
        <w:pStyle w:val="Heading2"/>
        <w:spacing w:line="360" w:lineRule="auto"/>
        <w:jc w:val="both"/>
      </w:pPr>
      <w:bookmarkStart w:id="12" w:name="_Toc224509813"/>
      <w:r w:rsidRPr="005B3F3B">
        <w:t>Discovery datasets</w:t>
      </w:r>
      <w:bookmarkEnd w:id="12"/>
    </w:p>
    <w:p w14:paraId="4F46E9E7" w14:textId="77777777" w:rsidR="0086124B" w:rsidRPr="005B3F3B" w:rsidRDefault="0086124B" w:rsidP="005B3F3B">
      <w:pPr>
        <w:spacing w:after="160" w:line="360" w:lineRule="auto"/>
        <w:ind w:left="0"/>
        <w:jc w:val="both"/>
        <w:rPr>
          <w:rFonts w:ascii="Times New Roman" w:eastAsia="Times New Roman" w:hAnsi="Times New Roman" w:cs="Times New Roman"/>
          <w:iCs/>
        </w:rPr>
      </w:pPr>
      <w:r w:rsidRPr="005B3F3B">
        <w:rPr>
          <w:rFonts w:ascii="Times New Roman" w:eastAsia="Times New Roman" w:hAnsi="Times New Roman" w:cs="Times New Roman"/>
          <w:i/>
          <w:u w:val="single"/>
        </w:rPr>
        <w:t>ADNI</w:t>
      </w:r>
      <w:r w:rsidRPr="005B3F3B">
        <w:rPr>
          <w:rFonts w:ascii="Times New Roman" w:eastAsia="Times New Roman" w:hAnsi="Times New Roman" w:cs="Times New Roman"/>
          <w:iCs/>
        </w:rPr>
        <w:t>: Data used in the preparation of this article were obtained from the Alzheimer's Disease Neuroimaging Initiative database (adni.loni.usc.edu). The ADNI was launched in 2003 as a 5-year public–private partnership, led by Principal Investigator Michael W. Weiner, MD. The primary goal of ADNI has been to test whether serial magnetic resonance imaging (MRI), positron emission tomography (PET), other biological markers, and clinical and neuropsychological assessment can be combined to measure the progression of mild cognitive impairment (MCI) and early Alzheimer’s disease (AD) and to assess and optimize biomarkers for clinical trials in AD. The initial sample included older adults who were cognitive normal (CN) as well as meeting criteria for MCI and clinical AD.</w:t>
      </w:r>
    </w:p>
    <w:p w14:paraId="79F1E0B8" w14:textId="4C4FC551" w:rsidR="0086124B" w:rsidRPr="005B3F3B" w:rsidRDefault="0086124B"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DBIS</w:t>
      </w:r>
      <w:r w:rsidR="00A43C6E" w:rsidRPr="005B3F3B">
        <w:rPr>
          <w:rFonts w:ascii="Times New Roman" w:eastAsia="Times New Roman" w:hAnsi="Times New Roman" w:cs="Times New Roman"/>
          <w:u w:val="single"/>
        </w:rPr>
        <w:t>:</w:t>
      </w:r>
      <w:r w:rsidR="00E92BCB" w:rsidRPr="005B3F3B">
        <w:rPr>
          <w:rFonts w:ascii="Times New Roman" w:eastAsia="Times New Roman" w:hAnsi="Times New Roman" w:cs="Times New Roman"/>
        </w:rPr>
        <w:t xml:space="preserve"> The Dunedin Brain Imaging Study (DBIS) seeks to better understand what factors shape healthy and unhealthy aging of the brain. Neuroimaging data were collected from 2016 to 2019 in Dunedin, New Zealand, in 875 members of the Dunedin Study, a longitudinal investigation of a population-representative birth cohort now in midlife. The cohort is primarily white (93%), and individuals were 45 years old at the time of neuroimaging.</w:t>
      </w:r>
      <w:r w:rsidR="0006629E" w:rsidRPr="005B3F3B">
        <w:rPr>
          <w:rFonts w:ascii="Times New Roman" w:eastAsia="Times New Roman" w:hAnsi="Times New Roman" w:cs="Times New Roman"/>
        </w:rPr>
        <w:t xml:space="preserve"> The Dunedin Brain Imaging Study is a collaboration between Duke University Professors Terrie Moffitt, Avshalom Caspi, and Ahmad Hariri, and the Dunedin Multidisciplinary Health and Development Research Unit led by Professor Richie Poulton at the University of Otago in Dunedin, New Zealand. The parent Dunedin Study was launched with the </w:t>
      </w:r>
      <w:proofErr w:type="spellStart"/>
      <w:r w:rsidR="0006629E" w:rsidRPr="005B3F3B">
        <w:rPr>
          <w:rFonts w:ascii="Times New Roman" w:eastAsia="Times New Roman" w:hAnsi="Times New Roman" w:cs="Times New Roman"/>
        </w:rPr>
        <w:t>enrollment</w:t>
      </w:r>
      <w:proofErr w:type="spellEnd"/>
      <w:r w:rsidR="0006629E" w:rsidRPr="005B3F3B">
        <w:rPr>
          <w:rFonts w:ascii="Times New Roman" w:eastAsia="Times New Roman" w:hAnsi="Times New Roman" w:cs="Times New Roman"/>
        </w:rPr>
        <w:t xml:space="preserve"> of 1037 individuals born between April 1972 and March 1973 in Dunedin, New Zealand. The individuals enrolled represented the full range of socioeconomic status in the general population of New Zealand's South Island. These individuals have been followed longitudinally with a variety of rigorous health and </w:t>
      </w:r>
      <w:proofErr w:type="spellStart"/>
      <w:r w:rsidR="0006629E" w:rsidRPr="005B3F3B">
        <w:rPr>
          <w:rFonts w:ascii="Times New Roman" w:eastAsia="Times New Roman" w:hAnsi="Times New Roman" w:cs="Times New Roman"/>
        </w:rPr>
        <w:t>behavioral</w:t>
      </w:r>
      <w:proofErr w:type="spellEnd"/>
      <w:r w:rsidR="0006629E" w:rsidRPr="005B3F3B">
        <w:rPr>
          <w:rFonts w:ascii="Times New Roman" w:eastAsia="Times New Roman" w:hAnsi="Times New Roman" w:cs="Times New Roman"/>
        </w:rPr>
        <w:t xml:space="preserve"> assessments conducted at birth and ages 3, 5, 7, 9, 11, 13, 15, 18, 21, 26, 32, 38, and, most recently, 45, when neuroimaging was carried out in 875 individuals. </w:t>
      </w:r>
    </w:p>
    <w:p w14:paraId="0FD778B4" w14:textId="54396934" w:rsidR="00064FDD" w:rsidRPr="005B3F3B" w:rsidRDefault="00A729C9"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ESTRA and STRATIFY</w:t>
      </w:r>
      <w:r w:rsidR="004105A5" w:rsidRPr="005B3F3B">
        <w:rPr>
          <w:rFonts w:ascii="Times New Roman" w:eastAsia="Times New Roman" w:hAnsi="Times New Roman" w:cs="Times New Roman"/>
          <w:i/>
          <w:iCs/>
          <w:u w:val="single"/>
        </w:rPr>
        <w:fldChar w:fldCharType="begin"/>
      </w:r>
      <w:r w:rsidR="00501D77" w:rsidRPr="005B3F3B">
        <w:rPr>
          <w:rFonts w:ascii="Times New Roman" w:eastAsia="Times New Roman" w:hAnsi="Times New Roman" w:cs="Times New Roman"/>
          <w:i/>
          <w:iCs/>
          <w:u w:val="single"/>
        </w:rPr>
        <w:instrText xml:space="preserve"> ADDIN ZOTERO_ITEM CSL_CITATION {"citationID":"9dxMLShl","properties":{"formattedCitation":"\\super 39\\nosupersub{}","plainCitation":"39","noteIndex":0},"citationItems":[{"id":6680,"uris":["http://zotero.org/users/6242458/items/UJ6WMQJ6"],"itemData":{"id":6680,"type":"article-journal","abstract":"BACKGROUND: Personality traits have been associated with eating disorders (EDs) and comorbidities. However, it is unclear which personality profiles are premorbid risk rather than diagnostic markers.\nMETHODS: We explored associations between personality and ED-related mental health symptoms using canonical correlation analyses. We investigated personality risk profiles in a longitudinal sample, associating personality at age 14 with onset of mental health symptoms at ages 16 or 19. Diagnostic markers were identified in a sample of young adults with anorexia nervosa (AN, n = 58) or bulimia nervosa (BN, n = 63) and healthy controls (n = 47).\nRESULTS: Two significant premorbid risk profiles were identified, successively explaining 7.93 % and 5.60 % of shared variance (Rc2). The first combined neuroticism (canonical loading, rs = 0.68), openness (rs = 0.32), impulsivity (rs = 0.29), and conscientiousness (rs = 0.27), with future onset of anxiety symptoms (rs = 0.87) and dieting (rs = 0.58). The other, combined lower agreeableness (rs = -0.60) and lower anxiety sensitivity (rs = -0.47), with future deliberate self-harm (rs = 0.76) and purging (rs = 0.55). Personality profiles associated with \"core psychopathology\" in both AN (Rc2 = 80.56 %) and BN diagnoses (Rc2 = 64.38 %) comprised hopelessness (rs = 0.95, 0.87) and neuroticism (rs = 0.93, 0.94). For BN, this profile also included impulsivity (rs = 0.60). Additionally, extraversion (rs = 0.41) was associated with lower depressive risk in BN.\nLIMITATIONS: The samples were not ethnically diverse. The clinical cohort included only females. There was non-random attrition in the longitudinal sample.\nCONCLUSIONS: The results suggest neuroticism and impulsivity as risk and diagnostic markers for EDs, with neuroticism and hopelessness as shared diagnostic markers. They may inform the design of more personalised prevention and intervention strategies.","container-title":"Journal of Affective Disorders","DOI":"10.1016/j.jad.2024.05.132","ISSN":"1573-2517","journalAbbreviation":"J Affect Disord","language":"eng","page":"146-155","PMID":"38810783","PMCID":"PMC11670883","source":"PubMed","title":"Distinct personality profiles associated with disease risk and diagnostic status in eating disorders","volume":"360","author":[{"family":"Zhang","given":"Zuo"},{"family":"Robinson","given":"Lauren"},{"family":"Campbell","given":"Iain"},{"family":"Irish","given":"Madeleine"},{"family":"Bobou","given":"Marina"},{"family":"Winterer","given":"Jeanne"},{"family":"Zhang","given":"Yuning"},{"family":"King","given":"Sinead"},{"family":"Vaidya","given":"Nilakshi"},{"family":"Broulidakis","given":"M. John"},{"family":"Noort","given":"Betteke Maria","non-dropping-particle":"van"},{"family":"Stringaris","given":"Argyris"},{"family":"Banaschewski","given":"Tobias"},{"family":"Bokde","given":"Arun L. W."},{"family":"Brühl","given":"Rüdiger"},{"family":"Fröhner","given":"Juliane H."},{"family":"Grigis","given":"Antoine"},{"family":"Garavan","given":"Hugh"},{"family":"Gowland","given":"Penny"},{"family":"Heinz","given":"Andreas"},{"family":"Hohmann","given":"Sarah"},{"family":"Martinot","given":"Jean-Luc"},{"family":"Martinot","given":"Marie-Laure Paillère"},{"family":"Nees","given":"Frauke"},{"family":"Orfanos","given":"Dimitri Papadopoulos"},{"family":"Paus","given":"Tomáš"},{"family":"Poustka","given":"Luise"},{"family":"Sinclair","given":"Julia"},{"family":"Smolka","given":"Michael N."},{"family":"Walter","given":"Henrik"},{"family":"Whelan","given":"Robert"},{"family":"Schumann","given":"Gunter"},{"family":"Schmidt","given":"Ulrike"},{"family":"Desrivières","given":"Sylvane"},{"literal":"IMAGEN"},{"literal":"ESTRA"},{"literal":"STRATIFY Consortia"}],"issued":{"date-parts":[["2024",9,1]]}}}],"schema":"https://github.com/citation-style-language/schema/raw/master/csl-citation.json"} </w:instrText>
      </w:r>
      <w:r w:rsidR="004105A5" w:rsidRPr="005B3F3B">
        <w:rPr>
          <w:rFonts w:ascii="Times New Roman" w:eastAsia="Times New Roman" w:hAnsi="Times New Roman" w:cs="Times New Roman"/>
          <w:i/>
          <w:iCs/>
          <w:u w:val="single"/>
        </w:rPr>
        <w:fldChar w:fldCharType="separate"/>
      </w:r>
      <w:r w:rsidR="00501D77" w:rsidRPr="005B3F3B">
        <w:rPr>
          <w:rFonts w:ascii="Times New Roman" w:hAnsi="Times New Roman" w:cs="Times New Roman"/>
          <w:vertAlign w:val="superscript"/>
        </w:rPr>
        <w:t>39</w:t>
      </w:r>
      <w:r w:rsidR="004105A5" w:rsidRPr="005B3F3B">
        <w:rPr>
          <w:rFonts w:ascii="Times New Roman" w:eastAsia="Times New Roman" w:hAnsi="Times New Roman" w:cs="Times New Roman"/>
          <w:i/>
          <w:iCs/>
          <w:u w:val="single"/>
        </w:rPr>
        <w:fldChar w:fldCharType="end"/>
      </w:r>
      <w:r w:rsidRPr="005B3F3B">
        <w:rPr>
          <w:rFonts w:ascii="Times New Roman" w:eastAsia="Times New Roman" w:hAnsi="Times New Roman" w:cs="Times New Roman"/>
        </w:rPr>
        <w:t xml:space="preserve">: </w:t>
      </w:r>
      <w:r w:rsidR="00064FDD" w:rsidRPr="005B3F3B">
        <w:rPr>
          <w:rFonts w:ascii="Times New Roman" w:eastAsia="Times New Roman" w:hAnsi="Times New Roman" w:cs="Times New Roman"/>
        </w:rPr>
        <w:t xml:space="preserve">Participants from these datasets were derived from two related and complementary clinical studies, ESTRA and STRATIFY, </w:t>
      </w:r>
      <w:r w:rsidR="00031258" w:rsidRPr="005B3F3B">
        <w:rPr>
          <w:rFonts w:ascii="Times New Roman" w:eastAsia="Times New Roman" w:hAnsi="Times New Roman" w:cs="Times New Roman"/>
        </w:rPr>
        <w:t>respectively</w:t>
      </w:r>
      <w:r w:rsidR="00B1402B">
        <w:rPr>
          <w:rFonts w:ascii="Times New Roman" w:eastAsia="Times New Roman" w:hAnsi="Times New Roman" w:cs="Times New Roman"/>
        </w:rPr>
        <w:t>,</w:t>
      </w:r>
      <w:r w:rsidR="00031258" w:rsidRPr="005B3F3B">
        <w:rPr>
          <w:rFonts w:ascii="Times New Roman" w:eastAsia="Times New Roman" w:hAnsi="Times New Roman" w:cs="Times New Roman"/>
        </w:rPr>
        <w:t xml:space="preserve"> led by Prof Sylvane Desrivières and Prof Gunter Schumann. </w:t>
      </w:r>
      <w:r w:rsidR="00064FDD" w:rsidRPr="005B3F3B">
        <w:rPr>
          <w:rFonts w:ascii="Times New Roman" w:eastAsia="Times New Roman" w:hAnsi="Times New Roman" w:cs="Times New Roman"/>
        </w:rPr>
        <w:t xml:space="preserve">STRATIFY was designed to generate a </w:t>
      </w:r>
      <w:proofErr w:type="spellStart"/>
      <w:r w:rsidR="00064FDD" w:rsidRPr="005B3F3B">
        <w:rPr>
          <w:rFonts w:ascii="Times New Roman" w:eastAsia="Times New Roman" w:hAnsi="Times New Roman" w:cs="Times New Roman"/>
        </w:rPr>
        <w:t>neurobehavioural</w:t>
      </w:r>
      <w:proofErr w:type="spellEnd"/>
      <w:r w:rsidR="00064FDD" w:rsidRPr="005B3F3B">
        <w:rPr>
          <w:rFonts w:ascii="Times New Roman" w:eastAsia="Times New Roman" w:hAnsi="Times New Roman" w:cs="Times New Roman"/>
        </w:rPr>
        <w:t xml:space="preserve"> framework for </w:t>
      </w:r>
      <w:r w:rsidR="00B1402B">
        <w:rPr>
          <w:rFonts w:ascii="Times New Roman" w:eastAsia="Times New Roman" w:hAnsi="Times New Roman" w:cs="Times New Roman"/>
        </w:rPr>
        <w:t xml:space="preserve">the </w:t>
      </w:r>
      <w:r w:rsidR="00064FDD" w:rsidRPr="005B3F3B">
        <w:rPr>
          <w:rFonts w:ascii="Times New Roman" w:eastAsia="Times New Roman" w:hAnsi="Times New Roman" w:cs="Times New Roman"/>
        </w:rPr>
        <w:t xml:space="preserve">stratification of psychopathology for prevalent mental </w:t>
      </w:r>
      <w:r w:rsidR="00064FDD" w:rsidRPr="005B3F3B">
        <w:rPr>
          <w:rFonts w:ascii="Times New Roman" w:eastAsia="Times New Roman" w:hAnsi="Times New Roman" w:cs="Times New Roman"/>
        </w:rPr>
        <w:lastRenderedPageBreak/>
        <w:t>disorders: major depression (MDD), alcohol use disorder (AUD), and Psychosis, while ESTRA focused on eating disorders (</w:t>
      </w:r>
      <w:r w:rsidR="00064FDD" w:rsidRPr="005B3F3B">
        <w:rPr>
          <w:rFonts w:ascii="Times New Roman" w:hAnsi="Times New Roman" w:cs="Times New Roman"/>
        </w:rPr>
        <w:t>anorexia nervosa, bulimia nervosa, and binge eating disorder).</w:t>
      </w:r>
      <w:r w:rsidR="00031258" w:rsidRPr="005B3F3B">
        <w:rPr>
          <w:rFonts w:ascii="Times New Roman" w:hAnsi="Times New Roman" w:cs="Times New Roman"/>
        </w:rPr>
        <w:t xml:space="preserve"> </w:t>
      </w:r>
      <w:r w:rsidR="00031258" w:rsidRPr="005B3F3B">
        <w:rPr>
          <w:rFonts w:ascii="Times New Roman" w:eastAsia="Times New Roman" w:hAnsi="Times New Roman" w:cs="Times New Roman"/>
        </w:rPr>
        <w:t>Both studies used protocols harmonised to match the IMAGEN study protocol.</w:t>
      </w:r>
    </w:p>
    <w:p w14:paraId="768E5CE5" w14:textId="60CB149F" w:rsidR="0015793F" w:rsidRPr="005B3F3B" w:rsidRDefault="0015793F" w:rsidP="005B3F3B">
      <w:pPr>
        <w:spacing w:line="360" w:lineRule="auto"/>
        <w:ind w:left="0"/>
        <w:jc w:val="both"/>
        <w:rPr>
          <w:rFonts w:ascii="Times New Roman" w:hAnsi="Times New Roman" w:cs="Times New Roman"/>
        </w:rPr>
      </w:pPr>
      <w:r w:rsidRPr="005B3F3B">
        <w:rPr>
          <w:rFonts w:ascii="Times New Roman" w:eastAsia="Times New Roman" w:hAnsi="Times New Roman" w:cs="Times New Roman"/>
          <w:i/>
          <w:iCs/>
        </w:rPr>
        <w:t>ESTRA:</w:t>
      </w:r>
      <w:r w:rsidR="00064FDD" w:rsidRPr="005B3F3B">
        <w:rPr>
          <w:rFonts w:ascii="Times New Roman" w:eastAsia="Times New Roman" w:hAnsi="Times New Roman" w:cs="Times New Roman"/>
        </w:rPr>
        <w:t xml:space="preserve"> </w:t>
      </w:r>
      <w:r w:rsidR="00031258" w:rsidRPr="005B3F3B">
        <w:rPr>
          <w:rFonts w:ascii="Times New Roman" w:eastAsia="Times New Roman" w:hAnsi="Times New Roman" w:cs="Times New Roman"/>
        </w:rPr>
        <w:t>Participants from this study were recruited in London. In addition to age (18–25 years), inclusion criteria were DSM-5-based diagnostic criteria for AN or BN, based on the Eating Disorder Diagnostic Scale (EDDS DSM5 version). All participants from this sample were female</w:t>
      </w:r>
      <w:r w:rsidR="000502CD" w:rsidRPr="005B3F3B">
        <w:rPr>
          <w:rFonts w:ascii="Times New Roman" w:hAnsi="Times New Roman" w:cs="Times New Roman"/>
        </w:rPr>
        <w:t xml:space="preserve">. </w:t>
      </w:r>
      <w:r w:rsidR="00031258" w:rsidRPr="005B3F3B">
        <w:rPr>
          <w:rFonts w:ascii="Times New Roman" w:hAnsi="Times New Roman" w:cs="Times New Roman"/>
        </w:rPr>
        <w:t>Age-matched h</w:t>
      </w:r>
      <w:r w:rsidR="000502CD" w:rsidRPr="005B3F3B">
        <w:rPr>
          <w:rFonts w:ascii="Times New Roman" w:hAnsi="Times New Roman" w:cs="Times New Roman"/>
        </w:rPr>
        <w:t xml:space="preserve">ealthy controls were </w:t>
      </w:r>
      <w:r w:rsidR="00031258" w:rsidRPr="005B3F3B">
        <w:rPr>
          <w:rFonts w:ascii="Times New Roman" w:hAnsi="Times New Roman" w:cs="Times New Roman"/>
        </w:rPr>
        <w:t xml:space="preserve">also </w:t>
      </w:r>
      <w:r w:rsidR="000502CD" w:rsidRPr="005B3F3B">
        <w:rPr>
          <w:rFonts w:ascii="Times New Roman" w:hAnsi="Times New Roman" w:cs="Times New Roman"/>
        </w:rPr>
        <w:t xml:space="preserve">recruited.   </w:t>
      </w:r>
    </w:p>
    <w:p w14:paraId="5EF13BD4" w14:textId="09C15855" w:rsidR="003C46BF" w:rsidRPr="005B3F3B" w:rsidRDefault="0015793F"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rPr>
        <w:t>STRATIFY:</w:t>
      </w:r>
      <w:r w:rsidRPr="005B3F3B">
        <w:rPr>
          <w:rFonts w:ascii="Times New Roman" w:eastAsia="Times New Roman" w:hAnsi="Times New Roman" w:cs="Times New Roman"/>
        </w:rPr>
        <w:t xml:space="preserve"> </w:t>
      </w:r>
      <w:r w:rsidR="00764A8C" w:rsidRPr="005B3F3B">
        <w:rPr>
          <w:rFonts w:ascii="Times New Roman" w:eastAsia="Times New Roman" w:hAnsi="Times New Roman" w:cs="Times New Roman"/>
        </w:rPr>
        <w:t>P</w:t>
      </w:r>
      <w:r w:rsidRPr="005B3F3B">
        <w:rPr>
          <w:rFonts w:ascii="Times New Roman" w:eastAsia="Times New Roman" w:hAnsi="Times New Roman" w:cs="Times New Roman"/>
        </w:rPr>
        <w:t xml:space="preserve">articipants </w:t>
      </w:r>
      <w:r w:rsidR="00764A8C" w:rsidRPr="005B3F3B">
        <w:rPr>
          <w:rFonts w:ascii="Times New Roman" w:eastAsia="Times New Roman" w:hAnsi="Times New Roman" w:cs="Times New Roman"/>
        </w:rPr>
        <w:t>were recruited</w:t>
      </w:r>
      <w:r w:rsidR="00031258" w:rsidRPr="005B3F3B">
        <w:rPr>
          <w:rFonts w:ascii="Times New Roman" w:eastAsia="Times New Roman" w:hAnsi="Times New Roman" w:cs="Times New Roman"/>
        </w:rPr>
        <w:t xml:space="preserve"> in the UK (London and Southampton) and Germany (Berlin)</w:t>
      </w:r>
      <w:r w:rsidR="00064FDD" w:rsidRPr="005B3F3B">
        <w:rPr>
          <w:rFonts w:ascii="Times New Roman" w:hAnsi="Times New Roman" w:cs="Times New Roman"/>
        </w:rPr>
        <w:t xml:space="preserve">. </w:t>
      </w:r>
      <w:r w:rsidR="00031258" w:rsidRPr="005B3F3B">
        <w:rPr>
          <w:rFonts w:ascii="Times New Roman" w:hAnsi="Times New Roman" w:cs="Times New Roman"/>
        </w:rPr>
        <w:t>In addition to age (18-30 years), inclusion criteria were: current moderate-severe depression, assessed by PHQ-9, with a total score of 15 or above; moderate-severe alcohol use disorder, assessed by AUDIT, with a total score of 15 or above; and schizophrenia, schizotypal and delusional disorders based on ICD-10 diagnosis</w:t>
      </w:r>
      <w:r w:rsidR="003C46BF" w:rsidRPr="005B3F3B">
        <w:rPr>
          <w:rFonts w:ascii="Times New Roman" w:hAnsi="Times New Roman" w:cs="Times New Roman"/>
        </w:rPr>
        <w:t xml:space="preserve">. </w:t>
      </w:r>
    </w:p>
    <w:p w14:paraId="486C9C9F" w14:textId="77777777" w:rsidR="003C46BF" w:rsidRPr="005B3F3B" w:rsidRDefault="003C46BF"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Age-matched healthy controls were also recruited as part of ESTRA and STRATIFY. </w:t>
      </w:r>
    </w:p>
    <w:p w14:paraId="32719F37" w14:textId="5BCB1236" w:rsidR="00202DE0" w:rsidRPr="005B3F3B" w:rsidRDefault="00764A8C"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Ethical approval was received from the London Westminster Research Ethics Committee and the Charité </w:t>
      </w:r>
      <w:proofErr w:type="spellStart"/>
      <w:r w:rsidRPr="005B3F3B">
        <w:rPr>
          <w:rFonts w:ascii="Times New Roman" w:eastAsia="Times New Roman" w:hAnsi="Times New Roman" w:cs="Times New Roman"/>
        </w:rPr>
        <w:t>Ethikkommission</w:t>
      </w:r>
      <w:proofErr w:type="spellEnd"/>
      <w:r w:rsidRPr="005B3F3B">
        <w:rPr>
          <w:rFonts w:ascii="Times New Roman" w:eastAsia="Times New Roman" w:hAnsi="Times New Roman" w:cs="Times New Roman"/>
        </w:rPr>
        <w:t xml:space="preserve"> (STRATIFY), and the Northwest-Greater Manchester South Research Ethics Committee (ESTRA). Written informed consent was obtained from all participants.</w:t>
      </w:r>
    </w:p>
    <w:p w14:paraId="70F9807B" w14:textId="47CC4E9D" w:rsidR="008E1D99" w:rsidRPr="005B3F3B" w:rsidRDefault="00FE2E7F"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u w:val="single"/>
        </w:rPr>
        <w:t>FOR210</w:t>
      </w:r>
      <w:r w:rsidR="00F9679F" w:rsidRPr="005B3F3B">
        <w:rPr>
          <w:rFonts w:ascii="Times New Roman" w:eastAsia="Times New Roman" w:hAnsi="Times New Roman" w:cs="Times New Roman"/>
          <w:i/>
          <w:u w:val="single"/>
        </w:rPr>
        <w:t>7</w:t>
      </w:r>
      <w:r w:rsidRPr="005B3F3B">
        <w:rPr>
          <w:rFonts w:ascii="Times New Roman" w:eastAsia="Times New Roman" w:hAnsi="Times New Roman" w:cs="Times New Roman"/>
        </w:rPr>
        <w:t>:</w:t>
      </w:r>
      <w:r w:rsidR="006A0B61" w:rsidRPr="005B3F3B">
        <w:rPr>
          <w:rFonts w:ascii="Times New Roman" w:eastAsia="Times New Roman" w:hAnsi="Times New Roman" w:cs="Times New Roman"/>
        </w:rPr>
        <w:t xml:space="preserve"> The FOR2107 cohort is a bicentric longitudinal case-control study, aimed at investigating the neurobiological mechanisms underlying mental disorders</w:t>
      </w:r>
      <w:r w:rsidR="00B1402B">
        <w:rPr>
          <w:rFonts w:ascii="Times New Roman" w:eastAsia="Times New Roman" w:hAnsi="Times New Roman" w:cs="Times New Roman"/>
        </w:rPr>
        <w:t>,</w:t>
      </w:r>
      <w:r w:rsidR="006A0B61" w:rsidRPr="005B3F3B">
        <w:rPr>
          <w:rFonts w:ascii="Times New Roman" w:eastAsia="Times New Roman" w:hAnsi="Times New Roman" w:cs="Times New Roman"/>
        </w:rPr>
        <w:t xml:space="preserve"> including major depression (MDD), bipolar disorder (BD), and schizophrenia (SZ)</w:t>
      </w:r>
      <w:r w:rsidR="00501D77" w:rsidRPr="005B3F3B">
        <w:rPr>
          <w:rFonts w:ascii="Times New Roman" w:eastAsia="Times New Roman" w:hAnsi="Times New Roman" w:cs="Times New Roman"/>
        </w:rPr>
        <w:fldChar w:fldCharType="begin"/>
      </w:r>
      <w:r w:rsidR="005322EE" w:rsidRPr="005B3F3B">
        <w:rPr>
          <w:rFonts w:ascii="Times New Roman" w:eastAsia="Times New Roman" w:hAnsi="Times New Roman" w:cs="Times New Roman"/>
        </w:rPr>
        <w:instrText xml:space="preserve"> ADDIN ZOTERO_ITEM CSL_CITATION {"citationID":"wlNLttH1","properties":{"formattedCitation":"\\super 40\\nosupersub{}","plainCitation":"40","noteIndex":0},"citationItems":[{"id":6816,"uris":["http://zotero.org/users/6242458/items/N6AZNIWP"],"itemData":{"id":6816,"type":"article-journal","abstract":"Genetic (G) and environmental (E) factors are involved in the etiology and course of the major psychoses (MP), i.e. major depressive disorder (MDD), bipolar disorder (BD), schizoaffective disorder (SZA) and schizophrenia (SZ). The neurobiological correlates by which these predispositions exert their influence on brain structure, function and course of illness are poorly understood. In the FOR2107 consortium, animal models and humans are investigated. A human cohort of MP patients, healthy subjects at genetic and/or environmental risk, and control subjects (N = 2500) has been established. Participants are followed up after 2 years and twice underwent extensive deep phenotyping (MR imaging, clinical course, neuropsychology, personality, risk/protective factors, biomaterials: blood, stool, urine, hair, saliva). Methods for data reduction, quality assurance for longitudinal MRI data, and (deep) machine learning techniques are employed. In the parallelised animal cluster, genetic risk was introduced by a rodent model (Cacna1c deficiency) and its interactions with environmental risk and protective factors are studied. The animals are deeply phenotyped regarding cognition, emotion, and social function, paralleling the variables assessed in humans. A set of innovative experimental projects connect and integrate data from the human and animal parts, investigating the role of microRNA, neuroplasticity, immune signatures, (epi-)genetics and gene expression. Biomaterial from humans and animals are analyzed in parallel. The FOR2107 consortium will delineate pathophysiological entities with common neurobiological underpinnings (\"biotypes\") and pave the way for an etiologic understanding of the MP, potentially leading to their prevention, the prediction of individual disease courses, and novel therapies in the future.","container-title":"European Archives of Psychiatry and Clinical Neuroscience","DOI":"10.1007/s00406-018-0943-x","ISSN":"1433-8491","issue":"8","journalAbbreviation":"Eur Arch Psychiatry Clin Neurosci","language":"eng","page":"949-962","PMID":"30267149","source":"PubMed","title":"Neurobiology of the major psychoses: a translational perspective on brain structure and function-the FOR2107 consortium","title-short":"Neurobiology of the major psychoses","volume":"269","author":[{"family":"Kircher","given":"Tilo"},{"family":"Wöhr","given":"Markus"},{"family":"Nenadic","given":"Igor"},{"family":"Schwarting","given":"Rainer"},{"family":"Schratt","given":"Gerhard"},{"family":"Alferink","given":"Judith"},{"family":"Culmsee","given":"Carsten"},{"family":"Garn","given":"Holger"},{"family":"Hahn","given":"Tim"},{"family":"Müller-Myhsok","given":"Bertram"},{"family":"Dempfle","given":"Astrid"},{"family":"Hahmann","given":"Maik"},{"family":"Jansen","given":"Andreas"},{"family":"Pfefferle","given":"Petra"},{"family":"Renz","given":"Harald"},{"family":"Rietschel","given":"Marcella"},{"family":"Witt","given":"Stephanie H."},{"family":"Nöthen","given":"Markus"},{"family":"Krug","given":"Axel"},{"family":"Dannlowski","given":"Udo"}],"issued":{"date-parts":[["2019",12]]}}}],"schema":"https://github.com/citation-style-language/schema/raw/master/csl-citation.json"} </w:instrText>
      </w:r>
      <w:r w:rsidR="00501D77" w:rsidRPr="005B3F3B">
        <w:rPr>
          <w:rFonts w:ascii="Times New Roman" w:eastAsia="Times New Roman" w:hAnsi="Times New Roman" w:cs="Times New Roman"/>
        </w:rPr>
        <w:fldChar w:fldCharType="separate"/>
      </w:r>
      <w:r w:rsidR="005322EE" w:rsidRPr="005B3F3B">
        <w:rPr>
          <w:rFonts w:ascii="Times New Roman" w:hAnsi="Times New Roman" w:cs="Times New Roman"/>
          <w:vertAlign w:val="superscript"/>
        </w:rPr>
        <w:t>40</w:t>
      </w:r>
      <w:r w:rsidR="00501D77" w:rsidRPr="005B3F3B">
        <w:rPr>
          <w:rFonts w:ascii="Times New Roman" w:eastAsia="Times New Roman" w:hAnsi="Times New Roman" w:cs="Times New Roman"/>
        </w:rPr>
        <w:fldChar w:fldCharType="end"/>
      </w:r>
      <w:r w:rsidR="006A0B61" w:rsidRPr="005B3F3B">
        <w:rPr>
          <w:rFonts w:ascii="Times New Roman" w:eastAsia="Times New Roman" w:hAnsi="Times New Roman" w:cs="Times New Roman"/>
        </w:rPr>
        <w:t xml:space="preserve">. Participants include healthy controls as well as patients and are recruited from two different sites in Germany, Marburg and Münster. Data collection included a diagnostic interview, as well as cognitive, psychosocial, genetic and biological measures and an MRI assessment. Participants were assessed at three time points over five years, with the first follow-up occurring about two years after baseline and the third about five years after baseline assessment. </w:t>
      </w:r>
      <w:r w:rsidR="00D16E90" w:rsidRPr="005B3F3B">
        <w:rPr>
          <w:rFonts w:ascii="Times New Roman" w:eastAsia="Times New Roman" w:hAnsi="Times New Roman" w:cs="Times New Roman"/>
        </w:rPr>
        <w:t>Lifetime psychiatric diagnosis was assessed using the semi-structured SCID-I interview according to DSM-IV-TR</w:t>
      </w:r>
      <w:r w:rsidR="00142A76" w:rsidRPr="005B3F3B">
        <w:rPr>
          <w:rFonts w:ascii="Times New Roman" w:eastAsia="Times New Roman" w:hAnsi="Times New Roman" w:cs="Times New Roman"/>
        </w:rPr>
        <w:t xml:space="preserve"> (Diagnostic and Statistical Manual of Mental Disorders)</w:t>
      </w:r>
      <w:r w:rsidR="00585064" w:rsidRPr="005B3F3B">
        <w:rPr>
          <w:rFonts w:ascii="Times New Roman" w:eastAsia="Times New Roman" w:hAnsi="Times New Roman" w:cs="Times New Roman"/>
        </w:rPr>
        <w:t xml:space="preserve"> </w:t>
      </w:r>
      <w:r w:rsidR="00D16E90" w:rsidRPr="005B3F3B">
        <w:rPr>
          <w:rFonts w:ascii="Times New Roman" w:eastAsia="Times New Roman" w:hAnsi="Times New Roman" w:cs="Times New Roman"/>
        </w:rPr>
        <w:t xml:space="preserve">applied by trained staff. </w:t>
      </w:r>
      <w:r w:rsidR="00727D9C" w:rsidRPr="005B3F3B">
        <w:rPr>
          <w:rFonts w:ascii="Times New Roman" w:eastAsia="Times New Roman" w:hAnsi="Times New Roman" w:cs="Times New Roman"/>
        </w:rPr>
        <w:t>All procedures were approved by the local Ethics Committees of Marburg (AZ:07/14) and Münster (AZ:2014-422-b-S), Germany</w:t>
      </w:r>
      <w:r w:rsidR="001F3118">
        <w:rPr>
          <w:rFonts w:ascii="Times New Roman" w:eastAsia="Times New Roman" w:hAnsi="Times New Roman" w:cs="Times New Roman"/>
        </w:rPr>
        <w:t>,</w:t>
      </w:r>
      <w:r w:rsidR="00727D9C" w:rsidRPr="005B3F3B">
        <w:rPr>
          <w:rFonts w:ascii="Times New Roman" w:eastAsia="Times New Roman" w:hAnsi="Times New Roman" w:cs="Times New Roman"/>
        </w:rPr>
        <w:t xml:space="preserve"> according to the Declaration of Helsinki. Participants gave written informed consent prior </w:t>
      </w:r>
      <w:r w:rsidR="001F3118">
        <w:rPr>
          <w:rFonts w:ascii="Times New Roman" w:eastAsia="Times New Roman" w:hAnsi="Times New Roman" w:cs="Times New Roman"/>
        </w:rPr>
        <w:t xml:space="preserve">to </w:t>
      </w:r>
      <w:r w:rsidR="00727D9C" w:rsidRPr="005B3F3B">
        <w:rPr>
          <w:rFonts w:ascii="Times New Roman" w:eastAsia="Times New Roman" w:hAnsi="Times New Roman" w:cs="Times New Roman"/>
        </w:rPr>
        <w:t xml:space="preserve">study participation and received financial compensation. DNA methylation was profiled using the Infinium </w:t>
      </w:r>
      <w:proofErr w:type="spellStart"/>
      <w:r w:rsidR="00727D9C" w:rsidRPr="005B3F3B">
        <w:rPr>
          <w:rFonts w:ascii="Times New Roman" w:eastAsia="Times New Roman" w:hAnsi="Times New Roman" w:cs="Times New Roman"/>
        </w:rPr>
        <w:t>MethylationEPIC</w:t>
      </w:r>
      <w:proofErr w:type="spellEnd"/>
      <w:r w:rsidR="00727D9C" w:rsidRPr="005B3F3B">
        <w:rPr>
          <w:rFonts w:ascii="Times New Roman" w:eastAsia="Times New Roman" w:hAnsi="Times New Roman" w:cs="Times New Roman"/>
        </w:rPr>
        <w:t xml:space="preserve"> v1.0 </w:t>
      </w:r>
      <w:r w:rsidR="000C38F9" w:rsidRPr="005B3F3B">
        <w:rPr>
          <w:rFonts w:ascii="Times New Roman" w:eastAsia="Times New Roman" w:hAnsi="Times New Roman" w:cs="Times New Roman"/>
        </w:rPr>
        <w:t>BeadChip (</w:t>
      </w:r>
      <w:r w:rsidR="00727D9C" w:rsidRPr="005B3F3B">
        <w:rPr>
          <w:rFonts w:ascii="Times New Roman" w:eastAsia="Times New Roman" w:hAnsi="Times New Roman" w:cs="Times New Roman"/>
        </w:rPr>
        <w:t>Illumina, San Diego, CA, USA) based on DNA extracted from whole blood samples.</w:t>
      </w:r>
    </w:p>
    <w:p w14:paraId="1F30E89E" w14:textId="3960E475" w:rsidR="0077734C" w:rsidRPr="005B3F3B" w:rsidRDefault="00A729C9"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lastRenderedPageBreak/>
        <w:t>IMAGEN</w:t>
      </w:r>
      <w:r w:rsidRPr="005B3F3B">
        <w:rPr>
          <w:rFonts w:ascii="Times New Roman" w:eastAsia="Times New Roman" w:hAnsi="Times New Roman" w:cs="Times New Roman"/>
        </w:rPr>
        <w:t>:</w:t>
      </w:r>
      <w:r w:rsidR="00B0248C" w:rsidRPr="005B3F3B">
        <w:rPr>
          <w:rFonts w:ascii="Times New Roman" w:eastAsia="Times New Roman" w:hAnsi="Times New Roman" w:cs="Times New Roman"/>
        </w:rPr>
        <w:t xml:space="preserve"> </w:t>
      </w:r>
      <w:r w:rsidR="0077734C" w:rsidRPr="005B3F3B">
        <w:rPr>
          <w:rFonts w:ascii="Times New Roman" w:eastAsia="Times New Roman" w:hAnsi="Times New Roman" w:cs="Times New Roman"/>
        </w:rPr>
        <w:t>The longitudinal IMAGEN cohort</w:t>
      </w:r>
      <w:r w:rsidR="0077734C" w:rsidRPr="005B3F3B">
        <w:rPr>
          <w:rFonts w:ascii="Times New Roman" w:eastAsia="Times New Roman" w:hAnsi="Times New Roman" w:cs="Times New Roman"/>
        </w:rPr>
        <w:fldChar w:fldCharType="begin"/>
      </w:r>
      <w:r w:rsidR="00501D77" w:rsidRPr="005B3F3B">
        <w:rPr>
          <w:rFonts w:ascii="Times New Roman" w:eastAsia="Times New Roman" w:hAnsi="Times New Roman" w:cs="Times New Roman"/>
        </w:rPr>
        <w:instrText xml:space="preserve"> ADDIN ZOTERO_ITEM CSL_CITATION {"citationID":"WurGGHvl","properties":{"formattedCitation":"\\super 41\\nosupersub{}","plainCitation":"41","noteIndex":0},"citationItems":[{"id":2180,"uris":["http://zotero.org/users/6242458/items/PZUAGGHK"],"itemData":{"id":2180,"type":"article-journal","container-title":"Molecular Psychiatry","DOI":"10.1038/mp.2010.4","ISSN":"1359-4184, 1476-5578","issue":"12","journalAbbreviation":"Mol Psychiatry","language":"en","page":"1128-1139","source":"DOI.org (Crossref)","title":"The IMAGEN study: reinforcement-related behaviour in normal brain function and psychopathology","title-short":"The IMAGEN study","volume":"15","author":[{"family":"Schumann","given":"G"},{"family":"Loth","given":"E"},{"family":"Banaschewski","given":"T"},{"family":"Barbot","given":"A"},{"family":"Barker","given":"G"},{"family":"Büchel","given":"C"},{"family":"Conrod","given":"P J"},{"family":"Dalley","given":"J W"},{"family":"Flor","given":"H"},{"family":"Gallinat","given":"J"},{"family":"Garavan","given":"H"},{"family":"Heinz","given":"A"},{"family":"Itterman","given":"B"},{"family":"Lathrop","given":"M"},{"family":"Mallik","given":"C"},{"family":"Mann","given":"K"},{"family":"Martinot","given":"J-L"},{"family":"Paus","given":"T"},{"family":"Poline","given":"J-B"},{"family":"Robbins","given":"T W"},{"family":"Rietschel","given":"M"},{"family":"Reed","given":"L"},{"family":"Smolka","given":"M"},{"family":"Spanagel","given":"R"},{"family":"Speiser","given":"C"},{"family":"Stephens","given":"D N"},{"family":"Ströhle","given":"A"},{"family":"Struve","given":"M"},{"family":"Struve","given":"M"}],"issued":{"date-parts":[["2010",12]]}}}],"schema":"https://github.com/citation-style-language/schema/raw/master/csl-citation.json"} </w:instrText>
      </w:r>
      <w:r w:rsidR="0077734C" w:rsidRPr="005B3F3B">
        <w:rPr>
          <w:rFonts w:ascii="Times New Roman" w:eastAsia="Times New Roman" w:hAnsi="Times New Roman" w:cs="Times New Roman"/>
        </w:rPr>
        <w:fldChar w:fldCharType="separate"/>
      </w:r>
      <w:r w:rsidR="00501D77" w:rsidRPr="005B3F3B">
        <w:rPr>
          <w:rFonts w:ascii="Times New Roman" w:hAnsi="Times New Roman" w:cs="Times New Roman"/>
          <w:vertAlign w:val="superscript"/>
        </w:rPr>
        <w:t>41</w:t>
      </w:r>
      <w:r w:rsidR="0077734C" w:rsidRPr="005B3F3B">
        <w:rPr>
          <w:rFonts w:ascii="Times New Roman" w:eastAsia="Times New Roman" w:hAnsi="Times New Roman" w:cs="Times New Roman"/>
        </w:rPr>
        <w:fldChar w:fldCharType="end"/>
      </w:r>
      <w:r w:rsidR="0077734C" w:rsidRPr="005B3F3B">
        <w:rPr>
          <w:rFonts w:ascii="Times New Roman" w:eastAsia="Times New Roman" w:hAnsi="Times New Roman" w:cs="Times New Roman"/>
        </w:rPr>
        <w:t xml:space="preserve"> aims to identify neurobiological correlates of reinforcement</w:t>
      </w:r>
      <w:r w:rsidR="00C04E58">
        <w:rPr>
          <w:rFonts w:ascii="Times New Roman" w:eastAsia="Times New Roman" w:hAnsi="Times New Roman" w:cs="Times New Roman"/>
        </w:rPr>
        <w:t>-</w:t>
      </w:r>
      <w:r w:rsidR="0077734C" w:rsidRPr="005B3F3B">
        <w:rPr>
          <w:rFonts w:ascii="Times New Roman" w:eastAsia="Times New Roman" w:hAnsi="Times New Roman" w:cs="Times New Roman"/>
        </w:rPr>
        <w:t xml:space="preserve">related behaviours in adolescents followed from ages 14 to 23 years. Participants were recruited from eight research centres in the United Kingdom, Germany, France and Ireland. Ethics approval was obtained at each site by </w:t>
      </w:r>
      <w:r w:rsidR="00C04E58">
        <w:rPr>
          <w:rFonts w:ascii="Times New Roman" w:eastAsia="Times New Roman" w:hAnsi="Times New Roman" w:cs="Times New Roman"/>
        </w:rPr>
        <w:t xml:space="preserve">the </w:t>
      </w:r>
      <w:r w:rsidR="0077734C" w:rsidRPr="005B3F3B">
        <w:rPr>
          <w:rFonts w:ascii="Times New Roman" w:eastAsia="Times New Roman" w:hAnsi="Times New Roman" w:cs="Times New Roman"/>
        </w:rPr>
        <w:t>local research ethics committee. Written consent was obtained from each participant. For this study, we analysed data from participants aged 19 years.</w:t>
      </w:r>
    </w:p>
    <w:p w14:paraId="5EB36ED2" w14:textId="2A783B33" w:rsidR="008E1D99"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MCIC</w:t>
      </w:r>
      <w:r w:rsidRPr="005B3F3B">
        <w:rPr>
          <w:rFonts w:ascii="Times New Roman" w:eastAsia="Times New Roman" w:hAnsi="Times New Roman" w:cs="Times New Roman"/>
        </w:rPr>
        <w:t>:</w:t>
      </w:r>
      <w:r w:rsidR="00C14564" w:rsidRPr="005B3F3B">
        <w:rPr>
          <w:rFonts w:ascii="Times New Roman" w:eastAsia="Times New Roman" w:hAnsi="Times New Roman" w:cs="Times New Roman"/>
        </w:rPr>
        <w:t xml:space="preserve"> The Mental Illness and Neuroscience Discovery Institute (MIND) Institute, now the Mind Research Network (MRN, www.mrn.org)</w:t>
      </w:r>
      <w:r w:rsidR="00C04E58">
        <w:rPr>
          <w:rFonts w:ascii="Times New Roman" w:eastAsia="Times New Roman" w:hAnsi="Times New Roman" w:cs="Times New Roman"/>
        </w:rPr>
        <w:t>,</w:t>
      </w:r>
      <w:r w:rsidR="00C14564" w:rsidRPr="005B3F3B">
        <w:rPr>
          <w:rFonts w:ascii="Times New Roman" w:eastAsia="Times New Roman" w:hAnsi="Times New Roman" w:cs="Times New Roman"/>
        </w:rPr>
        <w:t xml:space="preserve"> formed the MIND Clinical Imaging Consortium (MCIC) in 2003 to conduct a multi-institutional, cross-sectional study of patients with schizophrenia and demographically matched, by sex and age, healthy controls to identify quantitative neuroimaging biomarkers for this devastating disease</w:t>
      </w:r>
      <w:r w:rsidR="004E48AD" w:rsidRPr="005B3F3B">
        <w:rPr>
          <w:rFonts w:ascii="Times New Roman" w:eastAsia="Times New Roman" w:hAnsi="Times New Roman" w:cs="Times New Roman"/>
        </w:rPr>
        <w:fldChar w:fldCharType="begin"/>
      </w:r>
      <w:r w:rsidR="00501D77" w:rsidRPr="005B3F3B">
        <w:rPr>
          <w:rFonts w:ascii="Times New Roman" w:eastAsia="Times New Roman" w:hAnsi="Times New Roman" w:cs="Times New Roman"/>
        </w:rPr>
        <w:instrText xml:space="preserve"> ADDIN ZOTERO_ITEM CSL_CITATION {"citationID":"eeJLocgx","properties":{"formattedCitation":"\\super 42\\nosupersub{}","plainCitation":"42","noteIndex":0},"citationItems":[{"id":6788,"uris":["http://zotero.org/users/6242458/items/PXU5I78T"],"itemData":{"id":6788,"type":"article-journal","abstract":"Expertly collected, well-curated data sets consisting of comprehensive clinical characterization and raw structural, functional and diffusion-weighted DICOM images in schizophrenia patients and sex and age-matched controls are now accessible to the scientific community through an on-line data repository (coins.mrn.org). The Mental Illness and Neuroscience Discovery Institute, now the Mind Research Network (MRN, http://www.mrn.org/ ), comprised of investigators at the University of New Mexico, the University of Minnesota, Massachusetts General Hospital, and the University of Iowa, conducted a cross-sectional study to identify quantitative neuroimaging biomarkers of schizophrenia. Data acquisition across multiple sites permitted the integration and cross-validation of clinical, cognitive, morphometric, and functional neuroimaging results gathered from unique samples of schizophrenia patients and controls using a common protocol across sites. Particular effort was made to recruit patients early in the course of their illness, at the onset of their symptoms. There is a relatively even sampling of illness duration in chronic patients. This data repository will be useful to 1) scientists who can study schizophrenia by further analysis of this cohort and/or by pooling with other data; 2) computer scientists and software algorithm developers for testing and validating novel registration, segmentation, and other analysis software; and 3) educators in the fields of neuroimaging, medical image analysis and medical imaging informatics who need exemplar data sets for courses and workshops. Sharing provides the opportunity for independent replication of already published results from this data set and novel exploration. This manuscript describes the inclusion/exclusion criteria, imaging parameters and other information that will assist those wishing to use this data repository.","container-title":"Neuroinformatics","DOI":"10.1007/s12021-013-9184-3","ISSN":"1559-0089","issue":"3","journalAbbreviation":"Neuroinformatics","language":"eng","page":"367-388","PMID":"23760817","PMCID":"PMC3727653","source":"PubMed","title":"The MCIC collection: a shared repository of multi-modal, multi-site brain image data from a clinical investigation of schizophrenia","title-short":"The MCIC collection","volume":"11","author":[{"family":"Gollub","given":"Randy L."},{"family":"Shoemaker","given":"Jody M."},{"family":"King","given":"Margaret D."},{"family":"White","given":"Tonya"},{"family":"Ehrlich","given":"Stefan"},{"family":"Sponheim","given":"Scott R."},{"family":"Clark","given":"Vincent P."},{"family":"Turner","given":"Jessica A."},{"family":"Mueller","given":"Bryon A."},{"family":"Magnotta","given":"Vince"},{"family":"O'Leary","given":"Daniel"},{"family":"Ho","given":"Beng C."},{"family":"Brauns","given":"Stefan"},{"family":"Manoach","given":"Dara S."},{"family":"Seidman","given":"Larry"},{"family":"Bustillo","given":"Juan R."},{"family":"Lauriello","given":"John"},{"family":"Bockholt","given":"Jeremy"},{"family":"Lim","given":"Kelvin O."},{"family":"Rosen","given":"Bruce R."},{"family":"Schulz","given":"S. Charles"},{"family":"Calhoun","given":"Vince D."},{"family":"Andreasen","given":"Nancy C."}],"issued":{"date-parts":[["2013",7]]}}}],"schema":"https://github.com/citation-style-language/schema/raw/master/csl-citation.json"} </w:instrText>
      </w:r>
      <w:r w:rsidR="004E48AD" w:rsidRPr="005B3F3B">
        <w:rPr>
          <w:rFonts w:ascii="Times New Roman" w:eastAsia="Times New Roman" w:hAnsi="Times New Roman" w:cs="Times New Roman"/>
        </w:rPr>
        <w:fldChar w:fldCharType="separate"/>
      </w:r>
      <w:r w:rsidR="00501D77" w:rsidRPr="005B3F3B">
        <w:rPr>
          <w:rFonts w:ascii="Times New Roman" w:hAnsi="Times New Roman" w:cs="Times New Roman"/>
          <w:vertAlign w:val="superscript"/>
        </w:rPr>
        <w:t>42</w:t>
      </w:r>
      <w:r w:rsidR="004E48AD" w:rsidRPr="005B3F3B">
        <w:rPr>
          <w:rFonts w:ascii="Times New Roman" w:eastAsia="Times New Roman" w:hAnsi="Times New Roman" w:cs="Times New Roman"/>
        </w:rPr>
        <w:fldChar w:fldCharType="end"/>
      </w:r>
      <w:r w:rsidR="004E48AD" w:rsidRPr="005B3F3B">
        <w:rPr>
          <w:rFonts w:ascii="Times New Roman" w:eastAsia="Times New Roman" w:hAnsi="Times New Roman" w:cs="Times New Roman"/>
        </w:rPr>
        <w:t>.</w:t>
      </w:r>
    </w:p>
    <w:p w14:paraId="7438229B" w14:textId="268B79D2" w:rsidR="008E1D99"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PPMI</w:t>
      </w:r>
      <w:r w:rsidRPr="005B3F3B">
        <w:rPr>
          <w:rFonts w:ascii="Times New Roman" w:eastAsia="Times New Roman" w:hAnsi="Times New Roman" w:cs="Times New Roman"/>
        </w:rPr>
        <w:t>:</w:t>
      </w:r>
      <w:r w:rsidR="00287088" w:rsidRPr="005B3F3B">
        <w:rPr>
          <w:rFonts w:ascii="Times New Roman" w:eastAsia="Times New Roman" w:hAnsi="Times New Roman" w:cs="Times New Roman"/>
        </w:rPr>
        <w:t xml:space="preserve"> The Parkinson’s Progression Markers Initiative (PPMI)</w:t>
      </w:r>
      <w:r w:rsidR="009F1101" w:rsidRPr="005B3F3B">
        <w:rPr>
          <w:rFonts w:ascii="Times New Roman" w:eastAsia="Times New Roman" w:hAnsi="Times New Roman" w:cs="Times New Roman"/>
        </w:rPr>
        <w:fldChar w:fldCharType="begin"/>
      </w:r>
      <w:r w:rsidR="00501D77" w:rsidRPr="005B3F3B">
        <w:rPr>
          <w:rFonts w:ascii="Times New Roman" w:eastAsia="Times New Roman" w:hAnsi="Times New Roman" w:cs="Times New Roman"/>
        </w:rPr>
        <w:instrText xml:space="preserve"> ADDIN ZOTERO_ITEM CSL_CITATION {"citationID":"xMEcTJYi","properties":{"formattedCitation":"\\super 43\\nosupersub{}","plainCitation":"43","noteIndex":0},"citationItems":[{"id":6790,"uris":["http://zotero.org/users/6242458/items/MLL9M72D"],"itemData":{"id":6790,"type":"article-journal","abstract":"The Parkinson Progression Marker Initiative (PPMI) is a comprehensive observational, international, multi-center study designed to identify PD progression biomarkers both to improve understanding of disease etiology and course and to provide crucial tools to enhance the likelihood of success of PD modifying therapeutic trials. The PPMI cohort will comprise 400 recently diagnosed PD and 200 healthy subjects followed longitudinally for clinical, imaging and biospecimen biomarker assessment using standardized data acquisition protocols at twenty-one clinical sites. All study data will be integrated in the PPMI study database and will be rapidly and publically available through the PPMI web site- www.ppmi-info.org. Biological samples including longitudinal collection of blood, cerebrospinal fluid (CSF) and urine will be available to scientists by application to an independent PPMI biospecimen review committee also through the PPMI web site. PPMI will rely on a partnership of government, PD foundations, industry and academics working cooperatively. This approach is crucial to enhance the potential for success of this ambitious strategy to develop PD progression biomarkers that will accelerate research in disease modifying therapeutics.","container-title":"Progress in Neurobiology","DOI":"10.1016/j.pneurobio.2011.09.005","ISSN":"1873-5118","issue":"4","journalAbbreviation":"Prog Neurobiol","language":"eng","page":"629-635","PMID":"21930184","PMCID":"PMC9014725","source":"PubMed","title":"The Parkinson Progression Marker Initiative (PPMI)","volume":"95","author":[{"literal":"Parkinson Progression Marker Initiative"}],"issued":{"date-parts":[["2011",12]]}}}],"schema":"https://github.com/citation-style-language/schema/raw/master/csl-citation.json"} </w:instrText>
      </w:r>
      <w:r w:rsidR="009F1101" w:rsidRPr="005B3F3B">
        <w:rPr>
          <w:rFonts w:ascii="Times New Roman" w:eastAsia="Times New Roman" w:hAnsi="Times New Roman" w:cs="Times New Roman"/>
        </w:rPr>
        <w:fldChar w:fldCharType="separate"/>
      </w:r>
      <w:r w:rsidR="00501D77" w:rsidRPr="005B3F3B">
        <w:rPr>
          <w:rFonts w:ascii="Times New Roman" w:hAnsi="Times New Roman" w:cs="Times New Roman"/>
          <w:vertAlign w:val="superscript"/>
        </w:rPr>
        <w:t>43</w:t>
      </w:r>
      <w:r w:rsidR="009F1101" w:rsidRPr="005B3F3B">
        <w:rPr>
          <w:rFonts w:ascii="Times New Roman" w:eastAsia="Times New Roman" w:hAnsi="Times New Roman" w:cs="Times New Roman"/>
        </w:rPr>
        <w:fldChar w:fldCharType="end"/>
      </w:r>
      <w:r w:rsidR="00287088" w:rsidRPr="005B3F3B">
        <w:rPr>
          <w:rFonts w:ascii="Times New Roman" w:eastAsia="Times New Roman" w:hAnsi="Times New Roman" w:cs="Times New Roman"/>
        </w:rPr>
        <w:t xml:space="preserve"> is an observational study to better define and measure Parkinson’s disease to speed therapeutic development. PPMI makes its data set and biorepository—the most robust in Parkinson’s to date—available to academia and industry to accelerate breakthroughs. PPMI has gathered longitudinal data from more than 1,400 individuals at 33 clinical sites in 11 countries. These data are shared through the University of Southern California’s Neuroimaging Laboratories database (https://ida.loni.usc.edu/).</w:t>
      </w:r>
    </w:p>
    <w:p w14:paraId="64045A83" w14:textId="784D9974" w:rsidR="008E1D99" w:rsidRPr="005B3F3B" w:rsidRDefault="00E5310E"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iCs/>
          <w:u w:val="single"/>
        </w:rPr>
        <w:t>SHIP-TREND</w:t>
      </w:r>
      <w:r w:rsidRPr="005B3F3B">
        <w:rPr>
          <w:rFonts w:ascii="Times New Roman" w:eastAsia="Times New Roman" w:hAnsi="Times New Roman" w:cs="Times New Roman"/>
        </w:rPr>
        <w:t>:</w:t>
      </w:r>
      <w:r w:rsidR="007A0567" w:rsidRPr="005B3F3B">
        <w:rPr>
          <w:rFonts w:ascii="Times New Roman" w:eastAsia="Times New Roman" w:hAnsi="Times New Roman" w:cs="Times New Roman"/>
        </w:rPr>
        <w:t xml:space="preserve"> The SHIP-TREND </w:t>
      </w:r>
      <w:r w:rsidR="00EB65C6" w:rsidRPr="005B3F3B">
        <w:rPr>
          <w:rFonts w:ascii="Times New Roman" w:eastAsia="Times New Roman" w:hAnsi="Times New Roman" w:cs="Times New Roman"/>
        </w:rPr>
        <w:t>is a population-based cohort study. Baseline examination was performed between 2008 and 2012</w:t>
      </w:r>
      <w:r w:rsidR="00D64CEB"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{"citationID":"VTbIocQ0","properties":{"formattedCitation":"\\super 44\\nosupersub{}","plainCitation":"44","noteIndex":0},"citationItems":[{"id":6897,"uris":["http://zotero.org/users/6242458/items/ZLSN7NSS"],"itemData":{"id":6897,"type":"article-journal","container-title":"International Journal of Epidemiology","DOI":"10.1093/ije/dyp394","ISSN":"1464-3685","issue":"2","journalAbbreviation":"Int J Epidemiol","language":"eng","page":"294-307","PMID":"20167617","source":"PubMed","title":"Cohort profile: the study of health in Pomerania","title-short":"Cohort profile","volume":"40","author":[{"family":"Völzke","given":"Henry"},{"family":"Alte","given":"Dietrich"},{"family":"Schmidt","given":"Carsten Oliver"},{"family":"Radke","given":"Dörte"},{"family":"Lorbeer","given":"Roberto"},{"family":"Friedrich","given":"Nele"},{"family":"Aumann","given":"Nicole"},{"family":"Lau","given":"Katharina"},{"family":"Piontek","given":"Michael"},{"family":"Born","given":"Gabriele"},{"family":"Havemann","given":"Christoph"},{"family":"Ittermann","given":"Till"},{"family":"Schipf","given":"Sabine"},{"family":"Haring","given":"Robin"},{"family":"Baumeister","given":"Sebastian E."},{"family":"Wallaschofski","given":"Henri"},{"family":"Nauck","given":"Matthias"},{"family":"Frick","given":"Stephanie"},{"family":"Arnold","given":"Andreas"},{"family":"Jünger","given":"Michael"},{"family":"Mayerle","given":"Julia"},{"family":"Kraft","given":"Matthias"},{"family":"Lerch","given":"Markus M."},{"family":"Dörr","given":"Marcus"},{"family":"Reffelmann","given":"Thorsten"},{"family":"Empen","given":"Klaus"},{"family":"Felix","given":"Stephan B."},{"family":"Obst","given":"Anne"},{"family":"Koch","given":"Beate"},{"family":"Gläser","given":"Sven"},{"family":"Ewert","given":"Ralf"},{"family":"Fietze","given":"Ingo"},{"family":"Penzel","given":"Thomas"},{"family":"Dören","given":"Martina"},{"family":"Rathmann","given":"Wolfgang"},{"family":"Haerting","given":"Johannes"},{"family":"Hannemann","given":"Mario"},{"family":"Röpcke","given":"Jürgen"},{"family":"Schminke","given":"Ulf"},{"family":"Jürgens","given":"Clemens"},{"family":"Tost","given":"Frank"},{"family":"Rettig","given":"Rainer"},{"family":"Kors","given":"Jan A."},{"family":"Ungerer","given":"Saskia"},{"family":"Hegenscheid","given":"Katrin"},{"family":"Kühn","given":"Jens-Peter"},{"family":"Kühn","given":"Julia"},{"family":"Hosten","given":"Norbert"},{"family":"Puls","given":"Ralf"},{"family":"Henke","given":"Jörg"},{"family":"Gloger","given":"Oliver"},{"family":"Teumer","given":"Alexander"},{"family":"Homuth","given":"Georg"},{"family":"Völker","given":"Uwe"},{"family":"Schwahn","given":"Christian"},{"family":"Holtfreter","given":"Birte"},{"family":"Polzer","given":"Ines"},{"family":"Kohlmann","given":"Thomas"},{"family":"Grabe","given":"Hans J."},{"family":"Rosskopf","given":"Dieter"},{"family":"Kroemer","given":"Heyo K."},{"family":"Kocher","given":"Thomas"},{"family":"Biffar","given":"Reiner"},{"family":"John","given":"Ulrich"},{"family":"Hoffmann","given":"Wolfgang"}],"issued":{"date-parts":[["2011",4]]}}}],"schema":"https://github.com/citation-style-language/schema/raw/master/csl-citation.json"} </w:instrText>
      </w:r>
      <w:r w:rsidR="00D64CEB"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44</w:t>
      </w:r>
      <w:r w:rsidR="00D64CEB" w:rsidRPr="005B3F3B">
        <w:rPr>
          <w:rFonts w:ascii="Times New Roman" w:eastAsia="Times New Roman" w:hAnsi="Times New Roman" w:cs="Times New Roman"/>
        </w:rPr>
        <w:fldChar w:fldCharType="end"/>
      </w:r>
      <w:r w:rsidR="00EB65C6" w:rsidRPr="005B3F3B">
        <w:rPr>
          <w:rFonts w:ascii="Times New Roman" w:eastAsia="Times New Roman" w:hAnsi="Times New Roman" w:cs="Times New Roman"/>
        </w:rPr>
        <w:t>.</w:t>
      </w:r>
      <w:r w:rsidR="00D64CEB" w:rsidRPr="005B3F3B">
        <w:rPr>
          <w:rFonts w:ascii="Times New Roman" w:eastAsia="Times New Roman" w:hAnsi="Times New Roman" w:cs="Times New Roman"/>
        </w:rPr>
        <w:t xml:space="preserve"> </w:t>
      </w:r>
      <w:r w:rsidR="00290B92" w:rsidRPr="005B3F3B">
        <w:rPr>
          <w:rFonts w:ascii="Times New Roman" w:eastAsia="Times New Roman" w:hAnsi="Times New Roman" w:cs="Times New Roman"/>
        </w:rPr>
        <w:t>T</w:t>
      </w:r>
      <w:r w:rsidR="00B5346B" w:rsidRPr="005B3F3B">
        <w:rPr>
          <w:rFonts w:ascii="Times New Roman" w:eastAsia="Times New Roman" w:hAnsi="Times New Roman" w:cs="Times New Roman"/>
        </w:rPr>
        <w:t>he medical ethics committee of the University of Greifswald approved the study protocol. Oral and written informed consents were obtained. Examinations comprised a health-related interview, an oral health examination, a medical examination and a health- and risk factor-related questionnaire.</w:t>
      </w:r>
    </w:p>
    <w:p w14:paraId="2346C3AB" w14:textId="1AB7DD89" w:rsidR="00E5310E" w:rsidRPr="005B3F3B" w:rsidRDefault="00E5310E" w:rsidP="005B3F3B">
      <w:pPr>
        <w:spacing w:before="240" w:line="360" w:lineRule="auto"/>
        <w:ind w:left="0"/>
        <w:jc w:val="both"/>
        <w:rPr>
          <w:rFonts w:ascii="Times New Roman" w:eastAsia="Times New Roman" w:hAnsi="Times New Roman" w:cs="Times New Roman"/>
          <w:i/>
          <w:iCs/>
          <w:highlight w:val="yellow"/>
          <w:u w:val="single"/>
        </w:rPr>
      </w:pPr>
      <w:proofErr w:type="spellStart"/>
      <w:r w:rsidRPr="005B3F3B">
        <w:rPr>
          <w:rFonts w:ascii="Times New Roman" w:eastAsia="Times New Roman" w:hAnsi="Times New Roman" w:cs="Times New Roman"/>
          <w:i/>
          <w:iCs/>
          <w:u w:val="single"/>
        </w:rPr>
        <w:t>SNiP</w:t>
      </w:r>
      <w:proofErr w:type="spellEnd"/>
      <w:r w:rsidRPr="005B3F3B">
        <w:rPr>
          <w:rFonts w:ascii="Times New Roman" w:eastAsia="Times New Roman" w:hAnsi="Times New Roman" w:cs="Times New Roman"/>
        </w:rPr>
        <w:t>:</w:t>
      </w:r>
      <w:r w:rsidR="000616E1" w:rsidRPr="005B3F3B">
        <w:rPr>
          <w:rFonts w:ascii="Times New Roman" w:eastAsia="Times New Roman" w:hAnsi="Times New Roman" w:cs="Times New Roman"/>
        </w:rPr>
        <w:t xml:space="preserve"> This cohort was recruited between 2013 and 2018 at the Central Institute of Mental Health (CIMH) in Mannheim, Germany. Ethics approval was given by the medical ethics committee </w:t>
      </w:r>
      <w:proofErr w:type="spellStart"/>
      <w:r w:rsidR="000616E1" w:rsidRPr="005B3F3B">
        <w:rPr>
          <w:rFonts w:ascii="Times New Roman" w:eastAsia="Times New Roman" w:hAnsi="Times New Roman" w:cs="Times New Roman"/>
        </w:rPr>
        <w:t>ll</w:t>
      </w:r>
      <w:proofErr w:type="spellEnd"/>
      <w:r w:rsidR="000616E1" w:rsidRPr="005B3F3B">
        <w:rPr>
          <w:rFonts w:ascii="Times New Roman" w:eastAsia="Times New Roman" w:hAnsi="Times New Roman" w:cs="Times New Roman"/>
        </w:rPr>
        <w:t xml:space="preserve"> of the Medical Faculty Mannheim at Ruprecht-Karls-University in Heidelberg, fulfilling the ethical guidelines for medical research according to the </w:t>
      </w:r>
      <w:r w:rsidR="00C04E58">
        <w:rPr>
          <w:rFonts w:ascii="Times New Roman" w:eastAsia="Times New Roman" w:hAnsi="Times New Roman" w:cs="Times New Roman"/>
        </w:rPr>
        <w:t>D</w:t>
      </w:r>
      <w:r w:rsidR="000616E1" w:rsidRPr="005B3F3B">
        <w:rPr>
          <w:rFonts w:ascii="Times New Roman" w:eastAsia="Times New Roman" w:hAnsi="Times New Roman" w:cs="Times New Roman"/>
        </w:rPr>
        <w:t>eclaration of Helsinki. All participants signed written informed consent and were free to withdraw from the study at any time. There was no surrogate consent procedure.</w:t>
      </w:r>
    </w:p>
    <w:p w14:paraId="648FF370" w14:textId="77777777" w:rsidR="00E5310E" w:rsidRPr="005B3F3B" w:rsidRDefault="00E5310E" w:rsidP="005B3F3B">
      <w:pPr>
        <w:spacing w:line="360" w:lineRule="auto"/>
        <w:ind w:left="0"/>
        <w:jc w:val="both"/>
        <w:rPr>
          <w:rFonts w:ascii="Times New Roman" w:eastAsia="Times New Roman" w:hAnsi="Times New Roman" w:cs="Times New Roman"/>
        </w:rPr>
      </w:pPr>
    </w:p>
    <w:p w14:paraId="486CD03A" w14:textId="04B7337F" w:rsidR="007C0CB7" w:rsidRPr="005B3F3B" w:rsidRDefault="007C0CB7" w:rsidP="005B3F3B">
      <w:pPr>
        <w:pStyle w:val="Heading2"/>
        <w:spacing w:line="360" w:lineRule="auto"/>
        <w:jc w:val="both"/>
      </w:pPr>
      <w:bookmarkStart w:id="13" w:name="_Toc224509814"/>
      <w:r w:rsidRPr="005B3F3B">
        <w:lastRenderedPageBreak/>
        <w:t>Replication/validation datasets</w:t>
      </w:r>
      <w:bookmarkEnd w:id="13"/>
    </w:p>
    <w:p w14:paraId="15250624" w14:textId="4FE6AE75" w:rsidR="00202DE0"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BIP-SYD</w:t>
      </w:r>
      <w:r w:rsidRPr="005B3F3B">
        <w:rPr>
          <w:rFonts w:ascii="Times New Roman" w:eastAsia="Times New Roman" w:hAnsi="Times New Roman" w:cs="Times New Roman"/>
        </w:rPr>
        <w:t>:</w:t>
      </w:r>
      <w:r w:rsidR="00951513" w:rsidRPr="005B3F3B">
        <w:rPr>
          <w:rFonts w:ascii="Times New Roman" w:eastAsia="Times New Roman" w:hAnsi="Times New Roman" w:cs="Times New Roman"/>
        </w:rPr>
        <w:t xml:space="preserve"> Participants were aged 12-30 years and recruited as previously described</w:t>
      </w:r>
      <w:r w:rsidR="00B90253"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{"citationID":"mmDhIaKu","properties":{"formattedCitation":"\\super 45,46\\nosupersub{}","plainCitation":"45,46","noteIndex":0},"citationItems":[{"id":6877,"uris":["http://zotero.org/users/6242458/items/SS7FQGTV"],"itemData":{"id":6877,"type":"article-journal","abstract":"Bipolar disorder is associated with cognitive deficits and cortical changes for which the developmental dynamics are not well understood. The dopamine D2 receptor (DRD2) gene has been associated with both psychiatric disorders and cognitive variability. Here we examined the mediating role of brain structure in the relationship between DRD2 genomic variation and cognitive performance, with target cortical regions selected based on evidence of association with DRD2, bipolar disorder and/or cognition from prior literature. Participants (n = 143) were aged 12-30 years and comprised 62 first-degree relatives of bipolar patients (deemed 'at-risk'), 55 controls, and 26 patients with established bipolar disorder; all were unrelated Caucasian individuals with complete data across the three required modalities (structural magnetic resonance imaging, neuropsychological and genetic data). A DRD2 haplotype was derived from three functional polymorphisms (rs1800497, rs1076560, rs2283265) associated with alternative splicing (i.e., D2-short/-long isoforms). Moderated mediation analyses explored group differences in relationships between this DRD2 haplotype, three structural brain networks which subsume the identified cortical regions of interest (frontoparietal, dorsal-attention, and ventral-attention), and three cognitive indices (intelligence, attention, and immediate memory). Controls who were homozygous for the DRD2 major haplotype demonstrated greater cognitive performance as a result of dorsal-attention network mediation. However, this association was absent in the 'at-risk' group. This study provides the first evidence of a functional DRD2-brain-cognition pathway. The absence of typical brain-cognition relationships in young 'at-risk' individuals may reflect biological differences that precede illness onset. Further insight into early pathogenic processes may facilitate targeted early interventions.","container-title":"Psychiatry Research. Neuroimaging","DOI":"10.1016/j.pscychresns.2021.111258","ISSN":"1872-7506","journalAbbreviation":"Psychiatry Res Neuroimaging","language":"eng","page":"111258","PMID":"33529975","source":"PubMed","title":"Cortical mediation of relationships between dopamine receptor D2 and cognition is absent in youth at risk of bipolar disorder","volume":"309","author":[{"family":"Overs","given":"Bronwyn J."},{"family":"Lenroot","given":"Rhoshel K."},{"family":"Roberts","given":"Gloria"},{"family":"Green","given":"Melissa J."},{"family":"Toma","given":"Claudio"},{"family":"Hadzi-Pavlovic","given":"Dusan"},{"family":"Pierce","given":"Kerrie D."},{"family":"Schofield","given":"Peter R."},{"family":"Mitchell","given":"Philip B."},{"family":"Fullerton","given":"Janice M."}],"issued":{"date-parts":[["2021",3,30]]}}},{"id":6875,"uris":["http://zotero.org/users/6242458/items/VI3YVSB6"],"itemData":{"id":6875,"type":"article-journal","abstract":"BACKGROUND: Fronto-limbic structural brain abnormalities have been reported in patients with bipolar disorder (BD), but findings in individuals at increased genetic risk of developing BD have been inconsistent. We conducted a study in adolescents and young adults (12-30 years) comparing measures of fronto-limbic cortical and subcortical brain structure between individuals at increased familial risk of BD (at risk; AR), subjects with BD and controls (CON). We separately examined cortical volume, thickness and surface area as these have distinct neurodevelopmental origins and thus may reflect differential effects of genetic risk.\nMETHOD: We compared fronto-limbic measures of grey and white matter volume, cortical thickness and surface area in 72 unaffected-risk individuals with at least one first-degree relative with bipolar disorder (AR), 38 BD subjects and 72 participants with no family history of mental illness (CON).\nRESULTS: The AR group had significantly reduced cortical thickness in the left pars orbitalis of the inferior frontal gyrus (IFG) compared with the CON group, and significantly increased left parahippocampal gyral volume compared with those with BD.\nCONCLUSIONS: The finding of reduced cortical thickness of the left pars orbitalis in AR subjects is consistent with other evidence supporting the IFG as a key region associated with genetic liability for BD. The greater volume of the left parahippocampal gyrus in those at high risk is in line with some prior reports of regional increases in grey matter volume in at-risk subjects. Assessing multiple complementary morphometric measures may assist in the better understanding of abnormal developmental processes in BD.","container-title":"Psychological Medicine","DOI":"10.1017/S0033291716000507","ISSN":"1469-8978","issue":"10","journalAbbreviation":"Psychol Med","language":"eng","page":"2083-2096","PMID":"27067698","source":"PubMed","title":"Abnormalities in left inferior frontal gyral thickness and parahippocampal gyral volume in young people at high genetic risk for bipolar disorder","volume":"46","author":[{"family":"Roberts","given":"G."},{"family":"Lenroot","given":"R."},{"family":"Frankland","given":"A."},{"family":"Yeung","given":"P. K."},{"family":"Gale","given":"N."},{"family":"Wright","given":"A."},{"family":"Lau","given":"P."},{"family":"Levy","given":"F."},{"family":"Wen","given":"W."},{"family":"Mitchell","given":"P. B."}],"issued":{"date-parts":[["2016",7]]}}}],"schema":"https://github.com/citation-style-language/schema/raw/master/csl-citation.json"} </w:instrText>
      </w:r>
      <w:r w:rsidR="00B90253"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45,46</w:t>
      </w:r>
      <w:r w:rsidR="00B90253" w:rsidRPr="005B3F3B">
        <w:rPr>
          <w:rFonts w:ascii="Times New Roman" w:eastAsia="Times New Roman" w:hAnsi="Times New Roman" w:cs="Times New Roman"/>
        </w:rPr>
        <w:fldChar w:fldCharType="end"/>
      </w:r>
      <w:r w:rsidR="00951513" w:rsidRPr="005B3F3B">
        <w:rPr>
          <w:rFonts w:ascii="Times New Roman" w:eastAsia="Times New Roman" w:hAnsi="Times New Roman" w:cs="Times New Roman"/>
        </w:rPr>
        <w:t xml:space="preserve">. Briefly, participants with a personal or family history of bipolar disorder (BD) were recruited from families who had previously participated in family studies of BD, specialised BD research clinics, mental health consumer organisations, or </w:t>
      </w:r>
      <w:r w:rsidR="003F252E">
        <w:rPr>
          <w:rFonts w:ascii="Times New Roman" w:eastAsia="Times New Roman" w:hAnsi="Times New Roman" w:cs="Times New Roman"/>
        </w:rPr>
        <w:t xml:space="preserve">in </w:t>
      </w:r>
      <w:r w:rsidR="00951513" w:rsidRPr="005B3F3B">
        <w:rPr>
          <w:rFonts w:ascii="Times New Roman" w:eastAsia="Times New Roman" w:hAnsi="Times New Roman" w:cs="Times New Roman"/>
        </w:rPr>
        <w:t>response to public notices. BD cases (n=17) met DSM-IV criteria for BD type-I (BD-I) or type-II (BD-II). High risk (HR; n=84) participants were the children or siblings of individuals with DSM-IV diagnoses of BD-I, BD-II, or schizoaffective disorder–bipolar-type (SABP), who did not personally have threshold diagnoses of these conditions at baseline, but 64% had some threshold or subthreshold psychopathology (affective, substance, anxiety). Control participants (CON; n=94) were recruited via print/electronic media, and noticeboards in universities and local communities. CON had no personal or familial (first-degree) history of BD-I, BD-II, recurrent unipolar disorder, SABP, schizophrenia, recurrent substance abuse or psychiatric hospitalization, and no second-degree relative with a past mood-disorder hospitalization or history of psychosis.</w:t>
      </w:r>
    </w:p>
    <w:p w14:paraId="6036208D" w14:textId="6709BB2B" w:rsidR="00424A88" w:rsidRPr="005B3F3B" w:rsidRDefault="00424A88" w:rsidP="005B3F3B">
      <w:pPr>
        <w:spacing w:before="240" w:line="360" w:lineRule="auto"/>
        <w:ind w:left="0"/>
        <w:jc w:val="both"/>
        <w:rPr>
          <w:rFonts w:ascii="Times New Roman" w:eastAsia="Times New Roman" w:hAnsi="Times New Roman" w:cs="Times New Roman"/>
          <w:lang w:val="en-US"/>
        </w:rPr>
      </w:pPr>
      <w:r w:rsidRPr="005B3F3B">
        <w:rPr>
          <w:rFonts w:ascii="Times New Roman" w:eastAsia="Times New Roman" w:hAnsi="Times New Roman" w:cs="Times New Roman"/>
        </w:rPr>
        <w:t xml:space="preserve">Written informed consent was obtained from all participants, with additional parental consent for participants aged &lt;16 years. This study was approved by </w:t>
      </w:r>
      <w:r w:rsidR="003F252E">
        <w:rPr>
          <w:rFonts w:ascii="Times New Roman" w:eastAsia="Times New Roman" w:hAnsi="Times New Roman" w:cs="Times New Roman"/>
        </w:rPr>
        <w:t xml:space="preserve">the </w:t>
      </w:r>
      <w:r w:rsidRPr="005B3F3B">
        <w:rPr>
          <w:rFonts w:ascii="Times New Roman" w:eastAsia="Times New Roman" w:hAnsi="Times New Roman" w:cs="Times New Roman"/>
        </w:rPr>
        <w:t>University of New South Wales Human Research Ethics Committee (HREC Protocol 09/097). A battery of structured clinical interviews, self-report questionnaires and clinician</w:t>
      </w:r>
      <w:r w:rsidR="003F252E">
        <w:rPr>
          <w:rFonts w:ascii="Times New Roman" w:eastAsia="Times New Roman" w:hAnsi="Times New Roman" w:cs="Times New Roman"/>
        </w:rPr>
        <w:t>-</w:t>
      </w:r>
      <w:r w:rsidRPr="005B3F3B">
        <w:rPr>
          <w:rFonts w:ascii="Times New Roman" w:eastAsia="Times New Roman" w:hAnsi="Times New Roman" w:cs="Times New Roman"/>
        </w:rPr>
        <w:t>rated assessments w</w:t>
      </w:r>
      <w:r w:rsidR="00F83B8A">
        <w:rPr>
          <w:rFonts w:ascii="Times New Roman" w:eastAsia="Times New Roman" w:hAnsi="Times New Roman" w:cs="Times New Roman"/>
        </w:rPr>
        <w:t>as</w:t>
      </w:r>
      <w:r w:rsidRPr="005B3F3B">
        <w:rPr>
          <w:rFonts w:ascii="Times New Roman" w:eastAsia="Times New Roman" w:hAnsi="Times New Roman" w:cs="Times New Roman"/>
        </w:rPr>
        <w:t xml:space="preserve"> administered to each participant.</w:t>
      </w:r>
      <w:r w:rsidR="007B62A5" w:rsidRPr="005B3F3B">
        <w:rPr>
          <w:rFonts w:ascii="Times New Roman" w:eastAsia="Times New Roman" w:hAnsi="Times New Roman" w:cs="Times New Roman"/>
        </w:rPr>
        <w:t xml:space="preserve"> </w:t>
      </w:r>
      <w:r w:rsidR="006F1057" w:rsidRPr="005B3F3B">
        <w:rPr>
          <w:rFonts w:ascii="Times New Roman" w:eastAsia="Times New Roman" w:hAnsi="Times New Roman" w:cs="Times New Roman"/>
        </w:rPr>
        <w:t>The Family Interview for Genetic Studies</w:t>
      </w:r>
      <w:r w:rsidR="002E5CDD" w:rsidRPr="005B3F3B">
        <w:rPr>
          <w:rFonts w:ascii="Times New Roman" w:eastAsia="Times New Roman" w:hAnsi="Times New Roman" w:cs="Times New Roman"/>
        </w:rPr>
        <w:t xml:space="preserve"> (FIGS)</w:t>
      </w:r>
      <w:r w:rsidR="002C0EB6"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{"citationID":"f9pCdUpM","properties":{"formattedCitation":"\\super 47\\nosupersub{}","plainCitation":"47","noteIndex":0},"citationItems":[{"id":6880,"uris":["http://zotero.org/users/6242458/items/3G89NHLE"],"itemData":{"id":6880,"type":"book","edition":"Bethesda, MD: Clinical Neurogenetics Branch, Intramural Research Program, National Institute of Mental Health","title":"Family Interview for Genetic Studies (FIGS): a manual for FIGS","author":[{"literal":"Maxwell, M. E."}],"issued":{"date-parts":[["1992"]]}}}],"schema":"https://github.com/citation-style-language/schema/raw/master/csl-citation.json"} </w:instrText>
      </w:r>
      <w:r w:rsidR="002C0EB6"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47</w:t>
      </w:r>
      <w:r w:rsidR="002C0EB6" w:rsidRPr="005B3F3B">
        <w:rPr>
          <w:rFonts w:ascii="Times New Roman" w:eastAsia="Times New Roman" w:hAnsi="Times New Roman" w:cs="Times New Roman"/>
        </w:rPr>
        <w:fldChar w:fldCharType="end"/>
      </w:r>
      <w:r w:rsidR="002F24F4" w:rsidRPr="005B3F3B">
        <w:rPr>
          <w:rFonts w:ascii="Times New Roman" w:eastAsia="Times New Roman" w:hAnsi="Times New Roman" w:cs="Times New Roman"/>
        </w:rPr>
        <w:t xml:space="preserve"> was administered to each participant or a family member to determine </w:t>
      </w:r>
      <w:r w:rsidR="00F83B8A">
        <w:rPr>
          <w:rFonts w:ascii="Times New Roman" w:eastAsia="Times New Roman" w:hAnsi="Times New Roman" w:cs="Times New Roman"/>
        </w:rPr>
        <w:t xml:space="preserve">the </w:t>
      </w:r>
      <w:r w:rsidR="002F24F4" w:rsidRPr="005B3F3B">
        <w:rPr>
          <w:rFonts w:ascii="Times New Roman" w:eastAsia="Times New Roman" w:hAnsi="Times New Roman" w:cs="Times New Roman"/>
        </w:rPr>
        <w:t>family history of mood or psychotic disorder. To determine psychiatric diagnoses, both participants (aged 12-21) and their parent/s completed the</w:t>
      </w:r>
      <w:r w:rsidR="00D91802" w:rsidRPr="005B3F3B">
        <w:rPr>
          <w:rFonts w:ascii="Times New Roman" w:eastAsia="Times New Roman" w:hAnsi="Times New Roman" w:cs="Times New Roman"/>
        </w:rPr>
        <w:t xml:space="preserve"> Kiddie-Schedule for Affective Disorders and Schizophrenia for School-Aged Children–Present and Lifetime Version</w:t>
      </w:r>
      <w:r w:rsidR="007A06C3" w:rsidRPr="005B3F3B">
        <w:rPr>
          <w:rFonts w:ascii="Times New Roman" w:eastAsia="Times New Roman" w:hAnsi="Times New Roman" w:cs="Times New Roman"/>
        </w:rPr>
        <w:t xml:space="preserve"> (K</w:t>
      </w:r>
      <w:r w:rsidR="008D0575" w:rsidRPr="005B3F3B">
        <w:rPr>
          <w:rFonts w:ascii="Times New Roman" w:eastAsia="Times New Roman" w:hAnsi="Times New Roman" w:cs="Times New Roman"/>
        </w:rPr>
        <w:t>-SADS-</w:t>
      </w:r>
      <w:r w:rsidR="00D27536" w:rsidRPr="005B3F3B">
        <w:rPr>
          <w:rFonts w:ascii="Times New Roman" w:eastAsia="Times New Roman" w:hAnsi="Times New Roman" w:cs="Times New Roman"/>
        </w:rPr>
        <w:t>BP; v2</w:t>
      </w:r>
      <w:r w:rsidR="001B62C1" w:rsidRPr="005B3F3B">
        <w:rPr>
          <w:rFonts w:ascii="Times New Roman" w:eastAsia="Times New Roman" w:hAnsi="Times New Roman" w:cs="Times New Roman"/>
        </w:rPr>
        <w:t>, July 2009)</w:t>
      </w:r>
      <w:r w:rsidR="00A528FF"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{"citationID":"vr6ldNfH","properties":{"formattedCitation":"\\super 48,49\\nosupersub{}","plainCitation":"48,49","noteIndex":0},"citationItems":[{"id":6884,"uris":["http://zotero.org/users/6242458/items/BELWFBLI"],"itemData":{"id":6884,"type":"article-journal","abstract":"OBJECTIVE: To describe the psychometric properties of the Schedule for Affective Disorders and Schizophrenia for School-Age Children-Present and Lifetime version (K-SADS-PL) interview, which surveys additional disorders not assessed in prior K-SADS, contains improved probes and anchor points, includes diagnosis-specific impairment ratings, generates DSM-III-R and DSM-IV diagnoses, and divides symptoms surveyed into a screening interview and five diagnostic supplements.\nMETHOD: Subjects were 55 psychiatric outpatients and 11 normal controls (aged 7 through 17 years). Both parents and children were used as informants. Concurrent validity of the screen criteria and the K-SADS-PL diagnoses was assessed against standard self-report scales. Interrater (n = 15) and test-retest (n = 20) reliability data were also collected (mean retest interval: 18 days; range: 2 to 36 days).\nRESULTS: Rating scale data support the concurrent validity of screens and K-SADS-PL diagnoses. Interrater agreement in scoring screens and diagnoses was high (range: 93% to 100%). Test-retest reliability kappa coefficients were in the excellent range for present and/or lifetime diagnoses of major depression, any bipolar, generalized anxiety, conduct, and oppositional defiant disorder (.77 to 1.00) and in the good range for present diagnoses of posttraumatic stress disorder and attention-deficit hyperactivity disorder (.63 to .67).\nCONCLUSION: Results suggest the K-SADS-PL generates reliable and valid child psychiatric diagnoses.","container-title":"Journal of the American Academy of Child and Adolescent Psychiatry","DOI":"10.1097/00004583-199707000-00021","ISSN":"0890-8567","issue":"7","journalAbbreviation":"J Am Acad Child Adolesc Psychiatry","language":"eng","page":"980-988","PMID":"9204677","source":"PubMed","title":"Schedule for Affective Disorders and Schizophrenia for School-Age Children-Present and Lifetime Version (K-SADS-PL): initial reliability and validity data","title-short":"Schedule for Affective Disorders and Schizophrenia for School-Age Children-Present and Lifetime Version (K-SADS-PL)","volume":"36","author":[{"family":"Kaufman","given":"J."},{"family":"Birmaher","given":"B."},{"family":"Brent","given":"D."},{"family":"Rao","given":"U."},{"family":"Flynn","given":"C."},{"family":"Moreci","given":"P."},{"family":"Williamson","given":"D."},{"family":"Ryan","given":"N."}],"issued":{"date-parts":[["1997",7]]}}},{"id":6881,"uris":["http://zotero.org/users/6242458/items/NQQD6KK3"],"itemData":{"id":6881,"type":"article-journal","abstract":"CONTEXT: The childhood precursors of adult bipolar disorder (BP) are still a matter of controversy.\nOBJECTIVE: To report the lifetime prevalence and early clinical predictors of psychiatric disorders in offspring from families of probands with DSM-IV BP compared with offspring of control subjects.\nDESIGN: A longitudinal, prospective study of individuals at risk for BP and related disorders. We report initial (cross-sectional and retrospective) diagnostic and clinical characteristics following best-estimate procedures.\nSETTING: Assessment was performed at 4 university medical centers in the United States between June 1, 2006, and September 30, 2009.\nPARTICIPANTS: Offspring aged 12 to 21 years in families with a proband with BP (n = 141, designated as cases) and similarly aged offspring of control parents (n = 91).\nMAIN OUTCOME MEASURE: Lifetime DSM-IV diagnosis of a major affective disorder (BP type I; schizoaffective disorder, bipolar type; BP type II; or major depression).\nRESULTS: At a mean age of 17 years, cases showed a 23.4% lifetime prevalence of major affective disorders compared with 4.4% in controls (P = .002, adjusting for age, sex, ethnicity, and correlation between siblings). The prevalence of BP in cases was 8.5% vs 0% in controls (adjusted P = .007). No significant difference was seen in the prevalence of other affective, anxiety, disruptive behavior, or substance use disorders. Among case subjects manifesting major affective disorders (n = 33), there was an increased risk of anxiety and externalizing disorders compared with cases without mood disorder. In cases but not controls, a childhood diagnosis of an anxiety disorder (relative risk = 2.6; 95% CI, 1.1-6.3; P = .04) or an externalizing disorder (3.6; 1.4-9.0; P = .007) was predictive of later onset of major affective disorders.\nCONCLUSIONS: Childhood anxiety and externalizing diagnoses predict major affective illness in adolescent offspring in families with probands with BP.","container-title":"Archives of General Psychiatry","DOI":"10.1001/archgenpsychiatry.2011.126","ISSN":"1538-3636","issue":"10","journalAbbreviation":"Arch Gen Psychiatry","language":"eng","page":"1012-1020","PMID":"21969459","PMCID":"PMC4552246","source":"PubMed","title":"A high-risk study of bipolar disorder. Childhood clinical phenotypes as precursors of major mood disorders","volume":"68","author":[{"family":"Nurnberger","given":"John I."},{"family":"McInnis","given":"Melvin"},{"family":"Reich","given":"Wendy"},{"family":"Kastelic","given":"Elizabeth"},{"family":"Wilcox","given":"Holly C."},{"family":"Glowinski","given":"Anne"},{"family":"Mitchell","given":"Philip"},{"family":"Fisher","given":"Carrie"},{"family":"Erpe","given":"Mariano"},{"family":"Gershon","given":"Elliot S."},{"family":"Berrettini","given":"Wade"},{"family":"Laite","given":"Gina"},{"family":"Schweitzer","given":"Robert"},{"family":"Rhoadarmer","given":"Kelly"},{"family":"Coleman","given":"Vegas V."},{"family":"Cai","given":"Xueya"},{"family":"Azzouz","given":"Faouzi"},{"family":"Liu","given":"Hai"},{"family":"Kamali","given":"Masoud"},{"family":"Brucksch","given":"Christine"},{"family":"Monahan","given":"Patrick O."}],"issued":{"date-parts":[["2011",10]]}}}],"schema":"https://github.com/citation-style-language/schema/raw/master/csl-citation.json"} </w:instrText>
      </w:r>
      <w:r w:rsidR="00A528FF"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48,49</w:t>
      </w:r>
      <w:r w:rsidR="00A528FF" w:rsidRPr="005B3F3B">
        <w:rPr>
          <w:rFonts w:ascii="Times New Roman" w:eastAsia="Times New Roman" w:hAnsi="Times New Roman" w:cs="Times New Roman"/>
        </w:rPr>
        <w:fldChar w:fldCharType="end"/>
      </w:r>
      <w:r w:rsidR="001B62C1" w:rsidRPr="005B3F3B">
        <w:rPr>
          <w:rFonts w:ascii="Times New Roman" w:eastAsia="Times New Roman" w:hAnsi="Times New Roman" w:cs="Times New Roman"/>
        </w:rPr>
        <w:t>.</w:t>
      </w:r>
      <w:r w:rsidR="0034465F" w:rsidRPr="005B3F3B">
        <w:rPr>
          <w:rFonts w:ascii="Times New Roman" w:eastAsia="Times New Roman" w:hAnsi="Times New Roman" w:cs="Times New Roman"/>
        </w:rPr>
        <w:t xml:space="preserve"> Adult participants (aged 22-30; including BD-probands) completed the</w:t>
      </w:r>
      <w:r w:rsidR="00652AF5" w:rsidRPr="005B3F3B">
        <w:rPr>
          <w:rFonts w:ascii="Times New Roman" w:eastAsia="Times New Roman" w:hAnsi="Times New Roman" w:cs="Times New Roman"/>
        </w:rPr>
        <w:t xml:space="preserve"> Diagnostic Interview for Genetic Studies (DIGS; v4.0/BP, July 2005)</w:t>
      </w:r>
      <w:r w:rsidR="001F3953"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{"citationID":"Jq3nTqbo","properties":{"formattedCitation":"\\super 50\\nosupersub{}","plainCitation":"50","noteIndex":0},"citationItems":[{"id":6886,"uris":["http://zotero.org/users/6242458/items/GZNKKAHW"],"itemData":{"id":6886,"type":"article-journal","abstract":"This article reports on the development and reliability of the Diagnostic Interview for Genetic Studies (DIGS), a clinical interview especially constructed for the assessment of major mood and psychotic disorders and their spectrum conditions. The DIGS, which was developed and piloted as a collaborative effort of investigators from sites in the National Institute of Mental Health (NIMH) Genetics Initiative, has the following additional features: (1) polydiagnostic capacity; (2) a detailed assessment of the course of the illness, chronology of psychotic and mood syndromes, and comorbidity; (3) additional phenomenologic assessments of symptoms; and (4) algorithmic scoring capability. The DIGS is designed to be employed by interviewers who exercise significant clinical judgment and who summarize information in narrative form as well as in ratings. A two-phase test-retest (within-site, between-site) reliability study was carried out for DSM-III-R criteria-based major depression, bipolar disorder, schizophrenia, and schizoaffective disorder. Reliabilities using algorithms were excellent (0.73 to 0.95), except for schizoaffective disorder, for which disagreement on estimates of duration of mood syndromes relative to psychosis reduced reliability. A final best-estimate process using medical records and information from relatives as well as algorithmic diagnoses is expected to be more reliable in making these distinctions. The DIGS should be useful as part of archival data gathering for genetic studies of major affective disorders, schizophrenia, and related conditions.","container-title":"Archives of General Psychiatry","DOI":"10.1001/archpsyc.1994.03950110009002","ISSN":"0003-990X","issue":"11","journalAbbreviation":"Arch Gen Psychiatry","language":"eng","page":"849-859; discussion 863-864","PMID":"7944874","source":"PubMed","title":"Diagnostic interview for genetic studies. Rationale, unique features, and training. NIMH Genetics Initiative","volume":"51","author":[{"family":"Nurnberger","given":"J. I."},{"family":"Blehar","given":"M. C."},{"family":"Kaufmann","given":"C. A."},{"family":"York-Cooler","given":"C."},{"family":"Simpson","given":"S. G."},{"family":"Harkavy-Friedman","given":"J."},{"family":"Severe","given":"J. B."},{"family":"Malaspina","given":"D."},{"family":"Reich","given":"T."}],"issued":{"date-parts":[["1994",11]]}}}],"schema":"https://github.com/citation-style-language/schema/raw/master/csl-citation.json"} </w:instrText>
      </w:r>
      <w:r w:rsidR="001F3953"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50</w:t>
      </w:r>
      <w:r w:rsidR="001F3953" w:rsidRPr="005B3F3B">
        <w:rPr>
          <w:rFonts w:ascii="Times New Roman" w:eastAsia="Times New Roman" w:hAnsi="Times New Roman" w:cs="Times New Roman"/>
        </w:rPr>
        <w:fldChar w:fldCharType="end"/>
      </w:r>
      <w:r w:rsidR="00652AF5" w:rsidRPr="005B3F3B">
        <w:rPr>
          <w:rFonts w:ascii="Times New Roman" w:eastAsia="Times New Roman" w:hAnsi="Times New Roman" w:cs="Times New Roman"/>
        </w:rPr>
        <w:t>.</w:t>
      </w:r>
      <w:r w:rsidR="00B15545" w:rsidRPr="005B3F3B">
        <w:rPr>
          <w:rFonts w:ascii="Times New Roman" w:eastAsia="Times New Roman" w:hAnsi="Times New Roman" w:cs="Times New Roman"/>
        </w:rPr>
        <w:t xml:space="preserve"> Consensus DSM-IV diagnoses were determined by two clinicians using best-estimate methodology</w:t>
      </w:r>
      <w:r w:rsidR="00AD370A"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{"citationID":"zfMIZp87","properties":{"formattedCitation":"\\super 51\\nosupersub{}","plainCitation":"51","noteIndex":0},"citationItems":[{"id":6888,"uris":["http://zotero.org/users/6242458/items/APX7XCEQ"],"itemData":{"id":6888,"type":"article-journal","abstract":"It is important for genetic, epidemiologic, and nosological studies to determine accurate rates of lifetime psychiatric diagnoses in patient and nonpatient populations. As part of a case-control family study of major depression, lifetime psychiatric diagnoses were made for 1,878 individuals. Sources of information used in making diagnostic estimates included direct interview, medical records, and family history data systematically obtained from relatives. Diagnostic estimates were made by trained interviewers, experienced clinicians, and by computer program. The results indicate that it is possible to make lifetime best estimate diagnoses reliably among both interviewed and noninterviewed individuals for most diagnostic categories and that diagnoses based on interview data alone are an adequate substitute for best estimate diagnoses based on all available information in a limited number of diagnostic categories.","container-title":"Archives of General Psychiatry","DOI":"10.1001/archpsyc.1982.04290080001001","ISSN":"0003-990X","issue":"8","journalAbbreviation":"Arch Gen Psychiatry","language":"eng","page":"879-883","PMID":"7103676","source":"PubMed","title":"Best estimate of lifetime psychiatric diagnosis: a methodological study","title-short":"Best estimate of lifetime psychiatric diagnosis","volume":"39","author":[{"family":"Leckman","given":"J. F."},{"family":"Sholomskas","given":"D."},{"family":"Thompson","given":"W. D."},{"family":"Belanger","given":"A."},{"family":"Weissman","given":"M. M."}],"issued":{"date-parts":[["1982",8]]}}}],"schema":"https://github.com/citation-style-language/schema/raw/master/csl-citation.json"} </w:instrText>
      </w:r>
      <w:r w:rsidR="00AD370A"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51</w:t>
      </w:r>
      <w:r w:rsidR="00AD370A" w:rsidRPr="005B3F3B">
        <w:rPr>
          <w:rFonts w:ascii="Times New Roman" w:eastAsia="Times New Roman" w:hAnsi="Times New Roman" w:cs="Times New Roman"/>
        </w:rPr>
        <w:fldChar w:fldCharType="end"/>
      </w:r>
      <w:r w:rsidR="007451E2" w:rsidRPr="005B3F3B">
        <w:rPr>
          <w:rFonts w:ascii="Times New Roman" w:eastAsia="Times New Roman" w:hAnsi="Times New Roman" w:cs="Times New Roman"/>
        </w:rPr>
        <w:t>, using the K-SADS or DIGS, FIGS, and medical records (where available). The participants in the analysed sample were predominantly European (77%) or mixed-European (11%), while 11% were of Asian ancestry. The analysed cohort was 54% female, had 14.4 ± 3.4 years (</w:t>
      </w:r>
      <w:proofErr w:type="spellStart"/>
      <w:r w:rsidR="007451E2" w:rsidRPr="005B3F3B">
        <w:rPr>
          <w:rFonts w:ascii="Times New Roman" w:eastAsia="Times New Roman" w:hAnsi="Times New Roman" w:cs="Times New Roman"/>
        </w:rPr>
        <w:t>mean±sd</w:t>
      </w:r>
      <w:proofErr w:type="spellEnd"/>
      <w:r w:rsidR="007451E2" w:rsidRPr="005B3F3B">
        <w:rPr>
          <w:rFonts w:ascii="Times New Roman" w:eastAsia="Times New Roman" w:hAnsi="Times New Roman" w:cs="Times New Roman"/>
        </w:rPr>
        <w:t>; range 6-21) of education, and an IQ of 116.8 ± 10.7 (range 83-138).  DNA for methylation quantification was derived from peripheral</w:t>
      </w:r>
      <w:r w:rsidR="00A73493" w:rsidRPr="005B3F3B">
        <w:rPr>
          <w:rFonts w:ascii="Times New Roman" w:eastAsia="Times New Roman" w:hAnsi="Times New Roman" w:cs="Times New Roman"/>
        </w:rPr>
        <w:t xml:space="preserve"> blood extracted from whole </w:t>
      </w:r>
      <w:r w:rsidR="0033657B" w:rsidRPr="005B3F3B">
        <w:rPr>
          <w:rFonts w:ascii="Times New Roman" w:eastAsia="Times New Roman" w:hAnsi="Times New Roman" w:cs="Times New Roman"/>
        </w:rPr>
        <w:t>blood (n=27)</w:t>
      </w:r>
      <w:r w:rsidR="006825B9" w:rsidRPr="005B3F3B">
        <w:rPr>
          <w:rFonts w:ascii="Times New Roman" w:eastAsia="Times New Roman" w:hAnsi="Times New Roman" w:cs="Times New Roman"/>
        </w:rPr>
        <w:t xml:space="preserve">, </w:t>
      </w:r>
      <w:proofErr w:type="spellStart"/>
      <w:r w:rsidR="006825B9" w:rsidRPr="005B3F3B">
        <w:rPr>
          <w:rFonts w:ascii="Times New Roman" w:eastAsia="Times New Roman" w:hAnsi="Times New Roman" w:cs="Times New Roman"/>
        </w:rPr>
        <w:t>ficol</w:t>
      </w:r>
      <w:proofErr w:type="spellEnd"/>
      <w:r w:rsidR="006825B9" w:rsidRPr="005B3F3B">
        <w:rPr>
          <w:rFonts w:ascii="Times New Roman" w:eastAsia="Times New Roman" w:hAnsi="Times New Roman" w:cs="Times New Roman"/>
        </w:rPr>
        <w:t xml:space="preserve">/buffy coat processed (n=113) or </w:t>
      </w:r>
      <w:r w:rsidR="006825B9" w:rsidRPr="005B3F3B">
        <w:rPr>
          <w:rFonts w:ascii="Times New Roman" w:eastAsia="Times New Roman" w:hAnsi="Times New Roman" w:cs="Times New Roman"/>
        </w:rPr>
        <w:lastRenderedPageBreak/>
        <w:t>separated lymphocytes (n=55), as described</w:t>
      </w:r>
      <w:r w:rsidR="00D869B7" w:rsidRPr="005B3F3B">
        <w:rPr>
          <w:rFonts w:ascii="Times New Roman" w:eastAsia="Times New Roman" w:hAnsi="Times New Roman" w:cs="Times New Roman"/>
        </w:rPr>
        <w:t xml:space="preserve"> previously</w:t>
      </w:r>
      <w:r w:rsidR="00C4480D"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{"citationID":"QJB0trad","properties":{"formattedCitation":"\\super 52\\nosupersub{}","plainCitation":"52","noteIndex":0},"citationItems":[{"id":6890,"uris":["http://zotero.org/users/6242458/items/WHNE7EB4"],"itemData":{"id":6890,"type":"article-journal","abstract":"Environmental factors contribute to risk of bipolar disorder (BD), but how environmental factors impact the development of psychopathology within the context of elevated genetic risk is unknown. We herein sought to identify epigenetic signatures operating in the context of polygenic risk for BD in young people at high familial risk (HR) of BD. Peripheral blood-derived DNA was assayed using Illumina PsychArray, and Methylation-450K or -EPIC BeadChips. Polygenic risk scores (PRS) were calculated using summary statistics from recent genome-wide association studies for BD, major depressive disorder (MDD) and cross-disorder (meta-analysis of eight psychiatric disorders). Unrelated HR participants of European ancestry (n = 103) were stratified based on their BD-PRS score within the HR-population distribution, and the top two quintiles (High-BD-PRS; n = 41) compared against the bottom two quintiles (Low-BD-PRS; n = 41). The High-BD-PRS stratum also had higher mean cross-disorder-PRS and MDD-PRS (ANCOVA p = 0.035 and p = 0.024, respectively). We evaluated DNA methylation differences between High-BD-PRS and Low-BD-PRS strata using linear models. One differentially methylated probe (DMP) (cg00933603; p = 3.54 × 10-7) in VARS2, a mitochondrial aminoacyl-tRNA synthetase, remained significantly hypomethylated after multiple-testing correction. Overall, BD-PRS appeared to broadly impact epigenetic processes, with 1,183 genes mapped to nominal DMPs (p &lt; 0.05); these displayed convergence with genes previously associated with BD, schizophrenia, chronotype, and risk taking. We tested poly-methylomic epigenetic profiles derived from nominal DMPs in two independent samples (n = 54 and n = 82, respectively), and conducted an exploratory evaluation of the effects of family environment, indexing cohesion and flexibility. This study highlights an important interplay between heritable risk and epigenetic factors, which warrant further exploration.","container-title":"Translational Psychiatry","DOI":"10.1038/s41398-022-02079-6","ISSN":"2158-3188","issue":"1","journalAbbreviation":"Transl Psychiatry","language":"eng","page":"310","PMID":"35922419","PMCID":"PMC9349272","source":"PubMed","title":"Epigenetic signatures relating to disease-associated genotypic burden in familial risk of bipolar disorder","volume":"12","author":[{"family":"Hesam-Shariati","given":"Sonia"},{"family":"Overs","given":"Bronwyn J."},{"family":"Roberts","given":"Gloria"},{"family":"Toma","given":"Claudio"},{"family":"Watkeys","given":"Oliver J."},{"family":"Green","given":"Melissa J."},{"family":"Pierce","given":"Kerrie D."},{"family":"Edenberg","given":"Howard J."},{"family":"Wilcox","given":"Holly C."},{"family":"Stapp","given":"Emma K."},{"family":"McInnis","given":"Melvin G."},{"family":"Hulvershorn","given":"Leslie A."},{"family":"Nurnberger","given":"John I."},{"family":"Schofield","given":"Peter R."},{"family":"Mitchell","given":"Philip B."},{"family":"Fullerton","given":"Janice M."}],"issued":{"date-parts":[["2022",8,3]]}}}],"schema":"https://github.com/citation-style-language/schema/raw/master/csl-citation.json"} </w:instrText>
      </w:r>
      <w:r w:rsidR="00C4480D"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52</w:t>
      </w:r>
      <w:r w:rsidR="00C4480D" w:rsidRPr="005B3F3B">
        <w:rPr>
          <w:rFonts w:ascii="Times New Roman" w:eastAsia="Times New Roman" w:hAnsi="Times New Roman" w:cs="Times New Roman"/>
        </w:rPr>
        <w:fldChar w:fldCharType="end"/>
      </w:r>
      <w:r w:rsidR="00D869B7" w:rsidRPr="005B3F3B">
        <w:rPr>
          <w:rFonts w:ascii="Times New Roman" w:eastAsia="Times New Roman" w:hAnsi="Times New Roman" w:cs="Times New Roman"/>
        </w:rPr>
        <w:t>.</w:t>
      </w:r>
      <w:r w:rsidR="00F66674" w:rsidRPr="005B3F3B">
        <w:rPr>
          <w:rFonts w:ascii="Times New Roman" w:eastAsia="Times New Roman" w:hAnsi="Times New Roman" w:cs="Times New Roman"/>
        </w:rPr>
        <w:t xml:space="preserve"> Tissue source and cell count estimates were included as covariates.</w:t>
      </w:r>
    </w:p>
    <w:p w14:paraId="6C1C2BED" w14:textId="47CBDCF7" w:rsidR="008E1D99" w:rsidRPr="005B3F3B" w:rsidRDefault="00E5310E"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iCs/>
          <w:u w:val="single"/>
        </w:rPr>
        <w:t>CTAAC</w:t>
      </w:r>
      <w:r w:rsidRPr="005B3F3B">
        <w:rPr>
          <w:rFonts w:ascii="Times New Roman" w:eastAsia="Times New Roman" w:hAnsi="Times New Roman" w:cs="Times New Roman"/>
        </w:rPr>
        <w:t>:</w:t>
      </w:r>
      <w:r w:rsidR="00A338B3" w:rsidRPr="005B3F3B">
        <w:rPr>
          <w:rFonts w:ascii="Times New Roman" w:eastAsia="Times New Roman" w:hAnsi="Times New Roman" w:cs="Times New Roman"/>
        </w:rPr>
        <w:t xml:space="preserve"> The purpose of the Cape Town Adolescent Antiretroviral Cohort (CTAAC) is to investigate chronic disease processes in perinatally HIV-infected South African adolescents. The focus is on four key domains: the impact of chronic HIV infection on development; the neuropsychiatric manifestations of HIV in adolescence; the development of chronic lung disease; and early markers of cardiovascular dysfunction. Throughout, the emphasis of this research is on understanding the interactions between chronic disease processes across organ systems. The </w:t>
      </w:r>
      <w:r w:rsidR="009E7FE8" w:rsidRPr="005B3F3B">
        <w:rPr>
          <w:rFonts w:ascii="Times New Roman" w:eastAsia="Times New Roman" w:hAnsi="Times New Roman" w:cs="Times New Roman"/>
        </w:rPr>
        <w:t>study enrolled</w:t>
      </w:r>
      <w:r w:rsidR="00A338B3" w:rsidRPr="005B3F3B">
        <w:rPr>
          <w:rFonts w:ascii="Times New Roman" w:eastAsia="Times New Roman" w:hAnsi="Times New Roman" w:cs="Times New Roman"/>
        </w:rPr>
        <w:t xml:space="preserve"> 520 perinatally-infected children ages 9-14 years established on antiretroviral therapy. We </w:t>
      </w:r>
      <w:r w:rsidR="00BD03CD" w:rsidRPr="005B3F3B">
        <w:rPr>
          <w:rFonts w:ascii="Times New Roman" w:eastAsia="Times New Roman" w:hAnsi="Times New Roman" w:cs="Times New Roman"/>
        </w:rPr>
        <w:t>followed</w:t>
      </w:r>
      <w:r w:rsidR="00A338B3" w:rsidRPr="005B3F3B">
        <w:rPr>
          <w:rFonts w:ascii="Times New Roman" w:eastAsia="Times New Roman" w:hAnsi="Times New Roman" w:cs="Times New Roman"/>
        </w:rPr>
        <w:t xml:space="preserve"> these children with regular measures (including measures of physical and psychological development, clinical well-being, lung function, cardiovascular status, and emergent risk behaviours) at 6-monthly intervals over 36 months. A CN group of 80 HIV-negative controls </w:t>
      </w:r>
      <w:r w:rsidR="00C323E7" w:rsidRPr="005B3F3B">
        <w:rPr>
          <w:rFonts w:ascii="Times New Roman" w:eastAsia="Times New Roman" w:hAnsi="Times New Roman" w:cs="Times New Roman"/>
        </w:rPr>
        <w:t>was</w:t>
      </w:r>
      <w:r w:rsidR="00A338B3" w:rsidRPr="005B3F3B">
        <w:rPr>
          <w:rFonts w:ascii="Times New Roman" w:eastAsia="Times New Roman" w:hAnsi="Times New Roman" w:cs="Times New Roman"/>
        </w:rPr>
        <w:t xml:space="preserve"> matched on age, gender and socioeconomic status, </w:t>
      </w:r>
      <w:proofErr w:type="gramStart"/>
      <w:r w:rsidR="00A338B3" w:rsidRPr="005B3F3B">
        <w:rPr>
          <w:rFonts w:ascii="Times New Roman" w:eastAsia="Times New Roman" w:hAnsi="Times New Roman" w:cs="Times New Roman"/>
        </w:rPr>
        <w:t>in order to</w:t>
      </w:r>
      <w:proofErr w:type="gramEnd"/>
      <w:r w:rsidR="00A338B3" w:rsidRPr="005B3F3B">
        <w:rPr>
          <w:rFonts w:ascii="Times New Roman" w:eastAsia="Times New Roman" w:hAnsi="Times New Roman" w:cs="Times New Roman"/>
        </w:rPr>
        <w:t xml:space="preserve"> collect normative data on key parameters.</w:t>
      </w:r>
    </w:p>
    <w:p w14:paraId="54447734" w14:textId="04A6D52C" w:rsidR="00E5310E" w:rsidRPr="005B3F3B" w:rsidRDefault="00E5310E" w:rsidP="005B3F3B">
      <w:pPr>
        <w:spacing w:before="240" w:after="160" w:line="360" w:lineRule="auto"/>
        <w:ind w:left="0"/>
        <w:jc w:val="both"/>
        <w:rPr>
          <w:rFonts w:ascii="Times New Roman" w:eastAsia="Times New Roman" w:hAnsi="Times New Roman" w:cs="Times New Roman"/>
        </w:rPr>
      </w:pPr>
      <w:proofErr w:type="spellStart"/>
      <w:r w:rsidRPr="005B3F3B">
        <w:rPr>
          <w:rFonts w:ascii="Times New Roman" w:eastAsia="Times New Roman" w:hAnsi="Times New Roman" w:cs="Times New Roman"/>
          <w:i/>
          <w:u w:val="single"/>
        </w:rPr>
        <w:t>GenR</w:t>
      </w:r>
      <w:proofErr w:type="spellEnd"/>
      <w:r w:rsidRPr="005B3F3B">
        <w:rPr>
          <w:rFonts w:ascii="Times New Roman" w:eastAsia="Times New Roman" w:hAnsi="Times New Roman" w:cs="Times New Roman"/>
        </w:rPr>
        <w:t xml:space="preserve">: The Generation R Study is a prospective population-based cohort that follows children from </w:t>
      </w:r>
      <w:proofErr w:type="spellStart"/>
      <w:r w:rsidRPr="005B3F3B">
        <w:rPr>
          <w:rFonts w:ascii="Times New Roman" w:eastAsia="Times New Roman" w:hAnsi="Times New Roman" w:cs="Times New Roman"/>
        </w:rPr>
        <w:t>fetal</w:t>
      </w:r>
      <w:proofErr w:type="spellEnd"/>
      <w:r w:rsidRPr="005B3F3B">
        <w:rPr>
          <w:rFonts w:ascii="Times New Roman" w:eastAsia="Times New Roman" w:hAnsi="Times New Roman" w:cs="Times New Roman"/>
        </w:rPr>
        <w:t xml:space="preserve"> life onwards. Pregnant women living in the study area of Rotterdam, The Netherlands, with an expected delivery date between April 2002 and January 2006 were invited to participate</w:t>
      </w:r>
      <w:r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{"citationID":"px5at2F3","properties":{"formattedCitation":"\\super 53\\nosupersub{}","plainCitation":"53","noteIndex":0},"citationItems":[{"id":6574,"uris":["http://zotero.org/users/6242458/items/YNVJE3LH"],"itemData":{"id":6574,"type":"article-journal","container-title":"European Journal of Epidemiology","DOI":"10.1007/s10654-016-0224-9","ISSN":"0393-2990, 1573-7284","issue":"12","journalAbbreviation":"Eur J Epidemiol","language":"en","page":"1243-1264","source":"DOI.org (Crossref)","title":"The Generation R Study: design and cohort update 2017","title-short":"The Generation R Study","volume":"31","author":[{"family":"Kooijman","given":"Marjolein N."},{"family":"Kruithof","given":"Claudia J."},{"family":"Van Duijn","given":"Cornelia M."},{"family":"Duijts","given":"Liesbeth"},{"family":"Franco","given":"Oscar H."},{"family":"Van IJzendoorn","given":"Marinus H."},{"family":"De Jongste","given":"Johan C."},{"family":"Klaver","given":"Caroline C. W."},{"family":"Van Der Lugt","given":"Aad"},{"family":"Mackenbach","given":"Johan P."},{"family":"Moll","given":"Henriëtte A."},{"family":"Peeters","given":"Robin P."},{"family":"Raat","given":"Hein"},{"family":"Rings","given":"Edmond H. H. M."},{"family":"Rivadeneira","given":"Fernando"},{"family":"Van Der Schroeff","given":"Marc P."},{"family":"Steegers","given":"Eric A. P."},{"family":"Tiemeier","given":"Henning"},{"family":"Uitterlinden","given":"André G."},{"family":"Verhulst","given":"Frank C."},{"family":"Wolvius","given":"Eppo"},{"family":"Felix","given":"Janine F."},{"family":"Jaddoe","given":"Vincent W. V."}],"issued":{"date-parts":[["2016",12]]}}}],"schema":"https://github.com/citation-style-language/schema/raw/master/csl-citation.json"} </w:instrText>
      </w:r>
      <w:r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53</w:t>
      </w:r>
      <w:r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A total of 9,778 mothers were enrolled. These mothers, their children and partners took part in several research waves. The general design, research aims, and specific measurements of The Generation R Study have been approved by the Medical Ethical Committee of Erasmus MC, in accordance with the Declaration of Helsinki of the World Medical Association. Written informed consent was obtained from the parents on behalf of the child. For data collected when the child was 12 years or older, the child also provided written informed consent.</w:t>
      </w:r>
    </w:p>
    <w:p w14:paraId="00A6EA32" w14:textId="6B37588B" w:rsidR="00E5310E"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LBC1936</w:t>
      </w:r>
      <w:r w:rsidRPr="005B3F3B">
        <w:rPr>
          <w:rFonts w:ascii="Times New Roman" w:eastAsia="Times New Roman" w:hAnsi="Times New Roman" w:cs="Times New Roman"/>
          <w:i/>
          <w:iCs/>
        </w:rPr>
        <w:t>:</w:t>
      </w:r>
      <w:r w:rsidRPr="005B3F3B">
        <w:rPr>
          <w:rFonts w:ascii="Times New Roman" w:eastAsia="Times New Roman" w:hAnsi="Times New Roman" w:cs="Times New Roman"/>
        </w:rPr>
        <w:t xml:space="preserve"> The work was undertaken as part of the Cross Council and University of Edinburgh Centre for Cognitive Ageing and Cognitive Epidemiology (CCACE; http://www.ccace.ed.ac.uk). The image acquisition and analysis w</w:t>
      </w:r>
      <w:r w:rsidR="00F83B8A">
        <w:rPr>
          <w:rFonts w:ascii="Times New Roman" w:eastAsia="Times New Roman" w:hAnsi="Times New Roman" w:cs="Times New Roman"/>
        </w:rPr>
        <w:t>ere</w:t>
      </w:r>
      <w:r w:rsidRPr="005B3F3B">
        <w:rPr>
          <w:rFonts w:ascii="Times New Roman" w:eastAsia="Times New Roman" w:hAnsi="Times New Roman" w:cs="Times New Roman"/>
        </w:rPr>
        <w:t xml:space="preserve"> performed at the Brain Research Imaging Centre, University of Edinburgh (http://www.bric.ed.ac.uk).</w:t>
      </w:r>
    </w:p>
    <w:p w14:paraId="5A14C61F" w14:textId="23A489AA" w:rsidR="00E5310E"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MPIP</w:t>
      </w:r>
      <w:r w:rsidRPr="005B3F3B">
        <w:rPr>
          <w:rFonts w:ascii="Times New Roman" w:eastAsia="Times New Roman" w:hAnsi="Times New Roman" w:cs="Times New Roman"/>
          <w:i/>
          <w:iCs/>
        </w:rPr>
        <w:t>:</w:t>
      </w:r>
      <w:r w:rsidR="00553A16" w:rsidRPr="005B3F3B">
        <w:rPr>
          <w:rFonts w:ascii="Times New Roman" w:eastAsia="Times New Roman" w:hAnsi="Times New Roman" w:cs="Times New Roman"/>
          <w:i/>
          <w:iCs/>
        </w:rPr>
        <w:t xml:space="preserve"> </w:t>
      </w:r>
      <w:r w:rsidRPr="005B3F3B">
        <w:rPr>
          <w:rFonts w:ascii="Times New Roman" w:eastAsia="Times New Roman" w:hAnsi="Times New Roman" w:cs="Times New Roman"/>
        </w:rPr>
        <w:t xml:space="preserve">The MPIP Munich Morphometry Sample comprises images acquired as part of the Munich Antidepressant Response Signature (MARS) Study and the Recurrent Unipolar </w:t>
      </w:r>
      <w:r w:rsidRPr="005B3F3B">
        <w:rPr>
          <w:rFonts w:ascii="Times New Roman" w:eastAsia="Times New Roman" w:hAnsi="Times New Roman" w:cs="Times New Roman"/>
        </w:rPr>
        <w:lastRenderedPageBreak/>
        <w:t>Depression (RUD) Case-Control study performed at the MPIP, and control subjects acquired at the Ludwig-Maximilians-University, Munich, Department of Psychiatry.</w:t>
      </w:r>
    </w:p>
    <w:p w14:paraId="7CEF93B9" w14:textId="454CB59F" w:rsidR="008E1D99" w:rsidRPr="005B3F3B" w:rsidRDefault="00E5310E"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iCs/>
          <w:u w:val="single"/>
        </w:rPr>
        <w:t>NTR</w:t>
      </w:r>
      <w:r w:rsidRPr="005B3F3B">
        <w:rPr>
          <w:rFonts w:ascii="Times New Roman" w:eastAsia="Times New Roman" w:hAnsi="Times New Roman" w:cs="Times New Roman"/>
        </w:rPr>
        <w:t>:</w:t>
      </w:r>
      <w:r w:rsidR="0079393F" w:rsidRPr="005B3F3B">
        <w:rPr>
          <w:rFonts w:ascii="Times New Roman" w:eastAsia="Times New Roman" w:hAnsi="Times New Roman" w:cs="Times New Roman"/>
        </w:rPr>
        <w:t xml:space="preserve"> The Netherlands Twin Register is a population-based cohort of over 200,000 people from across the Netherlands. It consists of twin-families, i.e. twins, their parents, spouses and siblings aged between 0 and 99 years at </w:t>
      </w:r>
      <w:proofErr w:type="gramStart"/>
      <w:r w:rsidR="0079393F" w:rsidRPr="005B3F3B">
        <w:rPr>
          <w:rFonts w:ascii="Times New Roman" w:eastAsia="Times New Roman" w:hAnsi="Times New Roman" w:cs="Times New Roman"/>
        </w:rPr>
        <w:t>recruitment, and</w:t>
      </w:r>
      <w:proofErr w:type="gramEnd"/>
      <w:r w:rsidR="0079393F" w:rsidRPr="005B3F3B">
        <w:rPr>
          <w:rFonts w:ascii="Times New Roman" w:eastAsia="Times New Roman" w:hAnsi="Times New Roman" w:cs="Times New Roman"/>
        </w:rPr>
        <w:t xml:space="preserve"> started around 1987 with newborn twins and adolescent and adult twins. Full details have been reported previously</w:t>
      </w:r>
      <w:r w:rsidR="00626757"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{"citationID":"MhekKrDP","properties":{"formattedCitation":"\\super 54\\nosupersub{}","plainCitation":"54","noteIndex":0},"citationItems":[{"id":6831,"uris":["http://zotero.org/users/6242458/items/9THA9LNU"],"itemData":{"id":6831,"type":"article-journal","abstract":"The Netherlands Twin Register (NTR) is a national register in which twins, multiples and their parents, siblings, spouses and other family members participate. Here we describe the NTR resources that were created from more than 30 years of data collections; the development and maintenance of the newly developed database systems, and the possibilities these resources create for future research. Since the early 1980s, the NTR has enrolled around 120,000 twins and a roughly equal number of their relatives. The majority of twin families have participated in survey studies, and subsamples took part in biomaterial collection (e.g., DNA) and dedicated projects, for example, for neuropsychological, biomarker and behavioral traits. The recruitment into the NTR is all inclusive without any restrictions on enrollment. These resources - the longitudinal phenotyping, the extended pedigree structures and the multigeneration genotyping - allow for future twin-family research that will contribute to gene discovery, causality modeling, and studies of genetic and cultural inheritance.","container-title":"Twin Research and Human Genetics: The Official Journal of the International Society for Twin Studies","DOI":"10.1017/thg.2019.93","ISSN":"1839-2628","issue":"6","journalAbbreviation":"Twin Res Hum Genet","language":"eng","page":"623-636","PMID":"31666148","source":"PubMed","title":"The Netherlands Twin Register: Longitudinal Research Based on Twin and Twin-Family Designs","title-short":"The Netherlands Twin Register","volume":"22","author":[{"family":"Ligthart","given":"Lannie"},{"family":"Beijsterveldt","given":"Catharina E. M.","non-dropping-particle":"van"},{"family":"Kevenaar","given":"Sofieke T."},{"family":"Zeeuw","given":"Eveline","non-dropping-particle":"de"},{"family":"Bergen","given":"Elsje","non-dropping-particle":"van"},{"family":"Bruins","given":"Susanne"},{"family":"Pool","given":"René"},{"family":"Helmer","given":"Quinta"},{"family":"Dongen","given":"Jenny","non-dropping-particle":"van"},{"family":"Hottenga","given":"Jouke-Jan"},{"family":"Van't Ent","given":"Dennis"},{"family":"Dolan","given":"Conor V."},{"family":"Davies","given":"Gareth E."},{"family":"Ehli","given":"Erik A."},{"family":"Bartels","given":"Meike"},{"family":"Willemsen","given":"Gonneke"},{"family":"Geus","given":"Eco J. C.","non-dropping-particle":"de"},{"family":"Boomsma","given":"Dorret I."}],"issued":{"date-parts":[["2019",12]]}}}],"schema":"https://github.com/citation-style-language/schema/raw/master/csl-citation.json"} </w:instrText>
      </w:r>
      <w:r w:rsidR="00626757"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54</w:t>
      </w:r>
      <w:r w:rsidR="00626757" w:rsidRPr="005B3F3B">
        <w:rPr>
          <w:rFonts w:ascii="Times New Roman" w:eastAsia="Times New Roman" w:hAnsi="Times New Roman" w:cs="Times New Roman"/>
        </w:rPr>
        <w:fldChar w:fldCharType="end"/>
      </w:r>
      <w:r w:rsidR="0079393F" w:rsidRPr="005B3F3B">
        <w:rPr>
          <w:rFonts w:ascii="Times New Roman" w:eastAsia="Times New Roman" w:hAnsi="Times New Roman" w:cs="Times New Roman"/>
        </w:rPr>
        <w:t>. DNA was collected from buccal cells and whole blood as part of multiple projects. For the current paper, we analysed DNA methylation measured in whole blood samples from monozygotic and dizygotic twins collected as part of the NTR Biobank Project</w:t>
      </w:r>
      <w:r w:rsidR="00CC77E1"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{"citationID":"nFmOQ6zb","properties":{"formattedCitation":"\\super 55\\nosupersub{}","plainCitation":"55","noteIndex":0},"citationItems":[{"id":6834,"uris":["http://zotero.org/users/6242458/items/MYU96QGH"],"itemData":{"id":6834,"type":"article-journal","abstract":"In 2004 the Netherlands Twin Register (NTR) started a large scale biological sample collection in twin families to create a resource for genetic studies on health, lifestyle and personality. Between January 2004 and July 2008, adult participants from NTR research projects were invited into the study. During a home visit between 7:00 and 10:00 am, fasting blood and morning urine samples were collected. Fertile women were bled on day 2-4 of the menstrual cycle, or in their pill-free week. Biological samples were collected for DNA isolation, gene expression studies, creation of cell lines and for biomarker assessment. At the time of blood sampling, additional phenotypic information concerning health, medication use, body composition and smoking was collected. Of the participants contacted, 69% participated. Blood and urine samples were collected in 9,530 participants (63% female, average age 44.4 (SD 15.5) years) from 3,477 families. Lipid profile, glucose, insulin, HbA1c, haematology, CRP, fibrinogen, liver enzymes and creatinine have been assessed. Longitudinal survey data on health, personality and lifestyle are currently available for 90% of all participants. Genome-wide SNP data are available for 3,524 participants, with additional genotyping ongoing. The NTR biobank, combined with the extensive phenotypic information available within the NTR, provides a valuable resource for the study of genetic determinants of individual differences in mental and physical health. It offers opportunities for DNA-based and gene expression studies as well as for future metabolomic and proteomic projects.","container-title":"Twin Research and Human Genetics: The Official Journal of the International Society for Twin Studies","DOI":"10.1375/twin.13.3.231","ISSN":"1832-4274","issue":"3","journalAbbreviation":"Twin Res Hum Genet","language":"eng","page":"231-245","PMID":"20477721","source":"PubMed","title":"The Netherlands Twin Register biobank: a resource for genetic epidemiological studies","title-short":"The Netherlands Twin Register biobank","volume":"13","author":[{"family":"Willemsen","given":"Gonneke"},{"family":"Geus","given":"Eco J. C.","non-dropping-particle":"de"},{"family":"Bartels","given":"Meike"},{"family":"Beijsterveldt","given":"C. E. M. Toos","non-dropping-particle":"van"},{"family":"Brooks","given":"Andy I."},{"family":"Estourgie-van Burk","given":"G. Frederique"},{"family":"Fugman","given":"Douglas A."},{"family":"Hoekstra","given":"Chantal"},{"family":"Hottenga","given":"Jouke-Jan"},{"family":"Kluft","given":"Kees"},{"family":"Meijer","given":"Piet"},{"family":"Montgomery","given":"Grant W."},{"family":"Rizzu","given":"Patrizia"},{"family":"Sondervan","given":"David"},{"family":"Smit","given":"August B."},{"family":"Spijker","given":"Sabine"},{"family":"Suchiman","given":"H. Eka D."},{"family":"Tischfield","given":"Jay A."},{"family":"Lehner","given":"Thomas"},{"family":"Slagboom","given":"P. Eline"},{"family":"Boomsma","given":"Dorret I."}],"issued":{"date-parts":[["2010",6]]}}}],"schema":"https://github.com/citation-style-language/schema/raw/master/csl-citation.json"} </w:instrText>
      </w:r>
      <w:r w:rsidR="00CC77E1"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55</w:t>
      </w:r>
      <w:r w:rsidR="00CC77E1" w:rsidRPr="005B3F3B">
        <w:rPr>
          <w:rFonts w:ascii="Times New Roman" w:eastAsia="Times New Roman" w:hAnsi="Times New Roman" w:cs="Times New Roman"/>
        </w:rPr>
        <w:fldChar w:fldCharType="end"/>
      </w:r>
      <w:r w:rsidR="0079393F" w:rsidRPr="005B3F3B">
        <w:rPr>
          <w:rFonts w:ascii="Times New Roman" w:eastAsia="Times New Roman" w:hAnsi="Times New Roman" w:cs="Times New Roman"/>
        </w:rPr>
        <w:t>. Informed consent was obtained from all participants. The study was approved by the Central Ethics Committee on Research Involving Human Subjects of the VU University Medical Centre, Amsterdam, an Institutional Review Board certified by the U.S. Office of Human Research Protections (IRB number: IRB00002991; Federal-wide Assurance: FWA00017598; IRB/institute codes: NTR 03-180)</w:t>
      </w:r>
    </w:p>
    <w:p w14:paraId="6D65B9E4" w14:textId="4297FE89" w:rsidR="008E1D99" w:rsidRPr="005B3F3B" w:rsidRDefault="00E5310E"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iCs/>
          <w:u w:val="single"/>
        </w:rPr>
        <w:t>OATS</w:t>
      </w:r>
      <w:r w:rsidRPr="005B3F3B">
        <w:rPr>
          <w:rFonts w:ascii="Times New Roman" w:eastAsia="Times New Roman" w:hAnsi="Times New Roman" w:cs="Times New Roman"/>
        </w:rPr>
        <w:t>:</w:t>
      </w:r>
      <w:r w:rsidR="00206D3D" w:rsidRPr="005B3F3B">
        <w:rPr>
          <w:rFonts w:ascii="Times New Roman" w:eastAsia="Times New Roman" w:hAnsi="Times New Roman" w:cs="Times New Roman"/>
        </w:rPr>
        <w:t xml:space="preserve"> </w:t>
      </w:r>
      <w:r w:rsidR="00EA1DF6" w:rsidRPr="005B3F3B">
        <w:rPr>
          <w:rFonts w:ascii="Times New Roman" w:eastAsia="Times New Roman" w:hAnsi="Times New Roman" w:cs="Times New Roman"/>
        </w:rPr>
        <w:t>The Older Australian Twins Study (OATS) recruited twins aged 65 and over from the three Eastern mainland states, Victoria, New South Wales and Queensland. The longitudinal OATS study aimed to examine the genetic and environmental factors involved in ageing and ageing-related neurodegenerative disorders. A comprehensive assessment was undertaken and included medical history, a cognitive battery, functional and personality tests. Peripheral blood samples were collected for biochemical tests and DNA extraction for genetic and DNA methylation assays. Neuroimaging was performed on a subsample. Inclusion criteria included the ability to consent</w:t>
      </w:r>
      <w:r w:rsidR="00F83B8A">
        <w:rPr>
          <w:rFonts w:ascii="Times New Roman" w:eastAsia="Times New Roman" w:hAnsi="Times New Roman" w:cs="Times New Roman"/>
        </w:rPr>
        <w:t>,</w:t>
      </w:r>
      <w:r w:rsidR="00EA1DF6" w:rsidRPr="005B3F3B">
        <w:rPr>
          <w:rFonts w:ascii="Times New Roman" w:eastAsia="Times New Roman" w:hAnsi="Times New Roman" w:cs="Times New Roman"/>
        </w:rPr>
        <w:t xml:space="preserve"> having a consenting co-twin and having at least a low mean IQ. Criteria for exclusion from the study included a life-threatening illness, current acute psychotic disorder and insufficient English to complete the cognitive battery. Written informed consent was provided by all participants</w:t>
      </w:r>
      <w:r w:rsidR="00F83B8A">
        <w:rPr>
          <w:rFonts w:ascii="Times New Roman" w:eastAsia="Times New Roman" w:hAnsi="Times New Roman" w:cs="Times New Roman"/>
        </w:rPr>
        <w:t>,</w:t>
      </w:r>
      <w:r w:rsidR="00EA1DF6" w:rsidRPr="005B3F3B">
        <w:rPr>
          <w:rFonts w:ascii="Times New Roman" w:eastAsia="Times New Roman" w:hAnsi="Times New Roman" w:cs="Times New Roman"/>
        </w:rPr>
        <w:t xml:space="preserve"> and ethics approval was granted by the ethics committees of the University of New South Wales, the Australian Twin Registry, the University of Melbourne, Queensland Institute of Medical Research and the South-Eastern Sydney and Illawarra Area Health Service. For more details,</w:t>
      </w:r>
      <w:r w:rsidR="00564630" w:rsidRPr="005B3F3B">
        <w:rPr>
          <w:rFonts w:ascii="Times New Roman" w:eastAsia="Times New Roman" w:hAnsi="Times New Roman" w:cs="Times New Roman"/>
        </w:rPr>
        <w:t xml:space="preserve"> see</w:t>
      </w:r>
      <w:r w:rsidR="00564630" w:rsidRPr="005B3F3B">
        <w:rPr>
          <w:rFonts w:ascii="Times New Roman" w:eastAsia="Times New Roman" w:hAnsi="Times New Roman" w:cs="Times New Roman"/>
        </w:rPr>
        <w:fldChar w:fldCharType="begin"/>
      </w:r>
      <w:r w:rsidR="00D64CEB" w:rsidRPr="005B3F3B">
        <w:rPr>
          <w:rFonts w:ascii="Times New Roman" w:eastAsia="Times New Roman" w:hAnsi="Times New Roman" w:cs="Times New Roman"/>
        </w:rPr>
        <w:instrText xml:space="preserve"> ADDIN ZOTERO_ITEM CSL_CITATION {"citationID":"VnQCrZ2K","properties":{"formattedCitation":"\\super 56\\nosupersub{}","plainCitation":"56","noteIndex":0},"citationItems":[{"id":6814,"uris":["http://zotero.org/users/6242458/items/NF9E2HL5"],"itemData":{"id":6814,"type":"article-journal","abstract":"The Older Australian Twins Study (OATS) was recently initiated to investigate genetic and environmental factors and their associations and interactions in healthy brain ageing and ageing-related neurocognitive disorders. The study extends the classic MZ-DZ design to include one or two equivalently aged siblings for each twin pair and utilizes the rich resources of the Australian Twin Registry. The study has a number of distinguishing features including comprehensive psychiatric, neuropsychological, cardiovascular, metabolic, and neuroimaging assessments, a longitudinal design and links with a brain donor program. The study measures many behavioral and environmental factors, but in particular lifetime physical and mental activity, physical and psychological trauma, loss of parent early in life, later losses and life events, early-life socioeconomic environment, alcohol and drug use, occupational exposure, and nutrition. It also includes comprehensive cardiovascular assessment, blood biochemistry, genetics and proteomics. The socio-demographic and health data on the first 172 pairs of twins participating in this study are presented. Prevalence of mild cognitive impairment is 12.8% and of dementia 1.5% in the sample. The target sample size is 1000, with at least 400 pairs of twins aged 65–90 years. The cohort will be assessed every two years, with in-depth assessments being repeated. OATS offers an excellent opportunity for collaboration with other similar studies as well as researchers who share the same interests.","container-title":"Twin Research and Human Genetics","DOI":"10.1375/twin.12.6.573","ISSN":"1839-2628, 1832-4274","issue":"6","language":"en","page":"573-582","source":"Cambridge University Press","title":"A Comprehensive Neuropsychiatric Study of Elderly Twins: The Older Australian Twins Study","title-short":"A Comprehensive Neuropsychiatric Study of Elderly Twins","volume":"12","author":[{"family":"Sachdev","given":"Perminder S."},{"family":"Lammel","given":"Andrea"},{"family":"Trollor","given":"Julian N."},{"family":"Lee","given":"Teresa"},{"family":"Wright","given":"Margaret J."},{"family":"Ames","given":"David"},{"family":"Wen","given":"Wei"},{"family":"Martin","given":"Nicholas G."},{"family":"Brodaty","given":"Henry"},{"family":"Schofield","given":"Peter R."},{"family":"Team","given":"OATS","dropping-particle":"research"}],"issued":{"date-parts":[["2009",12]]}}}],"schema":"https://github.com/citation-style-language/schema/raw/master/csl-citation.json"} </w:instrText>
      </w:r>
      <w:r w:rsidR="00564630" w:rsidRPr="005B3F3B">
        <w:rPr>
          <w:rFonts w:ascii="Times New Roman" w:eastAsia="Times New Roman" w:hAnsi="Times New Roman" w:cs="Times New Roman"/>
        </w:rPr>
        <w:fldChar w:fldCharType="separate"/>
      </w:r>
      <w:r w:rsidR="00D64CEB" w:rsidRPr="005B3F3B">
        <w:rPr>
          <w:rFonts w:ascii="Times New Roman" w:hAnsi="Times New Roman" w:cs="Times New Roman"/>
          <w:vertAlign w:val="superscript"/>
        </w:rPr>
        <w:t>56</w:t>
      </w:r>
      <w:r w:rsidR="00564630" w:rsidRPr="005B3F3B">
        <w:rPr>
          <w:rFonts w:ascii="Times New Roman" w:eastAsia="Times New Roman" w:hAnsi="Times New Roman" w:cs="Times New Roman"/>
        </w:rPr>
        <w:fldChar w:fldCharType="end"/>
      </w:r>
      <w:r w:rsidR="00206D3D" w:rsidRPr="005B3F3B">
        <w:rPr>
          <w:rFonts w:ascii="Times New Roman" w:eastAsia="Times New Roman" w:hAnsi="Times New Roman" w:cs="Times New Roman"/>
        </w:rPr>
        <w:t>.</w:t>
      </w:r>
    </w:p>
    <w:p w14:paraId="055A65D6" w14:textId="5C0CA476" w:rsidR="008E1D99" w:rsidRPr="005B3F3B" w:rsidRDefault="00E5310E" w:rsidP="005B3F3B">
      <w:pPr>
        <w:spacing w:before="240" w:line="360" w:lineRule="auto"/>
        <w:ind w:left="0"/>
        <w:jc w:val="both"/>
        <w:rPr>
          <w:rFonts w:ascii="Times New Roman" w:eastAsia="Times New Roman" w:hAnsi="Times New Roman" w:cs="Times New Roman"/>
          <w:highlight w:val="yellow"/>
        </w:rPr>
      </w:pPr>
      <w:r w:rsidRPr="005B3F3B">
        <w:rPr>
          <w:rFonts w:ascii="Times New Roman" w:eastAsia="Times New Roman" w:hAnsi="Times New Roman" w:cs="Times New Roman"/>
          <w:i/>
          <w:iCs/>
          <w:u w:val="single"/>
        </w:rPr>
        <w:t>PAFIP</w:t>
      </w:r>
      <w:r w:rsidRPr="005B3F3B">
        <w:rPr>
          <w:rFonts w:ascii="Times New Roman" w:eastAsia="Times New Roman" w:hAnsi="Times New Roman" w:cs="Times New Roman"/>
        </w:rPr>
        <w:t>:</w:t>
      </w:r>
      <w:r w:rsidR="0020159D" w:rsidRPr="005B3F3B">
        <w:rPr>
          <w:rFonts w:ascii="Times New Roman" w:eastAsia="Times New Roman" w:hAnsi="Times New Roman" w:cs="Times New Roman"/>
        </w:rPr>
        <w:t xml:space="preserve"> The data utilized in this study were derived from a substantial epidemiological cohort of patients diagnosed with First Episode Psychosis (FEP), who were part of a longitudinal intervention program known as the Support Programme for Early-stage Psychosis (</w:t>
      </w:r>
      <w:proofErr w:type="spellStart"/>
      <w:r w:rsidR="0020159D" w:rsidRPr="005B3F3B">
        <w:rPr>
          <w:rFonts w:ascii="Times New Roman" w:eastAsia="Times New Roman" w:hAnsi="Times New Roman" w:cs="Times New Roman"/>
        </w:rPr>
        <w:t>Programa</w:t>
      </w:r>
      <w:proofErr w:type="spellEnd"/>
      <w:r w:rsidR="0020159D" w:rsidRPr="005B3F3B">
        <w:rPr>
          <w:rFonts w:ascii="Times New Roman" w:eastAsia="Times New Roman" w:hAnsi="Times New Roman" w:cs="Times New Roman"/>
        </w:rPr>
        <w:t xml:space="preserve"> </w:t>
      </w:r>
      <w:proofErr w:type="spellStart"/>
      <w:r w:rsidR="0020159D" w:rsidRPr="005B3F3B">
        <w:rPr>
          <w:rFonts w:ascii="Times New Roman" w:eastAsia="Times New Roman" w:hAnsi="Times New Roman" w:cs="Times New Roman"/>
        </w:rPr>
        <w:t>Asistencial</w:t>
      </w:r>
      <w:proofErr w:type="spellEnd"/>
      <w:r w:rsidR="0020159D" w:rsidRPr="005B3F3B">
        <w:rPr>
          <w:rFonts w:ascii="Times New Roman" w:eastAsia="Times New Roman" w:hAnsi="Times New Roman" w:cs="Times New Roman"/>
        </w:rPr>
        <w:t xml:space="preserve"> a las </w:t>
      </w:r>
      <w:proofErr w:type="spellStart"/>
      <w:r w:rsidR="0020159D" w:rsidRPr="005B3F3B">
        <w:rPr>
          <w:rFonts w:ascii="Times New Roman" w:eastAsia="Times New Roman" w:hAnsi="Times New Roman" w:cs="Times New Roman"/>
        </w:rPr>
        <w:t>Fases</w:t>
      </w:r>
      <w:proofErr w:type="spellEnd"/>
      <w:r w:rsidR="0020159D" w:rsidRPr="005B3F3B">
        <w:rPr>
          <w:rFonts w:ascii="Times New Roman" w:eastAsia="Times New Roman" w:hAnsi="Times New Roman" w:cs="Times New Roman"/>
        </w:rPr>
        <w:t xml:space="preserve"> </w:t>
      </w:r>
      <w:proofErr w:type="spellStart"/>
      <w:r w:rsidR="0020159D" w:rsidRPr="005B3F3B">
        <w:rPr>
          <w:rFonts w:ascii="Times New Roman" w:eastAsia="Times New Roman" w:hAnsi="Times New Roman" w:cs="Times New Roman"/>
        </w:rPr>
        <w:t>Iniciales</w:t>
      </w:r>
      <w:proofErr w:type="spellEnd"/>
      <w:r w:rsidR="0020159D" w:rsidRPr="005B3F3B">
        <w:rPr>
          <w:rFonts w:ascii="Times New Roman" w:eastAsia="Times New Roman" w:hAnsi="Times New Roman" w:cs="Times New Roman"/>
        </w:rPr>
        <w:t xml:space="preserve"> de </w:t>
      </w:r>
      <w:proofErr w:type="spellStart"/>
      <w:r w:rsidR="0020159D" w:rsidRPr="005B3F3B">
        <w:rPr>
          <w:rFonts w:ascii="Times New Roman" w:eastAsia="Times New Roman" w:hAnsi="Times New Roman" w:cs="Times New Roman"/>
        </w:rPr>
        <w:t>Psicosis</w:t>
      </w:r>
      <w:proofErr w:type="spellEnd"/>
      <w:r w:rsidR="0020159D" w:rsidRPr="005B3F3B">
        <w:rPr>
          <w:rFonts w:ascii="Times New Roman" w:eastAsia="Times New Roman" w:hAnsi="Times New Roman" w:cs="Times New Roman"/>
        </w:rPr>
        <w:t xml:space="preserve">, or PAFIP) conducted between 2001 and 2011 (Clinical trial identifier NCT02526030). The programme was implemented at both the </w:t>
      </w:r>
      <w:r w:rsidR="0020159D" w:rsidRPr="005B3F3B">
        <w:rPr>
          <w:rFonts w:ascii="Times New Roman" w:eastAsia="Times New Roman" w:hAnsi="Times New Roman" w:cs="Times New Roman"/>
        </w:rPr>
        <w:lastRenderedPageBreak/>
        <w:t xml:space="preserve">outpatient and inpatient units of Marqués de </w:t>
      </w:r>
      <w:proofErr w:type="spellStart"/>
      <w:r w:rsidR="0020159D" w:rsidRPr="005B3F3B">
        <w:rPr>
          <w:rFonts w:ascii="Times New Roman" w:eastAsia="Times New Roman" w:hAnsi="Times New Roman" w:cs="Times New Roman"/>
        </w:rPr>
        <w:t>Valdecilla</w:t>
      </w:r>
      <w:proofErr w:type="spellEnd"/>
      <w:r w:rsidR="0020159D" w:rsidRPr="005B3F3B">
        <w:rPr>
          <w:rFonts w:ascii="Times New Roman" w:eastAsia="Times New Roman" w:hAnsi="Times New Roman" w:cs="Times New Roman"/>
        </w:rPr>
        <w:t xml:space="preserve"> University Hospital in Santander, Spain. The PAFIP, which was staffed by a multidisciplinary team of clinical and research personnel, incorporated hospital and outpatient care, offering services in diverse areas such as psychiatric nursing, psychology, psychiatry, and social work, and provided specialized, personalized clinical care from the patient's initial contact until three years thereafter. During this </w:t>
      </w:r>
      <w:proofErr w:type="gramStart"/>
      <w:r w:rsidR="0020159D" w:rsidRPr="005B3F3B">
        <w:rPr>
          <w:rFonts w:ascii="Times New Roman" w:eastAsia="Times New Roman" w:hAnsi="Times New Roman" w:cs="Times New Roman"/>
        </w:rPr>
        <w:t>period of time</w:t>
      </w:r>
      <w:proofErr w:type="gramEnd"/>
      <w:r w:rsidR="0020159D" w:rsidRPr="005B3F3B">
        <w:rPr>
          <w:rFonts w:ascii="Times New Roman" w:eastAsia="Times New Roman" w:hAnsi="Times New Roman" w:cs="Times New Roman"/>
        </w:rPr>
        <w:t>, in addition to the clinical care of the patients, several evaluations were carried out from which the data used for the follow-up analyses were extracted (1-year evaluation and 3-year evaluation). A comprehensive description of PAFIP's methodology is available in previous publications</w:t>
      </w:r>
      <w:r w:rsidR="00AD3F9E" w:rsidRPr="005B3F3B">
        <w:rPr>
          <w:rFonts w:ascii="Times New Roman" w:eastAsia="Times New Roman" w:hAnsi="Times New Roman" w:cs="Times New Roman"/>
        </w:rPr>
        <w:fldChar w:fldCharType="begin"/>
      </w:r>
      <w:r w:rsidR="00F05D92" w:rsidRPr="005B3F3B">
        <w:rPr>
          <w:rFonts w:ascii="Times New Roman" w:eastAsia="Times New Roman" w:hAnsi="Times New Roman" w:cs="Times New Roman"/>
        </w:rPr>
        <w:instrText xml:space="preserve"> ADDIN ZOTERO_ITEM CSL_CITATION {"citationID":"K24XqR1z","properties":{"formattedCitation":"\\super 57,58\\nosupersub{}","plainCitation":"57,58","noteIndex":0},"citationItems":[{"id":6900,"uris":["http://zotero.org/users/6242458/items/MBT5U22A"],"itemData":{"id":6900,"type":"article-journal","abstract":"Approximately 60% of patients with a first episode of psychosis will significantly reduce the severity of their positive symptomatology with antipsychotic drugs. The aim of this study was to investigate predictors of response to antipsychotic treatment during the first episode of non-affective psychosis. 172 patients (107 male) with a diagnosis of schizophreniform, schizophrenia, schizoaffective, brief reactive psychosis, schizotypal personality disorder or psychosis non-otherwise specified entered the study. Sociodemographic, premorbid and clinical data at baseline were evaluated. Unpaired t-test for continuous and chi2 for categorical data, respectively, were used to compare responders and non-responders selected variables. Multivariate logistic regression was used to establish a prediction model. 57.6% of study subjects (99 of 172) responded to antipsychotic treatment. The following variables were significantly associated with less likelihood of response: 1.--lower severity of general psychopathology, positive symptoms and disorganized symptoms at baseline; 2.--earlier age of onset; 3.--diagnosis of schizophrenia; 4.--longer DUP; 5.--poorer premorbid adjustment during adolescence, and 6.--hospitalization. Multivariate logistic regression demonstrated that differences between responders and non-responders were largely accounted for by BPRS total score, age of onset, premorbid adjustment at early adolescence, and diagnosis. Patients with an early age of onset of schizophrenia, a poor premorbid adolescent functioning, and with a lower severity of psychopathology at intake seem to have a decrease likelihood of responding to antipsychotic treatment. Helping clinicians to identify non-responders is meant as a first step to optimise therapeutic effort to benefit individuals in this vulnerable group.","container-title":"Journal of Psychiatric Research","DOI":"10.1016/j.jpsychires.2006.05.002","ISSN":"0022-3956","issue":"8","journalAbbreviation":"J Psychiatr Res","language":"eng","page":"659-666","PMID":"16797591","source":"PubMed","title":"Predictors of acute treatment response in patients with a first episode of non-affective psychosis: sociodemographics, premorbid and clinical variables","title-short":"Predictors of acute treatment response in patients with a first episode of non-affective psychosis","volume":"41","author":[{"family":"Crespo-Facorro","given":"Benedicto"},{"family":"Pelayo-Terán","given":"José María"},{"family":"Pérez-Iglesias","given":"Rocío"},{"family":"Ramírez-Bonilla","given":"Mariluz"},{"family":"Martínez-García","given":"Obdulia"},{"family":"Pardo-García","given":"Gema"},{"family":"Vázquez-Barquero","given":"José Luis"}],"issued":{"date-parts":[["2007",10]]}}},{"id":6902,"uris":["http://zotero.org/users/6242458/items/LNWXN8XC"],"itemData":{"id":6902,"type":"article-journal","abstract":"AIM: The aim of the study was to analyse the treated incidence of schizophrenia in Cantabria (Northern Spain) and the sociodemographic risk factors associated with the illness onset.\nMETHODS: Data were obtained from patients included in the Cantabria's Clinical Programme on First-Episode Psychosis (schizophrenia spectrum DSM-IV diagnosis) from 2001 to 2005, from the Cantabria first-episode schizophrenia study (carried out between 1988 and 1989) and from the 2001 Spanish census.\nRESULTS: Annual incidence was 1.38 per 10,000 inhabitants in the risk-ageperiod. Identified risk factors were male gender (relative risk (RR): 1.61), age 15-25 years (RR: 3.48), unemployment (RR: 2.82), single status (RR: 5.88), low educational level (RR: 4.38), urban environment (RR: 1.62) and cannabis consumption (odds ratio: 12.83). The incidence in females was significantly lower than the one obtained 15 years ago.\nCONCLUSIONS: The reported factors suggest that underlying biological and social factors modulate the risk of psychosis. This balance operates differently in males and females.","container-title":"Early Intervention in Psychiatry","DOI":"10.1111/j.1751-7893.2008.00074.x","ISSN":"1751-7893","issue":"3","journalAbbreviation":"Early Interv Psychiatry","language":"eng","page":"178-187","PMID":"21352151","source":"PubMed","title":"Epidemiological factors associated with treated incidence of first-episode non-affective psychosis in Cantabria: insights from the Clinical Programme on Early Phases of Psychosis","title-short":"Epidemiological factors associated with treated incidence of first-episode non-affective psychosis in Cantabria","volume":"2","author":[{"family":"Pelayo-Terán","given":"José M."},{"family":"Pérez-Iglesias","given":"Rocío"},{"family":"Ramírez-Bonilla","given":"Mariluz"},{"family":"González-Blanch","given":"César"},{"family":"Martínez-García","given":"Obdulia"},{"family":"Pardo-García","given":"Gema"},{"family":"Rodríguez-Sánchez","given":"José M."},{"family":"Roiz-Santiáñez","given":"Roberto"},{"family":"Tordesillas-Gutiérrez","given":"Diana"},{"family":"Mata","given":"Ignacio"},{"family":"Vázquez-Barquero","given":"José Luis"},{"family":"Crespo-Facorro","given":"Benedicto"}],"issued":{"date-parts":[["2008",8]]}}}],"schema":"https://github.com/citation-style-language/schema/raw/master/csl-citation.json"} </w:instrText>
      </w:r>
      <w:r w:rsidR="00AD3F9E" w:rsidRPr="005B3F3B">
        <w:rPr>
          <w:rFonts w:ascii="Times New Roman" w:eastAsia="Times New Roman" w:hAnsi="Times New Roman" w:cs="Times New Roman"/>
        </w:rPr>
        <w:fldChar w:fldCharType="separate"/>
      </w:r>
      <w:r w:rsidR="00F05D92" w:rsidRPr="005B3F3B">
        <w:rPr>
          <w:rFonts w:ascii="Times New Roman" w:hAnsi="Times New Roman" w:cs="Times New Roman"/>
          <w:vertAlign w:val="superscript"/>
        </w:rPr>
        <w:t>57,58</w:t>
      </w:r>
      <w:r w:rsidR="00AD3F9E" w:rsidRPr="005B3F3B">
        <w:rPr>
          <w:rFonts w:ascii="Times New Roman" w:eastAsia="Times New Roman" w:hAnsi="Times New Roman" w:cs="Times New Roman"/>
        </w:rPr>
        <w:fldChar w:fldCharType="end"/>
      </w:r>
      <w:r w:rsidR="0020159D" w:rsidRPr="005B3F3B">
        <w:rPr>
          <w:rFonts w:ascii="Times New Roman" w:eastAsia="Times New Roman" w:hAnsi="Times New Roman" w:cs="Times New Roman"/>
        </w:rPr>
        <w:t>.</w:t>
      </w:r>
    </w:p>
    <w:p w14:paraId="60D566BB" w14:textId="4FF8E064" w:rsidR="00202DE0"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SYS</w:t>
      </w:r>
      <w:r w:rsidRPr="005B3F3B">
        <w:rPr>
          <w:rFonts w:ascii="Times New Roman" w:eastAsia="Times New Roman" w:hAnsi="Times New Roman" w:cs="Times New Roman"/>
        </w:rPr>
        <w:t>:</w:t>
      </w:r>
      <w:r w:rsidR="000134AC" w:rsidRPr="005B3F3B">
        <w:rPr>
          <w:rFonts w:ascii="Times New Roman" w:eastAsia="Times New Roman" w:hAnsi="Times New Roman" w:cs="Times New Roman"/>
        </w:rPr>
        <w:t xml:space="preserve"> The Saguenay Youth Study (SYS) is a two-generational study of adolescents and their parents (</w:t>
      </w:r>
      <w:r w:rsidR="000134AC" w:rsidRPr="005B3F3B">
        <w:rPr>
          <w:rFonts w:ascii="Times New Roman" w:eastAsia="Times New Roman" w:hAnsi="Times New Roman" w:cs="Times New Roman"/>
          <w:i/>
          <w:iCs/>
        </w:rPr>
        <w:t>N</w:t>
      </w:r>
      <w:r w:rsidR="000134AC" w:rsidRPr="005B3F3B">
        <w:rPr>
          <w:rFonts w:ascii="Times New Roman" w:eastAsia="Times New Roman" w:hAnsi="Times New Roman" w:cs="Times New Roman"/>
        </w:rPr>
        <w:t>=1,029 adolescents and 962 parents) aimed at investigating the aetiology, early stages and trans-generational trajectories of common cardiometabolic and brain diseases</w:t>
      </w:r>
      <w:r w:rsidR="000D319E" w:rsidRPr="005B3F3B">
        <w:rPr>
          <w:rFonts w:ascii="Times New Roman" w:eastAsia="Times New Roman" w:hAnsi="Times New Roman" w:cs="Times New Roman"/>
        </w:rPr>
        <w:fldChar w:fldCharType="begin"/>
      </w:r>
      <w:r w:rsidR="00F05D92" w:rsidRPr="005B3F3B">
        <w:rPr>
          <w:rFonts w:ascii="Times New Roman" w:eastAsia="Times New Roman" w:hAnsi="Times New Roman" w:cs="Times New Roman"/>
        </w:rPr>
        <w:instrText xml:space="preserve"> ADDIN ZOTERO_ITEM CSL_CITATION {"citationID":"ARYvCKsk","properties":{"formattedCitation":"\\super 59,60\\nosupersub{}","plainCitation":"59,60","noteIndex":0},"citationItems":[{"id":6795,"uris":["http://zotero.org/users/6242458/items/ANW6JSA5"],"itemData":{"id":6795,"type":"article-journal","abstract":"This paper provides an overview of the Saguenay Youth Study (SYS) and its parental arm. The overarching goal of this effort is to develop trans-generational models of developmental cascades contributing to the emergence of common chronic disorders, such as depression, addictions, dementia and cardio-metabolic diseases. Over the past 10 years, we have acquired detailed brain and cardio-metabolic phenotypes, and genome-wide genotypes, in 1029 adolescents recruited in a population with a known genetic founder effect. At present, we are extending this dataset to acquire comparable phenotypes and genotypes in the biological parents of these individuals. After providing conceptual background for this work (transactions across time, systems and organs), we describe briefly the tools employed in the adolescent arm of this cohort and highlight some of the initial accomplishments. We then outline in detail the phenotyping protocol used to acquire comparable data in the parents.","container-title":"Developmental Cognitive Neuroscience","DOI":"10.1016/j.dcn.2014.10.003","ISSN":"1878-9307","journalAbbreviation":"Dev Cogn Neurosci","language":"eng","page":"129-144","PMID":"25454417","PMCID":"PMC6989769","source":"PubMed","title":"Saguenay Youth Study: a multi-generational approach to studying virtual trajectories of the brain and cardio-metabolic health","title-short":"Saguenay Youth Study","volume":"11","author":[{"family":"Paus","given":"T."},{"family":"Pausova","given":"Z."},{"family":"Abrahamowicz","given":"M."},{"family":"Gaudet","given":"D."},{"family":"Leonard","given":"G."},{"family":"Pike","given":"G. B."},{"family":"Richer","given":"L."}],"issued":{"date-parts":[["2015",2]]}}},{"id":6792,"uris":["http://zotero.org/users/6242458/items/G54QQAFS"],"itemData":{"id":6792,"type":"article-journal","abstract":"The Saguenay Youth Study (SYS) is a two-generational study of adolescents and their parents (n = 1029 adolescents and 962 parents) aimed at investigating the aetiology, early stages and trans-generational trajectories of common cardiometabolic and brain diseases. The ultimate goal of this study is to identify effective means for increasing healthy life expectancy. The cohort was recruited from the genetic founder population of the Saguenay Lac St Jean region of Quebec, Canada. The participants underwent extensive (15-h) phenotyping, including an hour-long recording of beat-by-beat blood pressure, magnetic resonance imaging of the brain and abdomen, and serum lipidomic profiling with LC-ESI-MS. All participants have been genome-wide genotyped (with </w:instrText>
      </w:r>
      <w:r w:rsidR="00F05D92" w:rsidRPr="005B3F3B">
        <w:rPr>
          <w:rFonts w:ascii="Cambria Math" w:eastAsia="Times New Roman" w:hAnsi="Cambria Math" w:cs="Cambria Math"/>
        </w:rPr>
        <w:instrText>∼</w:instrText>
      </w:r>
      <w:r w:rsidR="00F05D92" w:rsidRPr="005B3F3B">
        <w:rPr>
          <w:rFonts w:ascii="Times New Roman" w:eastAsia="Times New Roman" w:hAnsi="Times New Roman" w:cs="Times New Roman"/>
        </w:rPr>
        <w:instrText xml:space="preserve"> 8 M imputed single nucleotide polymorphisms) and a subset of them (144 adolescents and their 288 parents) has been genome-wide epityped (whole blood DNA, Infinium HumanMethylation450K BeadChip). These assessments are complemented by a detailed evaluation of each participant in a number of domains, including cognition, mental health and substance use, diet, physical activity and sleep, and family environment. The data collection took place during 2003-12 in adolescents (full) and their parents (partial), and during 2012-15 in parents (full). All data are available upon request.","container-title":"International Journal of Epidemiology","DOI":"10.1093/ije/dyw023","ISSN":"1464-3685","issue":"2","journalAbbreviation":"Int J Epidemiol","language":"eng","page":"e19","PMID":"27018016","PMCID":"PMC5837575","source":"PubMed","title":"Cohort Profile: The Saguenay Youth Study (SYS)","title-short":"Cohort Profile","volume":"46","author":[{"family":"Pausova","given":"Zdenka"},{"family":"Paus","given":"Tomas"},{"family":"Abrahamowicz","given":"Michal"},{"family":"Bernard","given":"Manon"},{"family":"Gaudet","given":"Daniel"},{"family":"Leonard","given":"Gabriel"},{"family":"Peron","given":"Michel"},{"family":"Pike","given":"G. Bruce"},{"family":"Richer","given":"Louis"},{"family":"Séguin","given":"Jean R."},{"family":"Veillette","given":"Suzanne"}],"issued":{"date-parts":[["2017",4,1]]}}}],"schema":"https://github.com/citation-style-language/schema/raw/master/csl-citation.json"} </w:instrText>
      </w:r>
      <w:r w:rsidR="000D319E" w:rsidRPr="005B3F3B">
        <w:rPr>
          <w:rFonts w:ascii="Times New Roman" w:eastAsia="Times New Roman" w:hAnsi="Times New Roman" w:cs="Times New Roman"/>
        </w:rPr>
        <w:fldChar w:fldCharType="separate"/>
      </w:r>
      <w:r w:rsidR="00F05D92" w:rsidRPr="005B3F3B">
        <w:rPr>
          <w:rFonts w:ascii="Times New Roman" w:hAnsi="Times New Roman" w:cs="Times New Roman"/>
          <w:vertAlign w:val="superscript"/>
        </w:rPr>
        <w:t>59,60</w:t>
      </w:r>
      <w:r w:rsidR="000D319E" w:rsidRPr="005B3F3B">
        <w:rPr>
          <w:rFonts w:ascii="Times New Roman" w:eastAsia="Times New Roman" w:hAnsi="Times New Roman" w:cs="Times New Roman"/>
        </w:rPr>
        <w:fldChar w:fldCharType="end"/>
      </w:r>
      <w:r w:rsidR="000134AC" w:rsidRPr="005B3F3B">
        <w:rPr>
          <w:rFonts w:ascii="Times New Roman" w:eastAsia="Times New Roman" w:hAnsi="Times New Roman" w:cs="Times New Roman"/>
        </w:rPr>
        <w:t>.</w:t>
      </w:r>
    </w:p>
    <w:p w14:paraId="53C69653" w14:textId="77777777" w:rsidR="0013396B" w:rsidRPr="005B3F3B" w:rsidRDefault="007A5CD0"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ALSPAC</w:t>
      </w:r>
      <w:r w:rsidRPr="005B3F3B">
        <w:rPr>
          <w:rFonts w:ascii="Times New Roman" w:eastAsia="Times New Roman" w:hAnsi="Times New Roman" w:cs="Times New Roman"/>
        </w:rPr>
        <w:t>: Pregnant women resident in Avon, UK with expected dates of delivery between 1st April 1991 and 31st December 1992 were invited to take part in the study. 20,248 pregnancies have been identified as being eligible and the initial number of pregnancies enrolled was 14,541. Of the initial pregnancies, there was a total of 14,676 foetuses, resulting in 14,062 live births and 13,988 children who were alive at 1 year of age. When the 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 available for more than the 14,541 pregnancies mentioned above: The number of new pregnancies not in the initial sample (known as Phase I enrolment) that are currently represented in the released data and reflecting enrolment status at the age of 24 is 906, resulting in an additional 913 children being enrolled (456, 262 and 195 recruited during Phases II, III and IV respectively). The phases of enrolment are described in more detail in the cohort profile paper and its update (see footnote 5 below). The total sample size for analyses using any data collected after the age of seven is therefore 15,447 pregnancies, resulting in 15,658 foetuses. Of these 14,901 children were alive at 1 year of age.</w:t>
      </w:r>
    </w:p>
    <w:p w14:paraId="151D84D3" w14:textId="5B1BC7A3" w:rsidR="007A5CD0" w:rsidRPr="005B3F3B" w:rsidRDefault="007A5CD0" w:rsidP="005B3F3B">
      <w:pPr>
        <w:spacing w:before="16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Of the original 14,541 initial pregnancies, 338 were from a woman who had already enrolled with a previous pregnancy, meaning 14,203 unique mothers were initially enrolled in the study. As a result of the additional phases of recruitment, a further 630 women who did not enrol </w:t>
      </w:r>
      <w:r w:rsidRPr="005B3F3B">
        <w:rPr>
          <w:rFonts w:ascii="Times New Roman" w:eastAsia="Times New Roman" w:hAnsi="Times New Roman" w:cs="Times New Roman"/>
        </w:rPr>
        <w:lastRenderedPageBreak/>
        <w:t>originally have provided data since their child was 7 years of age. This provides a total of 14,833 unique women (G0 mothers) enrolled in ALSPAC as of September 2021.</w:t>
      </w:r>
    </w:p>
    <w:p w14:paraId="287D5664" w14:textId="499CABA8" w:rsidR="007A5CD0" w:rsidRPr="005B3F3B" w:rsidRDefault="007A5CD0" w:rsidP="005B3F3B">
      <w:pPr>
        <w:spacing w:after="16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G0 partners were invited to complete questionnaires by the mothers at the start of the study and they were not formally enrolled at that time. 12,113 G0 partners have been in contact with the study by providing data and/or formally enrolling when this started in 2010. 3,807 G0 partners are currently </w:t>
      </w:r>
      <w:sdt>
        <w:sdtPr>
          <w:rPr>
            <w:rFonts w:ascii="Times New Roman" w:hAnsi="Times New Roman" w:cs="Times New Roman"/>
          </w:rPr>
          <w:tag w:val="goog_rdk_0"/>
          <w:id w:val="-387969533"/>
        </w:sdtPr>
        <w:sdtEndPr/>
        <w:sdtContent/>
      </w:sdt>
      <w:r w:rsidRPr="005B3F3B">
        <w:rPr>
          <w:rFonts w:ascii="Times New Roman" w:eastAsia="Times New Roman" w:hAnsi="Times New Roman" w:cs="Times New Roman"/>
        </w:rPr>
        <w:t>enrolled</w:t>
      </w:r>
      <w:r w:rsidRPr="005B3F3B">
        <w:rPr>
          <w:rFonts w:ascii="Times New Roman" w:eastAsia="Times New Roman" w:hAnsi="Times New Roman" w:cs="Times New Roman"/>
        </w:rPr>
        <w:fldChar w:fldCharType="begin"/>
      </w:r>
      <w:r w:rsidR="00F05D92" w:rsidRPr="005B3F3B">
        <w:rPr>
          <w:rFonts w:ascii="Times New Roman" w:eastAsia="Times New Roman" w:hAnsi="Times New Roman" w:cs="Times New Roman"/>
        </w:rPr>
        <w:instrText xml:space="preserve"> ADDIN ZOTERO_ITEM CSL_CITATION {"citationID":"3dRuEKI8","properties":{"formattedCitation":"\\super 61\\uc0\\u8211{}63\\nosupersub{}","plainCitation":"61–63","noteIndex":0},"citationItems":[{"id":5267,"uris":["http://zotero.org/users/6242458/items/WV87QV4K"],"itemData":{"id":5267,"type":"article-journal","abstract":"The Avon Longitudinal Study of Parents and Children (ALSPAC) is a transgenerational prospective observational study investigating influences on health and development across the life course. It considers multiple genetic, epigenetic, biological, psychological, social and other environmental exposures in relation to a similarly diverse range of health, social and developmental outcomes. Recruitment sought to enroll pregnant women in the Bristol area of the UK during 1990-92; this was extended to include additional children eligible using the original enrollment definition up to the age of 18 years. The children from 14541 pregnancies were recruited in 1990-92, increasing to 15247 pregnancies by the age of 18 years. This cohort profile describes the index children of these pregnancies. Follow-up includes 59 questionnaires (4 weeks-18 years of age) and 9 clinical assessment visits (7-17 years of age). The resource comprises a wide range of phenotypic and environmental measures in addition to biological samples, genetic (DNA on 11343 children, genome-wide data on 8365 children, complete genome sequencing on 2000 children) and epigenetic (methylation sampling on 1000 children) information and linkage to health and administrative records. Data access is described in this article and is currently set up as a supported access resource. To date, over 700 peer-reviewed articles have been published using ALSPAC data.","container-title":"International Journal of Epidemiology","DOI":"10.1093/ije/dys064","ISSN":"1464-3685","issue":"1","journalAbbreviation":"Int J Epidemiol","language":"eng","page":"111-127","PMID":"22507743","PMCID":"PMC3600618","source":"PubMed","title":"Cohort Profile: the 'children of the 90s'--the index offspring of the Avon Longitudinal Study of Parents and Children","title-short":"Cohort Profile","volume":"42","author":[{"family":"Boyd","given":"Andy"},{"family":"Golding","given":"Jean"},{"family":"Macleod","given":"John"},{"family":"Lawlor","given":"Debbie A."},{"family":"Fraser","given":"Abigail"},{"family":"Henderson","given":"John"},{"family":"Molloy","given":"Lynn"},{"family":"Ness","given":"Andy"},{"family":"Ring","given":"Susan"},{"family":"Davey Smith","given":"George"}],"issued":{"date-parts":[["2013",2]]}}},{"id":5270,"uris":["http://zotero.org/users/6242458/items/EQUPLS4C"],"itemData":{"id":5270,"type":"article-journal","abstract":"Summary The Avon Longitudinal Study of Children and Parents (ALSPAC) was established to understand how genetic and environmental characteristics influence health and development in parents and children. All pregnant women resident in a defined area in the South West of England, with an expected date of delivery between 1st April 1991 and 31st December 1992, were eligible and 13761 women (contributing 13867 pregnancies) were recruited. These women have been followed over the last 19-22 years and have completed up to 20 questionnaires, have had detailed data abstracted from their medical records and have information on any cancer diagnoses and deaths through record linkage. A follow-up assessment was completed 17-18 years postnatal at which anthropometry, blood pressure, fat, lean and bone mass and carotid intima media thickness were assessed, and a fasting blood sample taken. The second follow-up clinic, which additionally measures cognitive function, physical capability, physical activity (with accelerometer) and wrist bone architecture, is underway and two further assessments with similar measurements will take place over the next 5 years. There is a detailed biobank that includes DNA, with genome-wide data available on &gt;10000, stored serum and plasma taken repeatedly since pregnancy and other samples; a wide range of data on completed biospecimen assays are available. Details of how to access these data are provided in this cohort profile.","container-title":"International Journal of Epidemiology","DOI":"10.1093/ije/dys066","ISSN":"1464-3685","issue":"1","journalAbbreviation":"Int J Epidemiol","language":"eng","page":"97-110","PMID":"22507742","PMCID":"PMC3600619","source":"PubMed","title":"Cohort Profile: the Avon Longitudinal Study of Parents and Children: ALSPAC mothers cohort","title-short":"Cohort Profile","volume":"42","author":[{"family":"Fraser","given":"Abigail"},{"family":"Macdonald-Wallis","given":"Corrie"},{"family":"Tilling","given":"Kate"},{"family":"Boyd","given":"Andy"},{"family":"Golding","given":"Jean"},{"family":"Davey Smith","given":"George"},{"family":"Henderson","given":"John"},{"family":"Macleod","given":"John"},{"family":"Molloy","given":"Lynn"},{"family":"Ness","given":"Andy"},{"family":"Ring","given":"Susan"},{"family":"Nelson","given":"Scott M."},{"family":"Lawlor","given":"Debbie A."}],"issued":{"date-parts":[["2013",2]]}}},{"id":6511,"uris":["http://zotero.org/users/6242458/items/NHKE5H5C"],"itemData":{"id":6511,"type":"article-journal","abstract":"The Avon Longitudinal Study of Parents and Children (ALSPAC) is a prospective population-based study. Initial recruitment of pregnant women took place in 1990-1992 and the health and development of the index children from these pregnancies and their family members have been followed ever since. The eligible sampling frame was constructed retrospectively using linked recruitment and health service records. Additional offspring that were eligible to enrol in the study have been welcomed through major recruitment drives at the ages of 7 and 18 years; and through opportunistic contacts since the age of 7. This data note provides a status update on the recruitment of the index children since the age of 7 years with a focus on enrolment since the age of 18, which has not been previously described. A total of 913 additional G1 (the cohort of index children) participants have been enrolled in the study since the age of 7 years with 195 of these joining since the age of 18. This additional enrolment provides a baseline sample of 14,901 G1 participants who were alive at 1 year of age.","container-title":"Wellcome Open Research","DOI":"10.12688/wellcomeopenres.15132.1","ISSN":"2398-502X","journalAbbreviation":"Wellcome Open Res","language":"eng","page":"51","PMID":"31020050","PMCID":"PMC6464058","source":"PubMed","title":"The Avon Longitudinal Study of Parents and Children (ALSPAC): an update on the enrolled sample of index children in 2019","title-short":"The Avon Longitudinal Study of Parents and Children (ALSPAC)","volume":"4","author":[{"family":"Northstone","given":"Kate"},{"family":"Lewcock","given":"Melanie"},{"family":"Groom","given":"Alix"},{"family":"Boyd","given":"Andy"},{"family":"Macleod","given":"John"},{"family":"Timpson","given":"Nicholas"},{"family":"Wells","given":"Nicholas"}],"issued":{"date-parts":[["2019"]]}}}],"schema":"https://github.com/citation-style-language/schema/raw/master/csl-citation.json"} </w:instrText>
      </w:r>
      <w:r w:rsidRPr="005B3F3B">
        <w:rPr>
          <w:rFonts w:ascii="Times New Roman" w:eastAsia="Times New Roman" w:hAnsi="Times New Roman" w:cs="Times New Roman"/>
        </w:rPr>
        <w:fldChar w:fldCharType="separate"/>
      </w:r>
      <w:r w:rsidR="00F05D92" w:rsidRPr="005B3F3B">
        <w:rPr>
          <w:rFonts w:ascii="Times New Roman" w:hAnsi="Times New Roman" w:cs="Times New Roman"/>
          <w:vertAlign w:val="superscript"/>
        </w:rPr>
        <w:t>61–63</w:t>
      </w:r>
      <w:r w:rsidRPr="005B3F3B">
        <w:rPr>
          <w:rFonts w:ascii="Times New Roman" w:eastAsia="Times New Roman" w:hAnsi="Times New Roman" w:cs="Times New Roman"/>
        </w:rPr>
        <w:fldChar w:fldCharType="end"/>
      </w:r>
      <w:r w:rsidRPr="005B3F3B">
        <w:rPr>
          <w:rFonts w:ascii="Times New Roman" w:eastAsia="Times New Roman" w:hAnsi="Times New Roman" w:cs="Times New Roman"/>
        </w:rPr>
        <w:t xml:space="preserve">. The data used in the present study were collected from 571 males and further description of this subset and the variables used in this study are provided in </w:t>
      </w:r>
      <w:r w:rsidRPr="0053632F">
        <w:rPr>
          <w:rFonts w:ascii="Times New Roman" w:eastAsia="Times New Roman" w:hAnsi="Times New Roman" w:cs="Times New Roman"/>
          <w:b/>
          <w:bCs/>
        </w:rPr>
        <w:t>Table S2</w:t>
      </w:r>
      <w:r w:rsidRPr="005B3F3B">
        <w:rPr>
          <w:rFonts w:ascii="Times New Roman" w:eastAsia="Times New Roman" w:hAnsi="Times New Roman" w:cs="Times New Roman"/>
        </w:rPr>
        <w:t xml:space="preserve">. Ethical approval for the study was obtained from the ALSPAC Ethics and Law Committee and the Local Research Ethics Committees. The UK Medical Research Council and </w:t>
      </w:r>
      <w:proofErr w:type="spellStart"/>
      <w:r w:rsidRPr="005B3F3B">
        <w:rPr>
          <w:rFonts w:ascii="Times New Roman" w:eastAsia="Times New Roman" w:hAnsi="Times New Roman" w:cs="Times New Roman"/>
        </w:rPr>
        <w:t>Wellcome</w:t>
      </w:r>
      <w:proofErr w:type="spellEnd"/>
      <w:r w:rsidRPr="005B3F3B">
        <w:rPr>
          <w:rFonts w:ascii="Times New Roman" w:eastAsia="Times New Roman" w:hAnsi="Times New Roman" w:cs="Times New Roman"/>
        </w:rPr>
        <w:t xml:space="preserve"> (Grant ref: MR/Z505924/1) and the University of Bristol provide core support for ALSPAC. This publication is the work of the </w:t>
      </w:r>
      <w:proofErr w:type="gramStart"/>
      <w:r w:rsidRPr="005B3F3B">
        <w:rPr>
          <w:rFonts w:ascii="Times New Roman" w:eastAsia="Times New Roman" w:hAnsi="Times New Roman" w:cs="Times New Roman"/>
        </w:rPr>
        <w:t>authors</w:t>
      </w:r>
      <w:proofErr w:type="gramEnd"/>
      <w:r w:rsidRPr="005B3F3B">
        <w:rPr>
          <w:rFonts w:ascii="Times New Roman" w:eastAsia="Times New Roman" w:hAnsi="Times New Roman" w:cs="Times New Roman"/>
        </w:rPr>
        <w:t xml:space="preserve"> and they will serve as guarantors for the contents of this paper. Please note that the study website contains details of all the data that is available through a fully searchable data dictionary and variable search tool" and reference the following webpage: http://www.bristol.ac.uk/alspac/researchers/our-data/.</w:t>
      </w:r>
    </w:p>
    <w:p w14:paraId="6B67F598" w14:textId="77777777" w:rsidR="007A5CD0" w:rsidRPr="005B3F3B" w:rsidRDefault="007A5CD0" w:rsidP="005B3F3B">
      <w:pPr>
        <w:spacing w:after="16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Ethical approval for the study was obtained from the ALSPAC Ethics and Law Committee and the Local Research Ethics Committees. Informed consent for the use of all data collected was obtained from participants following the recommendations of the ALSPAC Ethics and Law Committee at the time. Participants can contact the study team at any time to retrospectively withdraw consent for their data to be used. Study participation is voluntary and during all data collection sweeps, information was provided on the intended use of data.</w:t>
      </w:r>
    </w:p>
    <w:p w14:paraId="0E45BC10" w14:textId="77777777" w:rsidR="007A5CD0" w:rsidRPr="005B3F3B" w:rsidRDefault="007A5CD0" w:rsidP="005B3F3B">
      <w:pPr>
        <w:spacing w:after="16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Biological samples are collected in accordance with the Human Tissue Act (2004). Specific Research Ethics Committee approval is sought for the consenting process at each collection sweep. Written consent, including permission for future use, is obtained from adult participants or from the parents of children as appropriate. Ethical approval for future use is covered by ALSPAC's Research Tissue Bank approval. All historical consents to hold biological samples have been reviewed as part of the Tissue Bank approval process. Participants can contact the study team at any time to retrospectively withdraw consent for use of their samples.</w:t>
      </w:r>
    </w:p>
    <w:p w14:paraId="00000040" w14:textId="77777777" w:rsidR="007A5CD0" w:rsidRPr="005B3F3B" w:rsidRDefault="007A5CD0" w:rsidP="005B3F3B">
      <w:pPr>
        <w:spacing w:line="360" w:lineRule="auto"/>
        <w:ind w:left="0"/>
        <w:jc w:val="both"/>
        <w:rPr>
          <w:rFonts w:ascii="Times New Roman" w:eastAsia="Times New Roman" w:hAnsi="Times New Roman" w:cs="Times New Roman"/>
        </w:rPr>
        <w:sectPr w:rsidR="007A5CD0" w:rsidRPr="005B3F3B">
          <w:pgSz w:w="11906" w:h="16838"/>
          <w:pgMar w:top="1440" w:right="1440" w:bottom="1440" w:left="1440" w:header="708" w:footer="708" w:gutter="0"/>
          <w:cols w:space="720"/>
        </w:sectPr>
      </w:pPr>
    </w:p>
    <w:bookmarkStart w:id="14" w:name="_Toc224509815"/>
    <w:p w14:paraId="0000004C" w14:textId="55C40871" w:rsidR="00761DC3" w:rsidRPr="005B3F3B" w:rsidRDefault="008E2101" w:rsidP="005B3F3B">
      <w:pPr>
        <w:pStyle w:val="Heading1"/>
        <w:spacing w:line="360" w:lineRule="auto"/>
        <w:jc w:val="both"/>
      </w:pPr>
      <w:sdt>
        <w:sdtPr>
          <w:tag w:val="goog_rdk_3"/>
          <w:id w:val="-662481136"/>
        </w:sdtPr>
        <w:sdtEndPr/>
        <w:sdtContent/>
      </w:sdt>
      <w:r w:rsidR="00840C06" w:rsidRPr="005B3F3B">
        <w:t>A</w:t>
      </w:r>
      <w:r w:rsidR="00C94494" w:rsidRPr="005B3F3B">
        <w:t>cknowledgements</w:t>
      </w:r>
      <w:bookmarkEnd w:id="14"/>
    </w:p>
    <w:p w14:paraId="6CCF7092" w14:textId="75F1CEA2" w:rsidR="00840C06" w:rsidRPr="005B3F3B" w:rsidRDefault="0071332F" w:rsidP="005B3F3B">
      <w:pPr>
        <w:spacing w:line="360" w:lineRule="auto"/>
        <w:ind w:left="0"/>
        <w:jc w:val="both"/>
        <w:rPr>
          <w:rFonts w:ascii="Times New Roman" w:hAnsi="Times New Roman" w:cs="Times New Roman"/>
          <w:lang w:val="en-US"/>
        </w:rPr>
      </w:pPr>
      <w:r w:rsidRPr="005B3F3B">
        <w:rPr>
          <w:rFonts w:ascii="Times New Roman" w:eastAsia="Times New Roman" w:hAnsi="Times New Roman" w:cs="Times New Roman"/>
          <w:i/>
          <w:iCs/>
          <w:u w:val="single"/>
        </w:rPr>
        <w:t>ENIGMA</w:t>
      </w:r>
      <w:r w:rsidRPr="005B3F3B">
        <w:rPr>
          <w:rFonts w:ascii="Times New Roman" w:eastAsia="Times New Roman" w:hAnsi="Times New Roman" w:cs="Times New Roman"/>
        </w:rPr>
        <w:t xml:space="preserve">: </w:t>
      </w:r>
      <w:r w:rsidR="00840C06" w:rsidRPr="005B3F3B">
        <w:rPr>
          <w:rFonts w:ascii="Times New Roman" w:eastAsia="Times New Roman" w:hAnsi="Times New Roman" w:cs="Times New Roman"/>
        </w:rPr>
        <w:t>Th</w:t>
      </w:r>
      <w:r w:rsidRPr="005B3F3B">
        <w:rPr>
          <w:rFonts w:ascii="Times New Roman" w:eastAsia="Times New Roman" w:hAnsi="Times New Roman" w:cs="Times New Roman"/>
        </w:rPr>
        <w:t>e</w:t>
      </w:r>
      <w:r w:rsidR="00840C06" w:rsidRPr="005B3F3B">
        <w:rPr>
          <w:rFonts w:ascii="Times New Roman" w:eastAsia="Times New Roman" w:hAnsi="Times New Roman" w:cs="Times New Roman"/>
        </w:rPr>
        <w:t xml:space="preserve"> </w:t>
      </w:r>
      <w:r w:rsidRPr="005B3F3B">
        <w:rPr>
          <w:rFonts w:ascii="Times New Roman" w:eastAsia="Times New Roman" w:hAnsi="Times New Roman" w:cs="Times New Roman"/>
        </w:rPr>
        <w:t>study was</w:t>
      </w:r>
      <w:r w:rsidR="00840C06" w:rsidRPr="005B3F3B">
        <w:rPr>
          <w:rFonts w:ascii="Times New Roman" w:eastAsia="Times New Roman" w:hAnsi="Times New Roman" w:cs="Times New Roman"/>
        </w:rPr>
        <w:t xml:space="preserve"> support</w:t>
      </w:r>
      <w:r w:rsidRPr="005B3F3B">
        <w:rPr>
          <w:rFonts w:ascii="Times New Roman" w:eastAsia="Times New Roman" w:hAnsi="Times New Roman" w:cs="Times New Roman"/>
        </w:rPr>
        <w:t>ed in part by</w:t>
      </w:r>
      <w:r w:rsidR="00840C06" w:rsidRPr="005B3F3B">
        <w:rPr>
          <w:rFonts w:ascii="Times New Roman" w:eastAsia="Times New Roman" w:hAnsi="Times New Roman" w:cs="Times New Roman"/>
        </w:rPr>
        <w:t xml:space="preserve"> </w:t>
      </w:r>
      <w:r w:rsidR="00840C06" w:rsidRPr="005B3F3B">
        <w:rPr>
          <w:rFonts w:ascii="Times New Roman" w:hAnsi="Times New Roman" w:cs="Times New Roman"/>
          <w:lang w:val="en-US"/>
        </w:rPr>
        <w:t xml:space="preserve">a cross-NIH alliance that funds Big Data to Knowledge </w:t>
      </w:r>
      <w:proofErr w:type="spellStart"/>
      <w:r w:rsidR="00840C06" w:rsidRPr="005B3F3B">
        <w:rPr>
          <w:rFonts w:ascii="Times New Roman" w:hAnsi="Times New Roman" w:cs="Times New Roman"/>
          <w:lang w:val="en-US"/>
        </w:rPr>
        <w:t>Centres</w:t>
      </w:r>
      <w:proofErr w:type="spellEnd"/>
      <w:r w:rsidR="00840C06" w:rsidRPr="005B3F3B">
        <w:rPr>
          <w:rFonts w:ascii="Times New Roman" w:hAnsi="Times New Roman" w:cs="Times New Roman"/>
          <w:lang w:val="en-US"/>
        </w:rPr>
        <w:t xml:space="preserve"> of Excellence (</w:t>
      </w:r>
      <w:r w:rsidRPr="005B3F3B">
        <w:rPr>
          <w:rFonts w:ascii="Times New Roman" w:hAnsi="Times New Roman" w:cs="Times New Roman"/>
          <w:lang w:val="en-US"/>
        </w:rPr>
        <w:t xml:space="preserve">grant </w:t>
      </w:r>
      <w:r w:rsidR="00840C06" w:rsidRPr="005B3F3B">
        <w:rPr>
          <w:rFonts w:ascii="Times New Roman" w:hAnsi="Times New Roman" w:cs="Times New Roman"/>
          <w:lang w:val="en-US"/>
        </w:rPr>
        <w:t>5U54EB020403-05</w:t>
      </w:r>
      <w:r w:rsidRPr="005B3F3B">
        <w:rPr>
          <w:rFonts w:ascii="Times New Roman" w:hAnsi="Times New Roman" w:cs="Times New Roman"/>
          <w:lang w:val="en-US"/>
        </w:rPr>
        <w:t>)</w:t>
      </w:r>
      <w:r w:rsidR="00840C06" w:rsidRPr="005B3F3B">
        <w:rPr>
          <w:rFonts w:ascii="Times New Roman" w:hAnsi="Times New Roman" w:cs="Times New Roman"/>
          <w:lang w:val="en-US"/>
        </w:rPr>
        <w:t xml:space="preserve"> and </w:t>
      </w:r>
      <w:r w:rsidRPr="005B3F3B">
        <w:rPr>
          <w:rFonts w:ascii="Times New Roman" w:hAnsi="Times New Roman" w:cs="Times New Roman"/>
          <w:lang w:val="en-US"/>
        </w:rPr>
        <w:t xml:space="preserve">by NIH grant </w:t>
      </w:r>
      <w:r w:rsidR="00840C06" w:rsidRPr="005B3F3B">
        <w:rPr>
          <w:rFonts w:ascii="Times New Roman" w:hAnsi="Times New Roman" w:cs="Times New Roman"/>
          <w:lang w:val="en-US"/>
        </w:rPr>
        <w:t>1R56AG058854-01</w:t>
      </w:r>
      <w:r w:rsidRPr="005B3F3B">
        <w:rPr>
          <w:rFonts w:ascii="Times New Roman" w:hAnsi="Times New Roman" w:cs="Times New Roman"/>
          <w:lang w:val="en-US"/>
        </w:rPr>
        <w:t xml:space="preserve"> to the ENIGMA World Aging Centre</w:t>
      </w:r>
      <w:r w:rsidR="00840C06" w:rsidRPr="005B3F3B">
        <w:rPr>
          <w:rFonts w:ascii="Times New Roman" w:hAnsi="Times New Roman" w:cs="Times New Roman"/>
          <w:lang w:val="en-US"/>
        </w:rPr>
        <w:t xml:space="preserve">. </w:t>
      </w:r>
    </w:p>
    <w:p w14:paraId="701088E4" w14:textId="4267F6D9" w:rsidR="008E1D99"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ADNI</w:t>
      </w:r>
      <w:r w:rsidRPr="005B3F3B">
        <w:rPr>
          <w:rFonts w:ascii="Times New Roman" w:eastAsia="Times New Roman" w:hAnsi="Times New Roman" w:cs="Times New Roman"/>
        </w:rPr>
        <w:t xml:space="preserve">: Data collection and sharing for this project was funded by the Alzheimer's Disease Neuroimaging Initiative (ADNI) (National Institutes of Health Grant U01 AG024904) and DOD ADNI (Department of </w:t>
      </w:r>
      <w:proofErr w:type="spellStart"/>
      <w:r w:rsidRPr="005B3F3B">
        <w:rPr>
          <w:rFonts w:ascii="Times New Roman" w:eastAsia="Times New Roman" w:hAnsi="Times New Roman" w:cs="Times New Roman"/>
        </w:rPr>
        <w:t>Defense</w:t>
      </w:r>
      <w:proofErr w:type="spellEnd"/>
      <w:r w:rsidRPr="005B3F3B">
        <w:rPr>
          <w:rFonts w:ascii="Times New Roman" w:eastAsia="Times New Roman" w:hAnsi="Times New Roman" w:cs="Times New Roman"/>
        </w:rPr>
        <w:t xml:space="preserve"> award number W81XWH-12-2-0012). ADNI is funded by the National Institute on Aging, the National Institute of Biomedical Imaging and Bioengineering, and through generous contributions from the following: AbbVie, Alzheimer's Association; Alzheimer's Drug Discovery Foundation; </w:t>
      </w:r>
      <w:proofErr w:type="spellStart"/>
      <w:r w:rsidRPr="005B3F3B">
        <w:rPr>
          <w:rFonts w:ascii="Times New Roman" w:eastAsia="Times New Roman" w:hAnsi="Times New Roman" w:cs="Times New Roman"/>
        </w:rPr>
        <w:t>Araclon</w:t>
      </w:r>
      <w:proofErr w:type="spellEnd"/>
      <w:r w:rsidRPr="005B3F3B">
        <w:rPr>
          <w:rFonts w:ascii="Times New Roman" w:eastAsia="Times New Roman" w:hAnsi="Times New Roman" w:cs="Times New Roman"/>
        </w:rPr>
        <w:t xml:space="preserve"> Biotech; </w:t>
      </w:r>
      <w:proofErr w:type="spellStart"/>
      <w:r w:rsidRPr="005B3F3B">
        <w:rPr>
          <w:rFonts w:ascii="Times New Roman" w:eastAsia="Times New Roman" w:hAnsi="Times New Roman" w:cs="Times New Roman"/>
        </w:rPr>
        <w:t>BioClinica</w:t>
      </w:r>
      <w:proofErr w:type="spellEnd"/>
      <w:r w:rsidRPr="005B3F3B">
        <w:rPr>
          <w:rFonts w:ascii="Times New Roman" w:eastAsia="Times New Roman" w:hAnsi="Times New Roman" w:cs="Times New Roman"/>
        </w:rPr>
        <w:t xml:space="preserve">, Inc.; Biogen; Bristol-Myers Squibb Company; </w:t>
      </w:r>
      <w:proofErr w:type="spellStart"/>
      <w:r w:rsidRPr="005B3F3B">
        <w:rPr>
          <w:rFonts w:ascii="Times New Roman" w:eastAsia="Times New Roman" w:hAnsi="Times New Roman" w:cs="Times New Roman"/>
        </w:rPr>
        <w:t>CereSpir</w:t>
      </w:r>
      <w:proofErr w:type="spellEnd"/>
      <w:r w:rsidRPr="005B3F3B">
        <w:rPr>
          <w:rFonts w:ascii="Times New Roman" w:eastAsia="Times New Roman" w:hAnsi="Times New Roman" w:cs="Times New Roman"/>
        </w:rPr>
        <w:t xml:space="preserve">, Inc.; </w:t>
      </w:r>
      <w:proofErr w:type="spellStart"/>
      <w:r w:rsidRPr="005B3F3B">
        <w:rPr>
          <w:rFonts w:ascii="Times New Roman" w:eastAsia="Times New Roman" w:hAnsi="Times New Roman" w:cs="Times New Roman"/>
        </w:rPr>
        <w:t>Cogstate</w:t>
      </w:r>
      <w:proofErr w:type="spellEnd"/>
      <w:r w:rsidRPr="005B3F3B">
        <w:rPr>
          <w:rFonts w:ascii="Times New Roman" w:eastAsia="Times New Roman" w:hAnsi="Times New Roman" w:cs="Times New Roman"/>
        </w:rPr>
        <w:t xml:space="preserve">; Eisai Inc.; Elan Pharmaceuticals, Inc.; Eli Lilly and Company; </w:t>
      </w:r>
      <w:proofErr w:type="spellStart"/>
      <w:r w:rsidRPr="005B3F3B">
        <w:rPr>
          <w:rFonts w:ascii="Times New Roman" w:eastAsia="Times New Roman" w:hAnsi="Times New Roman" w:cs="Times New Roman"/>
        </w:rPr>
        <w:t>EuroImmun</w:t>
      </w:r>
      <w:proofErr w:type="spellEnd"/>
      <w:r w:rsidRPr="005B3F3B">
        <w:rPr>
          <w:rFonts w:ascii="Times New Roman" w:eastAsia="Times New Roman" w:hAnsi="Times New Roman" w:cs="Times New Roman"/>
        </w:rPr>
        <w:t xml:space="preserve">; F. Hoffmann-La Roche Ltd and its affiliated company Genentech, Inc.; Fujirebio; GE Healthcare; IXICO </w:t>
      </w:r>
      <w:proofErr w:type="spellStart"/>
      <w:r w:rsidRPr="005B3F3B">
        <w:rPr>
          <w:rFonts w:ascii="Times New Roman" w:eastAsia="Times New Roman" w:hAnsi="Times New Roman" w:cs="Times New Roman"/>
        </w:rPr>
        <w:t>Ltd.;Janssen</w:t>
      </w:r>
      <w:proofErr w:type="spellEnd"/>
      <w:r w:rsidRPr="005B3F3B">
        <w:rPr>
          <w:rFonts w:ascii="Times New Roman" w:eastAsia="Times New Roman" w:hAnsi="Times New Roman" w:cs="Times New Roman"/>
        </w:rPr>
        <w:t xml:space="preserve"> Alzheimer Immunotherapy Research &amp; Development, LLC.; Johnson &amp; Johnson Pharmaceutical Research &amp; Development LLC.; Lumosity; Lundbeck; Merck &amp; Co., Inc.;</w:t>
      </w:r>
      <w:proofErr w:type="spellStart"/>
      <w:r w:rsidRPr="005B3F3B">
        <w:rPr>
          <w:rFonts w:ascii="Times New Roman" w:eastAsia="Times New Roman" w:hAnsi="Times New Roman" w:cs="Times New Roman"/>
        </w:rPr>
        <w:t>Meso</w:t>
      </w:r>
      <w:proofErr w:type="spellEnd"/>
      <w:r w:rsidRPr="005B3F3B">
        <w:rPr>
          <w:rFonts w:ascii="Times New Roman" w:eastAsia="Times New Roman" w:hAnsi="Times New Roman" w:cs="Times New Roman"/>
        </w:rPr>
        <w:t xml:space="preserve"> Scale Diagnostics, LLC.; </w:t>
      </w:r>
      <w:proofErr w:type="spellStart"/>
      <w:r w:rsidRPr="005B3F3B">
        <w:rPr>
          <w:rFonts w:ascii="Times New Roman" w:eastAsia="Times New Roman" w:hAnsi="Times New Roman" w:cs="Times New Roman"/>
        </w:rPr>
        <w:t>NeuroRx</w:t>
      </w:r>
      <w:proofErr w:type="spellEnd"/>
      <w:r w:rsidRPr="005B3F3B">
        <w:rPr>
          <w:rFonts w:ascii="Times New Roman" w:eastAsia="Times New Roman" w:hAnsi="Times New Roman" w:cs="Times New Roman"/>
        </w:rPr>
        <w:t xml:space="preserve"> Research; </w:t>
      </w:r>
      <w:proofErr w:type="spellStart"/>
      <w:r w:rsidRPr="005B3F3B">
        <w:rPr>
          <w:rFonts w:ascii="Times New Roman" w:eastAsia="Times New Roman" w:hAnsi="Times New Roman" w:cs="Times New Roman"/>
        </w:rPr>
        <w:t>Neurotrack</w:t>
      </w:r>
      <w:proofErr w:type="spellEnd"/>
      <w:r w:rsidRPr="005B3F3B">
        <w:rPr>
          <w:rFonts w:ascii="Times New Roman" w:eastAsia="Times New Roman" w:hAnsi="Times New Roman" w:cs="Times New Roman"/>
        </w:rPr>
        <w:t xml:space="preserve"> Technologies; Novartis Pharmaceuticals Corporation; Pfizer Inc.; Piramal Imaging; Servier; Takeda Pharmaceutical Company; and Transition Therapeutics. The Canadian Institutes of Health Research is providing funds to support ADNI clinical sites in Canada. Private sector contributions are facilitated by the Foundation for the National Institutes of Health (www.fnih.org).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 This work was supported by P30 AG010133, P30 AG072976, R01 AG075959, R01 AG082348, R01 AG081951, R01 AG057739, R01 AG070883, U01 AG024904, R01 LM013463, T32 AG071444, U24 AG074855, U01 AG068057, U01 AG072177, U01 AG24904, and U19 AG074879, R01 AG019771, U19 AG024904, R01 AG068193, R01 AG081951, R01 LM012535, U01 AG072177, and U19 AG074879.</w:t>
      </w:r>
    </w:p>
    <w:p w14:paraId="1762EAB5" w14:textId="68EC8DEE" w:rsidR="00E5444D" w:rsidRPr="005B3F3B" w:rsidRDefault="00E5444D"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ALSPAC</w:t>
      </w:r>
      <w:r w:rsidRPr="005B3F3B">
        <w:rPr>
          <w:rFonts w:ascii="Times New Roman" w:eastAsia="Times New Roman" w:hAnsi="Times New Roman" w:cs="Times New Roman"/>
          <w:i/>
          <w:iCs/>
        </w:rPr>
        <w:t>:</w:t>
      </w:r>
      <w:r w:rsidRPr="005B3F3B">
        <w:rPr>
          <w:rFonts w:ascii="Times New Roman" w:eastAsia="Times New Roman" w:hAnsi="Times New Roman" w:cs="Times New Roman"/>
        </w:rPr>
        <w:t xml:space="preserve"> The UK Medical Research Council and </w:t>
      </w:r>
      <w:proofErr w:type="spellStart"/>
      <w:r w:rsidRPr="005B3F3B">
        <w:rPr>
          <w:rFonts w:ascii="Times New Roman" w:eastAsia="Times New Roman" w:hAnsi="Times New Roman" w:cs="Times New Roman"/>
        </w:rPr>
        <w:t>Wellcome</w:t>
      </w:r>
      <w:proofErr w:type="spellEnd"/>
      <w:r w:rsidRPr="005B3F3B">
        <w:rPr>
          <w:rFonts w:ascii="Times New Roman" w:eastAsia="Times New Roman" w:hAnsi="Times New Roman" w:cs="Times New Roman"/>
        </w:rPr>
        <w:t xml:space="preserve"> (Grant ref: MR/Z505924/1) and the University of Bristol provide core support for ALSPAC. This publication is the work of the </w:t>
      </w:r>
      <w:proofErr w:type="gramStart"/>
      <w:r w:rsidRPr="005B3F3B">
        <w:rPr>
          <w:rFonts w:ascii="Times New Roman" w:eastAsia="Times New Roman" w:hAnsi="Times New Roman" w:cs="Times New Roman"/>
        </w:rPr>
        <w:t>authors</w:t>
      </w:r>
      <w:proofErr w:type="gramEnd"/>
      <w:r w:rsidRPr="005B3F3B">
        <w:rPr>
          <w:rFonts w:ascii="Times New Roman" w:eastAsia="Times New Roman" w:hAnsi="Times New Roman" w:cs="Times New Roman"/>
        </w:rPr>
        <w:t xml:space="preserve"> and they will serve as guarantors for the contents of this paper.</w:t>
      </w:r>
    </w:p>
    <w:p w14:paraId="7598B2FA" w14:textId="617A22A0" w:rsidR="008E1D99" w:rsidRPr="005B3F3B" w:rsidRDefault="00E5310E"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lastRenderedPageBreak/>
        <w:t>BIP-SYD</w:t>
      </w:r>
      <w:r w:rsidRPr="005B3F3B">
        <w:rPr>
          <w:rFonts w:ascii="Times New Roman" w:eastAsia="Times New Roman" w:hAnsi="Times New Roman" w:cs="Times New Roman"/>
        </w:rPr>
        <w:t xml:space="preserve">: This work was supported by the Australian National Medical and Health Research Council (NHMRC) </w:t>
      </w:r>
      <w:r w:rsidR="005764EF" w:rsidRPr="005B3F3B">
        <w:rPr>
          <w:rFonts w:ascii="Times New Roman" w:eastAsia="Times New Roman" w:hAnsi="Times New Roman" w:cs="Times New Roman"/>
        </w:rPr>
        <w:t>P</w:t>
      </w:r>
      <w:r w:rsidRPr="005B3F3B">
        <w:rPr>
          <w:rFonts w:ascii="Times New Roman" w:eastAsia="Times New Roman" w:hAnsi="Times New Roman" w:cs="Times New Roman"/>
        </w:rPr>
        <w:t xml:space="preserve">rogramme grant 1037196 to P.B.M.; NHMRC </w:t>
      </w:r>
      <w:r w:rsidR="002369BE" w:rsidRPr="005B3F3B">
        <w:rPr>
          <w:rFonts w:ascii="Times New Roman" w:eastAsia="Times New Roman" w:hAnsi="Times New Roman" w:cs="Times New Roman"/>
        </w:rPr>
        <w:t>P</w:t>
      </w:r>
      <w:r w:rsidRPr="005B3F3B">
        <w:rPr>
          <w:rFonts w:ascii="Times New Roman" w:eastAsia="Times New Roman" w:hAnsi="Times New Roman" w:cs="Times New Roman"/>
        </w:rPr>
        <w:t>roject grants 1066177 and 1063960 to J.M.F.; NHMRC Investigator grants 1176716 to P.R.S. and 1177991 to P.B.M.; NHMRC and Medical Research Futures Fund grant 1200428</w:t>
      </w:r>
      <w:r w:rsidR="009C6FA1" w:rsidRPr="005B3F3B">
        <w:rPr>
          <w:rFonts w:ascii="Times New Roman" w:eastAsia="Times New Roman" w:hAnsi="Times New Roman" w:cs="Times New Roman"/>
        </w:rPr>
        <w:t xml:space="preserve"> to J.M.F</w:t>
      </w:r>
      <w:r w:rsidRPr="005B3F3B">
        <w:rPr>
          <w:rFonts w:ascii="Times New Roman" w:eastAsia="Times New Roman" w:hAnsi="Times New Roman" w:cs="Times New Roman"/>
        </w:rPr>
        <w:t xml:space="preserve">. Additional philanthropic support was gratefully received from Mrs Betty C. Lynch OAM (deceased), Janette Mary O’Neil, the Lansdowne Foundation, </w:t>
      </w:r>
      <w:proofErr w:type="spellStart"/>
      <w:r w:rsidRPr="005B3F3B">
        <w:rPr>
          <w:rFonts w:ascii="Times New Roman" w:eastAsia="Times New Roman" w:hAnsi="Times New Roman" w:cs="Times New Roman"/>
        </w:rPr>
        <w:t>GoodTalk</w:t>
      </w:r>
      <w:proofErr w:type="spellEnd"/>
      <w:r w:rsidRPr="005B3F3B">
        <w:rPr>
          <w:rFonts w:ascii="Times New Roman" w:eastAsia="Times New Roman" w:hAnsi="Times New Roman" w:cs="Times New Roman"/>
        </w:rPr>
        <w:t xml:space="preserve"> charity, the Gordon Pettigrew Family, the </w:t>
      </w:r>
      <w:proofErr w:type="spellStart"/>
      <w:r w:rsidRPr="005B3F3B">
        <w:rPr>
          <w:rFonts w:ascii="Times New Roman" w:eastAsia="Times New Roman" w:hAnsi="Times New Roman" w:cs="Times New Roman"/>
        </w:rPr>
        <w:t>McQuiggin</w:t>
      </w:r>
      <w:proofErr w:type="spellEnd"/>
      <w:r w:rsidRPr="005B3F3B">
        <w:rPr>
          <w:rFonts w:ascii="Times New Roman" w:eastAsia="Times New Roman" w:hAnsi="Times New Roman" w:cs="Times New Roman"/>
        </w:rPr>
        <w:t xml:space="preserve"> Family, and The Aberdeen Fund directors</w:t>
      </w:r>
      <w:r w:rsidR="008E1D99" w:rsidRPr="005B3F3B">
        <w:rPr>
          <w:rFonts w:ascii="Times New Roman" w:eastAsia="Times New Roman" w:hAnsi="Times New Roman" w:cs="Times New Roman"/>
        </w:rPr>
        <w:t>.</w:t>
      </w:r>
    </w:p>
    <w:p w14:paraId="1B85788B" w14:textId="54D05A42" w:rsidR="00E9454D" w:rsidRPr="005B3F3B" w:rsidRDefault="00E9454D"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CTAAC</w:t>
      </w:r>
      <w:r w:rsidRPr="005B3F3B">
        <w:rPr>
          <w:rFonts w:ascii="Times New Roman" w:eastAsia="Times New Roman" w:hAnsi="Times New Roman" w:cs="Times New Roman"/>
        </w:rPr>
        <w:t xml:space="preserve">: The Cape Town Adolescent </w:t>
      </w:r>
      <w:proofErr w:type="spellStart"/>
      <w:r w:rsidRPr="005B3F3B">
        <w:rPr>
          <w:rFonts w:ascii="Times New Roman" w:eastAsia="Times New Roman" w:hAnsi="Times New Roman" w:cs="Times New Roman"/>
        </w:rPr>
        <w:t>Antiretroval</w:t>
      </w:r>
      <w:proofErr w:type="spellEnd"/>
      <w:r w:rsidRPr="005B3F3B">
        <w:rPr>
          <w:rFonts w:ascii="Times New Roman" w:eastAsia="Times New Roman" w:hAnsi="Times New Roman" w:cs="Times New Roman"/>
        </w:rPr>
        <w:t xml:space="preserve"> Cohort was supported by the Eunice Kennedy Shriver National Institute of Child Health and Human Development (R01HD074051) and the South African Medical Research Council (Zar; Stein). Additional support was provided by the National Institute of Environmental Health Sciences (2T32ES012870; </w:t>
      </w:r>
      <w:r w:rsidR="007355FB" w:rsidRPr="005B3F3B">
        <w:rPr>
          <w:rFonts w:ascii="Times New Roman" w:eastAsia="Times New Roman" w:hAnsi="Times New Roman" w:cs="Times New Roman"/>
        </w:rPr>
        <w:t xml:space="preserve">1F31ES037540 </w:t>
      </w:r>
      <w:proofErr w:type="spellStart"/>
      <w:r w:rsidRPr="005B3F3B">
        <w:rPr>
          <w:rFonts w:ascii="Times New Roman" w:eastAsia="Times New Roman" w:hAnsi="Times New Roman" w:cs="Times New Roman"/>
        </w:rPr>
        <w:t>Abrishamcar</w:t>
      </w:r>
      <w:proofErr w:type="spellEnd"/>
      <w:r w:rsidRPr="005B3F3B">
        <w:rPr>
          <w:rFonts w:ascii="Times New Roman" w:eastAsia="Times New Roman" w:hAnsi="Times New Roman" w:cs="Times New Roman"/>
        </w:rPr>
        <w:t>)</w:t>
      </w:r>
      <w:r w:rsidR="00CA7744" w:rsidRPr="005B3F3B">
        <w:rPr>
          <w:rFonts w:ascii="Times New Roman" w:eastAsia="Times New Roman" w:hAnsi="Times New Roman" w:cs="Times New Roman"/>
        </w:rPr>
        <w:t xml:space="preserve">. Exploration of the Epigenetic and Psychosocial Drivers of </w:t>
      </w:r>
      <w:proofErr w:type="spellStart"/>
      <w:r w:rsidR="00CA7744" w:rsidRPr="005B3F3B">
        <w:rPr>
          <w:rFonts w:ascii="Times New Roman" w:eastAsia="Times New Roman" w:hAnsi="Times New Roman" w:cs="Times New Roman"/>
        </w:rPr>
        <w:t>NeuroHIV</w:t>
      </w:r>
      <w:proofErr w:type="spellEnd"/>
      <w:r w:rsidR="00CA7744" w:rsidRPr="005B3F3B">
        <w:rPr>
          <w:rFonts w:ascii="Times New Roman" w:eastAsia="Times New Roman" w:hAnsi="Times New Roman" w:cs="Times New Roman"/>
        </w:rPr>
        <w:t xml:space="preserve"> in HIV+ South African Adolescents in CTAAC was funded by NIH R21:  R21 MH107327-01A1</w:t>
      </w:r>
      <w:r w:rsidR="005764EF" w:rsidRPr="005B3F3B">
        <w:rPr>
          <w:rFonts w:ascii="Times New Roman" w:eastAsia="Times New Roman" w:hAnsi="Times New Roman" w:cs="Times New Roman"/>
        </w:rPr>
        <w:t xml:space="preserve"> (</w:t>
      </w:r>
      <w:r w:rsidR="00CA7744" w:rsidRPr="005B3F3B">
        <w:rPr>
          <w:rFonts w:ascii="Times New Roman" w:eastAsia="Times New Roman" w:hAnsi="Times New Roman" w:cs="Times New Roman"/>
        </w:rPr>
        <w:t>Hoare)</w:t>
      </w:r>
      <w:r w:rsidRPr="005B3F3B">
        <w:rPr>
          <w:rFonts w:ascii="Times New Roman" w:eastAsia="Times New Roman" w:hAnsi="Times New Roman" w:cs="Times New Roman"/>
        </w:rPr>
        <w:t>.</w:t>
      </w:r>
    </w:p>
    <w:p w14:paraId="5B45D456" w14:textId="178F42CA" w:rsidR="00E5310E" w:rsidRPr="005B3F3B" w:rsidRDefault="00E9454D"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Dunedin study (DBIS)</w:t>
      </w:r>
      <w:r w:rsidRPr="005B3F3B">
        <w:rPr>
          <w:rFonts w:ascii="Times New Roman" w:eastAsia="Times New Roman" w:hAnsi="Times New Roman" w:cs="Times New Roman"/>
        </w:rPr>
        <w:t xml:space="preserve">: This research received support from the National Institute on Aging (grant no. R01AG049789 to A.R.H. and T.E.M.; grant no. R01AG032282 to A.C. and T.E.M.; grant no. R01AG073207 to A.C. and T.E.M.) and the UK Medical Research Council (grant no. MR/X021149/1 to A.C. and T.E.M.).  The Dunedin Multidisciplinary Health and Development Research Unit is supported by the New Zealand Health Research Council (program grant no. 16-604) and the New Zealand Ministry of Business, Innovation and Employment.  We thank the Dunedin Study members, Unit research staff, and Study founder P. A. Silva.  The Dunedin Unit is located within the </w:t>
      </w:r>
      <w:proofErr w:type="spellStart"/>
      <w:r w:rsidRPr="005B3F3B">
        <w:rPr>
          <w:rFonts w:ascii="Times New Roman" w:eastAsia="Times New Roman" w:hAnsi="Times New Roman" w:cs="Times New Roman"/>
        </w:rPr>
        <w:t>Ngāi</w:t>
      </w:r>
      <w:proofErr w:type="spellEnd"/>
      <w:r w:rsidRPr="005B3F3B">
        <w:rPr>
          <w:rFonts w:ascii="Times New Roman" w:eastAsia="Times New Roman" w:hAnsi="Times New Roman" w:cs="Times New Roman"/>
        </w:rPr>
        <w:t xml:space="preserve"> Tahu tribal area who we acknowledge as first peoples, </w:t>
      </w:r>
      <w:proofErr w:type="spellStart"/>
      <w:r w:rsidRPr="005B3F3B">
        <w:rPr>
          <w:rFonts w:ascii="Times New Roman" w:eastAsia="Times New Roman" w:hAnsi="Times New Roman" w:cs="Times New Roman"/>
        </w:rPr>
        <w:t>tangata</w:t>
      </w:r>
      <w:proofErr w:type="spellEnd"/>
      <w:r w:rsidRPr="005B3F3B">
        <w:rPr>
          <w:rFonts w:ascii="Times New Roman" w:eastAsia="Times New Roman" w:hAnsi="Times New Roman" w:cs="Times New Roman"/>
        </w:rPr>
        <w:t xml:space="preserve"> whenua (people of this land).</w:t>
      </w:r>
    </w:p>
    <w:p w14:paraId="123CA132" w14:textId="498581DE" w:rsidR="00E9454D" w:rsidRPr="005B3F3B" w:rsidRDefault="00C94494" w:rsidP="005B3F3B">
      <w:pPr>
        <w:spacing w:before="240" w:line="360" w:lineRule="auto"/>
        <w:ind w:left="0"/>
        <w:jc w:val="both"/>
        <w:rPr>
          <w:rFonts w:ascii="Times New Roman" w:hAnsi="Times New Roman" w:cs="Times New Roman"/>
          <w:lang w:val="en-US"/>
        </w:rPr>
      </w:pPr>
      <w:r w:rsidRPr="005B3F3B">
        <w:rPr>
          <w:rFonts w:ascii="Times New Roman" w:eastAsia="Times New Roman" w:hAnsi="Times New Roman" w:cs="Times New Roman"/>
          <w:i/>
          <w:u w:val="single"/>
        </w:rPr>
        <w:t>ESTR</w:t>
      </w:r>
      <w:r w:rsidR="00693B0E" w:rsidRPr="005B3F3B">
        <w:rPr>
          <w:rFonts w:ascii="Times New Roman" w:eastAsia="Times New Roman" w:hAnsi="Times New Roman" w:cs="Times New Roman"/>
          <w:i/>
          <w:u w:val="single"/>
        </w:rPr>
        <w:t>A</w:t>
      </w:r>
      <w:r w:rsidR="00693B0E" w:rsidRPr="005B3F3B">
        <w:rPr>
          <w:rFonts w:ascii="Times New Roman" w:eastAsia="Times New Roman" w:hAnsi="Times New Roman" w:cs="Times New Roman"/>
          <w:i/>
        </w:rPr>
        <w:t xml:space="preserve">: </w:t>
      </w:r>
      <w:r w:rsidR="00AD3090" w:rsidRPr="005B3F3B">
        <w:rPr>
          <w:rFonts w:ascii="Times New Roman" w:eastAsia="Times New Roman" w:hAnsi="Times New Roman" w:cs="Times New Roman"/>
        </w:rPr>
        <w:t>T</w:t>
      </w:r>
      <w:r w:rsidR="00693B0E" w:rsidRPr="005B3F3B">
        <w:rPr>
          <w:rFonts w:ascii="Times New Roman" w:eastAsia="Times New Roman" w:hAnsi="Times New Roman" w:cs="Times New Roman"/>
        </w:rPr>
        <w:t xml:space="preserve">he Medical Research Council and Medical Research Foundation (grants MR/R00465X/1 and MRF-058-0004-RG-DESRI: ‘ESTRA: Neurobiological underpinning of eating disorders: integrative biopsychosocial longitudinal analyses in adolescents’; MR/S020306/1 and MRF-058-0009-RG-DESR-C0759: ‘Establishing causal relationships between biopsychosocial predictors and correlates of eating disorders and their mediation by neural pathways’). </w:t>
      </w:r>
      <w:r w:rsidR="00693B0E" w:rsidRPr="005B3F3B">
        <w:rPr>
          <w:rFonts w:ascii="Times New Roman" w:hAnsi="Times New Roman" w:cs="Times New Roman"/>
          <w:lang w:val="en-US"/>
        </w:rPr>
        <w:t>This paper represents independent research, partly funded by the National Institute for Health and Care Research (NIHR) Maudsley Biomedical Research Centre (BRC). The views expressed are those of the author(s) and not necessarily those of the NIHR or the Department of Health and Social Care.</w:t>
      </w:r>
    </w:p>
    <w:p w14:paraId="1CD47BD6" w14:textId="1055FD00" w:rsidR="00982385" w:rsidRPr="005B3F3B" w:rsidRDefault="00E9454D"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lastRenderedPageBreak/>
        <w:t>FOR2107</w:t>
      </w:r>
      <w:r w:rsidRPr="005B3F3B">
        <w:rPr>
          <w:rFonts w:ascii="Times New Roman" w:eastAsia="Times New Roman" w:hAnsi="Times New Roman" w:cs="Times New Roman"/>
        </w:rPr>
        <w:t xml:space="preserve">: </w:t>
      </w:r>
      <w:r w:rsidR="00982385" w:rsidRPr="005B3F3B">
        <w:rPr>
          <w:rFonts w:ascii="Times New Roman" w:eastAsia="Times New Roman" w:hAnsi="Times New Roman" w:cs="Times New Roman"/>
        </w:rPr>
        <w:t>This study received support from the DFG Collaborative Research Centre/</w:t>
      </w:r>
      <w:proofErr w:type="spellStart"/>
      <w:r w:rsidR="00982385" w:rsidRPr="005B3F3B">
        <w:rPr>
          <w:rFonts w:ascii="Times New Roman" w:eastAsia="Times New Roman" w:hAnsi="Times New Roman" w:cs="Times New Roman"/>
        </w:rPr>
        <w:t>Transregio</w:t>
      </w:r>
      <w:proofErr w:type="spellEnd"/>
      <w:r w:rsidR="00982385" w:rsidRPr="005B3F3B">
        <w:rPr>
          <w:rFonts w:ascii="Times New Roman" w:eastAsia="Times New Roman" w:hAnsi="Times New Roman" w:cs="Times New Roman"/>
        </w:rPr>
        <w:t xml:space="preserve"> 393 (CRC/TRR 393, project number 521379614), with contributions to Tilo Kircher, Udo Dannlowski, Igor Nenadić, Nina Alexander, Tim Hahn, Susanne Meinert, Andreas Forstner, and Frederike Stein. Further support was provided by the DFG-funded research unit FOR2107 (project number 240413749), with funding allocated to Tilo Kircher (KI588/14-1, KI588/14-2, KI588/20-1, KI588/22-1), Udo Dannlowski (DA1151/5-1, DA1151/5-2, DA1151/9-1, DA1151/10-1, DA1151/11-1), and Igor Nenadić (NE2254/1-2, NE2254/2-1, NE2254/3-1, NE2254/4-1).</w:t>
      </w:r>
      <w:r w:rsidR="009600A2" w:rsidRPr="005B3F3B">
        <w:rPr>
          <w:rFonts w:ascii="Times New Roman" w:eastAsia="Times New Roman" w:hAnsi="Times New Roman" w:cs="Times New Roman"/>
        </w:rPr>
        <w:t xml:space="preserve"> </w:t>
      </w:r>
      <w:r w:rsidR="007443D7" w:rsidRPr="005B3F3B">
        <w:rPr>
          <w:rFonts w:ascii="Times New Roman" w:eastAsia="Times New Roman" w:hAnsi="Times New Roman" w:cs="Times New Roman"/>
        </w:rPr>
        <w:t xml:space="preserve">Tilo Kircher receives further funds from the Germany’s Excellence Strategy (EXC 3066/1 “The Adaptive Mind”, Project No. 533717223), the DYNAMIC </w:t>
      </w:r>
      <w:proofErr w:type="spellStart"/>
      <w:r w:rsidR="007443D7" w:rsidRPr="005B3F3B">
        <w:rPr>
          <w:rFonts w:ascii="Times New Roman" w:eastAsia="Times New Roman" w:hAnsi="Times New Roman" w:cs="Times New Roman"/>
        </w:rPr>
        <w:t>center</w:t>
      </w:r>
      <w:proofErr w:type="spellEnd"/>
      <w:r w:rsidR="007443D7" w:rsidRPr="005B3F3B">
        <w:rPr>
          <w:rFonts w:ascii="Times New Roman" w:eastAsia="Times New Roman" w:hAnsi="Times New Roman" w:cs="Times New Roman"/>
        </w:rPr>
        <w:t xml:space="preserve">, funded by the LOEWE program of the Hessian Ministry of Science and Arts (grant number: LOEWE1/16/519/03/09.001(0009)/98) as well as the </w:t>
      </w:r>
      <w:proofErr w:type="spellStart"/>
      <w:r w:rsidR="007443D7" w:rsidRPr="005B3F3B">
        <w:rPr>
          <w:rFonts w:ascii="Times New Roman" w:eastAsia="Times New Roman" w:hAnsi="Times New Roman" w:cs="Times New Roman"/>
        </w:rPr>
        <w:t>Wellcome</w:t>
      </w:r>
      <w:proofErr w:type="spellEnd"/>
      <w:r w:rsidR="007443D7" w:rsidRPr="005B3F3B">
        <w:rPr>
          <w:rFonts w:ascii="Times New Roman" w:eastAsia="Times New Roman" w:hAnsi="Times New Roman" w:cs="Times New Roman"/>
        </w:rPr>
        <w:t xml:space="preserve"> Trust funded DIALOG consortium (Understanding Disorganisation: A Language-Focused Global Initiative in Psychosis; PI: Tilo Kircher; Grant Number 314138/Z/24/Z).</w:t>
      </w:r>
      <w:r w:rsidR="00B2735A" w:rsidRPr="005B3F3B">
        <w:rPr>
          <w:rFonts w:ascii="Times New Roman" w:eastAsia="Times New Roman" w:hAnsi="Times New Roman" w:cs="Times New Roman"/>
        </w:rPr>
        <w:t xml:space="preserve"> </w:t>
      </w:r>
      <w:r w:rsidR="007443D7" w:rsidRPr="005B3F3B">
        <w:rPr>
          <w:rFonts w:ascii="Times New Roman" w:eastAsia="Times New Roman" w:hAnsi="Times New Roman" w:cs="Times New Roman"/>
        </w:rPr>
        <w:t>Frederike Stein is funded by the DFG through grant STE3301/1-1 (project number 527712970) and by the Von Behring-</w:t>
      </w:r>
      <w:proofErr w:type="spellStart"/>
      <w:r w:rsidR="007443D7" w:rsidRPr="005B3F3B">
        <w:rPr>
          <w:rFonts w:ascii="Times New Roman" w:eastAsia="Times New Roman" w:hAnsi="Times New Roman" w:cs="Times New Roman"/>
        </w:rPr>
        <w:t>Röntgen</w:t>
      </w:r>
      <w:proofErr w:type="spellEnd"/>
      <w:r w:rsidR="007443D7" w:rsidRPr="005B3F3B">
        <w:rPr>
          <w:rFonts w:ascii="Times New Roman" w:eastAsia="Times New Roman" w:hAnsi="Times New Roman" w:cs="Times New Roman"/>
        </w:rPr>
        <w:t xml:space="preserve"> Society (project number 72_0013). Udo Dannlowski received funding from the Interdisciplinary </w:t>
      </w:r>
      <w:proofErr w:type="spellStart"/>
      <w:r w:rsidR="007443D7" w:rsidRPr="005B3F3B">
        <w:rPr>
          <w:rFonts w:ascii="Times New Roman" w:eastAsia="Times New Roman" w:hAnsi="Times New Roman" w:cs="Times New Roman"/>
        </w:rPr>
        <w:t>Center</w:t>
      </w:r>
      <w:proofErr w:type="spellEnd"/>
      <w:r w:rsidR="007443D7" w:rsidRPr="005B3F3B">
        <w:rPr>
          <w:rFonts w:ascii="Times New Roman" w:eastAsia="Times New Roman" w:hAnsi="Times New Roman" w:cs="Times New Roman"/>
        </w:rPr>
        <w:t xml:space="preserve"> for Clinical Research (IZKF) of the Medical Faculty of Münster (grant Dan3/022/22). </w:t>
      </w:r>
      <w:proofErr w:type="spellStart"/>
      <w:r w:rsidR="007443D7" w:rsidRPr="005B3F3B">
        <w:rPr>
          <w:rFonts w:ascii="Times New Roman" w:eastAsia="Times New Roman" w:hAnsi="Times New Roman" w:cs="Times New Roman"/>
        </w:rPr>
        <w:t>Biosamples</w:t>
      </w:r>
      <w:proofErr w:type="spellEnd"/>
      <w:r w:rsidR="007443D7" w:rsidRPr="005B3F3B">
        <w:rPr>
          <w:rFonts w:ascii="Times New Roman" w:eastAsia="Times New Roman" w:hAnsi="Times New Roman" w:cs="Times New Roman"/>
        </w:rPr>
        <w:t xml:space="preserve"> and corresponding data were sampled, processed and stored in the Marburg Biobank CBBMR.</w:t>
      </w:r>
    </w:p>
    <w:p w14:paraId="50868AC3" w14:textId="404AB7A5" w:rsidR="00693B0E" w:rsidRPr="005B3F3B" w:rsidRDefault="00E9454D" w:rsidP="005B3F3B">
      <w:pPr>
        <w:spacing w:before="240" w:line="360" w:lineRule="auto"/>
        <w:ind w:left="0"/>
        <w:jc w:val="both"/>
        <w:rPr>
          <w:rFonts w:ascii="Times New Roman" w:eastAsia="Times New Roman" w:hAnsi="Times New Roman" w:cs="Times New Roman"/>
        </w:rPr>
      </w:pPr>
      <w:proofErr w:type="spellStart"/>
      <w:r w:rsidRPr="005B3F3B">
        <w:rPr>
          <w:rFonts w:ascii="Times New Roman" w:eastAsia="Times New Roman" w:hAnsi="Times New Roman" w:cs="Times New Roman"/>
          <w:i/>
          <w:u w:val="single"/>
        </w:rPr>
        <w:t>GenR</w:t>
      </w:r>
      <w:proofErr w:type="spellEnd"/>
      <w:r w:rsidRPr="005B3F3B">
        <w:rPr>
          <w:rFonts w:ascii="Times New Roman" w:eastAsia="Times New Roman" w:hAnsi="Times New Roman" w:cs="Times New Roman"/>
        </w:rPr>
        <w:t>: The work of Charlotte Cecil and Isabel Schuurmans is supported by the European Union’s Horizon</w:t>
      </w:r>
      <w:r w:rsidR="00E5444D" w:rsidRPr="005B3F3B">
        <w:rPr>
          <w:rFonts w:ascii="Times New Roman" w:eastAsia="Times New Roman" w:hAnsi="Times New Roman" w:cs="Times New Roman"/>
        </w:rPr>
        <w:t xml:space="preserve"> </w:t>
      </w:r>
      <w:r w:rsidRPr="005B3F3B">
        <w:rPr>
          <w:rFonts w:ascii="Times New Roman" w:eastAsia="Times New Roman" w:hAnsi="Times New Roman" w:cs="Times New Roman"/>
        </w:rPr>
        <w:t xml:space="preserve">Europe Research and Innovation Programme (FAMILY, grant agreement No 101057529; </w:t>
      </w:r>
      <w:proofErr w:type="spellStart"/>
      <w:r w:rsidRPr="005B3F3B">
        <w:rPr>
          <w:rFonts w:ascii="Times New Roman" w:eastAsia="Times New Roman" w:hAnsi="Times New Roman" w:cs="Times New Roman"/>
        </w:rPr>
        <w:t>HappyMums</w:t>
      </w:r>
      <w:proofErr w:type="spellEnd"/>
      <w:r w:rsidRPr="005B3F3B">
        <w:rPr>
          <w:rFonts w:ascii="Times New Roman" w:eastAsia="Times New Roman" w:hAnsi="Times New Roman" w:cs="Times New Roman"/>
        </w:rPr>
        <w:t xml:space="preserve">, grant agreement No 101057390) and the European Research Council (TEMPO; grant agreement No 101039672). This research was conducted while Charlotte Cecil was a </w:t>
      </w:r>
      <w:proofErr w:type="spellStart"/>
      <w:r w:rsidRPr="005B3F3B">
        <w:rPr>
          <w:rFonts w:ascii="Times New Roman" w:eastAsia="Times New Roman" w:hAnsi="Times New Roman" w:cs="Times New Roman"/>
        </w:rPr>
        <w:t>Hevolution</w:t>
      </w:r>
      <w:proofErr w:type="spellEnd"/>
      <w:r w:rsidRPr="005B3F3B">
        <w:rPr>
          <w:rFonts w:ascii="Times New Roman" w:eastAsia="Times New Roman" w:hAnsi="Times New Roman" w:cs="Times New Roman"/>
        </w:rPr>
        <w:t xml:space="preserve">/AFAR New Investigator Awardee in Aging Biology and </w:t>
      </w:r>
      <w:proofErr w:type="spellStart"/>
      <w:r w:rsidRPr="005B3F3B">
        <w:rPr>
          <w:rFonts w:ascii="Times New Roman" w:eastAsia="Times New Roman" w:hAnsi="Times New Roman" w:cs="Times New Roman"/>
        </w:rPr>
        <w:t>Geroscience</w:t>
      </w:r>
      <w:proofErr w:type="spellEnd"/>
      <w:r w:rsidRPr="005B3F3B">
        <w:rPr>
          <w:rFonts w:ascii="Times New Roman" w:eastAsia="Times New Roman" w:hAnsi="Times New Roman" w:cs="Times New Roman"/>
        </w:rPr>
        <w:t xml:space="preserve"> Research.</w:t>
      </w:r>
    </w:p>
    <w:p w14:paraId="73A883AC" w14:textId="5865D07A" w:rsidR="00840C06" w:rsidRPr="005B3F3B" w:rsidRDefault="00C94494"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IMAGEN</w:t>
      </w:r>
      <w:r w:rsidRPr="005B3F3B">
        <w:rPr>
          <w:rFonts w:ascii="Times New Roman" w:eastAsia="Times New Roman" w:hAnsi="Times New Roman" w:cs="Times New Roman"/>
        </w:rPr>
        <w:t>: the European Union-funded FP6 Integrated Project IMAGEN (Reinforcement-related behaviour in normal brain function and psychopathology) (LSHM-CT- 2007-037286), the Horizon 2020 funded ERC Advanced Grant ‘STRATIFY’ (Brain network based stratification of reinforcement-related disorders) (695313), Horizon Europe ‘</w:t>
      </w:r>
      <w:proofErr w:type="spellStart"/>
      <w:r w:rsidRPr="005B3F3B">
        <w:rPr>
          <w:rFonts w:ascii="Times New Roman" w:eastAsia="Times New Roman" w:hAnsi="Times New Roman" w:cs="Times New Roman"/>
        </w:rPr>
        <w:t>environMENTAL</w:t>
      </w:r>
      <w:proofErr w:type="spellEnd"/>
      <w:r w:rsidRPr="005B3F3B">
        <w:rPr>
          <w:rFonts w:ascii="Times New Roman" w:eastAsia="Times New Roman" w:hAnsi="Times New Roman" w:cs="Times New Roman"/>
        </w:rPr>
        <w:t xml:space="preserve">’, grant no: 101057429, UK Research and Innovation (UKRI) Horizon Europe funding guarantee (10041392 and 10038599), Human Brain Project (HBP SGA 2, 785907, and HBP SGA 3, 945539), the Chinese government via the Ministry of Science and Technology (MOST). The German </w:t>
      </w:r>
      <w:proofErr w:type="spellStart"/>
      <w:r w:rsidRPr="005B3F3B">
        <w:rPr>
          <w:rFonts w:ascii="Times New Roman" w:eastAsia="Times New Roman" w:hAnsi="Times New Roman" w:cs="Times New Roman"/>
        </w:rPr>
        <w:t>Center</w:t>
      </w:r>
      <w:proofErr w:type="spellEnd"/>
      <w:r w:rsidRPr="005B3F3B">
        <w:rPr>
          <w:rFonts w:ascii="Times New Roman" w:eastAsia="Times New Roman" w:hAnsi="Times New Roman" w:cs="Times New Roman"/>
        </w:rPr>
        <w:t xml:space="preserve"> for Mental Health (DZPG), the </w:t>
      </w:r>
      <w:proofErr w:type="spellStart"/>
      <w:r w:rsidRPr="005B3F3B">
        <w:rPr>
          <w:rFonts w:ascii="Times New Roman" w:eastAsia="Times New Roman" w:hAnsi="Times New Roman" w:cs="Times New Roman"/>
        </w:rPr>
        <w:t>Bundesministerium</w:t>
      </w:r>
      <w:proofErr w:type="spellEnd"/>
      <w:r w:rsidRPr="005B3F3B">
        <w:rPr>
          <w:rFonts w:ascii="Times New Roman" w:eastAsia="Times New Roman" w:hAnsi="Times New Roman" w:cs="Times New Roman"/>
        </w:rPr>
        <w:t xml:space="preserve"> </w:t>
      </w:r>
      <w:r w:rsidRPr="005B3F3B">
        <w:rPr>
          <w:rFonts w:ascii="Times New Roman" w:eastAsia="Times New Roman" w:hAnsi="Times New Roman" w:cs="Times New Roman"/>
        </w:rPr>
        <w:lastRenderedPageBreak/>
        <w:t xml:space="preserve">für </w:t>
      </w:r>
      <w:proofErr w:type="spellStart"/>
      <w:r w:rsidRPr="005B3F3B">
        <w:rPr>
          <w:rFonts w:ascii="Times New Roman" w:eastAsia="Times New Roman" w:hAnsi="Times New Roman" w:cs="Times New Roman"/>
        </w:rPr>
        <w:t>Bildung</w:t>
      </w:r>
      <w:proofErr w:type="spellEnd"/>
      <w:r w:rsidRPr="005B3F3B">
        <w:rPr>
          <w:rFonts w:ascii="Times New Roman" w:eastAsia="Times New Roman" w:hAnsi="Times New Roman" w:cs="Times New Roman"/>
        </w:rPr>
        <w:t xml:space="preserve"> und Forschung (BMBF grants 01GS08152; 01EV0711; </w:t>
      </w:r>
      <w:proofErr w:type="spellStart"/>
      <w:r w:rsidRPr="005B3F3B">
        <w:rPr>
          <w:rFonts w:ascii="Times New Roman" w:eastAsia="Times New Roman" w:hAnsi="Times New Roman" w:cs="Times New Roman"/>
        </w:rPr>
        <w:t>Forschungsnetz</w:t>
      </w:r>
      <w:proofErr w:type="spellEnd"/>
      <w:r w:rsidRPr="005B3F3B">
        <w:rPr>
          <w:rFonts w:ascii="Times New Roman" w:eastAsia="Times New Roman" w:hAnsi="Times New Roman" w:cs="Times New Roman"/>
        </w:rPr>
        <w:t xml:space="preserve"> AERIAL 01EE1406A, 01EE1406B; </w:t>
      </w:r>
      <w:proofErr w:type="spellStart"/>
      <w:r w:rsidRPr="005B3F3B">
        <w:rPr>
          <w:rFonts w:ascii="Times New Roman" w:eastAsia="Times New Roman" w:hAnsi="Times New Roman" w:cs="Times New Roman"/>
        </w:rPr>
        <w:t>Forschungsnetz</w:t>
      </w:r>
      <w:proofErr w:type="spellEnd"/>
      <w:r w:rsidRPr="005B3F3B">
        <w:rPr>
          <w:rFonts w:ascii="Times New Roman" w:eastAsia="Times New Roman" w:hAnsi="Times New Roman" w:cs="Times New Roman"/>
        </w:rPr>
        <w:t xml:space="preserve"> IMAC-Mind 01GL1745B), the Deutsche </w:t>
      </w:r>
      <w:proofErr w:type="spellStart"/>
      <w:r w:rsidRPr="005B3F3B">
        <w:rPr>
          <w:rFonts w:ascii="Times New Roman" w:eastAsia="Times New Roman" w:hAnsi="Times New Roman" w:cs="Times New Roman"/>
        </w:rPr>
        <w:t>Forschungsgemeinschaft</w:t>
      </w:r>
      <w:proofErr w:type="spellEnd"/>
      <w:r w:rsidRPr="005B3F3B">
        <w:rPr>
          <w:rFonts w:ascii="Times New Roman" w:eastAsia="Times New Roman" w:hAnsi="Times New Roman" w:cs="Times New Roman"/>
        </w:rPr>
        <w:t xml:space="preserve"> (DFG project numbers 458317126 [COPE], 186318919 [FOR 1617], 178833530 [SFB 940], 386691645 [NE 1383/14-1], 402170461 [TRR 265], 454245598 [IRTG 2773]), the Medical Research Foundation and Medical Research Council (grants MR/R00465X/1 and MR/S020306/1), the National Institutes of Health (NIH) funded ENIGMA-grants 5U54EB020403-05, 1R56AG058854-01 and U54 EB020403 as well as NIH R01DA049238, the National Institutes of Health, Science Foundation Ireland (16/ERCD/3797). NSFC grant 82150710554. Further support was provided by grants from: - the ANR (ANR-12-SAMA-0004, AAPG2019 - </w:t>
      </w:r>
      <w:proofErr w:type="spellStart"/>
      <w:r w:rsidRPr="005B3F3B">
        <w:rPr>
          <w:rFonts w:ascii="Times New Roman" w:eastAsia="Times New Roman" w:hAnsi="Times New Roman" w:cs="Times New Roman"/>
        </w:rPr>
        <w:t>GeBra</w:t>
      </w:r>
      <w:proofErr w:type="spellEnd"/>
      <w:r w:rsidRPr="005B3F3B">
        <w:rPr>
          <w:rFonts w:ascii="Times New Roman" w:eastAsia="Times New Roman" w:hAnsi="Times New Roman" w:cs="Times New Roman"/>
        </w:rPr>
        <w:t xml:space="preserve">), the </w:t>
      </w:r>
      <w:proofErr w:type="spellStart"/>
      <w:r w:rsidRPr="005B3F3B">
        <w:rPr>
          <w:rFonts w:ascii="Times New Roman" w:eastAsia="Times New Roman" w:hAnsi="Times New Roman" w:cs="Times New Roman"/>
        </w:rPr>
        <w:t>Eranet</w:t>
      </w:r>
      <w:proofErr w:type="spellEnd"/>
      <w:r w:rsidRPr="005B3F3B">
        <w:rPr>
          <w:rFonts w:ascii="Times New Roman" w:eastAsia="Times New Roman" w:hAnsi="Times New Roman" w:cs="Times New Roman"/>
        </w:rPr>
        <w:t xml:space="preserve"> Neuron (AF12-NEUR0008-01 - WM2NA; and ANR-18-NEUR00002-01 - </w:t>
      </w:r>
      <w:proofErr w:type="spellStart"/>
      <w:r w:rsidRPr="005B3F3B">
        <w:rPr>
          <w:rFonts w:ascii="Times New Roman" w:eastAsia="Times New Roman" w:hAnsi="Times New Roman" w:cs="Times New Roman"/>
        </w:rPr>
        <w:t>ADORe</w:t>
      </w:r>
      <w:proofErr w:type="spellEnd"/>
      <w:r w:rsidRPr="005B3F3B">
        <w:rPr>
          <w:rFonts w:ascii="Times New Roman" w:eastAsia="Times New Roman" w:hAnsi="Times New Roman" w:cs="Times New Roman"/>
        </w:rPr>
        <w:t xml:space="preserve">), the Fondation de France (00081242), the Fondation pour la Recherche </w:t>
      </w:r>
      <w:proofErr w:type="spellStart"/>
      <w:r w:rsidRPr="005B3F3B">
        <w:rPr>
          <w:rFonts w:ascii="Times New Roman" w:eastAsia="Times New Roman" w:hAnsi="Times New Roman" w:cs="Times New Roman"/>
        </w:rPr>
        <w:t>Médicale</w:t>
      </w:r>
      <w:proofErr w:type="spellEnd"/>
      <w:r w:rsidRPr="005B3F3B">
        <w:rPr>
          <w:rFonts w:ascii="Times New Roman" w:eastAsia="Times New Roman" w:hAnsi="Times New Roman" w:cs="Times New Roman"/>
        </w:rPr>
        <w:t xml:space="preserve"> (DPA20140629802), the Mission </w:t>
      </w:r>
      <w:proofErr w:type="spellStart"/>
      <w:r w:rsidRPr="005B3F3B">
        <w:rPr>
          <w:rFonts w:ascii="Times New Roman" w:eastAsia="Times New Roman" w:hAnsi="Times New Roman" w:cs="Times New Roman"/>
        </w:rPr>
        <w:t>Interministérielle</w:t>
      </w:r>
      <w:proofErr w:type="spellEnd"/>
      <w:r w:rsidRPr="005B3F3B">
        <w:rPr>
          <w:rFonts w:ascii="Times New Roman" w:eastAsia="Times New Roman" w:hAnsi="Times New Roman" w:cs="Times New Roman"/>
        </w:rPr>
        <w:t xml:space="preserve"> de Lutte-</w:t>
      </w:r>
      <w:proofErr w:type="spellStart"/>
      <w:r w:rsidRPr="005B3F3B">
        <w:rPr>
          <w:rFonts w:ascii="Times New Roman" w:eastAsia="Times New Roman" w:hAnsi="Times New Roman" w:cs="Times New Roman"/>
        </w:rPr>
        <w:t>contre</w:t>
      </w:r>
      <w:proofErr w:type="spellEnd"/>
      <w:r w:rsidRPr="005B3F3B">
        <w:rPr>
          <w:rFonts w:ascii="Times New Roman" w:eastAsia="Times New Roman" w:hAnsi="Times New Roman" w:cs="Times New Roman"/>
        </w:rPr>
        <w:t>-les-Drogues-et-les-</w:t>
      </w:r>
      <w:proofErr w:type="spellStart"/>
      <w:r w:rsidRPr="005B3F3B">
        <w:rPr>
          <w:rFonts w:ascii="Times New Roman" w:eastAsia="Times New Roman" w:hAnsi="Times New Roman" w:cs="Times New Roman"/>
        </w:rPr>
        <w:t>Conduites</w:t>
      </w:r>
      <w:proofErr w:type="spellEnd"/>
      <w:r w:rsidRPr="005B3F3B">
        <w:rPr>
          <w:rFonts w:ascii="Times New Roman" w:eastAsia="Times New Roman" w:hAnsi="Times New Roman" w:cs="Times New Roman"/>
        </w:rPr>
        <w:t>-</w:t>
      </w:r>
      <w:proofErr w:type="spellStart"/>
      <w:r w:rsidRPr="005B3F3B">
        <w:rPr>
          <w:rFonts w:ascii="Times New Roman" w:eastAsia="Times New Roman" w:hAnsi="Times New Roman" w:cs="Times New Roman"/>
        </w:rPr>
        <w:t>Addictives</w:t>
      </w:r>
      <w:proofErr w:type="spellEnd"/>
      <w:r w:rsidRPr="005B3F3B">
        <w:rPr>
          <w:rFonts w:ascii="Times New Roman" w:eastAsia="Times New Roman" w:hAnsi="Times New Roman" w:cs="Times New Roman"/>
        </w:rPr>
        <w:t xml:space="preserve"> (MILDECA), the Assistance-Publique-Hôpitaux-de-Paris and INSERM (interface grant), Paris Sud University IDEX 2012, the Fondation de </w:t>
      </w:r>
      <w:proofErr w:type="spellStart"/>
      <w:r w:rsidRPr="005B3F3B">
        <w:rPr>
          <w:rFonts w:ascii="Times New Roman" w:eastAsia="Times New Roman" w:hAnsi="Times New Roman" w:cs="Times New Roman"/>
        </w:rPr>
        <w:t>l’Avenir</w:t>
      </w:r>
      <w:proofErr w:type="spellEnd"/>
      <w:r w:rsidRPr="005B3F3B">
        <w:rPr>
          <w:rFonts w:ascii="Times New Roman" w:eastAsia="Times New Roman" w:hAnsi="Times New Roman" w:cs="Times New Roman"/>
        </w:rPr>
        <w:t xml:space="preserve"> (grant AP-RM-17-013 ), the Fédération pour la Recherche sur le </w:t>
      </w:r>
      <w:proofErr w:type="spellStart"/>
      <w:r w:rsidRPr="005B3F3B">
        <w:rPr>
          <w:rFonts w:ascii="Times New Roman" w:eastAsia="Times New Roman" w:hAnsi="Times New Roman" w:cs="Times New Roman"/>
        </w:rPr>
        <w:t>Cerveau</w:t>
      </w:r>
      <w:proofErr w:type="spellEnd"/>
      <w:r w:rsidRPr="005B3F3B">
        <w:rPr>
          <w:rFonts w:ascii="Times New Roman" w:eastAsia="Times New Roman" w:hAnsi="Times New Roman" w:cs="Times New Roman"/>
        </w:rPr>
        <w:t>.</w:t>
      </w:r>
    </w:p>
    <w:p w14:paraId="00000054" w14:textId="4A8E55C6" w:rsidR="00761DC3" w:rsidRPr="005B3F3B" w:rsidRDefault="00C94494"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Lothian Birth Cohort 1936</w:t>
      </w:r>
      <w:r w:rsidRPr="005B3F3B">
        <w:rPr>
          <w:rFonts w:ascii="Times New Roman" w:eastAsia="Times New Roman" w:hAnsi="Times New Roman" w:cs="Times New Roman"/>
          <w:i/>
        </w:rPr>
        <w:t>:</w:t>
      </w:r>
      <w:r w:rsidRPr="005B3F3B">
        <w:rPr>
          <w:rFonts w:ascii="Times New Roman" w:eastAsia="Times New Roman" w:hAnsi="Times New Roman" w:cs="Times New Roman"/>
        </w:rPr>
        <w:t xml:space="preserve"> joint support</w:t>
      </w:r>
      <w:r w:rsidR="00840C06" w:rsidRPr="005B3F3B">
        <w:rPr>
          <w:rFonts w:ascii="Times New Roman" w:eastAsia="Times New Roman" w:hAnsi="Times New Roman" w:cs="Times New Roman"/>
        </w:rPr>
        <w:t xml:space="preserve"> from</w:t>
      </w:r>
      <w:r w:rsidRPr="005B3F3B">
        <w:rPr>
          <w:rFonts w:ascii="Times New Roman" w:eastAsia="Times New Roman" w:hAnsi="Times New Roman" w:cs="Times New Roman"/>
        </w:rPr>
        <w:t xml:space="preserve"> the UK Biotechnology and Biological Sciences Research Council and the UK Economic and Social Research Council (BB/W008793/1), by the Medical Research Council (G0701120, G1001245, MR/M013111/1, MR/R024065/1), Age UK (Disconnected Mind project), the University of Edinburgh and the Milton Damerel Trust. Methylation typing was supported by the Centre for Cognitive Ageing and Cognitive Epidemiology (Pilot Fund award), Age UK, the </w:t>
      </w:r>
      <w:proofErr w:type="spellStart"/>
      <w:r w:rsidRPr="005B3F3B">
        <w:rPr>
          <w:rFonts w:ascii="Times New Roman" w:eastAsia="Times New Roman" w:hAnsi="Times New Roman" w:cs="Times New Roman"/>
        </w:rPr>
        <w:t>Wellcome</w:t>
      </w:r>
      <w:proofErr w:type="spellEnd"/>
      <w:r w:rsidRPr="005B3F3B">
        <w:rPr>
          <w:rFonts w:ascii="Times New Roman" w:eastAsia="Times New Roman" w:hAnsi="Times New Roman" w:cs="Times New Roman"/>
        </w:rPr>
        <w:t xml:space="preserve"> Trust Institutional Strategic Support fund, the University of Edinburgh, and the University of Queensland. S.R.C. is also supported by a Sir Henry Dale Fellowship jointly funded by the </w:t>
      </w:r>
      <w:proofErr w:type="spellStart"/>
      <w:r w:rsidRPr="005B3F3B">
        <w:rPr>
          <w:rFonts w:ascii="Times New Roman" w:eastAsia="Times New Roman" w:hAnsi="Times New Roman" w:cs="Times New Roman"/>
        </w:rPr>
        <w:t>Wellcome</w:t>
      </w:r>
      <w:proofErr w:type="spellEnd"/>
      <w:r w:rsidRPr="005B3F3B">
        <w:rPr>
          <w:rFonts w:ascii="Times New Roman" w:eastAsia="Times New Roman" w:hAnsi="Times New Roman" w:cs="Times New Roman"/>
        </w:rPr>
        <w:t xml:space="preserve"> Trust and the Royal Society (221890/Z/20/Z</w:t>
      </w:r>
      <w:r w:rsidR="000C505F" w:rsidRPr="005B3F3B">
        <w:rPr>
          <w:rFonts w:ascii="Times New Roman" w:eastAsia="Times New Roman" w:hAnsi="Times New Roman" w:cs="Times New Roman"/>
        </w:rPr>
        <w:t>). The</w:t>
      </w:r>
      <w:r w:rsidRPr="005B3F3B">
        <w:rPr>
          <w:rFonts w:ascii="Times New Roman" w:eastAsia="Times New Roman" w:hAnsi="Times New Roman" w:cs="Times New Roman"/>
        </w:rPr>
        <w:t xml:space="preserve"> authors are grateful to the participants, radiographer and study researchers. </w:t>
      </w:r>
    </w:p>
    <w:p w14:paraId="41027F03" w14:textId="1BB54B28" w:rsidR="003E3DEC" w:rsidRPr="005B3F3B" w:rsidRDefault="003E3DEC"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MCIC</w:t>
      </w:r>
      <w:r w:rsidRPr="005B3F3B">
        <w:rPr>
          <w:rFonts w:ascii="Times New Roman" w:eastAsia="Times New Roman" w:hAnsi="Times New Roman" w:cs="Times New Roman"/>
        </w:rPr>
        <w:t>:</w:t>
      </w:r>
      <w:r w:rsidR="00A9198D" w:rsidRPr="005B3F3B">
        <w:rPr>
          <w:rFonts w:ascii="Times New Roman" w:eastAsia="Times New Roman" w:hAnsi="Times New Roman" w:cs="Times New Roman"/>
        </w:rPr>
        <w:t xml:space="preserve"> The MIND Clinical Imaging Consortium study was supported by DOE DE-FG02-99ER6274, NIH U24RR021992, and NIH U54EB005149. The authors thank the MCIC members for data collection and support of the scientists and engineers involved in the project.</w:t>
      </w:r>
    </w:p>
    <w:p w14:paraId="1F53ED0A" w14:textId="61E7508D" w:rsidR="003E3DEC" w:rsidRPr="005B3F3B" w:rsidRDefault="00C94494"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MPIP</w:t>
      </w:r>
      <w:r w:rsidRPr="005B3F3B">
        <w:rPr>
          <w:rFonts w:ascii="Times New Roman" w:eastAsia="Times New Roman" w:hAnsi="Times New Roman" w:cs="Times New Roman"/>
        </w:rPr>
        <w:t xml:space="preserve">: </w:t>
      </w:r>
      <w:r w:rsidRPr="005B3F3B">
        <w:rPr>
          <w:rFonts w:ascii="Times New Roman" w:eastAsia="Times New Roman" w:hAnsi="Times New Roman" w:cs="Times New Roman"/>
          <w:color w:val="1A1A1A"/>
        </w:rPr>
        <w:t xml:space="preserve">The MPIP cohort represents subsamples of the Munich Antidepressant Response Signature study, an observational study on psychiatric in-patients treated for MDD, and the recurrent unipolar depression study, </w:t>
      </w:r>
      <w:r w:rsidR="000C505F" w:rsidRPr="005B3F3B">
        <w:rPr>
          <w:rFonts w:ascii="Times New Roman" w:eastAsia="Times New Roman" w:hAnsi="Times New Roman" w:cs="Times New Roman"/>
          <w:color w:val="1A1A1A"/>
        </w:rPr>
        <w:t>cross-sectional case/control imaging genetics</w:t>
      </w:r>
      <w:r w:rsidRPr="005B3F3B">
        <w:rPr>
          <w:rFonts w:ascii="Times New Roman" w:eastAsia="Times New Roman" w:hAnsi="Times New Roman" w:cs="Times New Roman"/>
          <w:color w:val="1A1A1A"/>
        </w:rPr>
        <w:t xml:space="preserve"> </w:t>
      </w:r>
      <w:sdt>
        <w:sdtPr>
          <w:rPr>
            <w:rFonts w:ascii="Times New Roman" w:hAnsi="Times New Roman" w:cs="Times New Roman"/>
          </w:rPr>
          <w:tag w:val="goog_rdk_4"/>
          <w:id w:val="368260679"/>
        </w:sdtPr>
        <w:sdtEndPr/>
        <w:sdtContent/>
      </w:sdt>
      <w:r w:rsidRPr="005B3F3B">
        <w:rPr>
          <w:rFonts w:ascii="Times New Roman" w:eastAsia="Times New Roman" w:hAnsi="Times New Roman" w:cs="Times New Roman"/>
          <w:color w:val="1A1A1A"/>
        </w:rPr>
        <w:t>study</w:t>
      </w:r>
      <w:r w:rsidR="000C505F" w:rsidRPr="005B3F3B">
        <w:rPr>
          <w:rFonts w:ascii="Times New Roman" w:eastAsia="Times New Roman" w:hAnsi="Times New Roman" w:cs="Times New Roman"/>
          <w:color w:val="1A1A1A"/>
        </w:rPr>
        <w:fldChar w:fldCharType="begin"/>
      </w:r>
      <w:r w:rsidR="00F05D92" w:rsidRPr="005B3F3B">
        <w:rPr>
          <w:rFonts w:ascii="Times New Roman" w:eastAsia="Times New Roman" w:hAnsi="Times New Roman" w:cs="Times New Roman"/>
          <w:color w:val="1A1A1A"/>
        </w:rPr>
        <w:instrText xml:space="preserve"> ADDIN ZOTERO_ITEM CSL_CITATION {"citationID":"d9d8ISl5","properties":{"formattedCitation":"\\super 64\\nosupersub{}","plainCitation":"64","noteIndex":0},"citationItems":[{"id":6594,"uris":["http://zotero.org/users/6242458/items/K2I6UBFF"],"itemData":{"id":6594,"type":"article-journal","abstract":"CONTEXT: Indirect evidence suggests that the glycogen synthase kinase-3beta (GSK3beta) gene might be implicated in major depressive disorder (MDD).\nBACKGROUND: We evaluated 15 GSK3beta single-nucleotide polymorphisms (SNPs) to test for associations with regional gray matter (GM) volume differences in patients with recurrent MDD. We then used the defined regions of interest based on significant associations to test for MDD x genotype interactions by including a matched control group without any psychiatric disorder, including MDD.\nDESIGN: General linear model with nonstationary cluster-based inference.\nSETTING: Munich, Germany.\nPARTICIPANTS: Patients with recurrent MDD (n = 134) and age-, sex-, and ethnicity-matched healthy controls (n = 143).\nMAIN OUTCOME MEASURES: Associations between GSK3beta polymorphisms and regional GM volume differences.\nRESULTS: Variation in GM volume was associated with GSK3beta polymorphisms; the most significant associations were found for rs6438552, a putative functional intronic SNP that showed 3 significant GM clusters in the right and left superior temporal gyri and the right hippocampus (P &lt; .001, P = .02, and P = .02, respectively, corrected for multiple comparisons across the whole brain). Similar results were obtained with rs12630592, an SNP in high linkage disequilibrium. A significant SNP x MDD status interaction was observed for the effect on GM volumes in the right hippocampus and superior temporal gyri (P &lt; .001 and P = .01, corrected, respectively).\nCONCLUSIONS: The GSK3beta gene may have a role in determining regional GM volume differences of the right hippocampus and bilateral superior temporal gyri. The association between genotype and brain structure was specific to the patients with MDD, suggesting that GSK3beta genotypes might interact with MDD status. We speculate that this is a consequence of regional neocortical, glial, or neuronal growth or survival. In considering core cognitive features of MDD, the association of GSK3beta polymorphisms with structural variation in the temporal lobe and hippocampus is of particular interest in the context of other evidence for structural and functional abnormalities in the hippocampi of patients with MDD.","container-title":"Archives of General Psychiatry","DOI":"10.1001/archgenpsychiatry.2009.70","ISSN":"1538-3636","issue":"7","journalAbbreviation":"Arch Gen Psychiatry","language":"eng","page":"721-728","PMID":"19581563","source":"PubMed","title":"Association of GSK3beta polymorphisms with brain structural changes in major depressive disorder","volume":"66","author":[{"family":"Inkster","given":"Becky"},{"family":"Nichols","given":"Thomas E."},{"family":"Saemann","given":"Philipp G."},{"family":"Auer","given":"Dorothee P."},{"family":"Holsboer","given":"Florian"},{"family":"Muglia","given":"Pierandrea"},{"family":"Matthews","given":"Paul M."}],"issued":{"date-parts":[["2009",7]]}}}],"schema":"https://github.com/citation-style-language/schema/raw/master/csl-citation.json"} </w:instrText>
      </w:r>
      <w:r w:rsidR="000C505F" w:rsidRPr="005B3F3B">
        <w:rPr>
          <w:rFonts w:ascii="Times New Roman" w:eastAsia="Times New Roman" w:hAnsi="Times New Roman" w:cs="Times New Roman"/>
          <w:color w:val="1A1A1A"/>
        </w:rPr>
        <w:fldChar w:fldCharType="separate"/>
      </w:r>
      <w:r w:rsidR="00F05D92" w:rsidRPr="005B3F3B">
        <w:rPr>
          <w:rFonts w:ascii="Times New Roman" w:hAnsi="Times New Roman" w:cs="Times New Roman"/>
          <w:color w:val="000000"/>
          <w:vertAlign w:val="superscript"/>
        </w:rPr>
        <w:t>64</w:t>
      </w:r>
      <w:r w:rsidR="000C505F" w:rsidRPr="005B3F3B">
        <w:rPr>
          <w:rFonts w:ascii="Times New Roman" w:eastAsia="Times New Roman" w:hAnsi="Times New Roman" w:cs="Times New Roman"/>
          <w:color w:val="1A1A1A"/>
        </w:rPr>
        <w:fldChar w:fldCharType="end"/>
      </w:r>
      <w:r w:rsidRPr="005B3F3B">
        <w:rPr>
          <w:rFonts w:ascii="Times New Roman" w:eastAsia="Times New Roman" w:hAnsi="Times New Roman" w:cs="Times New Roman"/>
          <w:color w:val="1A1A1A"/>
        </w:rPr>
        <w:t xml:space="preserve">. </w:t>
      </w:r>
      <w:r w:rsidRPr="005B3F3B">
        <w:rPr>
          <w:rFonts w:ascii="Times New Roman" w:eastAsia="Times New Roman" w:hAnsi="Times New Roman" w:cs="Times New Roman"/>
        </w:rPr>
        <w:t xml:space="preserve">We wish to acknowledge Rosa Schirmer, Elke Schreiter, Reinhold Borschke and Ines </w:t>
      </w:r>
      <w:proofErr w:type="spellStart"/>
      <w:r w:rsidRPr="005B3F3B">
        <w:rPr>
          <w:rFonts w:ascii="Times New Roman" w:eastAsia="Times New Roman" w:hAnsi="Times New Roman" w:cs="Times New Roman"/>
        </w:rPr>
        <w:t>Eidner</w:t>
      </w:r>
      <w:proofErr w:type="spellEnd"/>
      <w:r w:rsidRPr="005B3F3B">
        <w:rPr>
          <w:rFonts w:ascii="Times New Roman" w:eastAsia="Times New Roman" w:hAnsi="Times New Roman" w:cs="Times New Roman"/>
        </w:rPr>
        <w:t xml:space="preserve"> for </w:t>
      </w:r>
      <w:r w:rsidRPr="005B3F3B">
        <w:rPr>
          <w:rFonts w:ascii="Times New Roman" w:eastAsia="Times New Roman" w:hAnsi="Times New Roman" w:cs="Times New Roman"/>
        </w:rPr>
        <w:lastRenderedPageBreak/>
        <w:t xml:space="preserve">image acquisition and data preparation, Anna </w:t>
      </w:r>
      <w:proofErr w:type="spellStart"/>
      <w:r w:rsidRPr="005B3F3B">
        <w:rPr>
          <w:rFonts w:ascii="Times New Roman" w:eastAsia="Times New Roman" w:hAnsi="Times New Roman" w:cs="Times New Roman"/>
        </w:rPr>
        <w:t>Olynyik</w:t>
      </w:r>
      <w:proofErr w:type="spellEnd"/>
      <w:r w:rsidRPr="005B3F3B">
        <w:rPr>
          <w:rFonts w:ascii="Times New Roman" w:eastAsia="Times New Roman" w:hAnsi="Times New Roman" w:cs="Times New Roman"/>
        </w:rPr>
        <w:t xml:space="preserve"> for data quality control, and Benno Pütz, Nazanin Karbalai, Darina Czamara, and Bertram Müller-</w:t>
      </w:r>
      <w:proofErr w:type="spellStart"/>
      <w:r w:rsidRPr="005B3F3B">
        <w:rPr>
          <w:rFonts w:ascii="Times New Roman" w:eastAsia="Times New Roman" w:hAnsi="Times New Roman" w:cs="Times New Roman"/>
        </w:rPr>
        <w:t>Myhsok</w:t>
      </w:r>
      <w:proofErr w:type="spellEnd"/>
      <w:r w:rsidRPr="005B3F3B">
        <w:rPr>
          <w:rFonts w:ascii="Times New Roman" w:eastAsia="Times New Roman" w:hAnsi="Times New Roman" w:cs="Times New Roman"/>
        </w:rPr>
        <w:t xml:space="preserve"> for distributed computing support. We thank Dorothee P. Auer and Florian Holsboer for initiation of the RUD study. The MARS study was supported by a grant of the </w:t>
      </w:r>
      <w:proofErr w:type="spellStart"/>
      <w:r w:rsidRPr="005B3F3B">
        <w:rPr>
          <w:rFonts w:ascii="Times New Roman" w:eastAsia="Times New Roman" w:hAnsi="Times New Roman" w:cs="Times New Roman"/>
        </w:rPr>
        <w:t>Exzellenz</w:t>
      </w:r>
      <w:proofErr w:type="spellEnd"/>
      <w:r w:rsidRPr="005B3F3B">
        <w:rPr>
          <w:rFonts w:ascii="Times New Roman" w:eastAsia="Times New Roman" w:hAnsi="Times New Roman" w:cs="Times New Roman"/>
        </w:rPr>
        <w:t>-Stiftung of the Max Planck Society. This work has also been funded by the BMBF in the framework of the National Genome Research Network (NGFN) (FKZ 01GS0481). The funders had no role in study design, data collection and analysis, decision to publish, or preparation of the manuscript.</w:t>
      </w:r>
    </w:p>
    <w:p w14:paraId="23EED3AF" w14:textId="77777777" w:rsidR="003E3DEC" w:rsidRPr="005B3F3B" w:rsidRDefault="003E3DEC" w:rsidP="009B5B7F">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NTR</w:t>
      </w:r>
      <w:r w:rsidRPr="005B3F3B">
        <w:rPr>
          <w:rFonts w:ascii="Times New Roman" w:eastAsia="Times New Roman" w:hAnsi="Times New Roman" w:cs="Times New Roman"/>
        </w:rPr>
        <w:t>: The NTR study was supported by the Netherlands Organization for</w:t>
      </w:r>
    </w:p>
    <w:p w14:paraId="1C3B93E7" w14:textId="77777777" w:rsidR="003E3DEC" w:rsidRPr="005B3F3B" w:rsidRDefault="003E3DEC" w:rsidP="009B5B7F">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 xml:space="preserve">Scientific Research (NWO), MW904-61-193 (Eco de Geus &amp; </w:t>
      </w:r>
      <w:proofErr w:type="spellStart"/>
      <w:r w:rsidRPr="005B3F3B">
        <w:rPr>
          <w:rFonts w:ascii="Times New Roman" w:eastAsia="Times New Roman" w:hAnsi="Times New Roman" w:cs="Times New Roman"/>
        </w:rPr>
        <w:t>Dorret</w:t>
      </w:r>
      <w:proofErr w:type="spellEnd"/>
      <w:r w:rsidRPr="005B3F3B">
        <w:rPr>
          <w:rFonts w:ascii="Times New Roman" w:eastAsia="Times New Roman" w:hAnsi="Times New Roman" w:cs="Times New Roman"/>
        </w:rPr>
        <w:t xml:space="preserve"> Boomsma),</w:t>
      </w:r>
    </w:p>
    <w:p w14:paraId="34A5C8A7" w14:textId="77777777" w:rsidR="003E3DEC" w:rsidRPr="005B3F3B" w:rsidRDefault="003E3DEC" w:rsidP="009B5B7F">
      <w:pPr>
        <w:spacing w:line="360" w:lineRule="auto"/>
        <w:ind w:left="0"/>
        <w:jc w:val="both"/>
        <w:rPr>
          <w:rFonts w:ascii="Times New Roman" w:eastAsia="Times New Roman" w:hAnsi="Times New Roman" w:cs="Times New Roman"/>
        </w:rPr>
      </w:pPr>
      <w:proofErr w:type="spellStart"/>
      <w:r w:rsidRPr="005B3F3B">
        <w:rPr>
          <w:rFonts w:ascii="Times New Roman" w:eastAsia="Times New Roman" w:hAnsi="Times New Roman" w:cs="Times New Roman"/>
        </w:rPr>
        <w:t>MaGW</w:t>
      </w:r>
      <w:proofErr w:type="spellEnd"/>
      <w:r w:rsidRPr="005B3F3B">
        <w:rPr>
          <w:rFonts w:ascii="Times New Roman" w:eastAsia="Times New Roman" w:hAnsi="Times New Roman" w:cs="Times New Roman"/>
        </w:rPr>
        <w:t xml:space="preserve">-nr: 400-07- 080 (Dennis van ‘t Ent), </w:t>
      </w:r>
      <w:proofErr w:type="spellStart"/>
      <w:r w:rsidRPr="005B3F3B">
        <w:rPr>
          <w:rFonts w:ascii="Times New Roman" w:eastAsia="Times New Roman" w:hAnsi="Times New Roman" w:cs="Times New Roman"/>
        </w:rPr>
        <w:t>MagW</w:t>
      </w:r>
      <w:proofErr w:type="spellEnd"/>
      <w:r w:rsidRPr="005B3F3B">
        <w:rPr>
          <w:rFonts w:ascii="Times New Roman" w:eastAsia="Times New Roman" w:hAnsi="Times New Roman" w:cs="Times New Roman"/>
        </w:rPr>
        <w:t xml:space="preserve"> 480-04-004 (</w:t>
      </w:r>
      <w:proofErr w:type="spellStart"/>
      <w:r w:rsidRPr="005B3F3B">
        <w:rPr>
          <w:rFonts w:ascii="Times New Roman" w:eastAsia="Times New Roman" w:hAnsi="Times New Roman" w:cs="Times New Roman"/>
        </w:rPr>
        <w:t>Dorret</w:t>
      </w:r>
      <w:proofErr w:type="spellEnd"/>
    </w:p>
    <w:p w14:paraId="570F904C" w14:textId="77777777" w:rsidR="003E3DEC" w:rsidRPr="005B3F3B" w:rsidRDefault="003E3DEC" w:rsidP="009B5B7F">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Boomsma), NWO/SPI 56-464-14192 (</w:t>
      </w:r>
      <w:proofErr w:type="spellStart"/>
      <w:r w:rsidRPr="005B3F3B">
        <w:rPr>
          <w:rFonts w:ascii="Times New Roman" w:eastAsia="Times New Roman" w:hAnsi="Times New Roman" w:cs="Times New Roman"/>
        </w:rPr>
        <w:t>Dorret</w:t>
      </w:r>
      <w:proofErr w:type="spellEnd"/>
      <w:r w:rsidRPr="005B3F3B">
        <w:rPr>
          <w:rFonts w:ascii="Times New Roman" w:eastAsia="Times New Roman" w:hAnsi="Times New Roman" w:cs="Times New Roman"/>
        </w:rPr>
        <w:t xml:space="preserve"> Boomsma), the European</w:t>
      </w:r>
    </w:p>
    <w:p w14:paraId="0B1FA774" w14:textId="77777777" w:rsidR="003E3DEC" w:rsidRPr="005B3F3B" w:rsidRDefault="003E3DEC" w:rsidP="009B5B7F">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Research Council, ERC-230374 (</w:t>
      </w:r>
      <w:proofErr w:type="spellStart"/>
      <w:r w:rsidRPr="005B3F3B">
        <w:rPr>
          <w:rFonts w:ascii="Times New Roman" w:eastAsia="Times New Roman" w:hAnsi="Times New Roman" w:cs="Times New Roman"/>
        </w:rPr>
        <w:t>Dorret</w:t>
      </w:r>
      <w:proofErr w:type="spellEnd"/>
      <w:r w:rsidRPr="005B3F3B">
        <w:rPr>
          <w:rFonts w:ascii="Times New Roman" w:eastAsia="Times New Roman" w:hAnsi="Times New Roman" w:cs="Times New Roman"/>
        </w:rPr>
        <w:t xml:space="preserve"> Boomsma), and Amsterdam</w:t>
      </w:r>
    </w:p>
    <w:p w14:paraId="6F4778B6" w14:textId="4EE7B274" w:rsidR="003E3DEC" w:rsidRPr="005B3F3B" w:rsidRDefault="003E3DEC" w:rsidP="009B5B7F">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rPr>
        <w:t>Neuroscience. Biobanking and Biomolecular Research Infrastructure (BBMRI-NL, NWO 184.033.111) and the BBRMI-NL-financed BIOS Consortium (NWO 184.021.007).</w:t>
      </w:r>
    </w:p>
    <w:p w14:paraId="33BA1D23" w14:textId="45C7B4B6" w:rsidR="003E3DEC" w:rsidRPr="005B3F3B" w:rsidRDefault="003E3DEC" w:rsidP="005B3F3B">
      <w:pPr>
        <w:spacing w:before="100" w:beforeAutospacing="1"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OATS</w:t>
      </w:r>
      <w:r w:rsidRPr="005B3F3B">
        <w:rPr>
          <w:rFonts w:ascii="Times New Roman" w:eastAsia="Times New Roman" w:hAnsi="Times New Roman" w:cs="Times New Roman"/>
          <w:i/>
          <w:iCs/>
        </w:rPr>
        <w:t>:</w:t>
      </w:r>
      <w:r w:rsidR="0071332F" w:rsidRPr="005B3F3B">
        <w:rPr>
          <w:rFonts w:ascii="Times New Roman" w:eastAsia="Times New Roman" w:hAnsi="Times New Roman" w:cs="Times New Roman"/>
          <w:i/>
          <w:iCs/>
        </w:rPr>
        <w:t xml:space="preserve"> </w:t>
      </w:r>
      <w:r w:rsidR="0071332F" w:rsidRPr="005B3F3B">
        <w:rPr>
          <w:rFonts w:ascii="Times New Roman" w:eastAsia="Times New Roman" w:hAnsi="Times New Roman" w:cs="Times New Roman"/>
        </w:rPr>
        <w:t>We thank the OATS participants and their supporters for their time and generosity in contributing to this research. We acknowledge the contribution of the OATS Research Team (https://cheba.unsw.edu.au/project/older-australian315 twins-study). OATS was supported by an Australian National Health and Medical Research Council (NHMRC)/Australian Research Council Strategic Award (ID401162) and a NHMRC Project Grant (ID1045325). This research was facilitated through Twins Research Australia, a national resource in part supported by a NHMRC Centre for Research Excellence Grant (ID: 1079102).</w:t>
      </w:r>
    </w:p>
    <w:p w14:paraId="00000056" w14:textId="7E939F59" w:rsidR="00761DC3" w:rsidRPr="005B3F3B" w:rsidRDefault="003E3DEC"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iCs/>
          <w:u w:val="single"/>
        </w:rPr>
        <w:t>PAFIP</w:t>
      </w:r>
      <w:r w:rsidRPr="005B3F3B">
        <w:rPr>
          <w:rFonts w:ascii="Times New Roman" w:eastAsia="Times New Roman" w:hAnsi="Times New Roman" w:cs="Times New Roman"/>
          <w:i/>
          <w:iCs/>
        </w:rPr>
        <w:t>:</w:t>
      </w:r>
      <w:r w:rsidR="0071332F" w:rsidRPr="005B3F3B">
        <w:rPr>
          <w:rFonts w:ascii="Times New Roman" w:hAnsi="Times New Roman" w:cs="Times New Roman"/>
        </w:rPr>
        <w:t xml:space="preserve"> </w:t>
      </w:r>
      <w:r w:rsidR="0071332F" w:rsidRPr="005B3F3B">
        <w:rPr>
          <w:rFonts w:ascii="Times New Roman" w:eastAsia="Times New Roman" w:hAnsi="Times New Roman" w:cs="Times New Roman"/>
        </w:rPr>
        <w:t xml:space="preserve">This work was supported by the Instituto de Salud Carlos III (PI14/00639 and PI14/00918), MINECO (SAF2010-20840-C02-02 and 323 SAF2013-46292-R) and Fundación Instituto de </w:t>
      </w:r>
      <w:proofErr w:type="spellStart"/>
      <w:r w:rsidR="0071332F" w:rsidRPr="005B3F3B">
        <w:rPr>
          <w:rFonts w:ascii="Times New Roman" w:eastAsia="Times New Roman" w:hAnsi="Times New Roman" w:cs="Times New Roman"/>
        </w:rPr>
        <w:t>Investigación</w:t>
      </w:r>
      <w:proofErr w:type="spellEnd"/>
      <w:r w:rsidR="0071332F" w:rsidRPr="005B3F3B">
        <w:rPr>
          <w:rFonts w:ascii="Times New Roman" w:eastAsia="Times New Roman" w:hAnsi="Times New Roman" w:cs="Times New Roman"/>
        </w:rPr>
        <w:t xml:space="preserve"> Marqués de </w:t>
      </w:r>
      <w:proofErr w:type="spellStart"/>
      <w:r w:rsidR="0071332F" w:rsidRPr="005B3F3B">
        <w:rPr>
          <w:rFonts w:ascii="Times New Roman" w:eastAsia="Times New Roman" w:hAnsi="Times New Roman" w:cs="Times New Roman"/>
        </w:rPr>
        <w:t>Valdecilla</w:t>
      </w:r>
      <w:proofErr w:type="spellEnd"/>
      <w:r w:rsidR="0071332F" w:rsidRPr="005B3F3B">
        <w:rPr>
          <w:rFonts w:ascii="Times New Roman" w:eastAsia="Times New Roman" w:hAnsi="Times New Roman" w:cs="Times New Roman"/>
        </w:rPr>
        <w:t xml:space="preserve"> (NCT0235832 and NCT02534363). No pharmaceutical company has financially supported the study.</w:t>
      </w:r>
    </w:p>
    <w:p w14:paraId="00000058" w14:textId="09F3283A" w:rsidR="00761DC3" w:rsidRPr="005B3F3B" w:rsidRDefault="00C94494"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PPMI</w:t>
      </w:r>
      <w:r w:rsidRPr="005B3F3B">
        <w:rPr>
          <w:rFonts w:ascii="Times New Roman" w:eastAsia="Times New Roman" w:hAnsi="Times New Roman" w:cs="Times New Roman"/>
        </w:rPr>
        <w:t xml:space="preserve">: PPMI – a public-private partnership – is funded by the Michael J. Fox Foundation for Parkinson’s Research and funding partners, including 4D Pharma, </w:t>
      </w:r>
      <w:proofErr w:type="spellStart"/>
      <w:r w:rsidRPr="005B3F3B">
        <w:rPr>
          <w:rFonts w:ascii="Times New Roman" w:eastAsia="Times New Roman" w:hAnsi="Times New Roman" w:cs="Times New Roman"/>
        </w:rPr>
        <w:t>Abbvie</w:t>
      </w:r>
      <w:proofErr w:type="spellEnd"/>
      <w:r w:rsidRPr="005B3F3B">
        <w:rPr>
          <w:rFonts w:ascii="Times New Roman" w:eastAsia="Times New Roman" w:hAnsi="Times New Roman" w:cs="Times New Roman"/>
        </w:rPr>
        <w:t xml:space="preserve">, </w:t>
      </w:r>
      <w:proofErr w:type="spellStart"/>
      <w:r w:rsidRPr="005B3F3B">
        <w:rPr>
          <w:rFonts w:ascii="Times New Roman" w:eastAsia="Times New Roman" w:hAnsi="Times New Roman" w:cs="Times New Roman"/>
        </w:rPr>
        <w:t>AcureX</w:t>
      </w:r>
      <w:proofErr w:type="spellEnd"/>
      <w:r w:rsidRPr="005B3F3B">
        <w:rPr>
          <w:rFonts w:ascii="Times New Roman" w:eastAsia="Times New Roman" w:hAnsi="Times New Roman" w:cs="Times New Roman"/>
        </w:rPr>
        <w:t xml:space="preserve">, Allergan, </w:t>
      </w:r>
      <w:proofErr w:type="spellStart"/>
      <w:r w:rsidRPr="005B3F3B">
        <w:rPr>
          <w:rFonts w:ascii="Times New Roman" w:eastAsia="Times New Roman" w:hAnsi="Times New Roman" w:cs="Times New Roman"/>
        </w:rPr>
        <w:t>Amathus</w:t>
      </w:r>
      <w:proofErr w:type="spellEnd"/>
      <w:r w:rsidRPr="005B3F3B">
        <w:rPr>
          <w:rFonts w:ascii="Times New Roman" w:eastAsia="Times New Roman" w:hAnsi="Times New Roman" w:cs="Times New Roman"/>
        </w:rPr>
        <w:t xml:space="preserve"> Therapeutics, Aligning Science Across Parkinson's, </w:t>
      </w:r>
      <w:proofErr w:type="spellStart"/>
      <w:r w:rsidRPr="005B3F3B">
        <w:rPr>
          <w:rFonts w:ascii="Times New Roman" w:eastAsia="Times New Roman" w:hAnsi="Times New Roman" w:cs="Times New Roman"/>
        </w:rPr>
        <w:t>AskBio</w:t>
      </w:r>
      <w:proofErr w:type="spellEnd"/>
      <w:r w:rsidRPr="005B3F3B">
        <w:rPr>
          <w:rFonts w:ascii="Times New Roman" w:eastAsia="Times New Roman" w:hAnsi="Times New Roman" w:cs="Times New Roman"/>
        </w:rPr>
        <w:t xml:space="preserve">, Avid Radiopharmaceuticals, BIAL, </w:t>
      </w:r>
      <w:proofErr w:type="spellStart"/>
      <w:r w:rsidRPr="005B3F3B">
        <w:rPr>
          <w:rFonts w:ascii="Times New Roman" w:eastAsia="Times New Roman" w:hAnsi="Times New Roman" w:cs="Times New Roman"/>
        </w:rPr>
        <w:t>BioArctic</w:t>
      </w:r>
      <w:proofErr w:type="spellEnd"/>
      <w:r w:rsidRPr="005B3F3B">
        <w:rPr>
          <w:rFonts w:ascii="Times New Roman" w:eastAsia="Times New Roman" w:hAnsi="Times New Roman" w:cs="Times New Roman"/>
        </w:rPr>
        <w:t xml:space="preserve">, Biogen, </w:t>
      </w:r>
      <w:proofErr w:type="spellStart"/>
      <w:r w:rsidRPr="005B3F3B">
        <w:rPr>
          <w:rFonts w:ascii="Times New Roman" w:eastAsia="Times New Roman" w:hAnsi="Times New Roman" w:cs="Times New Roman"/>
        </w:rPr>
        <w:t>Biohaven</w:t>
      </w:r>
      <w:proofErr w:type="spellEnd"/>
      <w:r w:rsidRPr="005B3F3B">
        <w:rPr>
          <w:rFonts w:ascii="Times New Roman" w:eastAsia="Times New Roman" w:hAnsi="Times New Roman" w:cs="Times New Roman"/>
        </w:rPr>
        <w:t xml:space="preserve">, </w:t>
      </w:r>
      <w:proofErr w:type="spellStart"/>
      <w:r w:rsidRPr="005B3F3B">
        <w:rPr>
          <w:rFonts w:ascii="Times New Roman" w:eastAsia="Times New Roman" w:hAnsi="Times New Roman" w:cs="Times New Roman"/>
        </w:rPr>
        <w:t>BioLegend</w:t>
      </w:r>
      <w:proofErr w:type="spellEnd"/>
      <w:r w:rsidRPr="005B3F3B">
        <w:rPr>
          <w:rFonts w:ascii="Times New Roman" w:eastAsia="Times New Roman" w:hAnsi="Times New Roman" w:cs="Times New Roman"/>
        </w:rPr>
        <w:t xml:space="preserve">, </w:t>
      </w:r>
      <w:proofErr w:type="spellStart"/>
      <w:r w:rsidRPr="005B3F3B">
        <w:rPr>
          <w:rFonts w:ascii="Times New Roman" w:eastAsia="Times New Roman" w:hAnsi="Times New Roman" w:cs="Times New Roman"/>
        </w:rPr>
        <w:t>BlueRock</w:t>
      </w:r>
      <w:proofErr w:type="spellEnd"/>
      <w:r w:rsidRPr="005B3F3B">
        <w:rPr>
          <w:rFonts w:ascii="Times New Roman" w:eastAsia="Times New Roman" w:hAnsi="Times New Roman" w:cs="Times New Roman"/>
        </w:rPr>
        <w:t xml:space="preserve"> Therapeutics, Bristol-Myers Squibb, Calico Labs, </w:t>
      </w:r>
      <w:proofErr w:type="spellStart"/>
      <w:r w:rsidRPr="005B3F3B">
        <w:rPr>
          <w:rFonts w:ascii="Times New Roman" w:eastAsia="Times New Roman" w:hAnsi="Times New Roman" w:cs="Times New Roman"/>
        </w:rPr>
        <w:t>Capsida</w:t>
      </w:r>
      <w:proofErr w:type="spellEnd"/>
      <w:r w:rsidRPr="005B3F3B">
        <w:rPr>
          <w:rFonts w:ascii="Times New Roman" w:eastAsia="Times New Roman" w:hAnsi="Times New Roman" w:cs="Times New Roman"/>
        </w:rPr>
        <w:t xml:space="preserve"> Biotherapeutics, Celgene, </w:t>
      </w:r>
      <w:proofErr w:type="spellStart"/>
      <w:r w:rsidRPr="005B3F3B">
        <w:rPr>
          <w:rFonts w:ascii="Times New Roman" w:eastAsia="Times New Roman" w:hAnsi="Times New Roman" w:cs="Times New Roman"/>
        </w:rPr>
        <w:t>Cerevel</w:t>
      </w:r>
      <w:proofErr w:type="spellEnd"/>
      <w:r w:rsidRPr="005B3F3B">
        <w:rPr>
          <w:rFonts w:ascii="Times New Roman" w:eastAsia="Times New Roman" w:hAnsi="Times New Roman" w:cs="Times New Roman"/>
        </w:rPr>
        <w:t xml:space="preserve"> Therapeutics, </w:t>
      </w:r>
      <w:proofErr w:type="spellStart"/>
      <w:r w:rsidRPr="005B3F3B">
        <w:rPr>
          <w:rFonts w:ascii="Times New Roman" w:eastAsia="Times New Roman" w:hAnsi="Times New Roman" w:cs="Times New Roman"/>
        </w:rPr>
        <w:t>Coave</w:t>
      </w:r>
      <w:proofErr w:type="spellEnd"/>
      <w:r w:rsidRPr="005B3F3B">
        <w:rPr>
          <w:rFonts w:ascii="Times New Roman" w:eastAsia="Times New Roman" w:hAnsi="Times New Roman" w:cs="Times New Roman"/>
        </w:rPr>
        <w:t xml:space="preserve"> Therapeutics, DaCapo </w:t>
      </w:r>
      <w:proofErr w:type="spellStart"/>
      <w:r w:rsidRPr="005B3F3B">
        <w:rPr>
          <w:rFonts w:ascii="Times New Roman" w:eastAsia="Times New Roman" w:hAnsi="Times New Roman" w:cs="Times New Roman"/>
        </w:rPr>
        <w:t>Brainscience</w:t>
      </w:r>
      <w:proofErr w:type="spellEnd"/>
      <w:r w:rsidRPr="005B3F3B">
        <w:rPr>
          <w:rFonts w:ascii="Times New Roman" w:eastAsia="Times New Roman" w:hAnsi="Times New Roman" w:cs="Times New Roman"/>
        </w:rPr>
        <w:t xml:space="preserve">, Denali, Edmond J. Safra Foundation, </w:t>
      </w:r>
      <w:r w:rsidRPr="005B3F3B">
        <w:rPr>
          <w:rFonts w:ascii="Times New Roman" w:eastAsia="Times New Roman" w:hAnsi="Times New Roman" w:cs="Times New Roman"/>
        </w:rPr>
        <w:lastRenderedPageBreak/>
        <w:t xml:space="preserve">Eli Lilly, Gain Therapeutics, GE HealthCare, Genentech, GSK, Golub Capital, Handl Therapeutics, </w:t>
      </w:r>
      <w:proofErr w:type="spellStart"/>
      <w:r w:rsidRPr="005B3F3B">
        <w:rPr>
          <w:rFonts w:ascii="Times New Roman" w:eastAsia="Times New Roman" w:hAnsi="Times New Roman" w:cs="Times New Roman"/>
        </w:rPr>
        <w:t>Insitro</w:t>
      </w:r>
      <w:proofErr w:type="spellEnd"/>
      <w:r w:rsidRPr="005B3F3B">
        <w:rPr>
          <w:rFonts w:ascii="Times New Roman" w:eastAsia="Times New Roman" w:hAnsi="Times New Roman" w:cs="Times New Roman"/>
        </w:rPr>
        <w:t xml:space="preserve">, Jazz Pharmaceuticals, Johnson &amp; Johnson Innovative Medicine, Lundbeck, Merck, </w:t>
      </w:r>
      <w:proofErr w:type="spellStart"/>
      <w:r w:rsidRPr="005B3F3B">
        <w:rPr>
          <w:rFonts w:ascii="Times New Roman" w:eastAsia="Times New Roman" w:hAnsi="Times New Roman" w:cs="Times New Roman"/>
        </w:rPr>
        <w:t>Meso</w:t>
      </w:r>
      <w:proofErr w:type="spellEnd"/>
      <w:r w:rsidRPr="005B3F3B">
        <w:rPr>
          <w:rFonts w:ascii="Times New Roman" w:eastAsia="Times New Roman" w:hAnsi="Times New Roman" w:cs="Times New Roman"/>
        </w:rPr>
        <w:t xml:space="preserve"> Scale Discovery, Mission Therapeutics, Neurocrine Biosciences, Neuron23, Neuropore, Pfizer, Piramal, Prevail Therapeutics, Roche, Sanofi, Servier, Sun Pharma Advanced Research Company, Takeda, Teva, UCB, Vanqua Bio, Verily, Voyager Therapeutics, the Weston Family Foundation and </w:t>
      </w:r>
      <w:proofErr w:type="spellStart"/>
      <w:r w:rsidRPr="005B3F3B">
        <w:rPr>
          <w:rFonts w:ascii="Times New Roman" w:eastAsia="Times New Roman" w:hAnsi="Times New Roman" w:cs="Times New Roman"/>
        </w:rPr>
        <w:t>Yumanity</w:t>
      </w:r>
      <w:proofErr w:type="spellEnd"/>
      <w:r w:rsidRPr="005B3F3B">
        <w:rPr>
          <w:rFonts w:ascii="Times New Roman" w:eastAsia="Times New Roman" w:hAnsi="Times New Roman" w:cs="Times New Roman"/>
        </w:rPr>
        <w:t xml:space="preserve"> Therapeutics.</w:t>
      </w:r>
    </w:p>
    <w:p w14:paraId="37CBB475" w14:textId="29E283C7" w:rsidR="003E3DEC" w:rsidRPr="005B3F3B" w:rsidRDefault="00C94494" w:rsidP="005B3F3B">
      <w:pPr>
        <w:spacing w:before="240"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i/>
          <w:u w:val="single"/>
        </w:rPr>
        <w:t>SHIP-TREND</w:t>
      </w:r>
      <w:r w:rsidRPr="005B3F3B">
        <w:rPr>
          <w:rFonts w:ascii="Times New Roman" w:eastAsia="Times New Roman" w:hAnsi="Times New Roman" w:cs="Times New Roman"/>
        </w:rPr>
        <w:t xml:space="preserve">: SHIP is part of the Community Medicine Research </w:t>
      </w:r>
      <w:r w:rsidR="006D03D5" w:rsidRPr="005B3F3B">
        <w:rPr>
          <w:rFonts w:ascii="Times New Roman" w:eastAsia="Times New Roman" w:hAnsi="Times New Roman" w:cs="Times New Roman"/>
        </w:rPr>
        <w:t>N</w:t>
      </w:r>
      <w:r w:rsidRPr="005B3F3B">
        <w:rPr>
          <w:rFonts w:ascii="Times New Roman" w:eastAsia="Times New Roman" w:hAnsi="Times New Roman" w:cs="Times New Roman"/>
        </w:rPr>
        <w:t xml:space="preserve">et of the University of </w:t>
      </w:r>
      <w:r w:rsidR="006D03D5" w:rsidRPr="005B3F3B">
        <w:rPr>
          <w:rFonts w:ascii="Times New Roman" w:eastAsia="Times New Roman" w:hAnsi="Times New Roman" w:cs="Times New Roman"/>
        </w:rPr>
        <w:t xml:space="preserve">Medicine </w:t>
      </w:r>
      <w:r w:rsidRPr="005B3F3B">
        <w:rPr>
          <w:rFonts w:ascii="Times New Roman" w:eastAsia="Times New Roman" w:hAnsi="Times New Roman" w:cs="Times New Roman"/>
        </w:rPr>
        <w:t>Greifswald, Germany, which is funded by the Federal State of Mecklenburg-West Pomerania, and the network ‘Greifswald Approach to Individualized Medicine (GANI_MED)’ funded by the Federal Ministry of Education and Research (grant 03IS2061A). DNA methylation data have been supported by the DZHK (grants 81X3400104, 81X2400157). Whole-body MR imaging was supported by a joint grant from Siemens Healthineers, Erlangen, Germany and the Federal State of Mecklenburg West Pomerania. The University of Greifswald is a member of the Caché Campus program of the InterSystems GmbH. The SHIP authors are grateful to Paul S. DeVries for his support with the EWAS pipeline.</w:t>
      </w:r>
    </w:p>
    <w:p w14:paraId="0000005A" w14:textId="72D1C96A" w:rsidR="00761DC3" w:rsidRPr="005B3F3B" w:rsidRDefault="003E3DEC" w:rsidP="005B3F3B">
      <w:pPr>
        <w:spacing w:before="240" w:line="360" w:lineRule="auto"/>
        <w:ind w:left="0"/>
        <w:jc w:val="both"/>
        <w:rPr>
          <w:rFonts w:ascii="Times New Roman" w:eastAsia="Times New Roman" w:hAnsi="Times New Roman" w:cs="Times New Roman"/>
        </w:rPr>
      </w:pPr>
      <w:proofErr w:type="spellStart"/>
      <w:r w:rsidRPr="005B3F3B">
        <w:rPr>
          <w:rFonts w:ascii="Times New Roman" w:eastAsia="Times New Roman" w:hAnsi="Times New Roman" w:cs="Times New Roman"/>
          <w:i/>
          <w:iCs/>
          <w:u w:val="single"/>
        </w:rPr>
        <w:t>SNiP</w:t>
      </w:r>
      <w:proofErr w:type="spellEnd"/>
      <w:r w:rsidRPr="005B3F3B">
        <w:rPr>
          <w:rFonts w:ascii="Times New Roman" w:eastAsia="Times New Roman" w:hAnsi="Times New Roman" w:cs="Times New Roman"/>
          <w:i/>
          <w:iCs/>
        </w:rPr>
        <w:t>:</w:t>
      </w:r>
      <w:r w:rsidR="00E5444D" w:rsidRPr="005B3F3B">
        <w:rPr>
          <w:rFonts w:ascii="Times New Roman" w:eastAsia="Times New Roman" w:hAnsi="Times New Roman" w:cs="Times New Roman"/>
          <w:i/>
          <w:iCs/>
        </w:rPr>
        <w:t xml:space="preserve"> </w:t>
      </w:r>
      <w:r w:rsidR="00E2355F" w:rsidRPr="005B3F3B">
        <w:rPr>
          <w:rFonts w:ascii="Times New Roman" w:eastAsia="Times New Roman" w:hAnsi="Times New Roman" w:cs="Times New Roman"/>
        </w:rPr>
        <w:t>This work was supported by the German Research Foundation (SFB 1158 B09 to A.M.-L.); the German Federal Ministry of Education and Research (01ZX1314G, 01GS08147 and 01GQ1003B to A.M.-L.); the Ministry of Science, Research and the Arts of the State of Baden-Württemberg, Germany (42-04HV.MED(16)/16/1 and 42-5400/136/1 to A.M.-L.); the European Union’s Seventh Framework Programme (602450, 602805, 115300 and HEALTH-F2-2010-241909 to A.M.-L.); and the Innovative Medicines Initiative Joint Undertaking (115008 to A.M.-L.)</w:t>
      </w:r>
      <w:r w:rsidR="00E5444D" w:rsidRPr="005B3F3B">
        <w:rPr>
          <w:rFonts w:ascii="Times New Roman" w:eastAsia="Times New Roman" w:hAnsi="Times New Roman" w:cs="Times New Roman"/>
        </w:rPr>
        <w:t>.</w:t>
      </w:r>
    </w:p>
    <w:p w14:paraId="6061C3CB" w14:textId="78495B11" w:rsidR="003E3DEC" w:rsidRPr="005B3F3B" w:rsidRDefault="00E9454D" w:rsidP="005B3F3B">
      <w:pPr>
        <w:spacing w:before="240" w:line="360" w:lineRule="auto"/>
        <w:ind w:left="0"/>
        <w:jc w:val="both"/>
        <w:rPr>
          <w:rFonts w:ascii="Times New Roman" w:hAnsi="Times New Roman" w:cs="Times New Roman"/>
          <w:lang w:val="en-US"/>
        </w:rPr>
      </w:pPr>
      <w:r w:rsidRPr="005B3F3B">
        <w:rPr>
          <w:rFonts w:ascii="Times New Roman" w:eastAsia="Times New Roman" w:hAnsi="Times New Roman" w:cs="Times New Roman"/>
          <w:i/>
          <w:u w:val="single"/>
        </w:rPr>
        <w:t>STRATIFY</w:t>
      </w:r>
      <w:r w:rsidRPr="005B3F3B">
        <w:rPr>
          <w:rFonts w:ascii="Times New Roman" w:eastAsia="Times New Roman" w:hAnsi="Times New Roman" w:cs="Times New Roman"/>
        </w:rPr>
        <w:t xml:space="preserve">: the Horizon 2020 funded ERC Advanced Grant ‘STRATIFY’ (Brain </w:t>
      </w:r>
      <w:r w:rsidR="00EC49FA" w:rsidRPr="005B3F3B">
        <w:rPr>
          <w:rFonts w:ascii="Times New Roman" w:eastAsia="Times New Roman" w:hAnsi="Times New Roman" w:cs="Times New Roman"/>
        </w:rPr>
        <w:t>network-based</w:t>
      </w:r>
      <w:r w:rsidRPr="005B3F3B">
        <w:rPr>
          <w:rFonts w:ascii="Times New Roman" w:eastAsia="Times New Roman" w:hAnsi="Times New Roman" w:cs="Times New Roman"/>
        </w:rPr>
        <w:t xml:space="preserve"> stratification of reinforcement-related disorders; 695313), </w:t>
      </w:r>
      <w:r w:rsidRPr="005B3F3B">
        <w:rPr>
          <w:rFonts w:ascii="Times New Roman" w:hAnsi="Times New Roman" w:cs="Times New Roman"/>
          <w:lang w:val="en-US"/>
        </w:rPr>
        <w:t xml:space="preserve">the European Union-funded project </w:t>
      </w:r>
      <w:proofErr w:type="spellStart"/>
      <w:r w:rsidRPr="005B3F3B">
        <w:rPr>
          <w:rFonts w:ascii="Times New Roman" w:hAnsi="Times New Roman" w:cs="Times New Roman"/>
          <w:lang w:val="en-US"/>
        </w:rPr>
        <w:t>environMENTAL</w:t>
      </w:r>
      <w:proofErr w:type="spellEnd"/>
      <w:r w:rsidRPr="005B3F3B">
        <w:rPr>
          <w:rFonts w:ascii="Times New Roman" w:hAnsi="Times New Roman" w:cs="Times New Roman"/>
          <w:lang w:val="en-US"/>
        </w:rPr>
        <w:t xml:space="preserve"> (Grant agreement No 101057429 to G.S.), which received complementary funding from the UK Research and Innovation (UKRI) under the UK government’s Horizon Europe funding guarantee (10131373 and 10038599 to S.D.).</w:t>
      </w:r>
    </w:p>
    <w:p w14:paraId="00000069" w14:textId="6C16C32E" w:rsidR="00761DC3" w:rsidRPr="005B3F3B" w:rsidRDefault="003E3DEC" w:rsidP="005B3F3B">
      <w:pPr>
        <w:spacing w:before="240" w:line="360" w:lineRule="auto"/>
        <w:ind w:left="0"/>
        <w:jc w:val="both"/>
        <w:rPr>
          <w:rFonts w:ascii="Times New Roman" w:hAnsi="Times New Roman" w:cs="Times New Roman"/>
          <w:lang w:val="en-US"/>
        </w:rPr>
      </w:pPr>
      <w:r w:rsidRPr="005B3F3B">
        <w:rPr>
          <w:rFonts w:ascii="Times New Roman" w:hAnsi="Times New Roman" w:cs="Times New Roman"/>
          <w:i/>
          <w:iCs/>
          <w:u w:val="single"/>
          <w:lang w:val="en-US"/>
        </w:rPr>
        <w:t>SYS</w:t>
      </w:r>
      <w:r w:rsidRPr="005B3F3B">
        <w:rPr>
          <w:rFonts w:ascii="Times New Roman" w:hAnsi="Times New Roman" w:cs="Times New Roman"/>
          <w:i/>
          <w:iCs/>
          <w:lang w:val="en-US"/>
        </w:rPr>
        <w:t>:</w:t>
      </w:r>
      <w:r w:rsidR="00E5444D" w:rsidRPr="005B3F3B">
        <w:rPr>
          <w:rFonts w:ascii="Times New Roman" w:hAnsi="Times New Roman" w:cs="Times New Roman"/>
          <w:lang w:val="en-US"/>
        </w:rPr>
        <w:t xml:space="preserve"> This work was funded by the Canadian Institutes of Health Research, Canadian Foundation for Innovation and Heart and Stroke Foundation of Canada.</w:t>
      </w:r>
    </w:p>
    <w:p w14:paraId="1D6E67EF" w14:textId="77777777" w:rsidR="007272BE" w:rsidRPr="005B3F3B" w:rsidRDefault="007272BE" w:rsidP="005B3F3B">
      <w:pPr>
        <w:spacing w:line="360" w:lineRule="auto"/>
        <w:ind w:left="0"/>
        <w:jc w:val="both"/>
        <w:rPr>
          <w:rFonts w:ascii="Times New Roman" w:eastAsia="Times New Roman" w:hAnsi="Times New Roman" w:cs="Times New Roman"/>
        </w:rPr>
      </w:pPr>
    </w:p>
    <w:p w14:paraId="6D680DF2" w14:textId="77777777" w:rsidR="007272BE" w:rsidRPr="005B3F3B" w:rsidRDefault="007272BE" w:rsidP="005B3F3B">
      <w:pPr>
        <w:spacing w:line="360" w:lineRule="auto"/>
        <w:ind w:left="0"/>
        <w:jc w:val="both"/>
        <w:rPr>
          <w:rFonts w:ascii="Times New Roman" w:eastAsia="Times New Roman" w:hAnsi="Times New Roman" w:cs="Times New Roman"/>
        </w:rPr>
        <w:sectPr w:rsidR="007272BE" w:rsidRPr="005B3F3B">
          <w:pgSz w:w="11906" w:h="16838"/>
          <w:pgMar w:top="1440" w:right="1440" w:bottom="1440" w:left="1440" w:header="708" w:footer="708" w:gutter="0"/>
          <w:cols w:space="720"/>
        </w:sectPr>
      </w:pPr>
    </w:p>
    <w:p w14:paraId="27D33A15" w14:textId="3414EFB1" w:rsidR="007272BE" w:rsidRPr="005B3F3B" w:rsidRDefault="00921482" w:rsidP="005B3F3B">
      <w:pPr>
        <w:pStyle w:val="Heading1"/>
        <w:spacing w:line="360" w:lineRule="auto"/>
        <w:jc w:val="both"/>
      </w:pPr>
      <w:bookmarkStart w:id="15" w:name="_Toc224509816"/>
      <w:r w:rsidRPr="005B3F3B">
        <w:lastRenderedPageBreak/>
        <w:t>Supplementary r</w:t>
      </w:r>
      <w:r w:rsidR="007272BE" w:rsidRPr="005B3F3B">
        <w:t>eferences</w:t>
      </w:r>
      <w:bookmarkEnd w:id="15"/>
    </w:p>
    <w:p w14:paraId="5F908E50" w14:textId="77777777" w:rsidR="00F05D92" w:rsidRPr="005B3F3B" w:rsidRDefault="007272BE" w:rsidP="005B3F3B">
      <w:pPr>
        <w:pStyle w:val="Bibliography"/>
        <w:spacing w:line="360" w:lineRule="auto"/>
        <w:rPr>
          <w:rFonts w:ascii="Times New Roman" w:hAnsi="Times New Roman" w:cs="Times New Roman"/>
        </w:rPr>
      </w:pPr>
      <w:r w:rsidRPr="005B3F3B">
        <w:rPr>
          <w:rFonts w:ascii="Times New Roman" w:eastAsia="Times New Roman" w:hAnsi="Times New Roman" w:cs="Times New Roman"/>
        </w:rPr>
        <w:fldChar w:fldCharType="begin"/>
      </w:r>
      <w:r w:rsidRPr="005B3F3B">
        <w:rPr>
          <w:rFonts w:ascii="Times New Roman" w:eastAsia="Times New Roman" w:hAnsi="Times New Roman" w:cs="Times New Roman"/>
        </w:rPr>
        <w:instrText xml:space="preserve"> ADDIN ZOTERO_BIBL {"uncited":[],"omitted":[],"custom":[]} CSL_BIBLIOGRAPHY </w:instrText>
      </w:r>
      <w:r w:rsidRPr="005B3F3B">
        <w:rPr>
          <w:rFonts w:ascii="Times New Roman" w:eastAsia="Times New Roman" w:hAnsi="Times New Roman" w:cs="Times New Roman"/>
        </w:rPr>
        <w:fldChar w:fldCharType="separate"/>
      </w:r>
      <w:r w:rsidR="00F05D92" w:rsidRPr="005B3F3B">
        <w:rPr>
          <w:rFonts w:ascii="Times New Roman" w:hAnsi="Times New Roman" w:cs="Times New Roman"/>
        </w:rPr>
        <w:t>1.</w:t>
      </w:r>
      <w:r w:rsidR="00F05D92" w:rsidRPr="005B3F3B">
        <w:rPr>
          <w:rFonts w:ascii="Times New Roman" w:hAnsi="Times New Roman" w:cs="Times New Roman"/>
        </w:rPr>
        <w:tab/>
        <w:t xml:space="preserve">Grasby, K. L. </w:t>
      </w:r>
      <w:r w:rsidR="00F05D92" w:rsidRPr="005B3F3B">
        <w:rPr>
          <w:rFonts w:ascii="Times New Roman" w:hAnsi="Times New Roman" w:cs="Times New Roman"/>
          <w:i/>
          <w:iCs/>
        </w:rPr>
        <w:t>et al.</w:t>
      </w:r>
      <w:r w:rsidR="00F05D92" w:rsidRPr="005B3F3B">
        <w:rPr>
          <w:rFonts w:ascii="Times New Roman" w:hAnsi="Times New Roman" w:cs="Times New Roman"/>
        </w:rPr>
        <w:t xml:space="preserve"> The genetic architecture of the human cerebral cortex. </w:t>
      </w:r>
      <w:r w:rsidR="00F05D92" w:rsidRPr="005B3F3B">
        <w:rPr>
          <w:rFonts w:ascii="Times New Roman" w:hAnsi="Times New Roman" w:cs="Times New Roman"/>
          <w:i/>
          <w:iCs/>
        </w:rPr>
        <w:t>Science</w:t>
      </w:r>
      <w:r w:rsidR="00F05D92" w:rsidRPr="005B3F3B">
        <w:rPr>
          <w:rFonts w:ascii="Times New Roman" w:hAnsi="Times New Roman" w:cs="Times New Roman"/>
        </w:rPr>
        <w:t xml:space="preserve"> </w:t>
      </w:r>
      <w:r w:rsidR="00F05D92" w:rsidRPr="005B3F3B">
        <w:rPr>
          <w:rFonts w:ascii="Times New Roman" w:hAnsi="Times New Roman" w:cs="Times New Roman"/>
          <w:b/>
          <w:bCs/>
        </w:rPr>
        <w:t>367</w:t>
      </w:r>
      <w:r w:rsidR="00F05D92" w:rsidRPr="005B3F3B">
        <w:rPr>
          <w:rFonts w:ascii="Times New Roman" w:hAnsi="Times New Roman" w:cs="Times New Roman"/>
        </w:rPr>
        <w:t>, eaay6690 (2020).</w:t>
      </w:r>
    </w:p>
    <w:p w14:paraId="47B07B70"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w:t>
      </w:r>
      <w:r w:rsidRPr="005B3F3B">
        <w:rPr>
          <w:rFonts w:ascii="Times New Roman" w:hAnsi="Times New Roman" w:cs="Times New Roman"/>
        </w:rPr>
        <w:tab/>
        <w:t xml:space="preserve">Noguera-Castells, A., García-Prieto, C. A., Álvarez-Errico, D. &amp; Esteller, M. Validation of the new EPIC DNA methylation microarray (900K EPIC v2) for high-throughput profiling of the human DNA methylome. </w:t>
      </w:r>
      <w:r w:rsidRPr="005B3F3B">
        <w:rPr>
          <w:rFonts w:ascii="Times New Roman" w:hAnsi="Times New Roman" w:cs="Times New Roman"/>
          <w:i/>
          <w:iCs/>
        </w:rPr>
        <w:t>Epigenetics</w:t>
      </w:r>
      <w:r w:rsidRPr="005B3F3B">
        <w:rPr>
          <w:rFonts w:ascii="Times New Roman" w:hAnsi="Times New Roman" w:cs="Times New Roman"/>
        </w:rPr>
        <w:t xml:space="preserve"> </w:t>
      </w:r>
      <w:r w:rsidRPr="005B3F3B">
        <w:rPr>
          <w:rFonts w:ascii="Times New Roman" w:hAnsi="Times New Roman" w:cs="Times New Roman"/>
          <w:b/>
          <w:bCs/>
        </w:rPr>
        <w:t>18</w:t>
      </w:r>
      <w:r w:rsidRPr="005B3F3B">
        <w:rPr>
          <w:rFonts w:ascii="Times New Roman" w:hAnsi="Times New Roman" w:cs="Times New Roman"/>
        </w:rPr>
        <w:t>, 2185742 (2023).</w:t>
      </w:r>
    </w:p>
    <w:p w14:paraId="587C5280"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w:t>
      </w:r>
      <w:r w:rsidRPr="005B3F3B">
        <w:rPr>
          <w:rFonts w:ascii="Times New Roman" w:hAnsi="Times New Roman" w:cs="Times New Roman"/>
        </w:rPr>
        <w:tab/>
        <w:t xml:space="preserve">ENCODE Project Consortium. An integrated encyclopedia of DNA elements in the human genome. </w:t>
      </w:r>
      <w:r w:rsidRPr="005B3F3B">
        <w:rPr>
          <w:rFonts w:ascii="Times New Roman" w:hAnsi="Times New Roman" w:cs="Times New Roman"/>
          <w:i/>
          <w:iCs/>
        </w:rPr>
        <w:t>Nature</w:t>
      </w:r>
      <w:r w:rsidRPr="005B3F3B">
        <w:rPr>
          <w:rFonts w:ascii="Times New Roman" w:hAnsi="Times New Roman" w:cs="Times New Roman"/>
        </w:rPr>
        <w:t xml:space="preserve"> </w:t>
      </w:r>
      <w:r w:rsidRPr="005B3F3B">
        <w:rPr>
          <w:rFonts w:ascii="Times New Roman" w:hAnsi="Times New Roman" w:cs="Times New Roman"/>
          <w:b/>
          <w:bCs/>
        </w:rPr>
        <w:t>489</w:t>
      </w:r>
      <w:r w:rsidRPr="005B3F3B">
        <w:rPr>
          <w:rFonts w:ascii="Times New Roman" w:hAnsi="Times New Roman" w:cs="Times New Roman"/>
        </w:rPr>
        <w:t>, 57–74 (2012).</w:t>
      </w:r>
    </w:p>
    <w:p w14:paraId="3475D809"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w:t>
      </w:r>
      <w:r w:rsidRPr="005B3F3B">
        <w:rPr>
          <w:rFonts w:ascii="Times New Roman" w:hAnsi="Times New Roman" w:cs="Times New Roman"/>
        </w:rPr>
        <w:tab/>
        <w:t xml:space="preserve">Lizio, M. </w:t>
      </w:r>
      <w:r w:rsidRPr="005B3F3B">
        <w:rPr>
          <w:rFonts w:ascii="Times New Roman" w:hAnsi="Times New Roman" w:cs="Times New Roman"/>
          <w:i/>
          <w:iCs/>
        </w:rPr>
        <w:t>et al.</w:t>
      </w:r>
      <w:r w:rsidRPr="005B3F3B">
        <w:rPr>
          <w:rFonts w:ascii="Times New Roman" w:hAnsi="Times New Roman" w:cs="Times New Roman"/>
        </w:rPr>
        <w:t xml:space="preserve"> Gateways to the FANTOM5 promoter level mammalian expression atlas. </w:t>
      </w:r>
      <w:r w:rsidRPr="005B3F3B">
        <w:rPr>
          <w:rFonts w:ascii="Times New Roman" w:hAnsi="Times New Roman" w:cs="Times New Roman"/>
          <w:i/>
          <w:iCs/>
        </w:rPr>
        <w:t>Genome Biol.</w:t>
      </w:r>
      <w:r w:rsidRPr="005B3F3B">
        <w:rPr>
          <w:rFonts w:ascii="Times New Roman" w:hAnsi="Times New Roman" w:cs="Times New Roman"/>
        </w:rPr>
        <w:t xml:space="preserve"> </w:t>
      </w:r>
      <w:r w:rsidRPr="005B3F3B">
        <w:rPr>
          <w:rFonts w:ascii="Times New Roman" w:hAnsi="Times New Roman" w:cs="Times New Roman"/>
          <w:b/>
          <w:bCs/>
        </w:rPr>
        <w:t>16</w:t>
      </w:r>
      <w:r w:rsidRPr="005B3F3B">
        <w:rPr>
          <w:rFonts w:ascii="Times New Roman" w:hAnsi="Times New Roman" w:cs="Times New Roman"/>
        </w:rPr>
        <w:t>, 22 (2015).</w:t>
      </w:r>
    </w:p>
    <w:p w14:paraId="27ED9B73"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w:t>
      </w:r>
      <w:r w:rsidRPr="005B3F3B">
        <w:rPr>
          <w:rFonts w:ascii="Times New Roman" w:hAnsi="Times New Roman" w:cs="Times New Roman"/>
        </w:rPr>
        <w:tab/>
        <w:t xml:space="preserve">Moore, J. E. </w:t>
      </w:r>
      <w:r w:rsidRPr="005B3F3B">
        <w:rPr>
          <w:rFonts w:ascii="Times New Roman" w:hAnsi="Times New Roman" w:cs="Times New Roman"/>
          <w:i/>
          <w:iCs/>
        </w:rPr>
        <w:t>et al.</w:t>
      </w:r>
      <w:r w:rsidRPr="005B3F3B">
        <w:rPr>
          <w:rFonts w:ascii="Times New Roman" w:hAnsi="Times New Roman" w:cs="Times New Roman"/>
        </w:rPr>
        <w:t xml:space="preserve"> Expanded encyclopaedias of DNA elements in the human and mouse genomes. </w:t>
      </w:r>
      <w:r w:rsidRPr="005B3F3B">
        <w:rPr>
          <w:rFonts w:ascii="Times New Roman" w:hAnsi="Times New Roman" w:cs="Times New Roman"/>
          <w:i/>
          <w:iCs/>
        </w:rPr>
        <w:t>Nature</w:t>
      </w:r>
      <w:r w:rsidRPr="005B3F3B">
        <w:rPr>
          <w:rFonts w:ascii="Times New Roman" w:hAnsi="Times New Roman" w:cs="Times New Roman"/>
        </w:rPr>
        <w:t xml:space="preserve"> </w:t>
      </w:r>
      <w:r w:rsidRPr="005B3F3B">
        <w:rPr>
          <w:rFonts w:ascii="Times New Roman" w:hAnsi="Times New Roman" w:cs="Times New Roman"/>
          <w:b/>
          <w:bCs/>
        </w:rPr>
        <w:t>583</w:t>
      </w:r>
      <w:r w:rsidRPr="005B3F3B">
        <w:rPr>
          <w:rFonts w:ascii="Times New Roman" w:hAnsi="Times New Roman" w:cs="Times New Roman"/>
        </w:rPr>
        <w:t>, 699–710 (2020).</w:t>
      </w:r>
    </w:p>
    <w:p w14:paraId="61715DDF"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6.</w:t>
      </w:r>
      <w:r w:rsidRPr="005B3F3B">
        <w:rPr>
          <w:rFonts w:ascii="Times New Roman" w:hAnsi="Times New Roman" w:cs="Times New Roman"/>
        </w:rPr>
        <w:tab/>
        <w:t xml:space="preserve">Touleimat, N. &amp; Tost, J. Complete pipeline for Infinium(®) Human Methylation 450K BeadChip data processing using subset quantile normalization for accurate DNA methylation estimation. </w:t>
      </w:r>
      <w:r w:rsidRPr="005B3F3B">
        <w:rPr>
          <w:rFonts w:ascii="Times New Roman" w:hAnsi="Times New Roman" w:cs="Times New Roman"/>
          <w:i/>
          <w:iCs/>
        </w:rPr>
        <w:t>Epigenomics</w:t>
      </w:r>
      <w:r w:rsidRPr="005B3F3B">
        <w:rPr>
          <w:rFonts w:ascii="Times New Roman" w:hAnsi="Times New Roman" w:cs="Times New Roman"/>
        </w:rPr>
        <w:t xml:space="preserve"> </w:t>
      </w:r>
      <w:r w:rsidRPr="005B3F3B">
        <w:rPr>
          <w:rFonts w:ascii="Times New Roman" w:hAnsi="Times New Roman" w:cs="Times New Roman"/>
          <w:b/>
          <w:bCs/>
        </w:rPr>
        <w:t>4</w:t>
      </w:r>
      <w:r w:rsidRPr="005B3F3B">
        <w:rPr>
          <w:rFonts w:ascii="Times New Roman" w:hAnsi="Times New Roman" w:cs="Times New Roman"/>
        </w:rPr>
        <w:t>, 325–341 (2012).</w:t>
      </w:r>
    </w:p>
    <w:p w14:paraId="552B1EB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7.</w:t>
      </w:r>
      <w:r w:rsidRPr="005B3F3B">
        <w:rPr>
          <w:rFonts w:ascii="Times New Roman" w:hAnsi="Times New Roman" w:cs="Times New Roman"/>
        </w:rPr>
        <w:tab/>
        <w:t xml:space="preserve">Fernandez-Jimenez, N. </w:t>
      </w:r>
      <w:r w:rsidRPr="005B3F3B">
        <w:rPr>
          <w:rFonts w:ascii="Times New Roman" w:hAnsi="Times New Roman" w:cs="Times New Roman"/>
          <w:i/>
          <w:iCs/>
        </w:rPr>
        <w:t>et al.</w:t>
      </w:r>
      <w:r w:rsidRPr="005B3F3B">
        <w:rPr>
          <w:rFonts w:ascii="Times New Roman" w:hAnsi="Times New Roman" w:cs="Times New Roman"/>
        </w:rPr>
        <w:t xml:space="preserve"> Comparison of Illumina 450K and EPIC arrays in placental DNA methylation. </w:t>
      </w:r>
      <w:r w:rsidRPr="005B3F3B">
        <w:rPr>
          <w:rFonts w:ascii="Times New Roman" w:hAnsi="Times New Roman" w:cs="Times New Roman"/>
          <w:i/>
          <w:iCs/>
        </w:rPr>
        <w:t>Epigenetics</w:t>
      </w:r>
      <w:r w:rsidRPr="005B3F3B">
        <w:rPr>
          <w:rFonts w:ascii="Times New Roman" w:hAnsi="Times New Roman" w:cs="Times New Roman"/>
        </w:rPr>
        <w:t xml:space="preserve"> </w:t>
      </w:r>
      <w:r w:rsidRPr="005B3F3B">
        <w:rPr>
          <w:rFonts w:ascii="Times New Roman" w:hAnsi="Times New Roman" w:cs="Times New Roman"/>
          <w:b/>
          <w:bCs/>
        </w:rPr>
        <w:t>14</w:t>
      </w:r>
      <w:r w:rsidRPr="005B3F3B">
        <w:rPr>
          <w:rFonts w:ascii="Times New Roman" w:hAnsi="Times New Roman" w:cs="Times New Roman"/>
        </w:rPr>
        <w:t>, 1177–1182 (2019).</w:t>
      </w:r>
    </w:p>
    <w:p w14:paraId="7245F8C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8.</w:t>
      </w:r>
      <w:r w:rsidRPr="005B3F3B">
        <w:rPr>
          <w:rFonts w:ascii="Times New Roman" w:hAnsi="Times New Roman" w:cs="Times New Roman"/>
        </w:rPr>
        <w:tab/>
        <w:t xml:space="preserve">Solomon, O. </w:t>
      </w:r>
      <w:r w:rsidRPr="005B3F3B">
        <w:rPr>
          <w:rFonts w:ascii="Times New Roman" w:hAnsi="Times New Roman" w:cs="Times New Roman"/>
          <w:i/>
          <w:iCs/>
        </w:rPr>
        <w:t>et al.</w:t>
      </w:r>
      <w:r w:rsidRPr="005B3F3B">
        <w:rPr>
          <w:rFonts w:ascii="Times New Roman" w:hAnsi="Times New Roman" w:cs="Times New Roman"/>
        </w:rPr>
        <w:t xml:space="preserve"> Comparison of DNA methylation measured by Illumina 450K and EPIC BeadChips in blood of newborns and 14-year-old children. </w:t>
      </w:r>
      <w:r w:rsidRPr="005B3F3B">
        <w:rPr>
          <w:rFonts w:ascii="Times New Roman" w:hAnsi="Times New Roman" w:cs="Times New Roman"/>
          <w:i/>
          <w:iCs/>
        </w:rPr>
        <w:t>Epigenetics</w:t>
      </w:r>
      <w:r w:rsidRPr="005B3F3B">
        <w:rPr>
          <w:rFonts w:ascii="Times New Roman" w:hAnsi="Times New Roman" w:cs="Times New Roman"/>
        </w:rPr>
        <w:t xml:space="preserve"> </w:t>
      </w:r>
      <w:r w:rsidRPr="005B3F3B">
        <w:rPr>
          <w:rFonts w:ascii="Times New Roman" w:hAnsi="Times New Roman" w:cs="Times New Roman"/>
          <w:b/>
          <w:bCs/>
        </w:rPr>
        <w:t>13</w:t>
      </w:r>
      <w:r w:rsidRPr="005B3F3B">
        <w:rPr>
          <w:rFonts w:ascii="Times New Roman" w:hAnsi="Times New Roman" w:cs="Times New Roman"/>
        </w:rPr>
        <w:t>, 655–664 (2018).</w:t>
      </w:r>
    </w:p>
    <w:p w14:paraId="01657071"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9.</w:t>
      </w:r>
      <w:r w:rsidRPr="005B3F3B">
        <w:rPr>
          <w:rFonts w:ascii="Times New Roman" w:hAnsi="Times New Roman" w:cs="Times New Roman"/>
        </w:rPr>
        <w:tab/>
        <w:t xml:space="preserve">Lussier, A. A. </w:t>
      </w:r>
      <w:r w:rsidRPr="005B3F3B">
        <w:rPr>
          <w:rFonts w:ascii="Times New Roman" w:hAnsi="Times New Roman" w:cs="Times New Roman"/>
          <w:i/>
          <w:iCs/>
        </w:rPr>
        <w:t>et al.</w:t>
      </w:r>
      <w:r w:rsidRPr="005B3F3B">
        <w:rPr>
          <w:rFonts w:ascii="Times New Roman" w:hAnsi="Times New Roman" w:cs="Times New Roman"/>
        </w:rPr>
        <w:t xml:space="preserve"> Technical variability across the 450K, EPICv1, and EPICv2 DNA methylation arrays: lessons learned for clinical and longitudinal studies. </w:t>
      </w:r>
      <w:r w:rsidRPr="005B3F3B">
        <w:rPr>
          <w:rFonts w:ascii="Times New Roman" w:hAnsi="Times New Roman" w:cs="Times New Roman"/>
          <w:i/>
          <w:iCs/>
        </w:rPr>
        <w:t>Clin. Epigenetics</w:t>
      </w:r>
      <w:r w:rsidRPr="005B3F3B">
        <w:rPr>
          <w:rFonts w:ascii="Times New Roman" w:hAnsi="Times New Roman" w:cs="Times New Roman"/>
        </w:rPr>
        <w:t xml:space="preserve"> </w:t>
      </w:r>
      <w:r w:rsidRPr="005B3F3B">
        <w:rPr>
          <w:rFonts w:ascii="Times New Roman" w:hAnsi="Times New Roman" w:cs="Times New Roman"/>
          <w:b/>
          <w:bCs/>
        </w:rPr>
        <w:t>16</w:t>
      </w:r>
      <w:r w:rsidRPr="005B3F3B">
        <w:rPr>
          <w:rFonts w:ascii="Times New Roman" w:hAnsi="Times New Roman" w:cs="Times New Roman"/>
        </w:rPr>
        <w:t>, 166 (2024).</w:t>
      </w:r>
    </w:p>
    <w:p w14:paraId="2B974E7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10.</w:t>
      </w:r>
      <w:r w:rsidRPr="005B3F3B">
        <w:rPr>
          <w:rFonts w:ascii="Times New Roman" w:hAnsi="Times New Roman" w:cs="Times New Roman"/>
        </w:rPr>
        <w:tab/>
        <w:t xml:space="preserve">Aryee, M. J. </w:t>
      </w:r>
      <w:r w:rsidRPr="005B3F3B">
        <w:rPr>
          <w:rFonts w:ascii="Times New Roman" w:hAnsi="Times New Roman" w:cs="Times New Roman"/>
          <w:i/>
          <w:iCs/>
        </w:rPr>
        <w:t>et al.</w:t>
      </w:r>
      <w:r w:rsidRPr="005B3F3B">
        <w:rPr>
          <w:rFonts w:ascii="Times New Roman" w:hAnsi="Times New Roman" w:cs="Times New Roman"/>
        </w:rPr>
        <w:t xml:space="preserve"> Minfi: a flexible and comprehensive Bioconductor package for the analysis of Infinium DNA methylation microarrays. </w:t>
      </w:r>
      <w:r w:rsidRPr="005B3F3B">
        <w:rPr>
          <w:rFonts w:ascii="Times New Roman" w:hAnsi="Times New Roman" w:cs="Times New Roman"/>
          <w:i/>
          <w:iCs/>
        </w:rPr>
        <w:t>Bioinforma. Oxf. Engl.</w:t>
      </w:r>
      <w:r w:rsidRPr="005B3F3B">
        <w:rPr>
          <w:rFonts w:ascii="Times New Roman" w:hAnsi="Times New Roman" w:cs="Times New Roman"/>
        </w:rPr>
        <w:t xml:space="preserve"> </w:t>
      </w:r>
      <w:r w:rsidRPr="005B3F3B">
        <w:rPr>
          <w:rFonts w:ascii="Times New Roman" w:hAnsi="Times New Roman" w:cs="Times New Roman"/>
          <w:b/>
          <w:bCs/>
        </w:rPr>
        <w:t>30</w:t>
      </w:r>
      <w:r w:rsidRPr="005B3F3B">
        <w:rPr>
          <w:rFonts w:ascii="Times New Roman" w:hAnsi="Times New Roman" w:cs="Times New Roman"/>
        </w:rPr>
        <w:t>, 1363–1369 (2014).</w:t>
      </w:r>
    </w:p>
    <w:p w14:paraId="66AA9DB3"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11.</w:t>
      </w:r>
      <w:r w:rsidRPr="005B3F3B">
        <w:rPr>
          <w:rFonts w:ascii="Times New Roman" w:hAnsi="Times New Roman" w:cs="Times New Roman"/>
        </w:rPr>
        <w:tab/>
        <w:t xml:space="preserve">Jia, T. </w:t>
      </w:r>
      <w:r w:rsidRPr="005B3F3B">
        <w:rPr>
          <w:rFonts w:ascii="Times New Roman" w:hAnsi="Times New Roman" w:cs="Times New Roman"/>
          <w:i/>
          <w:iCs/>
        </w:rPr>
        <w:t>et al.</w:t>
      </w:r>
      <w:r w:rsidRPr="005B3F3B">
        <w:rPr>
          <w:rFonts w:ascii="Times New Roman" w:hAnsi="Times New Roman" w:cs="Times New Roman"/>
        </w:rPr>
        <w:t xml:space="preserve"> Epigenome-wide meta-analysis of blood DNA methylation and its association with subcortical volumes: findings from the ENIGMA Epigenetics Working Group. </w:t>
      </w:r>
      <w:r w:rsidRPr="005B3F3B">
        <w:rPr>
          <w:rFonts w:ascii="Times New Roman" w:hAnsi="Times New Roman" w:cs="Times New Roman"/>
          <w:i/>
          <w:iCs/>
        </w:rPr>
        <w:t>Mol. Psychiatry</w:t>
      </w:r>
      <w:r w:rsidRPr="005B3F3B">
        <w:rPr>
          <w:rFonts w:ascii="Times New Roman" w:hAnsi="Times New Roman" w:cs="Times New Roman"/>
        </w:rPr>
        <w:t xml:space="preserve"> </w:t>
      </w:r>
      <w:r w:rsidRPr="005B3F3B">
        <w:rPr>
          <w:rFonts w:ascii="Times New Roman" w:hAnsi="Times New Roman" w:cs="Times New Roman"/>
          <w:b/>
          <w:bCs/>
        </w:rPr>
        <w:t>26</w:t>
      </w:r>
      <w:r w:rsidRPr="005B3F3B">
        <w:rPr>
          <w:rFonts w:ascii="Times New Roman" w:hAnsi="Times New Roman" w:cs="Times New Roman"/>
        </w:rPr>
        <w:t>, 3884–3895 (2021).</w:t>
      </w:r>
    </w:p>
    <w:p w14:paraId="3A70B947"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12.</w:t>
      </w:r>
      <w:r w:rsidRPr="005B3F3B">
        <w:rPr>
          <w:rFonts w:ascii="Times New Roman" w:hAnsi="Times New Roman" w:cs="Times New Roman"/>
        </w:rPr>
        <w:tab/>
        <w:t xml:space="preserve">Sun, Y. </w:t>
      </w:r>
      <w:r w:rsidRPr="005B3F3B">
        <w:rPr>
          <w:rFonts w:ascii="Times New Roman" w:hAnsi="Times New Roman" w:cs="Times New Roman"/>
          <w:i/>
          <w:iCs/>
        </w:rPr>
        <w:t>et al.</w:t>
      </w:r>
      <w:r w:rsidRPr="005B3F3B">
        <w:rPr>
          <w:rFonts w:ascii="Times New Roman" w:hAnsi="Times New Roman" w:cs="Times New Roman"/>
        </w:rPr>
        <w:t xml:space="preserve"> Associations of DNA Methylation With Behavioral Problems, Gray Matter Volumes, and Negative Life Events Across Adolescence: Evidence From the Longitudinal IMAGEN Study. </w:t>
      </w:r>
      <w:r w:rsidRPr="005B3F3B">
        <w:rPr>
          <w:rFonts w:ascii="Times New Roman" w:hAnsi="Times New Roman" w:cs="Times New Roman"/>
          <w:i/>
          <w:iCs/>
        </w:rPr>
        <w:t>Biol. Psychiatry</w:t>
      </w:r>
      <w:r w:rsidRPr="005B3F3B">
        <w:rPr>
          <w:rFonts w:ascii="Times New Roman" w:hAnsi="Times New Roman" w:cs="Times New Roman"/>
        </w:rPr>
        <w:t xml:space="preserve"> </w:t>
      </w:r>
      <w:r w:rsidRPr="005B3F3B">
        <w:rPr>
          <w:rFonts w:ascii="Times New Roman" w:hAnsi="Times New Roman" w:cs="Times New Roman"/>
          <w:b/>
          <w:bCs/>
        </w:rPr>
        <w:t>93</w:t>
      </w:r>
      <w:r w:rsidRPr="005B3F3B">
        <w:rPr>
          <w:rFonts w:ascii="Times New Roman" w:hAnsi="Times New Roman" w:cs="Times New Roman"/>
        </w:rPr>
        <w:t>, 342–351 (2023).</w:t>
      </w:r>
    </w:p>
    <w:p w14:paraId="1180A17A"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lastRenderedPageBreak/>
        <w:t>13.</w:t>
      </w:r>
      <w:r w:rsidRPr="005B3F3B">
        <w:rPr>
          <w:rFonts w:ascii="Times New Roman" w:hAnsi="Times New Roman" w:cs="Times New Roman"/>
        </w:rPr>
        <w:tab/>
        <w:t xml:space="preserve">Gervin, K. </w:t>
      </w:r>
      <w:r w:rsidRPr="005B3F3B">
        <w:rPr>
          <w:rFonts w:ascii="Times New Roman" w:hAnsi="Times New Roman" w:cs="Times New Roman"/>
          <w:i/>
          <w:iCs/>
        </w:rPr>
        <w:t>et al.</w:t>
      </w:r>
      <w:r w:rsidRPr="005B3F3B">
        <w:rPr>
          <w:rFonts w:ascii="Times New Roman" w:hAnsi="Times New Roman" w:cs="Times New Roman"/>
        </w:rPr>
        <w:t xml:space="preserve"> Systematic evaluation and validation of reference and library selection methods for deconvolution of cord blood DNA methylation data. </w:t>
      </w:r>
      <w:r w:rsidRPr="005B3F3B">
        <w:rPr>
          <w:rFonts w:ascii="Times New Roman" w:hAnsi="Times New Roman" w:cs="Times New Roman"/>
          <w:i/>
          <w:iCs/>
        </w:rPr>
        <w:t>Clin. Epigenetics</w:t>
      </w:r>
      <w:r w:rsidRPr="005B3F3B">
        <w:rPr>
          <w:rFonts w:ascii="Times New Roman" w:hAnsi="Times New Roman" w:cs="Times New Roman"/>
        </w:rPr>
        <w:t xml:space="preserve"> </w:t>
      </w:r>
      <w:r w:rsidRPr="005B3F3B">
        <w:rPr>
          <w:rFonts w:ascii="Times New Roman" w:hAnsi="Times New Roman" w:cs="Times New Roman"/>
          <w:b/>
          <w:bCs/>
        </w:rPr>
        <w:t>11</w:t>
      </w:r>
      <w:r w:rsidRPr="005B3F3B">
        <w:rPr>
          <w:rFonts w:ascii="Times New Roman" w:hAnsi="Times New Roman" w:cs="Times New Roman"/>
        </w:rPr>
        <w:t>, 125 (2019).</w:t>
      </w:r>
    </w:p>
    <w:p w14:paraId="0EBF802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14.</w:t>
      </w:r>
      <w:r w:rsidRPr="005B3F3B">
        <w:rPr>
          <w:rFonts w:ascii="Times New Roman" w:hAnsi="Times New Roman" w:cs="Times New Roman"/>
        </w:rPr>
        <w:tab/>
        <w:t xml:space="preserve">Sugden, K. </w:t>
      </w:r>
      <w:r w:rsidRPr="005B3F3B">
        <w:rPr>
          <w:rFonts w:ascii="Times New Roman" w:hAnsi="Times New Roman" w:cs="Times New Roman"/>
          <w:i/>
          <w:iCs/>
        </w:rPr>
        <w:t>et al.</w:t>
      </w:r>
      <w:r w:rsidRPr="005B3F3B">
        <w:rPr>
          <w:rFonts w:ascii="Times New Roman" w:hAnsi="Times New Roman" w:cs="Times New Roman"/>
        </w:rPr>
        <w:t xml:space="preserve"> Patterns of Reliability: Assessing the Reproducibility and Integrity of DNA Methylation Measurement. </w:t>
      </w:r>
      <w:r w:rsidRPr="005B3F3B">
        <w:rPr>
          <w:rFonts w:ascii="Times New Roman" w:hAnsi="Times New Roman" w:cs="Times New Roman"/>
          <w:i/>
          <w:iCs/>
        </w:rPr>
        <w:t>Patterns</w:t>
      </w:r>
      <w:r w:rsidRPr="005B3F3B">
        <w:rPr>
          <w:rFonts w:ascii="Times New Roman" w:hAnsi="Times New Roman" w:cs="Times New Roman"/>
        </w:rPr>
        <w:t xml:space="preserve"> </w:t>
      </w:r>
      <w:r w:rsidRPr="005B3F3B">
        <w:rPr>
          <w:rFonts w:ascii="Times New Roman" w:hAnsi="Times New Roman" w:cs="Times New Roman"/>
          <w:b/>
          <w:bCs/>
        </w:rPr>
        <w:t>1</w:t>
      </w:r>
      <w:r w:rsidRPr="005B3F3B">
        <w:rPr>
          <w:rFonts w:ascii="Times New Roman" w:hAnsi="Times New Roman" w:cs="Times New Roman"/>
        </w:rPr>
        <w:t>, 100014 (2020).</w:t>
      </w:r>
    </w:p>
    <w:p w14:paraId="63A3AF1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15.</w:t>
      </w:r>
      <w:r w:rsidRPr="005B3F3B">
        <w:rPr>
          <w:rFonts w:ascii="Times New Roman" w:hAnsi="Times New Roman" w:cs="Times New Roman"/>
        </w:rPr>
        <w:tab/>
        <w:t xml:space="preserve">Fairburn, C. G. &amp; Beglin, S. J. Assessment of eating disorders: interview or self-report questionnaire? </w:t>
      </w:r>
      <w:r w:rsidRPr="005B3F3B">
        <w:rPr>
          <w:rFonts w:ascii="Times New Roman" w:hAnsi="Times New Roman" w:cs="Times New Roman"/>
          <w:i/>
          <w:iCs/>
        </w:rPr>
        <w:t>Int. J. Eat. Disord.</w:t>
      </w:r>
      <w:r w:rsidRPr="005B3F3B">
        <w:rPr>
          <w:rFonts w:ascii="Times New Roman" w:hAnsi="Times New Roman" w:cs="Times New Roman"/>
        </w:rPr>
        <w:t xml:space="preserve"> </w:t>
      </w:r>
      <w:r w:rsidRPr="005B3F3B">
        <w:rPr>
          <w:rFonts w:ascii="Times New Roman" w:hAnsi="Times New Roman" w:cs="Times New Roman"/>
          <w:b/>
          <w:bCs/>
        </w:rPr>
        <w:t>16</w:t>
      </w:r>
      <w:r w:rsidRPr="005B3F3B">
        <w:rPr>
          <w:rFonts w:ascii="Times New Roman" w:hAnsi="Times New Roman" w:cs="Times New Roman"/>
        </w:rPr>
        <w:t>, 363–370 (1994).</w:t>
      </w:r>
    </w:p>
    <w:p w14:paraId="19818A5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16.</w:t>
      </w:r>
      <w:r w:rsidRPr="005B3F3B">
        <w:rPr>
          <w:rFonts w:ascii="Times New Roman" w:hAnsi="Times New Roman" w:cs="Times New Roman"/>
        </w:rPr>
        <w:tab/>
        <w:t xml:space="preserve">Karlsson, J., Persson, L.-O., Sjöström, L. &amp; Sullivan, M. Psychometric properties and factor structure of the Three-Factor Eating Questionnaire (TFEQ) in obese men and women. Results from the Swedish Obese Subjects (SOS) study. </w:t>
      </w:r>
      <w:r w:rsidRPr="005B3F3B">
        <w:rPr>
          <w:rFonts w:ascii="Times New Roman" w:hAnsi="Times New Roman" w:cs="Times New Roman"/>
          <w:i/>
          <w:iCs/>
        </w:rPr>
        <w:t>Int. J. Obes.</w:t>
      </w:r>
      <w:r w:rsidRPr="005B3F3B">
        <w:rPr>
          <w:rFonts w:ascii="Times New Roman" w:hAnsi="Times New Roman" w:cs="Times New Roman"/>
        </w:rPr>
        <w:t xml:space="preserve"> </w:t>
      </w:r>
      <w:r w:rsidRPr="005B3F3B">
        <w:rPr>
          <w:rFonts w:ascii="Times New Roman" w:hAnsi="Times New Roman" w:cs="Times New Roman"/>
          <w:b/>
          <w:bCs/>
        </w:rPr>
        <w:t>24</w:t>
      </w:r>
      <w:r w:rsidRPr="005B3F3B">
        <w:rPr>
          <w:rFonts w:ascii="Times New Roman" w:hAnsi="Times New Roman" w:cs="Times New Roman"/>
        </w:rPr>
        <w:t>, 1715–1725 (2000).</w:t>
      </w:r>
    </w:p>
    <w:p w14:paraId="19A4AB7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17.</w:t>
      </w:r>
      <w:r w:rsidRPr="005B3F3B">
        <w:rPr>
          <w:rFonts w:ascii="Times New Roman" w:hAnsi="Times New Roman" w:cs="Times New Roman"/>
        </w:rPr>
        <w:tab/>
        <w:t xml:space="preserve">Anglé, S. </w:t>
      </w:r>
      <w:r w:rsidRPr="005B3F3B">
        <w:rPr>
          <w:rFonts w:ascii="Times New Roman" w:hAnsi="Times New Roman" w:cs="Times New Roman"/>
          <w:i/>
          <w:iCs/>
        </w:rPr>
        <w:t>et al.</w:t>
      </w:r>
      <w:r w:rsidRPr="005B3F3B">
        <w:rPr>
          <w:rFonts w:ascii="Times New Roman" w:hAnsi="Times New Roman" w:cs="Times New Roman"/>
        </w:rPr>
        <w:t xml:space="preserve"> Three factor eating questionnaire-R18 as a measure of cognitive restraint, uncontrolled eating and emotional eating in a sample of young Finnish females. </w:t>
      </w:r>
      <w:r w:rsidRPr="005B3F3B">
        <w:rPr>
          <w:rFonts w:ascii="Times New Roman" w:hAnsi="Times New Roman" w:cs="Times New Roman"/>
          <w:i/>
          <w:iCs/>
        </w:rPr>
        <w:t>Int. J. Behav. Nutr. Phys. Act.</w:t>
      </w:r>
      <w:r w:rsidRPr="005B3F3B">
        <w:rPr>
          <w:rFonts w:ascii="Times New Roman" w:hAnsi="Times New Roman" w:cs="Times New Roman"/>
        </w:rPr>
        <w:t xml:space="preserve"> </w:t>
      </w:r>
      <w:r w:rsidRPr="005B3F3B">
        <w:rPr>
          <w:rFonts w:ascii="Times New Roman" w:hAnsi="Times New Roman" w:cs="Times New Roman"/>
          <w:b/>
          <w:bCs/>
        </w:rPr>
        <w:t>6</w:t>
      </w:r>
      <w:r w:rsidRPr="005B3F3B">
        <w:rPr>
          <w:rFonts w:ascii="Times New Roman" w:hAnsi="Times New Roman" w:cs="Times New Roman"/>
        </w:rPr>
        <w:t>, 41 (2009).</w:t>
      </w:r>
    </w:p>
    <w:p w14:paraId="5D527368"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18.</w:t>
      </w:r>
      <w:r w:rsidRPr="005B3F3B">
        <w:rPr>
          <w:rFonts w:ascii="Times New Roman" w:hAnsi="Times New Roman" w:cs="Times New Roman"/>
        </w:rPr>
        <w:tab/>
        <w:t xml:space="preserve">Bernstein, D. P., Ahluvalia, T., Pogge, D. &amp; Handelsman, L. Validity of the Childhood Trauma Questionnaire in an adolescent psychiatric population. </w:t>
      </w:r>
      <w:r w:rsidRPr="005B3F3B">
        <w:rPr>
          <w:rFonts w:ascii="Times New Roman" w:hAnsi="Times New Roman" w:cs="Times New Roman"/>
          <w:i/>
          <w:iCs/>
        </w:rPr>
        <w:t>J. Am. Acad. Child Adolesc. Psychiatry</w:t>
      </w:r>
      <w:r w:rsidRPr="005B3F3B">
        <w:rPr>
          <w:rFonts w:ascii="Times New Roman" w:hAnsi="Times New Roman" w:cs="Times New Roman"/>
        </w:rPr>
        <w:t xml:space="preserve"> </w:t>
      </w:r>
      <w:r w:rsidRPr="005B3F3B">
        <w:rPr>
          <w:rFonts w:ascii="Times New Roman" w:hAnsi="Times New Roman" w:cs="Times New Roman"/>
          <w:b/>
          <w:bCs/>
        </w:rPr>
        <w:t>36</w:t>
      </w:r>
      <w:r w:rsidRPr="005B3F3B">
        <w:rPr>
          <w:rFonts w:ascii="Times New Roman" w:hAnsi="Times New Roman" w:cs="Times New Roman"/>
        </w:rPr>
        <w:t>, 340–348 (1997).</w:t>
      </w:r>
    </w:p>
    <w:p w14:paraId="3F2236B2"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19.</w:t>
      </w:r>
      <w:r w:rsidRPr="005B3F3B">
        <w:rPr>
          <w:rFonts w:ascii="Times New Roman" w:hAnsi="Times New Roman" w:cs="Times New Roman"/>
        </w:rPr>
        <w:tab/>
        <w:t xml:space="preserve">Newcomb, M. D., Huba, G. J. &amp; Bentler, P. M. A multidimensional assessment of stressful life events among adolescents: Derivation and correlates. </w:t>
      </w:r>
      <w:r w:rsidRPr="005B3F3B">
        <w:rPr>
          <w:rFonts w:ascii="Times New Roman" w:hAnsi="Times New Roman" w:cs="Times New Roman"/>
          <w:i/>
          <w:iCs/>
        </w:rPr>
        <w:t>J. Health Soc. Behav.</w:t>
      </w:r>
      <w:r w:rsidRPr="005B3F3B">
        <w:rPr>
          <w:rFonts w:ascii="Times New Roman" w:hAnsi="Times New Roman" w:cs="Times New Roman"/>
        </w:rPr>
        <w:t xml:space="preserve"> </w:t>
      </w:r>
      <w:r w:rsidRPr="005B3F3B">
        <w:rPr>
          <w:rFonts w:ascii="Times New Roman" w:hAnsi="Times New Roman" w:cs="Times New Roman"/>
          <w:b/>
          <w:bCs/>
        </w:rPr>
        <w:t>22</w:t>
      </w:r>
      <w:r w:rsidRPr="005B3F3B">
        <w:rPr>
          <w:rFonts w:ascii="Times New Roman" w:hAnsi="Times New Roman" w:cs="Times New Roman"/>
        </w:rPr>
        <w:t>, 400–415 (1981).</w:t>
      </w:r>
    </w:p>
    <w:p w14:paraId="1E99234E"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20.</w:t>
      </w:r>
      <w:r w:rsidRPr="005B3F3B">
        <w:rPr>
          <w:rFonts w:ascii="Times New Roman" w:hAnsi="Times New Roman" w:cs="Times New Roman"/>
        </w:rPr>
        <w:tab/>
        <w:t xml:space="preserve">Goodman, R., Ford, T., Richards, H., Gatward, R. &amp; Meltzer, H. The development and well-being assessment: description and initial validation of an integrated assessment of child and adolescent psychopathology. </w:t>
      </w:r>
      <w:r w:rsidRPr="005B3F3B">
        <w:rPr>
          <w:rFonts w:ascii="Times New Roman" w:hAnsi="Times New Roman" w:cs="Times New Roman"/>
          <w:i/>
          <w:iCs/>
        </w:rPr>
        <w:t>J. Child Psychol. Psychiatry</w:t>
      </w:r>
      <w:r w:rsidRPr="005B3F3B">
        <w:rPr>
          <w:rFonts w:ascii="Times New Roman" w:hAnsi="Times New Roman" w:cs="Times New Roman"/>
        </w:rPr>
        <w:t xml:space="preserve"> </w:t>
      </w:r>
      <w:r w:rsidRPr="005B3F3B">
        <w:rPr>
          <w:rFonts w:ascii="Times New Roman" w:hAnsi="Times New Roman" w:cs="Times New Roman"/>
          <w:b/>
          <w:bCs/>
        </w:rPr>
        <w:t>41</w:t>
      </w:r>
      <w:r w:rsidRPr="005B3F3B">
        <w:rPr>
          <w:rFonts w:ascii="Times New Roman" w:hAnsi="Times New Roman" w:cs="Times New Roman"/>
        </w:rPr>
        <w:t>, 645–655 (2000).</w:t>
      </w:r>
    </w:p>
    <w:p w14:paraId="73EC3C9A"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21.</w:t>
      </w:r>
      <w:r w:rsidRPr="005B3F3B">
        <w:rPr>
          <w:rFonts w:ascii="Times New Roman" w:hAnsi="Times New Roman" w:cs="Times New Roman"/>
        </w:rPr>
        <w:tab/>
        <w:t xml:space="preserve">Goodman, R. The Strengths and Difficulties Questionnaire: A Research Note. </w:t>
      </w:r>
      <w:r w:rsidRPr="005B3F3B">
        <w:rPr>
          <w:rFonts w:ascii="Times New Roman" w:hAnsi="Times New Roman" w:cs="Times New Roman"/>
          <w:i/>
          <w:iCs/>
        </w:rPr>
        <w:t>J. Child Psychol. Psychiatry</w:t>
      </w:r>
      <w:r w:rsidRPr="005B3F3B">
        <w:rPr>
          <w:rFonts w:ascii="Times New Roman" w:hAnsi="Times New Roman" w:cs="Times New Roman"/>
        </w:rPr>
        <w:t xml:space="preserve"> </w:t>
      </w:r>
      <w:r w:rsidRPr="005B3F3B">
        <w:rPr>
          <w:rFonts w:ascii="Times New Roman" w:hAnsi="Times New Roman" w:cs="Times New Roman"/>
          <w:b/>
          <w:bCs/>
        </w:rPr>
        <w:t>38</w:t>
      </w:r>
      <w:r w:rsidRPr="005B3F3B">
        <w:rPr>
          <w:rFonts w:ascii="Times New Roman" w:hAnsi="Times New Roman" w:cs="Times New Roman"/>
        </w:rPr>
        <w:t>, 581–586 (1997).</w:t>
      </w:r>
    </w:p>
    <w:p w14:paraId="48DDD4E8"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22.</w:t>
      </w:r>
      <w:r w:rsidRPr="005B3F3B">
        <w:rPr>
          <w:rFonts w:ascii="Times New Roman" w:hAnsi="Times New Roman" w:cs="Times New Roman"/>
        </w:rPr>
        <w:tab/>
        <w:t xml:space="preserve">Mossaheb, N. </w:t>
      </w:r>
      <w:r w:rsidRPr="005B3F3B">
        <w:rPr>
          <w:rFonts w:ascii="Times New Roman" w:hAnsi="Times New Roman" w:cs="Times New Roman"/>
          <w:i/>
          <w:iCs/>
        </w:rPr>
        <w:t>et al.</w:t>
      </w:r>
      <w:r w:rsidRPr="005B3F3B">
        <w:rPr>
          <w:rFonts w:ascii="Times New Roman" w:hAnsi="Times New Roman" w:cs="Times New Roman"/>
        </w:rPr>
        <w:t xml:space="preserve"> The Community Assessment of Psychic Experience (CAPE) questionnaire as a screening-instrument in the detection of individuals at ultra-high risk for psychosis. </w:t>
      </w:r>
      <w:r w:rsidRPr="005B3F3B">
        <w:rPr>
          <w:rFonts w:ascii="Times New Roman" w:hAnsi="Times New Roman" w:cs="Times New Roman"/>
          <w:i/>
          <w:iCs/>
        </w:rPr>
        <w:t>Schizophr. Res.</w:t>
      </w:r>
      <w:r w:rsidRPr="005B3F3B">
        <w:rPr>
          <w:rFonts w:ascii="Times New Roman" w:hAnsi="Times New Roman" w:cs="Times New Roman"/>
        </w:rPr>
        <w:t xml:space="preserve"> </w:t>
      </w:r>
      <w:r w:rsidRPr="005B3F3B">
        <w:rPr>
          <w:rFonts w:ascii="Times New Roman" w:hAnsi="Times New Roman" w:cs="Times New Roman"/>
          <w:b/>
          <w:bCs/>
        </w:rPr>
        <w:t>141</w:t>
      </w:r>
      <w:r w:rsidRPr="005B3F3B">
        <w:rPr>
          <w:rFonts w:ascii="Times New Roman" w:hAnsi="Times New Roman" w:cs="Times New Roman"/>
        </w:rPr>
        <w:t>, 210–214 (2012).</w:t>
      </w:r>
    </w:p>
    <w:p w14:paraId="013DB6F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23.</w:t>
      </w:r>
      <w:r w:rsidRPr="005B3F3B">
        <w:rPr>
          <w:rFonts w:ascii="Times New Roman" w:hAnsi="Times New Roman" w:cs="Times New Roman"/>
        </w:rPr>
        <w:tab/>
        <w:t xml:space="preserve">Revah-Levy, A., Birmaher, B., Gasquet, I. &amp; Falissard, B. The Adolescent Depression Rating Scale (ADRS): a validation study. </w:t>
      </w:r>
      <w:r w:rsidRPr="005B3F3B">
        <w:rPr>
          <w:rFonts w:ascii="Times New Roman" w:hAnsi="Times New Roman" w:cs="Times New Roman"/>
          <w:i/>
          <w:iCs/>
        </w:rPr>
        <w:t>BMC Psychiatry</w:t>
      </w:r>
      <w:r w:rsidRPr="005B3F3B">
        <w:rPr>
          <w:rFonts w:ascii="Times New Roman" w:hAnsi="Times New Roman" w:cs="Times New Roman"/>
        </w:rPr>
        <w:t xml:space="preserve"> </w:t>
      </w:r>
      <w:r w:rsidRPr="005B3F3B">
        <w:rPr>
          <w:rFonts w:ascii="Times New Roman" w:hAnsi="Times New Roman" w:cs="Times New Roman"/>
          <w:b/>
          <w:bCs/>
        </w:rPr>
        <w:t>7</w:t>
      </w:r>
      <w:r w:rsidRPr="005B3F3B">
        <w:rPr>
          <w:rFonts w:ascii="Times New Roman" w:hAnsi="Times New Roman" w:cs="Times New Roman"/>
        </w:rPr>
        <w:t>, 2 (2007).</w:t>
      </w:r>
    </w:p>
    <w:p w14:paraId="37A06CF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24.</w:t>
      </w:r>
      <w:r w:rsidRPr="005B3F3B">
        <w:rPr>
          <w:rFonts w:ascii="Times New Roman" w:hAnsi="Times New Roman" w:cs="Times New Roman"/>
        </w:rPr>
        <w:tab/>
        <w:t xml:space="preserve">Parola, N. </w:t>
      </w:r>
      <w:r w:rsidRPr="005B3F3B">
        <w:rPr>
          <w:rFonts w:ascii="Times New Roman" w:hAnsi="Times New Roman" w:cs="Times New Roman"/>
          <w:i/>
          <w:iCs/>
        </w:rPr>
        <w:t>et al.</w:t>
      </w:r>
      <w:r w:rsidRPr="005B3F3B">
        <w:rPr>
          <w:rFonts w:ascii="Times New Roman" w:hAnsi="Times New Roman" w:cs="Times New Roman"/>
        </w:rPr>
        <w:t xml:space="preserve"> Psychometric properties of the Ruminative Response Scale-short form in a clinical sample of patients with major depressive disorder. </w:t>
      </w:r>
      <w:r w:rsidRPr="005B3F3B">
        <w:rPr>
          <w:rFonts w:ascii="Times New Roman" w:hAnsi="Times New Roman" w:cs="Times New Roman"/>
          <w:i/>
          <w:iCs/>
        </w:rPr>
        <w:t>Patient Prefer. Adherence</w:t>
      </w:r>
      <w:r w:rsidRPr="005B3F3B">
        <w:rPr>
          <w:rFonts w:ascii="Times New Roman" w:hAnsi="Times New Roman" w:cs="Times New Roman"/>
        </w:rPr>
        <w:t xml:space="preserve"> </w:t>
      </w:r>
      <w:r w:rsidRPr="005B3F3B">
        <w:rPr>
          <w:rFonts w:ascii="Times New Roman" w:hAnsi="Times New Roman" w:cs="Times New Roman"/>
          <w:b/>
          <w:bCs/>
        </w:rPr>
        <w:t>11</w:t>
      </w:r>
      <w:r w:rsidRPr="005B3F3B">
        <w:rPr>
          <w:rFonts w:ascii="Times New Roman" w:hAnsi="Times New Roman" w:cs="Times New Roman"/>
        </w:rPr>
        <w:t>, 929–937 (2017).</w:t>
      </w:r>
    </w:p>
    <w:p w14:paraId="2081B7D2"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lastRenderedPageBreak/>
        <w:t>25.</w:t>
      </w:r>
      <w:r w:rsidRPr="005B3F3B">
        <w:rPr>
          <w:rFonts w:ascii="Times New Roman" w:hAnsi="Times New Roman" w:cs="Times New Roman"/>
        </w:rPr>
        <w:tab/>
        <w:t xml:space="preserve">Costa Jr., P. T. &amp; McCrae, R. R. The Revised NEO Personality Inventory (NEO-PI-R). in </w:t>
      </w:r>
      <w:r w:rsidRPr="005B3F3B">
        <w:rPr>
          <w:rFonts w:ascii="Times New Roman" w:hAnsi="Times New Roman" w:cs="Times New Roman"/>
          <w:i/>
          <w:iCs/>
        </w:rPr>
        <w:t>The SAGE handbook of personality theory and assessment, Vol 2: Personality measurement and testing</w:t>
      </w:r>
      <w:r w:rsidRPr="005B3F3B">
        <w:rPr>
          <w:rFonts w:ascii="Times New Roman" w:hAnsi="Times New Roman" w:cs="Times New Roman"/>
        </w:rPr>
        <w:t xml:space="preserve"> 179–198 (Sage Publications, Inc, Thousand Oaks, CA, US, 2008). doi:10.4135/9781849200479.n9.</w:t>
      </w:r>
    </w:p>
    <w:p w14:paraId="2B75C20A"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26.</w:t>
      </w:r>
      <w:r w:rsidRPr="005B3F3B">
        <w:rPr>
          <w:rFonts w:ascii="Times New Roman" w:hAnsi="Times New Roman" w:cs="Times New Roman"/>
        </w:rPr>
        <w:tab/>
        <w:t xml:space="preserve">Cloninger, C. R., Svrakic, D. M. &amp; Przybeck, T. R. A psychobiological model of temperament and character. </w:t>
      </w:r>
      <w:r w:rsidRPr="005B3F3B">
        <w:rPr>
          <w:rFonts w:ascii="Times New Roman" w:hAnsi="Times New Roman" w:cs="Times New Roman"/>
          <w:i/>
          <w:iCs/>
        </w:rPr>
        <w:t>Arch. Gen. Psychiatry</w:t>
      </w:r>
      <w:r w:rsidRPr="005B3F3B">
        <w:rPr>
          <w:rFonts w:ascii="Times New Roman" w:hAnsi="Times New Roman" w:cs="Times New Roman"/>
        </w:rPr>
        <w:t xml:space="preserve"> </w:t>
      </w:r>
      <w:r w:rsidRPr="005B3F3B">
        <w:rPr>
          <w:rFonts w:ascii="Times New Roman" w:hAnsi="Times New Roman" w:cs="Times New Roman"/>
          <w:b/>
          <w:bCs/>
        </w:rPr>
        <w:t>50</w:t>
      </w:r>
      <w:r w:rsidRPr="005B3F3B">
        <w:rPr>
          <w:rFonts w:ascii="Times New Roman" w:hAnsi="Times New Roman" w:cs="Times New Roman"/>
        </w:rPr>
        <w:t>, 975–990 (1993).</w:t>
      </w:r>
    </w:p>
    <w:p w14:paraId="5FA1CFC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27.</w:t>
      </w:r>
      <w:r w:rsidRPr="005B3F3B">
        <w:rPr>
          <w:rFonts w:ascii="Times New Roman" w:hAnsi="Times New Roman" w:cs="Times New Roman"/>
        </w:rPr>
        <w:tab/>
        <w:t xml:space="preserve">Cloninger, C. R. </w:t>
      </w:r>
      <w:r w:rsidRPr="005B3F3B">
        <w:rPr>
          <w:rFonts w:ascii="Times New Roman" w:hAnsi="Times New Roman" w:cs="Times New Roman"/>
          <w:i/>
          <w:iCs/>
        </w:rPr>
        <w:t>The Temperament and Character Inventory-Revised</w:t>
      </w:r>
      <w:r w:rsidRPr="005B3F3B">
        <w:rPr>
          <w:rFonts w:ascii="Times New Roman" w:hAnsi="Times New Roman" w:cs="Times New Roman"/>
        </w:rPr>
        <w:t>. (St Louis, MO: Center for Psychobiology of Personality, Washington University, 1999).</w:t>
      </w:r>
    </w:p>
    <w:p w14:paraId="5DADC0F7"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28.</w:t>
      </w:r>
      <w:r w:rsidRPr="005B3F3B">
        <w:rPr>
          <w:rFonts w:ascii="Times New Roman" w:hAnsi="Times New Roman" w:cs="Times New Roman"/>
        </w:rPr>
        <w:tab/>
        <w:t xml:space="preserve">Woicik, P. A., Stewart, S. H., Pihl, R. O. &amp; Conrod, P. J. The substance use risk profile scale: A scale measuring traits linked to reinforcement-specific substance use profiles. </w:t>
      </w:r>
      <w:r w:rsidRPr="005B3F3B">
        <w:rPr>
          <w:rFonts w:ascii="Times New Roman" w:hAnsi="Times New Roman" w:cs="Times New Roman"/>
          <w:i/>
          <w:iCs/>
        </w:rPr>
        <w:t>Addict. Behav.</w:t>
      </w:r>
      <w:r w:rsidRPr="005B3F3B">
        <w:rPr>
          <w:rFonts w:ascii="Times New Roman" w:hAnsi="Times New Roman" w:cs="Times New Roman"/>
        </w:rPr>
        <w:t xml:space="preserve"> </w:t>
      </w:r>
      <w:r w:rsidRPr="005B3F3B">
        <w:rPr>
          <w:rFonts w:ascii="Times New Roman" w:hAnsi="Times New Roman" w:cs="Times New Roman"/>
          <w:b/>
          <w:bCs/>
        </w:rPr>
        <w:t>34</w:t>
      </w:r>
      <w:r w:rsidRPr="005B3F3B">
        <w:rPr>
          <w:rFonts w:ascii="Times New Roman" w:hAnsi="Times New Roman" w:cs="Times New Roman"/>
        </w:rPr>
        <w:t>, 1042–1055 (2009).</w:t>
      </w:r>
    </w:p>
    <w:p w14:paraId="6DD0A73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29.</w:t>
      </w:r>
      <w:r w:rsidRPr="005B3F3B">
        <w:rPr>
          <w:rFonts w:ascii="Times New Roman" w:hAnsi="Times New Roman" w:cs="Times New Roman"/>
        </w:rPr>
        <w:tab/>
        <w:t xml:space="preserve">Davis, M. H. Measuring individual differences in empathy: Evidence for a multidimensional approach. </w:t>
      </w:r>
      <w:r w:rsidRPr="005B3F3B">
        <w:rPr>
          <w:rFonts w:ascii="Times New Roman" w:hAnsi="Times New Roman" w:cs="Times New Roman"/>
          <w:i/>
          <w:iCs/>
        </w:rPr>
        <w:t>J. Pers. Soc. Psychol.</w:t>
      </w:r>
      <w:r w:rsidRPr="005B3F3B">
        <w:rPr>
          <w:rFonts w:ascii="Times New Roman" w:hAnsi="Times New Roman" w:cs="Times New Roman"/>
        </w:rPr>
        <w:t xml:space="preserve"> </w:t>
      </w:r>
      <w:r w:rsidRPr="005B3F3B">
        <w:rPr>
          <w:rFonts w:ascii="Times New Roman" w:hAnsi="Times New Roman" w:cs="Times New Roman"/>
          <w:b/>
          <w:bCs/>
        </w:rPr>
        <w:t>44</w:t>
      </w:r>
      <w:r w:rsidRPr="005B3F3B">
        <w:rPr>
          <w:rFonts w:ascii="Times New Roman" w:hAnsi="Times New Roman" w:cs="Times New Roman"/>
        </w:rPr>
        <w:t>, 113–126 (1983).</w:t>
      </w:r>
    </w:p>
    <w:p w14:paraId="78AC8B06"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30.</w:t>
      </w:r>
      <w:r w:rsidRPr="005B3F3B">
        <w:rPr>
          <w:rFonts w:ascii="Times New Roman" w:hAnsi="Times New Roman" w:cs="Times New Roman"/>
        </w:rPr>
        <w:tab/>
        <w:t>Lichtenstein, J. &amp; Cassidy, J. The Inventory of Adult Attachment: Validation of a new measure. in (Seattle, WA, 1991).</w:t>
      </w:r>
    </w:p>
    <w:p w14:paraId="0E5E6A7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31.</w:t>
      </w:r>
      <w:r w:rsidRPr="005B3F3B">
        <w:rPr>
          <w:rFonts w:ascii="Times New Roman" w:hAnsi="Times New Roman" w:cs="Times New Roman"/>
        </w:rPr>
        <w:tab/>
        <w:t>Olweus, D. Revised Olweus Bully/Victim Questionnaire. (Research Centre for Health Promotion‚ University of Bergen, Bergen‚ Norway, 1996).</w:t>
      </w:r>
    </w:p>
    <w:p w14:paraId="5727A98E"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32.</w:t>
      </w:r>
      <w:r w:rsidRPr="005B3F3B">
        <w:rPr>
          <w:rFonts w:ascii="Times New Roman" w:hAnsi="Times New Roman" w:cs="Times New Roman"/>
        </w:rPr>
        <w:tab/>
        <w:t xml:space="preserve">American Psychiatric Association. </w:t>
      </w:r>
      <w:r w:rsidRPr="005B3F3B">
        <w:rPr>
          <w:rFonts w:ascii="Times New Roman" w:hAnsi="Times New Roman" w:cs="Times New Roman"/>
          <w:i/>
          <w:iCs/>
        </w:rPr>
        <w:t>Diagnostic and Statistical Manual of Mental Disorders (3rd Ed., Revised (DSM-III-R))</w:t>
      </w:r>
      <w:r w:rsidRPr="005B3F3B">
        <w:rPr>
          <w:rFonts w:ascii="Times New Roman" w:hAnsi="Times New Roman" w:cs="Times New Roman"/>
        </w:rPr>
        <w:t>. (Washington DC: American Psychiatric Press., 1987).</w:t>
      </w:r>
    </w:p>
    <w:p w14:paraId="27A08142"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33.</w:t>
      </w:r>
      <w:r w:rsidRPr="005B3F3B">
        <w:rPr>
          <w:rFonts w:ascii="Times New Roman" w:hAnsi="Times New Roman" w:cs="Times New Roman"/>
        </w:rPr>
        <w:tab/>
        <w:t xml:space="preserve">Saunders, J. B., Aasland, O. G., Babor, T. F., de la Fuente, J. R. &amp; Grant, M. Development of the Alcohol Use Disorders Identification Test (AUDIT): WHO Collaborative Project on Early Detection of Persons with Harmful Alcohol Consumption--II. </w:t>
      </w:r>
      <w:r w:rsidRPr="005B3F3B">
        <w:rPr>
          <w:rFonts w:ascii="Times New Roman" w:hAnsi="Times New Roman" w:cs="Times New Roman"/>
          <w:i/>
          <w:iCs/>
        </w:rPr>
        <w:t>Addict. Abingdon Engl.</w:t>
      </w:r>
      <w:r w:rsidRPr="005B3F3B">
        <w:rPr>
          <w:rFonts w:ascii="Times New Roman" w:hAnsi="Times New Roman" w:cs="Times New Roman"/>
        </w:rPr>
        <w:t xml:space="preserve"> </w:t>
      </w:r>
      <w:r w:rsidRPr="005B3F3B">
        <w:rPr>
          <w:rFonts w:ascii="Times New Roman" w:hAnsi="Times New Roman" w:cs="Times New Roman"/>
          <w:b/>
          <w:bCs/>
        </w:rPr>
        <w:t>88</w:t>
      </w:r>
      <w:r w:rsidRPr="005B3F3B">
        <w:rPr>
          <w:rFonts w:ascii="Times New Roman" w:hAnsi="Times New Roman" w:cs="Times New Roman"/>
        </w:rPr>
        <w:t>, 791–804 (1993).</w:t>
      </w:r>
    </w:p>
    <w:p w14:paraId="538B7E31"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34.</w:t>
      </w:r>
      <w:r w:rsidRPr="005B3F3B">
        <w:rPr>
          <w:rFonts w:ascii="Times New Roman" w:hAnsi="Times New Roman" w:cs="Times New Roman"/>
        </w:rPr>
        <w:tab/>
        <w:t xml:space="preserve">Selzer, M. L. The Michigan Alcoholism Screening Test: The quest for a new diagnostic instrument. </w:t>
      </w:r>
      <w:r w:rsidRPr="005B3F3B">
        <w:rPr>
          <w:rFonts w:ascii="Times New Roman" w:hAnsi="Times New Roman" w:cs="Times New Roman"/>
          <w:i/>
          <w:iCs/>
        </w:rPr>
        <w:t>Am. J. Psychiatry</w:t>
      </w:r>
      <w:r w:rsidRPr="005B3F3B">
        <w:rPr>
          <w:rFonts w:ascii="Times New Roman" w:hAnsi="Times New Roman" w:cs="Times New Roman"/>
        </w:rPr>
        <w:t xml:space="preserve"> </w:t>
      </w:r>
      <w:r w:rsidRPr="005B3F3B">
        <w:rPr>
          <w:rFonts w:ascii="Times New Roman" w:hAnsi="Times New Roman" w:cs="Times New Roman"/>
          <w:b/>
          <w:bCs/>
        </w:rPr>
        <w:t>127</w:t>
      </w:r>
      <w:r w:rsidRPr="005B3F3B">
        <w:rPr>
          <w:rFonts w:ascii="Times New Roman" w:hAnsi="Times New Roman" w:cs="Times New Roman"/>
        </w:rPr>
        <w:t>, 1653–1658 (1971).</w:t>
      </w:r>
    </w:p>
    <w:p w14:paraId="29750700"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35.</w:t>
      </w:r>
      <w:r w:rsidRPr="005B3F3B">
        <w:rPr>
          <w:rFonts w:ascii="Times New Roman" w:hAnsi="Times New Roman" w:cs="Times New Roman"/>
        </w:rPr>
        <w:tab/>
        <w:t xml:space="preserve">White, H. R. &amp; Labouvie, E. W. Towards the assessment of adolescent problem drinking. </w:t>
      </w:r>
      <w:r w:rsidRPr="005B3F3B">
        <w:rPr>
          <w:rFonts w:ascii="Times New Roman" w:hAnsi="Times New Roman" w:cs="Times New Roman"/>
          <w:i/>
          <w:iCs/>
        </w:rPr>
        <w:t>J. Stud. Alcohol</w:t>
      </w:r>
      <w:r w:rsidRPr="005B3F3B">
        <w:rPr>
          <w:rFonts w:ascii="Times New Roman" w:hAnsi="Times New Roman" w:cs="Times New Roman"/>
        </w:rPr>
        <w:t xml:space="preserve"> </w:t>
      </w:r>
      <w:r w:rsidRPr="005B3F3B">
        <w:rPr>
          <w:rFonts w:ascii="Times New Roman" w:hAnsi="Times New Roman" w:cs="Times New Roman"/>
          <w:b/>
          <w:bCs/>
        </w:rPr>
        <w:t>50</w:t>
      </w:r>
      <w:r w:rsidRPr="005B3F3B">
        <w:rPr>
          <w:rFonts w:ascii="Times New Roman" w:hAnsi="Times New Roman" w:cs="Times New Roman"/>
        </w:rPr>
        <w:t>, 30–37 (1989).</w:t>
      </w:r>
    </w:p>
    <w:p w14:paraId="099A65BE"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36.</w:t>
      </w:r>
      <w:r w:rsidRPr="005B3F3B">
        <w:rPr>
          <w:rFonts w:ascii="Times New Roman" w:hAnsi="Times New Roman" w:cs="Times New Roman"/>
        </w:rPr>
        <w:tab/>
        <w:t xml:space="preserve">Watanabe, K., Taskesen, E., van Bochoven, A. &amp; Posthuma, D. Functional mapping and annotation of genetic associations with FUMA. </w:t>
      </w:r>
      <w:r w:rsidRPr="005B3F3B">
        <w:rPr>
          <w:rFonts w:ascii="Times New Roman" w:hAnsi="Times New Roman" w:cs="Times New Roman"/>
          <w:i/>
          <w:iCs/>
        </w:rPr>
        <w:t>Nat. Commun.</w:t>
      </w:r>
      <w:r w:rsidRPr="005B3F3B">
        <w:rPr>
          <w:rFonts w:ascii="Times New Roman" w:hAnsi="Times New Roman" w:cs="Times New Roman"/>
        </w:rPr>
        <w:t xml:space="preserve"> </w:t>
      </w:r>
      <w:r w:rsidRPr="005B3F3B">
        <w:rPr>
          <w:rFonts w:ascii="Times New Roman" w:hAnsi="Times New Roman" w:cs="Times New Roman"/>
          <w:b/>
          <w:bCs/>
        </w:rPr>
        <w:t>8</w:t>
      </w:r>
      <w:r w:rsidRPr="005B3F3B">
        <w:rPr>
          <w:rFonts w:ascii="Times New Roman" w:hAnsi="Times New Roman" w:cs="Times New Roman"/>
        </w:rPr>
        <w:t>, 1826 (2017).</w:t>
      </w:r>
    </w:p>
    <w:p w14:paraId="033DDC3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37.</w:t>
      </w:r>
      <w:r w:rsidRPr="005B3F3B">
        <w:rPr>
          <w:rFonts w:ascii="Times New Roman" w:hAnsi="Times New Roman" w:cs="Times New Roman"/>
        </w:rPr>
        <w:tab/>
        <w:t xml:space="preserve">Jiang, X., Bahorik, A. L., Dintica, C. S. &amp; Yaffe, K. Cardiovascular-kidney-metabolic syndrome and incidence of dementia among older adults. </w:t>
      </w:r>
      <w:r w:rsidRPr="005B3F3B">
        <w:rPr>
          <w:rFonts w:ascii="Times New Roman" w:hAnsi="Times New Roman" w:cs="Times New Roman"/>
          <w:i/>
          <w:iCs/>
        </w:rPr>
        <w:t>J. Prev. Alzheimers Dis.</w:t>
      </w:r>
      <w:r w:rsidRPr="005B3F3B">
        <w:rPr>
          <w:rFonts w:ascii="Times New Roman" w:hAnsi="Times New Roman" w:cs="Times New Roman"/>
        </w:rPr>
        <w:t xml:space="preserve"> </w:t>
      </w:r>
      <w:r w:rsidRPr="005B3F3B">
        <w:rPr>
          <w:rFonts w:ascii="Times New Roman" w:hAnsi="Times New Roman" w:cs="Times New Roman"/>
          <w:b/>
          <w:bCs/>
        </w:rPr>
        <w:t>12</w:t>
      </w:r>
      <w:r w:rsidRPr="005B3F3B">
        <w:rPr>
          <w:rFonts w:ascii="Times New Roman" w:hAnsi="Times New Roman" w:cs="Times New Roman"/>
        </w:rPr>
        <w:t>, 100112 (2025).</w:t>
      </w:r>
    </w:p>
    <w:p w14:paraId="77366B5E"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lastRenderedPageBreak/>
        <w:t>38.</w:t>
      </w:r>
      <w:r w:rsidRPr="005B3F3B">
        <w:rPr>
          <w:rFonts w:ascii="Times New Roman" w:hAnsi="Times New Roman" w:cs="Times New Roman"/>
        </w:rPr>
        <w:tab/>
        <w:t xml:space="preserve">Ndumele, C. E. </w:t>
      </w:r>
      <w:r w:rsidRPr="005B3F3B">
        <w:rPr>
          <w:rFonts w:ascii="Times New Roman" w:hAnsi="Times New Roman" w:cs="Times New Roman"/>
          <w:i/>
          <w:iCs/>
        </w:rPr>
        <w:t>et al.</w:t>
      </w:r>
      <w:r w:rsidRPr="005B3F3B">
        <w:rPr>
          <w:rFonts w:ascii="Times New Roman" w:hAnsi="Times New Roman" w:cs="Times New Roman"/>
        </w:rPr>
        <w:t xml:space="preserve"> A Synopsis of the Evidence for the Science and Clinical Management of Cardiovascular-Kidney-Metabolic (CKM) Syndrome: A Scientific Statement From the American Heart Association. </w:t>
      </w:r>
      <w:r w:rsidRPr="005B3F3B">
        <w:rPr>
          <w:rFonts w:ascii="Times New Roman" w:hAnsi="Times New Roman" w:cs="Times New Roman"/>
          <w:i/>
          <w:iCs/>
        </w:rPr>
        <w:t>Circulation</w:t>
      </w:r>
      <w:r w:rsidRPr="005B3F3B">
        <w:rPr>
          <w:rFonts w:ascii="Times New Roman" w:hAnsi="Times New Roman" w:cs="Times New Roman"/>
        </w:rPr>
        <w:t xml:space="preserve"> </w:t>
      </w:r>
      <w:r w:rsidRPr="005B3F3B">
        <w:rPr>
          <w:rFonts w:ascii="Times New Roman" w:hAnsi="Times New Roman" w:cs="Times New Roman"/>
          <w:b/>
          <w:bCs/>
        </w:rPr>
        <w:t>148</w:t>
      </w:r>
      <w:r w:rsidRPr="005B3F3B">
        <w:rPr>
          <w:rFonts w:ascii="Times New Roman" w:hAnsi="Times New Roman" w:cs="Times New Roman"/>
        </w:rPr>
        <w:t>, 1636–1664 (2023).</w:t>
      </w:r>
    </w:p>
    <w:p w14:paraId="7DC1EE3B"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39.</w:t>
      </w:r>
      <w:r w:rsidRPr="005B3F3B">
        <w:rPr>
          <w:rFonts w:ascii="Times New Roman" w:hAnsi="Times New Roman" w:cs="Times New Roman"/>
        </w:rPr>
        <w:tab/>
        <w:t xml:space="preserve">Zhang, Z. </w:t>
      </w:r>
      <w:r w:rsidRPr="005B3F3B">
        <w:rPr>
          <w:rFonts w:ascii="Times New Roman" w:hAnsi="Times New Roman" w:cs="Times New Roman"/>
          <w:i/>
          <w:iCs/>
        </w:rPr>
        <w:t>et al.</w:t>
      </w:r>
      <w:r w:rsidRPr="005B3F3B">
        <w:rPr>
          <w:rFonts w:ascii="Times New Roman" w:hAnsi="Times New Roman" w:cs="Times New Roman"/>
        </w:rPr>
        <w:t xml:space="preserve"> Distinct personality profiles associated with disease risk and diagnostic status in eating disorders. </w:t>
      </w:r>
      <w:r w:rsidRPr="005B3F3B">
        <w:rPr>
          <w:rFonts w:ascii="Times New Roman" w:hAnsi="Times New Roman" w:cs="Times New Roman"/>
          <w:i/>
          <w:iCs/>
        </w:rPr>
        <w:t>J. Affect. Disord.</w:t>
      </w:r>
      <w:r w:rsidRPr="005B3F3B">
        <w:rPr>
          <w:rFonts w:ascii="Times New Roman" w:hAnsi="Times New Roman" w:cs="Times New Roman"/>
        </w:rPr>
        <w:t xml:space="preserve"> </w:t>
      </w:r>
      <w:r w:rsidRPr="005B3F3B">
        <w:rPr>
          <w:rFonts w:ascii="Times New Roman" w:hAnsi="Times New Roman" w:cs="Times New Roman"/>
          <w:b/>
          <w:bCs/>
        </w:rPr>
        <w:t>360</w:t>
      </w:r>
      <w:r w:rsidRPr="005B3F3B">
        <w:rPr>
          <w:rFonts w:ascii="Times New Roman" w:hAnsi="Times New Roman" w:cs="Times New Roman"/>
        </w:rPr>
        <w:t>, 146–155 (2024).</w:t>
      </w:r>
    </w:p>
    <w:p w14:paraId="13DD5296"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40.</w:t>
      </w:r>
      <w:r w:rsidRPr="005B3F3B">
        <w:rPr>
          <w:rFonts w:ascii="Times New Roman" w:hAnsi="Times New Roman" w:cs="Times New Roman"/>
        </w:rPr>
        <w:tab/>
        <w:t xml:space="preserve">Kircher, T. </w:t>
      </w:r>
      <w:r w:rsidRPr="005B3F3B">
        <w:rPr>
          <w:rFonts w:ascii="Times New Roman" w:hAnsi="Times New Roman" w:cs="Times New Roman"/>
          <w:i/>
          <w:iCs/>
        </w:rPr>
        <w:t>et al.</w:t>
      </w:r>
      <w:r w:rsidRPr="005B3F3B">
        <w:rPr>
          <w:rFonts w:ascii="Times New Roman" w:hAnsi="Times New Roman" w:cs="Times New Roman"/>
        </w:rPr>
        <w:t xml:space="preserve"> Neurobiology of the major psychoses: a translational perspective on brain structure and function-the FOR2107 consortium. </w:t>
      </w:r>
      <w:r w:rsidRPr="005B3F3B">
        <w:rPr>
          <w:rFonts w:ascii="Times New Roman" w:hAnsi="Times New Roman" w:cs="Times New Roman"/>
          <w:i/>
          <w:iCs/>
        </w:rPr>
        <w:t>Eur. Arch. Psychiatry Clin. Neurosci.</w:t>
      </w:r>
      <w:r w:rsidRPr="005B3F3B">
        <w:rPr>
          <w:rFonts w:ascii="Times New Roman" w:hAnsi="Times New Roman" w:cs="Times New Roman"/>
        </w:rPr>
        <w:t xml:space="preserve"> </w:t>
      </w:r>
      <w:r w:rsidRPr="005B3F3B">
        <w:rPr>
          <w:rFonts w:ascii="Times New Roman" w:hAnsi="Times New Roman" w:cs="Times New Roman"/>
          <w:b/>
          <w:bCs/>
        </w:rPr>
        <w:t>269</w:t>
      </w:r>
      <w:r w:rsidRPr="005B3F3B">
        <w:rPr>
          <w:rFonts w:ascii="Times New Roman" w:hAnsi="Times New Roman" w:cs="Times New Roman"/>
        </w:rPr>
        <w:t>, 949–962 (2019).</w:t>
      </w:r>
    </w:p>
    <w:p w14:paraId="2CB5EF6D"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41.</w:t>
      </w:r>
      <w:r w:rsidRPr="005B3F3B">
        <w:rPr>
          <w:rFonts w:ascii="Times New Roman" w:hAnsi="Times New Roman" w:cs="Times New Roman"/>
        </w:rPr>
        <w:tab/>
        <w:t xml:space="preserve">Schumann, G. </w:t>
      </w:r>
      <w:r w:rsidRPr="005B3F3B">
        <w:rPr>
          <w:rFonts w:ascii="Times New Roman" w:hAnsi="Times New Roman" w:cs="Times New Roman"/>
          <w:i/>
          <w:iCs/>
        </w:rPr>
        <w:t>et al.</w:t>
      </w:r>
      <w:r w:rsidRPr="005B3F3B">
        <w:rPr>
          <w:rFonts w:ascii="Times New Roman" w:hAnsi="Times New Roman" w:cs="Times New Roman"/>
        </w:rPr>
        <w:t xml:space="preserve"> The IMAGEN study: reinforcement-related behaviour in normal brain function and psychopathology. </w:t>
      </w:r>
      <w:r w:rsidRPr="005B3F3B">
        <w:rPr>
          <w:rFonts w:ascii="Times New Roman" w:hAnsi="Times New Roman" w:cs="Times New Roman"/>
          <w:i/>
          <w:iCs/>
        </w:rPr>
        <w:t>Mol. Psychiatry</w:t>
      </w:r>
      <w:r w:rsidRPr="005B3F3B">
        <w:rPr>
          <w:rFonts w:ascii="Times New Roman" w:hAnsi="Times New Roman" w:cs="Times New Roman"/>
        </w:rPr>
        <w:t xml:space="preserve"> </w:t>
      </w:r>
      <w:r w:rsidRPr="005B3F3B">
        <w:rPr>
          <w:rFonts w:ascii="Times New Roman" w:hAnsi="Times New Roman" w:cs="Times New Roman"/>
          <w:b/>
          <w:bCs/>
        </w:rPr>
        <w:t>15</w:t>
      </w:r>
      <w:r w:rsidRPr="005B3F3B">
        <w:rPr>
          <w:rFonts w:ascii="Times New Roman" w:hAnsi="Times New Roman" w:cs="Times New Roman"/>
        </w:rPr>
        <w:t>, 1128–1139 (2010).</w:t>
      </w:r>
    </w:p>
    <w:p w14:paraId="5AAF0582"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42.</w:t>
      </w:r>
      <w:r w:rsidRPr="005B3F3B">
        <w:rPr>
          <w:rFonts w:ascii="Times New Roman" w:hAnsi="Times New Roman" w:cs="Times New Roman"/>
        </w:rPr>
        <w:tab/>
        <w:t xml:space="preserve">Gollub, R. L. </w:t>
      </w:r>
      <w:r w:rsidRPr="005B3F3B">
        <w:rPr>
          <w:rFonts w:ascii="Times New Roman" w:hAnsi="Times New Roman" w:cs="Times New Roman"/>
          <w:i/>
          <w:iCs/>
        </w:rPr>
        <w:t>et al.</w:t>
      </w:r>
      <w:r w:rsidRPr="005B3F3B">
        <w:rPr>
          <w:rFonts w:ascii="Times New Roman" w:hAnsi="Times New Roman" w:cs="Times New Roman"/>
        </w:rPr>
        <w:t xml:space="preserve"> The MCIC collection: a shared repository of multi-modal, multi-site brain image data from a clinical investigation of schizophrenia. </w:t>
      </w:r>
      <w:r w:rsidRPr="005B3F3B">
        <w:rPr>
          <w:rFonts w:ascii="Times New Roman" w:hAnsi="Times New Roman" w:cs="Times New Roman"/>
          <w:i/>
          <w:iCs/>
        </w:rPr>
        <w:t>Neuroinformatics</w:t>
      </w:r>
      <w:r w:rsidRPr="005B3F3B">
        <w:rPr>
          <w:rFonts w:ascii="Times New Roman" w:hAnsi="Times New Roman" w:cs="Times New Roman"/>
        </w:rPr>
        <w:t xml:space="preserve"> </w:t>
      </w:r>
      <w:r w:rsidRPr="005B3F3B">
        <w:rPr>
          <w:rFonts w:ascii="Times New Roman" w:hAnsi="Times New Roman" w:cs="Times New Roman"/>
          <w:b/>
          <w:bCs/>
        </w:rPr>
        <w:t>11</w:t>
      </w:r>
      <w:r w:rsidRPr="005B3F3B">
        <w:rPr>
          <w:rFonts w:ascii="Times New Roman" w:hAnsi="Times New Roman" w:cs="Times New Roman"/>
        </w:rPr>
        <w:t>, 367–388 (2013).</w:t>
      </w:r>
    </w:p>
    <w:p w14:paraId="07732F10"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43.</w:t>
      </w:r>
      <w:r w:rsidRPr="005B3F3B">
        <w:rPr>
          <w:rFonts w:ascii="Times New Roman" w:hAnsi="Times New Roman" w:cs="Times New Roman"/>
        </w:rPr>
        <w:tab/>
        <w:t xml:space="preserve">Parkinson Progression Marker Initiative. The Parkinson Progression Marker Initiative (PPMI). </w:t>
      </w:r>
      <w:r w:rsidRPr="005B3F3B">
        <w:rPr>
          <w:rFonts w:ascii="Times New Roman" w:hAnsi="Times New Roman" w:cs="Times New Roman"/>
          <w:i/>
          <w:iCs/>
        </w:rPr>
        <w:t>Prog. Neurobiol.</w:t>
      </w:r>
      <w:r w:rsidRPr="005B3F3B">
        <w:rPr>
          <w:rFonts w:ascii="Times New Roman" w:hAnsi="Times New Roman" w:cs="Times New Roman"/>
        </w:rPr>
        <w:t xml:space="preserve"> </w:t>
      </w:r>
      <w:r w:rsidRPr="005B3F3B">
        <w:rPr>
          <w:rFonts w:ascii="Times New Roman" w:hAnsi="Times New Roman" w:cs="Times New Roman"/>
          <w:b/>
          <w:bCs/>
        </w:rPr>
        <w:t>95</w:t>
      </w:r>
      <w:r w:rsidRPr="005B3F3B">
        <w:rPr>
          <w:rFonts w:ascii="Times New Roman" w:hAnsi="Times New Roman" w:cs="Times New Roman"/>
        </w:rPr>
        <w:t>, 629–635 (2011).</w:t>
      </w:r>
    </w:p>
    <w:p w14:paraId="68E11C5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44.</w:t>
      </w:r>
      <w:r w:rsidRPr="005B3F3B">
        <w:rPr>
          <w:rFonts w:ascii="Times New Roman" w:hAnsi="Times New Roman" w:cs="Times New Roman"/>
        </w:rPr>
        <w:tab/>
        <w:t xml:space="preserve">Völzke, H. </w:t>
      </w:r>
      <w:r w:rsidRPr="005B3F3B">
        <w:rPr>
          <w:rFonts w:ascii="Times New Roman" w:hAnsi="Times New Roman" w:cs="Times New Roman"/>
          <w:i/>
          <w:iCs/>
        </w:rPr>
        <w:t>et al.</w:t>
      </w:r>
      <w:r w:rsidRPr="005B3F3B">
        <w:rPr>
          <w:rFonts w:ascii="Times New Roman" w:hAnsi="Times New Roman" w:cs="Times New Roman"/>
        </w:rPr>
        <w:t xml:space="preserve"> Cohort profile: the study of health in Pomerania. </w:t>
      </w:r>
      <w:r w:rsidRPr="005B3F3B">
        <w:rPr>
          <w:rFonts w:ascii="Times New Roman" w:hAnsi="Times New Roman" w:cs="Times New Roman"/>
          <w:i/>
          <w:iCs/>
        </w:rPr>
        <w:t>Int. J. Epidemiol.</w:t>
      </w:r>
      <w:r w:rsidRPr="005B3F3B">
        <w:rPr>
          <w:rFonts w:ascii="Times New Roman" w:hAnsi="Times New Roman" w:cs="Times New Roman"/>
        </w:rPr>
        <w:t xml:space="preserve"> </w:t>
      </w:r>
      <w:r w:rsidRPr="005B3F3B">
        <w:rPr>
          <w:rFonts w:ascii="Times New Roman" w:hAnsi="Times New Roman" w:cs="Times New Roman"/>
          <w:b/>
          <w:bCs/>
        </w:rPr>
        <w:t>40</w:t>
      </w:r>
      <w:r w:rsidRPr="005B3F3B">
        <w:rPr>
          <w:rFonts w:ascii="Times New Roman" w:hAnsi="Times New Roman" w:cs="Times New Roman"/>
        </w:rPr>
        <w:t>, 294–307 (2011).</w:t>
      </w:r>
    </w:p>
    <w:p w14:paraId="1F08A01A"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45.</w:t>
      </w:r>
      <w:r w:rsidRPr="005B3F3B">
        <w:rPr>
          <w:rFonts w:ascii="Times New Roman" w:hAnsi="Times New Roman" w:cs="Times New Roman"/>
        </w:rPr>
        <w:tab/>
        <w:t xml:space="preserve">Overs, B. J. </w:t>
      </w:r>
      <w:r w:rsidRPr="005B3F3B">
        <w:rPr>
          <w:rFonts w:ascii="Times New Roman" w:hAnsi="Times New Roman" w:cs="Times New Roman"/>
          <w:i/>
          <w:iCs/>
        </w:rPr>
        <w:t>et al.</w:t>
      </w:r>
      <w:r w:rsidRPr="005B3F3B">
        <w:rPr>
          <w:rFonts w:ascii="Times New Roman" w:hAnsi="Times New Roman" w:cs="Times New Roman"/>
        </w:rPr>
        <w:t xml:space="preserve"> Cortical mediation of relationships between dopamine receptor D2 and cognition is absent in youth at risk of bipolar disorder. </w:t>
      </w:r>
      <w:r w:rsidRPr="005B3F3B">
        <w:rPr>
          <w:rFonts w:ascii="Times New Roman" w:hAnsi="Times New Roman" w:cs="Times New Roman"/>
          <w:i/>
          <w:iCs/>
        </w:rPr>
        <w:t>Psychiatry Res. Neuroimaging</w:t>
      </w:r>
      <w:r w:rsidRPr="005B3F3B">
        <w:rPr>
          <w:rFonts w:ascii="Times New Roman" w:hAnsi="Times New Roman" w:cs="Times New Roman"/>
        </w:rPr>
        <w:t xml:space="preserve"> </w:t>
      </w:r>
      <w:r w:rsidRPr="005B3F3B">
        <w:rPr>
          <w:rFonts w:ascii="Times New Roman" w:hAnsi="Times New Roman" w:cs="Times New Roman"/>
          <w:b/>
          <w:bCs/>
        </w:rPr>
        <w:t>309</w:t>
      </w:r>
      <w:r w:rsidRPr="005B3F3B">
        <w:rPr>
          <w:rFonts w:ascii="Times New Roman" w:hAnsi="Times New Roman" w:cs="Times New Roman"/>
        </w:rPr>
        <w:t>, 111258 (2021).</w:t>
      </w:r>
    </w:p>
    <w:p w14:paraId="28F2DA4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46.</w:t>
      </w:r>
      <w:r w:rsidRPr="005B3F3B">
        <w:rPr>
          <w:rFonts w:ascii="Times New Roman" w:hAnsi="Times New Roman" w:cs="Times New Roman"/>
        </w:rPr>
        <w:tab/>
        <w:t xml:space="preserve">Roberts, G. </w:t>
      </w:r>
      <w:r w:rsidRPr="005B3F3B">
        <w:rPr>
          <w:rFonts w:ascii="Times New Roman" w:hAnsi="Times New Roman" w:cs="Times New Roman"/>
          <w:i/>
          <w:iCs/>
        </w:rPr>
        <w:t>et al.</w:t>
      </w:r>
      <w:r w:rsidRPr="005B3F3B">
        <w:rPr>
          <w:rFonts w:ascii="Times New Roman" w:hAnsi="Times New Roman" w:cs="Times New Roman"/>
        </w:rPr>
        <w:t xml:space="preserve"> Abnormalities in left inferior frontal gyral thickness and parahippocampal gyral volume in young people at high genetic risk for bipolar disorder. </w:t>
      </w:r>
      <w:r w:rsidRPr="005B3F3B">
        <w:rPr>
          <w:rFonts w:ascii="Times New Roman" w:hAnsi="Times New Roman" w:cs="Times New Roman"/>
          <w:i/>
          <w:iCs/>
        </w:rPr>
        <w:t>Psychol. Med.</w:t>
      </w:r>
      <w:r w:rsidRPr="005B3F3B">
        <w:rPr>
          <w:rFonts w:ascii="Times New Roman" w:hAnsi="Times New Roman" w:cs="Times New Roman"/>
        </w:rPr>
        <w:t xml:space="preserve"> </w:t>
      </w:r>
      <w:r w:rsidRPr="005B3F3B">
        <w:rPr>
          <w:rFonts w:ascii="Times New Roman" w:hAnsi="Times New Roman" w:cs="Times New Roman"/>
          <w:b/>
          <w:bCs/>
        </w:rPr>
        <w:t>46</w:t>
      </w:r>
      <w:r w:rsidRPr="005B3F3B">
        <w:rPr>
          <w:rFonts w:ascii="Times New Roman" w:hAnsi="Times New Roman" w:cs="Times New Roman"/>
        </w:rPr>
        <w:t>, 2083–2096 (2016).</w:t>
      </w:r>
    </w:p>
    <w:p w14:paraId="07AC2DD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47.</w:t>
      </w:r>
      <w:r w:rsidRPr="005B3F3B">
        <w:rPr>
          <w:rFonts w:ascii="Times New Roman" w:hAnsi="Times New Roman" w:cs="Times New Roman"/>
        </w:rPr>
        <w:tab/>
        <w:t xml:space="preserve">Maxwell, M. E. </w:t>
      </w:r>
      <w:r w:rsidRPr="005B3F3B">
        <w:rPr>
          <w:rFonts w:ascii="Times New Roman" w:hAnsi="Times New Roman" w:cs="Times New Roman"/>
          <w:i/>
          <w:iCs/>
        </w:rPr>
        <w:t>Family Interview for Genetic Studies (FIGS): A Manual for FIGS</w:t>
      </w:r>
      <w:r w:rsidRPr="005B3F3B">
        <w:rPr>
          <w:rFonts w:ascii="Times New Roman" w:hAnsi="Times New Roman" w:cs="Times New Roman"/>
        </w:rPr>
        <w:t>. (1992).</w:t>
      </w:r>
    </w:p>
    <w:p w14:paraId="73680B83"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48.</w:t>
      </w:r>
      <w:r w:rsidRPr="005B3F3B">
        <w:rPr>
          <w:rFonts w:ascii="Times New Roman" w:hAnsi="Times New Roman" w:cs="Times New Roman"/>
        </w:rPr>
        <w:tab/>
        <w:t xml:space="preserve">Kaufman, J. </w:t>
      </w:r>
      <w:r w:rsidRPr="005B3F3B">
        <w:rPr>
          <w:rFonts w:ascii="Times New Roman" w:hAnsi="Times New Roman" w:cs="Times New Roman"/>
          <w:i/>
          <w:iCs/>
        </w:rPr>
        <w:t>et al.</w:t>
      </w:r>
      <w:r w:rsidRPr="005B3F3B">
        <w:rPr>
          <w:rFonts w:ascii="Times New Roman" w:hAnsi="Times New Roman" w:cs="Times New Roman"/>
        </w:rPr>
        <w:t xml:space="preserve"> Schedule for Affective Disorders and Schizophrenia for School-Age Children-Present and Lifetime Version (K-SADS-PL): initial reliability and validity data. </w:t>
      </w:r>
      <w:r w:rsidRPr="005B3F3B">
        <w:rPr>
          <w:rFonts w:ascii="Times New Roman" w:hAnsi="Times New Roman" w:cs="Times New Roman"/>
          <w:i/>
          <w:iCs/>
        </w:rPr>
        <w:t>J. Am. Acad. Child Adolesc. Psychiatry</w:t>
      </w:r>
      <w:r w:rsidRPr="005B3F3B">
        <w:rPr>
          <w:rFonts w:ascii="Times New Roman" w:hAnsi="Times New Roman" w:cs="Times New Roman"/>
        </w:rPr>
        <w:t xml:space="preserve"> </w:t>
      </w:r>
      <w:r w:rsidRPr="005B3F3B">
        <w:rPr>
          <w:rFonts w:ascii="Times New Roman" w:hAnsi="Times New Roman" w:cs="Times New Roman"/>
          <w:b/>
          <w:bCs/>
        </w:rPr>
        <w:t>36</w:t>
      </w:r>
      <w:r w:rsidRPr="005B3F3B">
        <w:rPr>
          <w:rFonts w:ascii="Times New Roman" w:hAnsi="Times New Roman" w:cs="Times New Roman"/>
        </w:rPr>
        <w:t>, 980–988 (1997).</w:t>
      </w:r>
    </w:p>
    <w:p w14:paraId="798EA270"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49.</w:t>
      </w:r>
      <w:r w:rsidRPr="005B3F3B">
        <w:rPr>
          <w:rFonts w:ascii="Times New Roman" w:hAnsi="Times New Roman" w:cs="Times New Roman"/>
        </w:rPr>
        <w:tab/>
        <w:t xml:space="preserve">Nurnberger, J. I. </w:t>
      </w:r>
      <w:r w:rsidRPr="005B3F3B">
        <w:rPr>
          <w:rFonts w:ascii="Times New Roman" w:hAnsi="Times New Roman" w:cs="Times New Roman"/>
          <w:i/>
          <w:iCs/>
        </w:rPr>
        <w:t>et al.</w:t>
      </w:r>
      <w:r w:rsidRPr="005B3F3B">
        <w:rPr>
          <w:rFonts w:ascii="Times New Roman" w:hAnsi="Times New Roman" w:cs="Times New Roman"/>
        </w:rPr>
        <w:t xml:space="preserve"> A high-risk study of bipolar disorder. Childhood clinical phenotypes as precursors of major mood disorders. </w:t>
      </w:r>
      <w:r w:rsidRPr="005B3F3B">
        <w:rPr>
          <w:rFonts w:ascii="Times New Roman" w:hAnsi="Times New Roman" w:cs="Times New Roman"/>
          <w:i/>
          <w:iCs/>
        </w:rPr>
        <w:t>Arch. Gen. Psychiatry</w:t>
      </w:r>
      <w:r w:rsidRPr="005B3F3B">
        <w:rPr>
          <w:rFonts w:ascii="Times New Roman" w:hAnsi="Times New Roman" w:cs="Times New Roman"/>
        </w:rPr>
        <w:t xml:space="preserve"> </w:t>
      </w:r>
      <w:r w:rsidRPr="005B3F3B">
        <w:rPr>
          <w:rFonts w:ascii="Times New Roman" w:hAnsi="Times New Roman" w:cs="Times New Roman"/>
          <w:b/>
          <w:bCs/>
        </w:rPr>
        <w:t>68</w:t>
      </w:r>
      <w:r w:rsidRPr="005B3F3B">
        <w:rPr>
          <w:rFonts w:ascii="Times New Roman" w:hAnsi="Times New Roman" w:cs="Times New Roman"/>
        </w:rPr>
        <w:t>, 1012–1020 (2011).</w:t>
      </w:r>
    </w:p>
    <w:p w14:paraId="6FFA9AA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50.</w:t>
      </w:r>
      <w:r w:rsidRPr="005B3F3B">
        <w:rPr>
          <w:rFonts w:ascii="Times New Roman" w:hAnsi="Times New Roman" w:cs="Times New Roman"/>
        </w:rPr>
        <w:tab/>
        <w:t xml:space="preserve">Nurnberger, J. I. </w:t>
      </w:r>
      <w:r w:rsidRPr="005B3F3B">
        <w:rPr>
          <w:rFonts w:ascii="Times New Roman" w:hAnsi="Times New Roman" w:cs="Times New Roman"/>
          <w:i/>
          <w:iCs/>
        </w:rPr>
        <w:t>et al.</w:t>
      </w:r>
      <w:r w:rsidRPr="005B3F3B">
        <w:rPr>
          <w:rFonts w:ascii="Times New Roman" w:hAnsi="Times New Roman" w:cs="Times New Roman"/>
        </w:rPr>
        <w:t xml:space="preserve"> Diagnostic interview for genetic studies. Rationale, unique features, and training. NIMH Genetics Initiative. </w:t>
      </w:r>
      <w:r w:rsidRPr="005B3F3B">
        <w:rPr>
          <w:rFonts w:ascii="Times New Roman" w:hAnsi="Times New Roman" w:cs="Times New Roman"/>
          <w:i/>
          <w:iCs/>
        </w:rPr>
        <w:t>Arch. Gen. Psychiatry</w:t>
      </w:r>
      <w:r w:rsidRPr="005B3F3B">
        <w:rPr>
          <w:rFonts w:ascii="Times New Roman" w:hAnsi="Times New Roman" w:cs="Times New Roman"/>
        </w:rPr>
        <w:t xml:space="preserve"> </w:t>
      </w:r>
      <w:r w:rsidRPr="005B3F3B">
        <w:rPr>
          <w:rFonts w:ascii="Times New Roman" w:hAnsi="Times New Roman" w:cs="Times New Roman"/>
          <w:b/>
          <w:bCs/>
        </w:rPr>
        <w:t>51</w:t>
      </w:r>
      <w:r w:rsidRPr="005B3F3B">
        <w:rPr>
          <w:rFonts w:ascii="Times New Roman" w:hAnsi="Times New Roman" w:cs="Times New Roman"/>
        </w:rPr>
        <w:t>, 849–859; discussion 863-864 (1994).</w:t>
      </w:r>
    </w:p>
    <w:p w14:paraId="7C0BA4C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lastRenderedPageBreak/>
        <w:t>51.</w:t>
      </w:r>
      <w:r w:rsidRPr="005B3F3B">
        <w:rPr>
          <w:rFonts w:ascii="Times New Roman" w:hAnsi="Times New Roman" w:cs="Times New Roman"/>
        </w:rPr>
        <w:tab/>
        <w:t xml:space="preserve">Leckman, J. F., Sholomskas, D., Thompson, W. D., Belanger, A. &amp; Weissman, M. M. Best estimate of lifetime psychiatric diagnosis: a methodological study. </w:t>
      </w:r>
      <w:r w:rsidRPr="005B3F3B">
        <w:rPr>
          <w:rFonts w:ascii="Times New Roman" w:hAnsi="Times New Roman" w:cs="Times New Roman"/>
          <w:i/>
          <w:iCs/>
        </w:rPr>
        <w:t>Arch. Gen. Psychiatry</w:t>
      </w:r>
      <w:r w:rsidRPr="005B3F3B">
        <w:rPr>
          <w:rFonts w:ascii="Times New Roman" w:hAnsi="Times New Roman" w:cs="Times New Roman"/>
        </w:rPr>
        <w:t xml:space="preserve"> </w:t>
      </w:r>
      <w:r w:rsidRPr="005B3F3B">
        <w:rPr>
          <w:rFonts w:ascii="Times New Roman" w:hAnsi="Times New Roman" w:cs="Times New Roman"/>
          <w:b/>
          <w:bCs/>
        </w:rPr>
        <w:t>39</w:t>
      </w:r>
      <w:r w:rsidRPr="005B3F3B">
        <w:rPr>
          <w:rFonts w:ascii="Times New Roman" w:hAnsi="Times New Roman" w:cs="Times New Roman"/>
        </w:rPr>
        <w:t>, 879–883 (1982).</w:t>
      </w:r>
    </w:p>
    <w:p w14:paraId="65BE25D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52.</w:t>
      </w:r>
      <w:r w:rsidRPr="005B3F3B">
        <w:rPr>
          <w:rFonts w:ascii="Times New Roman" w:hAnsi="Times New Roman" w:cs="Times New Roman"/>
        </w:rPr>
        <w:tab/>
        <w:t xml:space="preserve">Hesam-Shariati, S. </w:t>
      </w:r>
      <w:r w:rsidRPr="005B3F3B">
        <w:rPr>
          <w:rFonts w:ascii="Times New Roman" w:hAnsi="Times New Roman" w:cs="Times New Roman"/>
          <w:i/>
          <w:iCs/>
        </w:rPr>
        <w:t>et al.</w:t>
      </w:r>
      <w:r w:rsidRPr="005B3F3B">
        <w:rPr>
          <w:rFonts w:ascii="Times New Roman" w:hAnsi="Times New Roman" w:cs="Times New Roman"/>
        </w:rPr>
        <w:t xml:space="preserve"> Epigenetic signatures relating to disease-associated genotypic burden in familial risk of bipolar disorder. </w:t>
      </w:r>
      <w:r w:rsidRPr="005B3F3B">
        <w:rPr>
          <w:rFonts w:ascii="Times New Roman" w:hAnsi="Times New Roman" w:cs="Times New Roman"/>
          <w:i/>
          <w:iCs/>
        </w:rPr>
        <w:t>Transl. Psychiatry</w:t>
      </w:r>
      <w:r w:rsidRPr="005B3F3B">
        <w:rPr>
          <w:rFonts w:ascii="Times New Roman" w:hAnsi="Times New Roman" w:cs="Times New Roman"/>
        </w:rPr>
        <w:t xml:space="preserve"> </w:t>
      </w:r>
      <w:r w:rsidRPr="005B3F3B">
        <w:rPr>
          <w:rFonts w:ascii="Times New Roman" w:hAnsi="Times New Roman" w:cs="Times New Roman"/>
          <w:b/>
          <w:bCs/>
        </w:rPr>
        <w:t>12</w:t>
      </w:r>
      <w:r w:rsidRPr="005B3F3B">
        <w:rPr>
          <w:rFonts w:ascii="Times New Roman" w:hAnsi="Times New Roman" w:cs="Times New Roman"/>
        </w:rPr>
        <w:t>, 310 (2022).</w:t>
      </w:r>
    </w:p>
    <w:p w14:paraId="4ABF5D96"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53.</w:t>
      </w:r>
      <w:r w:rsidRPr="005B3F3B">
        <w:rPr>
          <w:rFonts w:ascii="Times New Roman" w:hAnsi="Times New Roman" w:cs="Times New Roman"/>
        </w:rPr>
        <w:tab/>
        <w:t xml:space="preserve">Kooijman, M. N. </w:t>
      </w:r>
      <w:r w:rsidRPr="005B3F3B">
        <w:rPr>
          <w:rFonts w:ascii="Times New Roman" w:hAnsi="Times New Roman" w:cs="Times New Roman"/>
          <w:i/>
          <w:iCs/>
        </w:rPr>
        <w:t>et al.</w:t>
      </w:r>
      <w:r w:rsidRPr="005B3F3B">
        <w:rPr>
          <w:rFonts w:ascii="Times New Roman" w:hAnsi="Times New Roman" w:cs="Times New Roman"/>
        </w:rPr>
        <w:t xml:space="preserve"> The Generation R Study: design and cohort update 2017. </w:t>
      </w:r>
      <w:r w:rsidRPr="005B3F3B">
        <w:rPr>
          <w:rFonts w:ascii="Times New Roman" w:hAnsi="Times New Roman" w:cs="Times New Roman"/>
          <w:i/>
          <w:iCs/>
        </w:rPr>
        <w:t>Eur. J. Epidemiol.</w:t>
      </w:r>
      <w:r w:rsidRPr="005B3F3B">
        <w:rPr>
          <w:rFonts w:ascii="Times New Roman" w:hAnsi="Times New Roman" w:cs="Times New Roman"/>
        </w:rPr>
        <w:t xml:space="preserve"> </w:t>
      </w:r>
      <w:r w:rsidRPr="005B3F3B">
        <w:rPr>
          <w:rFonts w:ascii="Times New Roman" w:hAnsi="Times New Roman" w:cs="Times New Roman"/>
          <w:b/>
          <w:bCs/>
        </w:rPr>
        <w:t>31</w:t>
      </w:r>
      <w:r w:rsidRPr="005B3F3B">
        <w:rPr>
          <w:rFonts w:ascii="Times New Roman" w:hAnsi="Times New Roman" w:cs="Times New Roman"/>
        </w:rPr>
        <w:t>, 1243–1264 (2016).</w:t>
      </w:r>
    </w:p>
    <w:p w14:paraId="2A761637"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54.</w:t>
      </w:r>
      <w:r w:rsidRPr="005B3F3B">
        <w:rPr>
          <w:rFonts w:ascii="Times New Roman" w:hAnsi="Times New Roman" w:cs="Times New Roman"/>
        </w:rPr>
        <w:tab/>
        <w:t xml:space="preserve">Ligthart, L. </w:t>
      </w:r>
      <w:r w:rsidRPr="005B3F3B">
        <w:rPr>
          <w:rFonts w:ascii="Times New Roman" w:hAnsi="Times New Roman" w:cs="Times New Roman"/>
          <w:i/>
          <w:iCs/>
        </w:rPr>
        <w:t>et al.</w:t>
      </w:r>
      <w:r w:rsidRPr="005B3F3B">
        <w:rPr>
          <w:rFonts w:ascii="Times New Roman" w:hAnsi="Times New Roman" w:cs="Times New Roman"/>
        </w:rPr>
        <w:t xml:space="preserve"> The Netherlands Twin Register: Longitudinal Research Based on Twin and Twin-Family Designs. </w:t>
      </w:r>
      <w:r w:rsidRPr="005B3F3B">
        <w:rPr>
          <w:rFonts w:ascii="Times New Roman" w:hAnsi="Times New Roman" w:cs="Times New Roman"/>
          <w:i/>
          <w:iCs/>
        </w:rPr>
        <w:t>Twin Res. Hum. Genet. Off. J. Int. Soc. Twin Stud.</w:t>
      </w:r>
      <w:r w:rsidRPr="005B3F3B">
        <w:rPr>
          <w:rFonts w:ascii="Times New Roman" w:hAnsi="Times New Roman" w:cs="Times New Roman"/>
        </w:rPr>
        <w:t xml:space="preserve"> </w:t>
      </w:r>
      <w:r w:rsidRPr="005B3F3B">
        <w:rPr>
          <w:rFonts w:ascii="Times New Roman" w:hAnsi="Times New Roman" w:cs="Times New Roman"/>
          <w:b/>
          <w:bCs/>
        </w:rPr>
        <w:t>22</w:t>
      </w:r>
      <w:r w:rsidRPr="005B3F3B">
        <w:rPr>
          <w:rFonts w:ascii="Times New Roman" w:hAnsi="Times New Roman" w:cs="Times New Roman"/>
        </w:rPr>
        <w:t>, 623–636 (2019).</w:t>
      </w:r>
    </w:p>
    <w:p w14:paraId="0F3F03D7"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55.</w:t>
      </w:r>
      <w:r w:rsidRPr="005B3F3B">
        <w:rPr>
          <w:rFonts w:ascii="Times New Roman" w:hAnsi="Times New Roman" w:cs="Times New Roman"/>
        </w:rPr>
        <w:tab/>
        <w:t xml:space="preserve">Willemsen, G. </w:t>
      </w:r>
      <w:r w:rsidRPr="005B3F3B">
        <w:rPr>
          <w:rFonts w:ascii="Times New Roman" w:hAnsi="Times New Roman" w:cs="Times New Roman"/>
          <w:i/>
          <w:iCs/>
        </w:rPr>
        <w:t>et al.</w:t>
      </w:r>
      <w:r w:rsidRPr="005B3F3B">
        <w:rPr>
          <w:rFonts w:ascii="Times New Roman" w:hAnsi="Times New Roman" w:cs="Times New Roman"/>
        </w:rPr>
        <w:t xml:space="preserve"> The Netherlands Twin Register biobank: a resource for genetic epidemiological studies. </w:t>
      </w:r>
      <w:r w:rsidRPr="005B3F3B">
        <w:rPr>
          <w:rFonts w:ascii="Times New Roman" w:hAnsi="Times New Roman" w:cs="Times New Roman"/>
          <w:i/>
          <w:iCs/>
        </w:rPr>
        <w:t>Twin Res. Hum. Genet. Off. J. Int. Soc. Twin Stud.</w:t>
      </w:r>
      <w:r w:rsidRPr="005B3F3B">
        <w:rPr>
          <w:rFonts w:ascii="Times New Roman" w:hAnsi="Times New Roman" w:cs="Times New Roman"/>
        </w:rPr>
        <w:t xml:space="preserve"> </w:t>
      </w:r>
      <w:r w:rsidRPr="005B3F3B">
        <w:rPr>
          <w:rFonts w:ascii="Times New Roman" w:hAnsi="Times New Roman" w:cs="Times New Roman"/>
          <w:b/>
          <w:bCs/>
        </w:rPr>
        <w:t>13</w:t>
      </w:r>
      <w:r w:rsidRPr="005B3F3B">
        <w:rPr>
          <w:rFonts w:ascii="Times New Roman" w:hAnsi="Times New Roman" w:cs="Times New Roman"/>
        </w:rPr>
        <w:t>, 231–245 (2010).</w:t>
      </w:r>
    </w:p>
    <w:p w14:paraId="7F8309FF"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56.</w:t>
      </w:r>
      <w:r w:rsidRPr="005B3F3B">
        <w:rPr>
          <w:rFonts w:ascii="Times New Roman" w:hAnsi="Times New Roman" w:cs="Times New Roman"/>
        </w:rPr>
        <w:tab/>
        <w:t xml:space="preserve">Sachdev, P. S. </w:t>
      </w:r>
      <w:r w:rsidRPr="005B3F3B">
        <w:rPr>
          <w:rFonts w:ascii="Times New Roman" w:hAnsi="Times New Roman" w:cs="Times New Roman"/>
          <w:i/>
          <w:iCs/>
        </w:rPr>
        <w:t>et al.</w:t>
      </w:r>
      <w:r w:rsidRPr="005B3F3B">
        <w:rPr>
          <w:rFonts w:ascii="Times New Roman" w:hAnsi="Times New Roman" w:cs="Times New Roman"/>
        </w:rPr>
        <w:t xml:space="preserve"> A Comprehensive Neuropsychiatric Study of Elderly Twins: The Older Australian Twins Study. </w:t>
      </w:r>
      <w:r w:rsidRPr="005B3F3B">
        <w:rPr>
          <w:rFonts w:ascii="Times New Roman" w:hAnsi="Times New Roman" w:cs="Times New Roman"/>
          <w:i/>
          <w:iCs/>
        </w:rPr>
        <w:t>Twin Res. Hum. Genet.</w:t>
      </w:r>
      <w:r w:rsidRPr="005B3F3B">
        <w:rPr>
          <w:rFonts w:ascii="Times New Roman" w:hAnsi="Times New Roman" w:cs="Times New Roman"/>
        </w:rPr>
        <w:t xml:space="preserve"> </w:t>
      </w:r>
      <w:r w:rsidRPr="005B3F3B">
        <w:rPr>
          <w:rFonts w:ascii="Times New Roman" w:hAnsi="Times New Roman" w:cs="Times New Roman"/>
          <w:b/>
          <w:bCs/>
        </w:rPr>
        <w:t>12</w:t>
      </w:r>
      <w:r w:rsidRPr="005B3F3B">
        <w:rPr>
          <w:rFonts w:ascii="Times New Roman" w:hAnsi="Times New Roman" w:cs="Times New Roman"/>
        </w:rPr>
        <w:t>, 573–582 (2009).</w:t>
      </w:r>
    </w:p>
    <w:p w14:paraId="612372FF"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57.</w:t>
      </w:r>
      <w:r w:rsidRPr="005B3F3B">
        <w:rPr>
          <w:rFonts w:ascii="Times New Roman" w:hAnsi="Times New Roman" w:cs="Times New Roman"/>
        </w:rPr>
        <w:tab/>
        <w:t xml:space="preserve">Crespo-Facorro, B. </w:t>
      </w:r>
      <w:r w:rsidRPr="005B3F3B">
        <w:rPr>
          <w:rFonts w:ascii="Times New Roman" w:hAnsi="Times New Roman" w:cs="Times New Roman"/>
          <w:i/>
          <w:iCs/>
        </w:rPr>
        <w:t>et al.</w:t>
      </w:r>
      <w:r w:rsidRPr="005B3F3B">
        <w:rPr>
          <w:rFonts w:ascii="Times New Roman" w:hAnsi="Times New Roman" w:cs="Times New Roman"/>
        </w:rPr>
        <w:t xml:space="preserve"> Predictors of acute treatment response in patients with a first episode of non-affective psychosis: sociodemographics, premorbid and clinical variables. </w:t>
      </w:r>
      <w:r w:rsidRPr="005B3F3B">
        <w:rPr>
          <w:rFonts w:ascii="Times New Roman" w:hAnsi="Times New Roman" w:cs="Times New Roman"/>
          <w:i/>
          <w:iCs/>
        </w:rPr>
        <w:t>J. Psychiatr. Res.</w:t>
      </w:r>
      <w:r w:rsidRPr="005B3F3B">
        <w:rPr>
          <w:rFonts w:ascii="Times New Roman" w:hAnsi="Times New Roman" w:cs="Times New Roman"/>
        </w:rPr>
        <w:t xml:space="preserve"> </w:t>
      </w:r>
      <w:r w:rsidRPr="005B3F3B">
        <w:rPr>
          <w:rFonts w:ascii="Times New Roman" w:hAnsi="Times New Roman" w:cs="Times New Roman"/>
          <w:b/>
          <w:bCs/>
        </w:rPr>
        <w:t>41</w:t>
      </w:r>
      <w:r w:rsidRPr="005B3F3B">
        <w:rPr>
          <w:rFonts w:ascii="Times New Roman" w:hAnsi="Times New Roman" w:cs="Times New Roman"/>
        </w:rPr>
        <w:t>, 659–666 (2007).</w:t>
      </w:r>
    </w:p>
    <w:p w14:paraId="27FF881D"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58.</w:t>
      </w:r>
      <w:r w:rsidRPr="005B3F3B">
        <w:rPr>
          <w:rFonts w:ascii="Times New Roman" w:hAnsi="Times New Roman" w:cs="Times New Roman"/>
        </w:rPr>
        <w:tab/>
        <w:t xml:space="preserve">Pelayo-Terán, J. M. </w:t>
      </w:r>
      <w:r w:rsidRPr="005B3F3B">
        <w:rPr>
          <w:rFonts w:ascii="Times New Roman" w:hAnsi="Times New Roman" w:cs="Times New Roman"/>
          <w:i/>
          <w:iCs/>
        </w:rPr>
        <w:t>et al.</w:t>
      </w:r>
      <w:r w:rsidRPr="005B3F3B">
        <w:rPr>
          <w:rFonts w:ascii="Times New Roman" w:hAnsi="Times New Roman" w:cs="Times New Roman"/>
        </w:rPr>
        <w:t xml:space="preserve"> Epidemiological factors associated with treated incidence of first-episode non-affective psychosis in Cantabria: insights from the Clinical Programme on Early Phases of Psychosis. </w:t>
      </w:r>
      <w:r w:rsidRPr="005B3F3B">
        <w:rPr>
          <w:rFonts w:ascii="Times New Roman" w:hAnsi="Times New Roman" w:cs="Times New Roman"/>
          <w:i/>
          <w:iCs/>
        </w:rPr>
        <w:t>Early Interv. Psychiatry</w:t>
      </w:r>
      <w:r w:rsidRPr="005B3F3B">
        <w:rPr>
          <w:rFonts w:ascii="Times New Roman" w:hAnsi="Times New Roman" w:cs="Times New Roman"/>
        </w:rPr>
        <w:t xml:space="preserve"> </w:t>
      </w:r>
      <w:r w:rsidRPr="005B3F3B">
        <w:rPr>
          <w:rFonts w:ascii="Times New Roman" w:hAnsi="Times New Roman" w:cs="Times New Roman"/>
          <w:b/>
          <w:bCs/>
        </w:rPr>
        <w:t>2</w:t>
      </w:r>
      <w:r w:rsidRPr="005B3F3B">
        <w:rPr>
          <w:rFonts w:ascii="Times New Roman" w:hAnsi="Times New Roman" w:cs="Times New Roman"/>
        </w:rPr>
        <w:t>, 178–187 (2008).</w:t>
      </w:r>
    </w:p>
    <w:p w14:paraId="1115947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59.</w:t>
      </w:r>
      <w:r w:rsidRPr="005B3F3B">
        <w:rPr>
          <w:rFonts w:ascii="Times New Roman" w:hAnsi="Times New Roman" w:cs="Times New Roman"/>
        </w:rPr>
        <w:tab/>
        <w:t xml:space="preserve">Paus, T. </w:t>
      </w:r>
      <w:r w:rsidRPr="005B3F3B">
        <w:rPr>
          <w:rFonts w:ascii="Times New Roman" w:hAnsi="Times New Roman" w:cs="Times New Roman"/>
          <w:i/>
          <w:iCs/>
        </w:rPr>
        <w:t>et al.</w:t>
      </w:r>
      <w:r w:rsidRPr="005B3F3B">
        <w:rPr>
          <w:rFonts w:ascii="Times New Roman" w:hAnsi="Times New Roman" w:cs="Times New Roman"/>
        </w:rPr>
        <w:t xml:space="preserve"> Saguenay Youth Study: a multi-generational approach to studying virtual trajectories of the brain and cardio-metabolic health. </w:t>
      </w:r>
      <w:r w:rsidRPr="005B3F3B">
        <w:rPr>
          <w:rFonts w:ascii="Times New Roman" w:hAnsi="Times New Roman" w:cs="Times New Roman"/>
          <w:i/>
          <w:iCs/>
        </w:rPr>
        <w:t>Dev. Cogn. Neurosci.</w:t>
      </w:r>
      <w:r w:rsidRPr="005B3F3B">
        <w:rPr>
          <w:rFonts w:ascii="Times New Roman" w:hAnsi="Times New Roman" w:cs="Times New Roman"/>
        </w:rPr>
        <w:t xml:space="preserve"> </w:t>
      </w:r>
      <w:r w:rsidRPr="005B3F3B">
        <w:rPr>
          <w:rFonts w:ascii="Times New Roman" w:hAnsi="Times New Roman" w:cs="Times New Roman"/>
          <w:b/>
          <w:bCs/>
        </w:rPr>
        <w:t>11</w:t>
      </w:r>
      <w:r w:rsidRPr="005B3F3B">
        <w:rPr>
          <w:rFonts w:ascii="Times New Roman" w:hAnsi="Times New Roman" w:cs="Times New Roman"/>
        </w:rPr>
        <w:t>, 129–144 (2015).</w:t>
      </w:r>
    </w:p>
    <w:p w14:paraId="03ED10C4"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60.</w:t>
      </w:r>
      <w:r w:rsidRPr="005B3F3B">
        <w:rPr>
          <w:rFonts w:ascii="Times New Roman" w:hAnsi="Times New Roman" w:cs="Times New Roman"/>
        </w:rPr>
        <w:tab/>
        <w:t xml:space="preserve">Pausova, Z. </w:t>
      </w:r>
      <w:r w:rsidRPr="005B3F3B">
        <w:rPr>
          <w:rFonts w:ascii="Times New Roman" w:hAnsi="Times New Roman" w:cs="Times New Roman"/>
          <w:i/>
          <w:iCs/>
        </w:rPr>
        <w:t>et al.</w:t>
      </w:r>
      <w:r w:rsidRPr="005B3F3B">
        <w:rPr>
          <w:rFonts w:ascii="Times New Roman" w:hAnsi="Times New Roman" w:cs="Times New Roman"/>
        </w:rPr>
        <w:t xml:space="preserve"> Cohort Profile: The Saguenay Youth Study (SYS). </w:t>
      </w:r>
      <w:r w:rsidRPr="005B3F3B">
        <w:rPr>
          <w:rFonts w:ascii="Times New Roman" w:hAnsi="Times New Roman" w:cs="Times New Roman"/>
          <w:i/>
          <w:iCs/>
        </w:rPr>
        <w:t>Int. J. Epidemiol.</w:t>
      </w:r>
      <w:r w:rsidRPr="005B3F3B">
        <w:rPr>
          <w:rFonts w:ascii="Times New Roman" w:hAnsi="Times New Roman" w:cs="Times New Roman"/>
        </w:rPr>
        <w:t xml:space="preserve"> </w:t>
      </w:r>
      <w:r w:rsidRPr="005B3F3B">
        <w:rPr>
          <w:rFonts w:ascii="Times New Roman" w:hAnsi="Times New Roman" w:cs="Times New Roman"/>
          <w:b/>
          <w:bCs/>
        </w:rPr>
        <w:t>46</w:t>
      </w:r>
      <w:r w:rsidRPr="005B3F3B">
        <w:rPr>
          <w:rFonts w:ascii="Times New Roman" w:hAnsi="Times New Roman" w:cs="Times New Roman"/>
        </w:rPr>
        <w:t>, e19 (2017).</w:t>
      </w:r>
    </w:p>
    <w:p w14:paraId="38A8F4E3"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61.</w:t>
      </w:r>
      <w:r w:rsidRPr="005B3F3B">
        <w:rPr>
          <w:rFonts w:ascii="Times New Roman" w:hAnsi="Times New Roman" w:cs="Times New Roman"/>
        </w:rPr>
        <w:tab/>
        <w:t xml:space="preserve">Boyd, A. </w:t>
      </w:r>
      <w:r w:rsidRPr="005B3F3B">
        <w:rPr>
          <w:rFonts w:ascii="Times New Roman" w:hAnsi="Times New Roman" w:cs="Times New Roman"/>
          <w:i/>
          <w:iCs/>
        </w:rPr>
        <w:t>et al.</w:t>
      </w:r>
      <w:r w:rsidRPr="005B3F3B">
        <w:rPr>
          <w:rFonts w:ascii="Times New Roman" w:hAnsi="Times New Roman" w:cs="Times New Roman"/>
        </w:rPr>
        <w:t xml:space="preserve"> Cohort Profile: the ’children of the 90s’--the index offspring of the Avon Longitudinal Study of Parents and Children. </w:t>
      </w:r>
      <w:r w:rsidRPr="005B3F3B">
        <w:rPr>
          <w:rFonts w:ascii="Times New Roman" w:hAnsi="Times New Roman" w:cs="Times New Roman"/>
          <w:i/>
          <w:iCs/>
        </w:rPr>
        <w:t>Int. J. Epidemiol.</w:t>
      </w:r>
      <w:r w:rsidRPr="005B3F3B">
        <w:rPr>
          <w:rFonts w:ascii="Times New Roman" w:hAnsi="Times New Roman" w:cs="Times New Roman"/>
        </w:rPr>
        <w:t xml:space="preserve"> </w:t>
      </w:r>
      <w:r w:rsidRPr="005B3F3B">
        <w:rPr>
          <w:rFonts w:ascii="Times New Roman" w:hAnsi="Times New Roman" w:cs="Times New Roman"/>
          <w:b/>
          <w:bCs/>
        </w:rPr>
        <w:t>42</w:t>
      </w:r>
      <w:r w:rsidRPr="005B3F3B">
        <w:rPr>
          <w:rFonts w:ascii="Times New Roman" w:hAnsi="Times New Roman" w:cs="Times New Roman"/>
        </w:rPr>
        <w:t>, 111–127 (2013).</w:t>
      </w:r>
    </w:p>
    <w:p w14:paraId="44C77F75"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62.</w:t>
      </w:r>
      <w:r w:rsidRPr="005B3F3B">
        <w:rPr>
          <w:rFonts w:ascii="Times New Roman" w:hAnsi="Times New Roman" w:cs="Times New Roman"/>
        </w:rPr>
        <w:tab/>
        <w:t xml:space="preserve">Fraser, A. </w:t>
      </w:r>
      <w:r w:rsidRPr="005B3F3B">
        <w:rPr>
          <w:rFonts w:ascii="Times New Roman" w:hAnsi="Times New Roman" w:cs="Times New Roman"/>
          <w:i/>
          <w:iCs/>
        </w:rPr>
        <w:t>et al.</w:t>
      </w:r>
      <w:r w:rsidRPr="005B3F3B">
        <w:rPr>
          <w:rFonts w:ascii="Times New Roman" w:hAnsi="Times New Roman" w:cs="Times New Roman"/>
        </w:rPr>
        <w:t xml:space="preserve"> Cohort Profile: the Avon Longitudinal Study of Parents and Children: ALSPAC mothers cohort. </w:t>
      </w:r>
      <w:r w:rsidRPr="005B3F3B">
        <w:rPr>
          <w:rFonts w:ascii="Times New Roman" w:hAnsi="Times New Roman" w:cs="Times New Roman"/>
          <w:i/>
          <w:iCs/>
        </w:rPr>
        <w:t>Int. J. Epidemiol.</w:t>
      </w:r>
      <w:r w:rsidRPr="005B3F3B">
        <w:rPr>
          <w:rFonts w:ascii="Times New Roman" w:hAnsi="Times New Roman" w:cs="Times New Roman"/>
        </w:rPr>
        <w:t xml:space="preserve"> </w:t>
      </w:r>
      <w:r w:rsidRPr="005B3F3B">
        <w:rPr>
          <w:rFonts w:ascii="Times New Roman" w:hAnsi="Times New Roman" w:cs="Times New Roman"/>
          <w:b/>
          <w:bCs/>
        </w:rPr>
        <w:t>42</w:t>
      </w:r>
      <w:r w:rsidRPr="005B3F3B">
        <w:rPr>
          <w:rFonts w:ascii="Times New Roman" w:hAnsi="Times New Roman" w:cs="Times New Roman"/>
        </w:rPr>
        <w:t>, 97–110 (2013).</w:t>
      </w:r>
    </w:p>
    <w:p w14:paraId="347180EC"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t>63.</w:t>
      </w:r>
      <w:r w:rsidRPr="005B3F3B">
        <w:rPr>
          <w:rFonts w:ascii="Times New Roman" w:hAnsi="Times New Roman" w:cs="Times New Roman"/>
        </w:rPr>
        <w:tab/>
        <w:t xml:space="preserve">Northstone, K. </w:t>
      </w:r>
      <w:r w:rsidRPr="005B3F3B">
        <w:rPr>
          <w:rFonts w:ascii="Times New Roman" w:hAnsi="Times New Roman" w:cs="Times New Roman"/>
          <w:i/>
          <w:iCs/>
        </w:rPr>
        <w:t>et al.</w:t>
      </w:r>
      <w:r w:rsidRPr="005B3F3B">
        <w:rPr>
          <w:rFonts w:ascii="Times New Roman" w:hAnsi="Times New Roman" w:cs="Times New Roman"/>
        </w:rPr>
        <w:t xml:space="preserve"> The Avon Longitudinal Study of Parents and Children (ALSPAC): an update on the enrolled sample of index children in 2019. </w:t>
      </w:r>
      <w:r w:rsidRPr="005B3F3B">
        <w:rPr>
          <w:rFonts w:ascii="Times New Roman" w:hAnsi="Times New Roman" w:cs="Times New Roman"/>
          <w:i/>
          <w:iCs/>
        </w:rPr>
        <w:t>Wellcome Open Res.</w:t>
      </w:r>
      <w:r w:rsidRPr="005B3F3B">
        <w:rPr>
          <w:rFonts w:ascii="Times New Roman" w:hAnsi="Times New Roman" w:cs="Times New Roman"/>
        </w:rPr>
        <w:t xml:space="preserve"> </w:t>
      </w:r>
      <w:r w:rsidRPr="005B3F3B">
        <w:rPr>
          <w:rFonts w:ascii="Times New Roman" w:hAnsi="Times New Roman" w:cs="Times New Roman"/>
          <w:b/>
          <w:bCs/>
        </w:rPr>
        <w:t>4</w:t>
      </w:r>
      <w:r w:rsidRPr="005B3F3B">
        <w:rPr>
          <w:rFonts w:ascii="Times New Roman" w:hAnsi="Times New Roman" w:cs="Times New Roman"/>
        </w:rPr>
        <w:t>, 51 (2019).</w:t>
      </w:r>
    </w:p>
    <w:p w14:paraId="016BBA46" w14:textId="77777777" w:rsidR="00F05D92" w:rsidRPr="005B3F3B" w:rsidRDefault="00F05D92" w:rsidP="005B3F3B">
      <w:pPr>
        <w:pStyle w:val="Bibliography"/>
        <w:spacing w:line="360" w:lineRule="auto"/>
        <w:rPr>
          <w:rFonts w:ascii="Times New Roman" w:hAnsi="Times New Roman" w:cs="Times New Roman"/>
        </w:rPr>
      </w:pPr>
      <w:r w:rsidRPr="005B3F3B">
        <w:rPr>
          <w:rFonts w:ascii="Times New Roman" w:hAnsi="Times New Roman" w:cs="Times New Roman"/>
        </w:rPr>
        <w:lastRenderedPageBreak/>
        <w:t>64.</w:t>
      </w:r>
      <w:r w:rsidRPr="005B3F3B">
        <w:rPr>
          <w:rFonts w:ascii="Times New Roman" w:hAnsi="Times New Roman" w:cs="Times New Roman"/>
        </w:rPr>
        <w:tab/>
        <w:t xml:space="preserve">Inkster, B. </w:t>
      </w:r>
      <w:r w:rsidRPr="005B3F3B">
        <w:rPr>
          <w:rFonts w:ascii="Times New Roman" w:hAnsi="Times New Roman" w:cs="Times New Roman"/>
          <w:i/>
          <w:iCs/>
        </w:rPr>
        <w:t>et al.</w:t>
      </w:r>
      <w:r w:rsidRPr="005B3F3B">
        <w:rPr>
          <w:rFonts w:ascii="Times New Roman" w:hAnsi="Times New Roman" w:cs="Times New Roman"/>
        </w:rPr>
        <w:t xml:space="preserve"> Association of GSK3beta polymorphisms with brain structural changes in major depressive disorder. </w:t>
      </w:r>
      <w:r w:rsidRPr="005B3F3B">
        <w:rPr>
          <w:rFonts w:ascii="Times New Roman" w:hAnsi="Times New Roman" w:cs="Times New Roman"/>
          <w:i/>
          <w:iCs/>
        </w:rPr>
        <w:t>Arch. Gen. Psychiatry</w:t>
      </w:r>
      <w:r w:rsidRPr="005B3F3B">
        <w:rPr>
          <w:rFonts w:ascii="Times New Roman" w:hAnsi="Times New Roman" w:cs="Times New Roman"/>
        </w:rPr>
        <w:t xml:space="preserve"> </w:t>
      </w:r>
      <w:r w:rsidRPr="005B3F3B">
        <w:rPr>
          <w:rFonts w:ascii="Times New Roman" w:hAnsi="Times New Roman" w:cs="Times New Roman"/>
          <w:b/>
          <w:bCs/>
        </w:rPr>
        <w:t>66</w:t>
      </w:r>
      <w:r w:rsidRPr="005B3F3B">
        <w:rPr>
          <w:rFonts w:ascii="Times New Roman" w:hAnsi="Times New Roman" w:cs="Times New Roman"/>
        </w:rPr>
        <w:t>, 721–728 (2009).</w:t>
      </w:r>
    </w:p>
    <w:p w14:paraId="0A4321DE" w14:textId="1CD5CF6C" w:rsidR="007272BE" w:rsidRPr="005B3F3B" w:rsidRDefault="007272BE" w:rsidP="005B3F3B">
      <w:pPr>
        <w:pStyle w:val="Bibliography"/>
        <w:spacing w:line="360" w:lineRule="auto"/>
        <w:rPr>
          <w:rFonts w:ascii="Times New Roman" w:eastAsia="Times New Roman" w:hAnsi="Times New Roman" w:cs="Times New Roman"/>
        </w:rPr>
      </w:pPr>
      <w:r w:rsidRPr="005B3F3B">
        <w:rPr>
          <w:rFonts w:ascii="Times New Roman" w:eastAsia="Times New Roman" w:hAnsi="Times New Roman" w:cs="Times New Roman"/>
        </w:rPr>
        <w:fldChar w:fldCharType="end"/>
      </w:r>
    </w:p>
    <w:p w14:paraId="0000006B"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6C" w14:textId="77777777" w:rsidR="00761DC3" w:rsidRPr="005B3F3B" w:rsidRDefault="00761DC3" w:rsidP="005B3F3B">
      <w:pPr>
        <w:spacing w:line="360" w:lineRule="auto"/>
        <w:ind w:left="0"/>
        <w:jc w:val="both"/>
        <w:rPr>
          <w:rFonts w:ascii="Times New Roman" w:eastAsia="Times New Roman" w:hAnsi="Times New Roman" w:cs="Times New Roman"/>
        </w:rPr>
        <w:sectPr w:rsidR="00761DC3" w:rsidRPr="005B3F3B">
          <w:pgSz w:w="11906" w:h="16838"/>
          <w:pgMar w:top="1440" w:right="1440" w:bottom="1440" w:left="1440" w:header="708" w:footer="708" w:gutter="0"/>
          <w:cols w:space="720"/>
        </w:sectPr>
      </w:pPr>
    </w:p>
    <w:p w14:paraId="5C525D8A" w14:textId="77777777" w:rsidR="00E0236E" w:rsidRPr="005B3F3B" w:rsidRDefault="00C94494" w:rsidP="005B3F3B">
      <w:pPr>
        <w:pStyle w:val="Heading1"/>
        <w:spacing w:line="360" w:lineRule="auto"/>
        <w:jc w:val="both"/>
      </w:pPr>
      <w:bookmarkStart w:id="16" w:name="_Toc224509817"/>
      <w:r w:rsidRPr="005B3F3B">
        <w:lastRenderedPageBreak/>
        <w:t>Supplementary figures</w:t>
      </w:r>
      <w:bookmarkEnd w:id="16"/>
    </w:p>
    <w:p w14:paraId="0000006E" w14:textId="6658160A" w:rsidR="00761DC3" w:rsidRPr="005B3F3B" w:rsidRDefault="0055463A" w:rsidP="005B3F3B">
      <w:pPr>
        <w:spacing w:line="360" w:lineRule="auto"/>
        <w:ind w:left="0"/>
        <w:jc w:val="both"/>
        <w:rPr>
          <w:rFonts w:ascii="Times New Roman" w:eastAsia="Times New Roman" w:hAnsi="Times New Roman" w:cs="Times New Roman"/>
        </w:rPr>
      </w:pPr>
      <w:r w:rsidRPr="005B3F3B">
        <w:rPr>
          <w:rFonts w:ascii="Times New Roman" w:hAnsi="Times New Roman" w:cs="Times New Roman"/>
          <w:noProof/>
        </w:rPr>
        <w:drawing>
          <wp:inline distT="0" distB="0" distL="0" distR="0" wp14:anchorId="5E98B87D" wp14:editId="5C249E4D">
            <wp:extent cx="8774349" cy="4834128"/>
            <wp:effectExtent l="0" t="0" r="1905" b="5080"/>
            <wp:docPr id="356199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99250" name="Picture 356199250"/>
                    <pic:cNvPicPr/>
                  </pic:nvPicPr>
                  <pic:blipFill>
                    <a:blip r:embed="rId13"/>
                    <a:stretch>
                      <a:fillRect/>
                    </a:stretch>
                  </pic:blipFill>
                  <pic:spPr>
                    <a:xfrm>
                      <a:off x="0" y="0"/>
                      <a:ext cx="8804838" cy="4850926"/>
                    </a:xfrm>
                    <a:prstGeom prst="rect">
                      <a:avLst/>
                    </a:prstGeom>
                  </pic:spPr>
                </pic:pic>
              </a:graphicData>
            </a:graphic>
          </wp:inline>
        </w:drawing>
      </w:r>
    </w:p>
    <w:p w14:paraId="0000006F" w14:textId="77777777" w:rsidR="00761DC3" w:rsidRPr="005B3F3B" w:rsidRDefault="00C94494" w:rsidP="005B3F3B">
      <w:pPr>
        <w:pStyle w:val="Heading2"/>
        <w:spacing w:line="360" w:lineRule="auto"/>
        <w:jc w:val="both"/>
      </w:pPr>
      <w:bookmarkStart w:id="17" w:name="_Toc224509818"/>
      <w:r w:rsidRPr="005B3F3B">
        <w:t>Fig. S1. Overview of the analytic plan of the study.</w:t>
      </w:r>
      <w:bookmarkEnd w:id="17"/>
    </w:p>
    <w:p w14:paraId="00000070" w14:textId="69B18B61" w:rsidR="00761DC3" w:rsidRPr="005B3F3B" w:rsidRDefault="00C94494" w:rsidP="005B3F3B">
      <w:pPr>
        <w:spacing w:line="360" w:lineRule="auto"/>
        <w:ind w:left="0"/>
        <w:jc w:val="both"/>
        <w:rPr>
          <w:rFonts w:ascii="Times New Roman" w:eastAsia="Times New Roman" w:hAnsi="Times New Roman" w:cs="Times New Roman"/>
        </w:rPr>
        <w:sectPr w:rsidR="00761DC3" w:rsidRPr="005B3F3B">
          <w:pgSz w:w="16838" w:h="11906" w:orient="landscape"/>
          <w:pgMar w:top="1440" w:right="1440" w:bottom="1440" w:left="1440" w:header="708" w:footer="708" w:gutter="0"/>
          <w:cols w:space="720"/>
        </w:sectPr>
      </w:pPr>
      <w:r w:rsidRPr="005B3F3B">
        <w:rPr>
          <w:rFonts w:ascii="Times New Roman" w:eastAsia="Times New Roman" w:hAnsi="Times New Roman" w:cs="Times New Roman"/>
        </w:rPr>
        <w:t xml:space="preserve">EWAS, epigenome-wide association study; DMR, differentially methylated regions; </w:t>
      </w:r>
      <w:proofErr w:type="spellStart"/>
      <w:r w:rsidRPr="005B3F3B">
        <w:rPr>
          <w:rFonts w:ascii="Times New Roman" w:eastAsia="Times New Roman" w:hAnsi="Times New Roman" w:cs="Times New Roman"/>
        </w:rPr>
        <w:t>PheWAS</w:t>
      </w:r>
      <w:proofErr w:type="spellEnd"/>
      <w:r w:rsidRPr="005B3F3B">
        <w:rPr>
          <w:rFonts w:ascii="Times New Roman" w:eastAsia="Times New Roman" w:hAnsi="Times New Roman" w:cs="Times New Roman"/>
        </w:rPr>
        <w:t>, phenome-wide association study</w:t>
      </w:r>
      <w:r w:rsidR="0055463A" w:rsidRPr="005B3F3B">
        <w:rPr>
          <w:rFonts w:ascii="Times New Roman" w:eastAsia="Times New Roman" w:hAnsi="Times New Roman" w:cs="Times New Roman"/>
        </w:rPr>
        <w:t>.</w:t>
      </w:r>
    </w:p>
    <w:p w14:paraId="00000071" w14:textId="7777777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noProof/>
        </w:rPr>
        <w:lastRenderedPageBreak/>
        <w:drawing>
          <wp:inline distT="114300" distB="114300" distL="114300" distR="114300" wp14:anchorId="7CE32C63" wp14:editId="322ABD6A">
            <wp:extent cx="5731200" cy="3187700"/>
            <wp:effectExtent l="0" t="0" r="0" b="0"/>
            <wp:docPr id="18970373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3187700"/>
                    </a:xfrm>
                    <a:prstGeom prst="rect">
                      <a:avLst/>
                    </a:prstGeom>
                    <a:ln/>
                  </pic:spPr>
                </pic:pic>
              </a:graphicData>
            </a:graphic>
          </wp:inline>
        </w:drawing>
      </w:r>
    </w:p>
    <w:p w14:paraId="00000072" w14:textId="77777777" w:rsidR="00761DC3" w:rsidRPr="005B3F3B" w:rsidRDefault="00C94494" w:rsidP="005B3F3B">
      <w:pPr>
        <w:pStyle w:val="Heading2"/>
        <w:spacing w:line="360" w:lineRule="auto"/>
        <w:jc w:val="both"/>
      </w:pPr>
      <w:bookmarkStart w:id="18" w:name="_Toc224509819"/>
      <w:r w:rsidRPr="005B3F3B">
        <w:t>Fig. S2. QCEWAS results of average CT and total SA.</w:t>
      </w:r>
      <w:bookmarkEnd w:id="18"/>
    </w:p>
    <w:p w14:paraId="00000073" w14:textId="7777777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b/>
        </w:rPr>
        <w:t>Fig. S2a.</w:t>
      </w:r>
      <w:r w:rsidRPr="005B3F3B">
        <w:rPr>
          <w:rFonts w:ascii="Times New Roman" w:eastAsia="Times New Roman" w:hAnsi="Times New Roman" w:cs="Times New Roman"/>
        </w:rPr>
        <w:t xml:space="preserve"> The plots show the relationship between sample size and statistical precision for each cohort included in the EWAS meta-analysis. Each point is labelled with its cohort ID, corresponding to the key below the plots. Cohorts are ordered by the mean participant age (cohorts 1 to 11) and displayed sorted by sample size in the figure. Precision was calculated as the inverse of the median standard error (1 / median SE</w:t>
      </w:r>
      <w:proofErr w:type="gramStart"/>
      <w:r w:rsidRPr="005B3F3B">
        <w:rPr>
          <w:rFonts w:ascii="Times New Roman" w:eastAsia="Times New Roman" w:hAnsi="Times New Roman" w:cs="Times New Roman"/>
        </w:rPr>
        <w:t>), and</w:t>
      </w:r>
      <w:proofErr w:type="gramEnd"/>
      <w:r w:rsidRPr="005B3F3B">
        <w:rPr>
          <w:rFonts w:ascii="Times New Roman" w:eastAsia="Times New Roman" w:hAnsi="Times New Roman" w:cs="Times New Roman"/>
        </w:rPr>
        <w:t xml:space="preserve"> plotted against the square root of the cohort sample size. A positive trend – where larger cohorts show higher precision – is generally expected and observed. Both CT and SA analyses demonstrate appropriate clustering along the expected diagonal, indicating good overall precision and no major outliers in cohort-level estimates.</w:t>
      </w:r>
    </w:p>
    <w:p w14:paraId="00000074" w14:textId="77777777" w:rsidR="00761DC3" w:rsidRPr="005B3F3B" w:rsidRDefault="00761DC3" w:rsidP="005B3F3B">
      <w:pPr>
        <w:spacing w:line="360" w:lineRule="auto"/>
        <w:ind w:left="0"/>
        <w:jc w:val="both"/>
        <w:rPr>
          <w:rFonts w:ascii="Times New Roman" w:eastAsia="Times New Roman" w:hAnsi="Times New Roman" w:cs="Times New Roman"/>
        </w:rPr>
      </w:pPr>
    </w:p>
    <w:p w14:paraId="00000075" w14:textId="77777777" w:rsidR="00761DC3" w:rsidRPr="005B3F3B" w:rsidRDefault="00761DC3" w:rsidP="005B3F3B">
      <w:pPr>
        <w:spacing w:line="360" w:lineRule="auto"/>
        <w:jc w:val="both"/>
        <w:rPr>
          <w:rFonts w:ascii="Times New Roman" w:eastAsia="Times New Roman" w:hAnsi="Times New Roman" w:cs="Times New Roman"/>
        </w:rPr>
      </w:pPr>
    </w:p>
    <w:p w14:paraId="00000076" w14:textId="7777777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noProof/>
        </w:rPr>
        <w:lastRenderedPageBreak/>
        <w:drawing>
          <wp:inline distT="114300" distB="114300" distL="114300" distR="114300" wp14:anchorId="2CB1511E" wp14:editId="2981BBEC">
            <wp:extent cx="5731200" cy="3581400"/>
            <wp:effectExtent l="0" t="0" r="0" b="0"/>
            <wp:docPr id="18970373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200" cy="3581400"/>
                    </a:xfrm>
                    <a:prstGeom prst="rect">
                      <a:avLst/>
                    </a:prstGeom>
                    <a:ln/>
                  </pic:spPr>
                </pic:pic>
              </a:graphicData>
            </a:graphic>
          </wp:inline>
        </w:drawing>
      </w:r>
    </w:p>
    <w:p w14:paraId="00000077" w14:textId="7777777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b/>
        </w:rPr>
        <w:t>Fig. S2b.</w:t>
      </w:r>
      <w:r w:rsidRPr="005B3F3B">
        <w:rPr>
          <w:rFonts w:ascii="Times New Roman" w:eastAsia="Times New Roman" w:hAnsi="Times New Roman" w:cs="Times New Roman"/>
        </w:rPr>
        <w:t xml:space="preserve"> Distribution of effect sizes (β values) for average CT and total SA. These plots show the distribution of DNA methylation effect sizes across all CpGs for each cohort included in the EWAS meta-analysis. Each vertical line represents the distribution for one cohort, labelled by number (see cohort legend on the right). Cohorts are ordered by the mean participant age (cohorts 1 to 11) and displayed sorted by sample size in the figure. As expected, effect size distributions become slightly narrower with increasing sample size, reflecting improved precision in larger cohorts. No cohorts displayed markedly deviant distributions, indicating consistency in the scale and dispersion of effect sizes across studies.</w:t>
      </w:r>
    </w:p>
    <w:p w14:paraId="00000078" w14:textId="77777777" w:rsidR="00761DC3" w:rsidRPr="005B3F3B" w:rsidRDefault="00761DC3" w:rsidP="005B3F3B">
      <w:pPr>
        <w:spacing w:line="360" w:lineRule="auto"/>
        <w:jc w:val="both"/>
        <w:rPr>
          <w:rFonts w:ascii="Times New Roman" w:eastAsia="Times New Roman" w:hAnsi="Times New Roman" w:cs="Times New Roman"/>
        </w:rPr>
      </w:pPr>
    </w:p>
    <w:p w14:paraId="00000079" w14:textId="77777777" w:rsidR="00761DC3" w:rsidRPr="005B3F3B" w:rsidRDefault="00761DC3" w:rsidP="005B3F3B">
      <w:pPr>
        <w:spacing w:line="360" w:lineRule="auto"/>
        <w:jc w:val="both"/>
        <w:rPr>
          <w:rFonts w:ascii="Times New Roman" w:eastAsia="Times New Roman" w:hAnsi="Times New Roman" w:cs="Times New Roman"/>
        </w:rPr>
      </w:pPr>
    </w:p>
    <w:p w14:paraId="0000007A" w14:textId="77777777" w:rsidR="00761DC3" w:rsidRPr="005B3F3B" w:rsidRDefault="00761DC3" w:rsidP="005B3F3B">
      <w:pPr>
        <w:spacing w:line="360" w:lineRule="auto"/>
        <w:jc w:val="both"/>
        <w:rPr>
          <w:rFonts w:ascii="Times New Roman" w:eastAsia="Times New Roman" w:hAnsi="Times New Roman" w:cs="Times New Roman"/>
        </w:rPr>
      </w:pPr>
    </w:p>
    <w:p w14:paraId="0000007B" w14:textId="77777777" w:rsidR="00761DC3" w:rsidRPr="005B3F3B" w:rsidRDefault="00761DC3" w:rsidP="005B3F3B">
      <w:pPr>
        <w:spacing w:line="360" w:lineRule="auto"/>
        <w:jc w:val="both"/>
        <w:rPr>
          <w:rFonts w:ascii="Times New Roman" w:eastAsia="Times New Roman" w:hAnsi="Times New Roman" w:cs="Times New Roman"/>
        </w:rPr>
      </w:pPr>
    </w:p>
    <w:p w14:paraId="0000007C" w14:textId="77777777" w:rsidR="00761DC3" w:rsidRPr="005B3F3B" w:rsidRDefault="00761DC3" w:rsidP="005B3F3B">
      <w:pPr>
        <w:spacing w:line="360" w:lineRule="auto"/>
        <w:jc w:val="both"/>
        <w:rPr>
          <w:rFonts w:ascii="Times New Roman" w:eastAsia="Times New Roman" w:hAnsi="Times New Roman" w:cs="Times New Roman"/>
        </w:rPr>
      </w:pPr>
    </w:p>
    <w:p w14:paraId="0000007D" w14:textId="77777777" w:rsidR="00761DC3" w:rsidRPr="005B3F3B" w:rsidRDefault="00761DC3" w:rsidP="005B3F3B">
      <w:pPr>
        <w:spacing w:line="360" w:lineRule="auto"/>
        <w:jc w:val="both"/>
        <w:rPr>
          <w:rFonts w:ascii="Times New Roman" w:eastAsia="Times New Roman" w:hAnsi="Times New Roman" w:cs="Times New Roman"/>
        </w:rPr>
      </w:pPr>
    </w:p>
    <w:p w14:paraId="0000007E" w14:textId="77777777" w:rsidR="00761DC3" w:rsidRPr="005B3F3B" w:rsidRDefault="00761DC3" w:rsidP="005B3F3B">
      <w:pPr>
        <w:spacing w:line="360" w:lineRule="auto"/>
        <w:jc w:val="both"/>
        <w:rPr>
          <w:rFonts w:ascii="Times New Roman" w:eastAsia="Times New Roman" w:hAnsi="Times New Roman" w:cs="Times New Roman"/>
        </w:rPr>
      </w:pPr>
    </w:p>
    <w:p w14:paraId="0000007F" w14:textId="77777777" w:rsidR="00761DC3" w:rsidRPr="005B3F3B" w:rsidRDefault="00761DC3" w:rsidP="005B3F3B">
      <w:pPr>
        <w:spacing w:line="360" w:lineRule="auto"/>
        <w:jc w:val="both"/>
        <w:rPr>
          <w:rFonts w:ascii="Times New Roman" w:eastAsia="Times New Roman" w:hAnsi="Times New Roman" w:cs="Times New Roman"/>
        </w:rPr>
        <w:sectPr w:rsidR="00761DC3" w:rsidRPr="005B3F3B">
          <w:pgSz w:w="11906" w:h="16838"/>
          <w:pgMar w:top="1440" w:right="1440" w:bottom="1440" w:left="1440" w:header="708" w:footer="708" w:gutter="0"/>
          <w:cols w:space="720"/>
        </w:sectPr>
      </w:pPr>
    </w:p>
    <w:p w14:paraId="00000080" w14:textId="77777777" w:rsidR="00761DC3" w:rsidRPr="005B3F3B" w:rsidRDefault="00C94494" w:rsidP="005B3F3B">
      <w:pPr>
        <w:spacing w:line="360" w:lineRule="auto"/>
        <w:jc w:val="both"/>
        <w:rPr>
          <w:rFonts w:ascii="Times New Roman" w:eastAsia="Times New Roman" w:hAnsi="Times New Roman" w:cs="Times New Roman"/>
          <w:b/>
        </w:rPr>
      </w:pPr>
      <w:r w:rsidRPr="005B3F3B">
        <w:rPr>
          <w:rFonts w:ascii="Times New Roman" w:eastAsia="Times New Roman" w:hAnsi="Times New Roman" w:cs="Times New Roman"/>
          <w:b/>
        </w:rPr>
        <w:lastRenderedPageBreak/>
        <w:t>a</w:t>
      </w:r>
    </w:p>
    <w:p w14:paraId="00000081" w14:textId="77777777"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noProof/>
        </w:rPr>
        <w:drawing>
          <wp:inline distT="114300" distB="114300" distL="114300" distR="114300" wp14:anchorId="71132645" wp14:editId="06B02798">
            <wp:extent cx="5731200" cy="5740400"/>
            <wp:effectExtent l="0" t="0" r="0" b="0"/>
            <wp:docPr id="1897037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1200" cy="5740400"/>
                    </a:xfrm>
                    <a:prstGeom prst="rect">
                      <a:avLst/>
                    </a:prstGeom>
                    <a:ln/>
                  </pic:spPr>
                </pic:pic>
              </a:graphicData>
            </a:graphic>
          </wp:inline>
        </w:drawing>
      </w:r>
    </w:p>
    <w:p w14:paraId="00000082" w14:textId="77777777" w:rsidR="00761DC3" w:rsidRPr="005B3F3B" w:rsidRDefault="00761DC3" w:rsidP="005B3F3B">
      <w:pPr>
        <w:spacing w:line="360" w:lineRule="auto"/>
        <w:jc w:val="both"/>
        <w:rPr>
          <w:rFonts w:ascii="Times New Roman" w:eastAsia="Times New Roman" w:hAnsi="Times New Roman" w:cs="Times New Roman"/>
        </w:rPr>
        <w:sectPr w:rsidR="00761DC3" w:rsidRPr="005B3F3B">
          <w:pgSz w:w="11906" w:h="16838"/>
          <w:pgMar w:top="1440" w:right="1440" w:bottom="1440" w:left="1440" w:header="708" w:footer="708" w:gutter="0"/>
          <w:cols w:space="720"/>
        </w:sectPr>
      </w:pPr>
    </w:p>
    <w:p w14:paraId="00000083" w14:textId="77777777" w:rsidR="00761DC3" w:rsidRPr="005B3F3B" w:rsidRDefault="00C94494" w:rsidP="005B3F3B">
      <w:pPr>
        <w:spacing w:line="360" w:lineRule="auto"/>
        <w:ind w:left="0"/>
        <w:jc w:val="both"/>
        <w:rPr>
          <w:rFonts w:ascii="Times New Roman" w:eastAsia="Times New Roman" w:hAnsi="Times New Roman" w:cs="Times New Roman"/>
          <w:b/>
        </w:rPr>
      </w:pPr>
      <w:r w:rsidRPr="005B3F3B">
        <w:rPr>
          <w:rFonts w:ascii="Times New Roman" w:eastAsia="Times New Roman" w:hAnsi="Times New Roman" w:cs="Times New Roman"/>
          <w:b/>
        </w:rPr>
        <w:lastRenderedPageBreak/>
        <w:t>b</w:t>
      </w:r>
    </w:p>
    <w:p w14:paraId="00000088" w14:textId="4625FE6C" w:rsidR="00761DC3" w:rsidRPr="005B3F3B" w:rsidRDefault="00C94494"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noProof/>
        </w:rPr>
        <w:drawing>
          <wp:inline distT="114300" distB="114300" distL="114300" distR="114300" wp14:anchorId="2EEBB5BB" wp14:editId="23A793AA">
            <wp:extent cx="5731200" cy="5613400"/>
            <wp:effectExtent l="0" t="0" r="0" b="0"/>
            <wp:docPr id="18970373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5613400"/>
                    </a:xfrm>
                    <a:prstGeom prst="rect">
                      <a:avLst/>
                    </a:prstGeom>
                    <a:ln/>
                  </pic:spPr>
                </pic:pic>
              </a:graphicData>
            </a:graphic>
          </wp:inline>
        </w:drawing>
      </w:r>
    </w:p>
    <w:p w14:paraId="0DB45188" w14:textId="77777777" w:rsidR="00DC1F7E" w:rsidRPr="005B3F3B" w:rsidRDefault="00C94494" w:rsidP="005B3F3B">
      <w:pPr>
        <w:pStyle w:val="Heading2"/>
        <w:spacing w:line="360" w:lineRule="auto"/>
        <w:jc w:val="both"/>
      </w:pPr>
      <w:bookmarkStart w:id="19" w:name="_Toc224509820"/>
      <w:r w:rsidRPr="005B3F3B">
        <w:t>Fig. S3. Forest plots for significantly associated CpGs in the discovery meta-analysis.</w:t>
      </w:r>
      <w:bookmarkEnd w:id="19"/>
    </w:p>
    <w:p w14:paraId="00000089" w14:textId="4920E314" w:rsidR="00761DC3" w:rsidRPr="005B3F3B" w:rsidRDefault="00C94494" w:rsidP="005B3F3B">
      <w:pPr>
        <w:spacing w:line="360" w:lineRule="auto"/>
        <w:ind w:left="0"/>
        <w:jc w:val="both"/>
        <w:rPr>
          <w:rFonts w:ascii="Times New Roman" w:hAnsi="Times New Roman" w:cs="Times New Roman"/>
          <w:b/>
        </w:rPr>
        <w:sectPr w:rsidR="00761DC3" w:rsidRPr="005B3F3B">
          <w:pgSz w:w="11906" w:h="16838"/>
          <w:pgMar w:top="1440" w:right="1440" w:bottom="1440" w:left="1440" w:header="708" w:footer="708" w:gutter="0"/>
          <w:cols w:space="720"/>
        </w:sectPr>
      </w:pPr>
      <w:r w:rsidRPr="005B3F3B">
        <w:rPr>
          <w:rFonts w:ascii="Times New Roman" w:hAnsi="Times New Roman" w:cs="Times New Roman"/>
        </w:rPr>
        <w:t>Forest plots show the six Bonferroni-significant CpGs associated with average CT (a) and the five CpGs associated with total SA (b). Cohort-specific correlation coefficients and 95% confidence intervals are displayed alongside the combined meta-analysis estimate. Cohorts are ordered by mean age, with IMAGEN being the youngest and ADNI the oldest. The consistent direction and magnitude of effects across cohorts indicate stable associations and minimal cohort-level influence.</w:t>
      </w:r>
    </w:p>
    <w:p w14:paraId="0000008A" w14:textId="77777777" w:rsidR="00761DC3" w:rsidRPr="005B3F3B" w:rsidRDefault="00C94494" w:rsidP="005B3F3B">
      <w:pPr>
        <w:spacing w:line="360" w:lineRule="auto"/>
        <w:jc w:val="both"/>
        <w:rPr>
          <w:rFonts w:ascii="Times New Roman" w:eastAsia="Times New Roman" w:hAnsi="Times New Roman" w:cs="Times New Roman"/>
        </w:rPr>
      </w:pPr>
      <w:r w:rsidRPr="005B3F3B">
        <w:rPr>
          <w:rFonts w:ascii="Times New Roman" w:eastAsia="Times New Roman" w:hAnsi="Times New Roman" w:cs="Times New Roman"/>
          <w:noProof/>
        </w:rPr>
        <w:lastRenderedPageBreak/>
        <w:drawing>
          <wp:inline distT="0" distB="0" distL="0" distR="0" wp14:anchorId="6ED8943B" wp14:editId="05BB9379">
            <wp:extent cx="5731510" cy="4764405"/>
            <wp:effectExtent l="0" t="0" r="0" b="0"/>
            <wp:docPr id="1897037319" name="image4.png" descr="A screenshot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diagram&#10;&#10;AI-generated content may be incorrect."/>
                    <pic:cNvPicPr preferRelativeResize="0"/>
                  </pic:nvPicPr>
                  <pic:blipFill>
                    <a:blip r:embed="rId18"/>
                    <a:srcRect/>
                    <a:stretch>
                      <a:fillRect/>
                    </a:stretch>
                  </pic:blipFill>
                  <pic:spPr>
                    <a:xfrm>
                      <a:off x="0" y="0"/>
                      <a:ext cx="5731510" cy="4764405"/>
                    </a:xfrm>
                    <a:prstGeom prst="rect">
                      <a:avLst/>
                    </a:prstGeom>
                    <a:ln/>
                  </pic:spPr>
                </pic:pic>
              </a:graphicData>
            </a:graphic>
          </wp:inline>
        </w:drawing>
      </w:r>
    </w:p>
    <w:p w14:paraId="0000008B" w14:textId="77777777" w:rsidR="00761DC3" w:rsidRPr="005B3F3B" w:rsidRDefault="00C94494" w:rsidP="005B3F3B">
      <w:pPr>
        <w:pStyle w:val="Heading2"/>
        <w:spacing w:line="360" w:lineRule="auto"/>
        <w:jc w:val="both"/>
      </w:pPr>
      <w:bookmarkStart w:id="20" w:name="_Toc224509821"/>
      <w:r w:rsidRPr="005B3F3B">
        <w:t>Fig. S4. Genomic distribution of CpGs located within differentially methylated regions (DMRs) associated with average CT and total SA.</w:t>
      </w:r>
      <w:bookmarkEnd w:id="20"/>
      <w:r w:rsidRPr="005B3F3B">
        <w:t xml:space="preserve"> </w:t>
      </w:r>
    </w:p>
    <w:p w14:paraId="751FAE51" w14:textId="77777777" w:rsidR="00AA38E4" w:rsidRPr="005B3F3B" w:rsidRDefault="00C94494" w:rsidP="005B3F3B">
      <w:pPr>
        <w:spacing w:line="360" w:lineRule="auto"/>
        <w:ind w:left="0"/>
        <w:jc w:val="both"/>
        <w:rPr>
          <w:rFonts w:ascii="Times New Roman" w:eastAsia="Times New Roman" w:hAnsi="Times New Roman" w:cs="Times New Roman"/>
        </w:rPr>
        <w:sectPr w:rsidR="00AA38E4" w:rsidRPr="005B3F3B">
          <w:pgSz w:w="11906" w:h="16838"/>
          <w:pgMar w:top="1440" w:right="1440" w:bottom="1440" w:left="1440" w:header="708" w:footer="708" w:gutter="0"/>
          <w:cols w:space="720"/>
        </w:sectPr>
      </w:pPr>
      <w:r w:rsidRPr="005B3F3B">
        <w:rPr>
          <w:rFonts w:ascii="Times New Roman" w:eastAsia="Times New Roman" w:hAnsi="Times New Roman" w:cs="Times New Roman"/>
        </w:rPr>
        <w:t xml:space="preserve">Each point represents a CpG site within a significant DMR, plotted according to its chromosomal position (hg19 reference genome). The vertical arrangement of chromosomes follows standard ideogram order (1-22, X, Y). </w:t>
      </w:r>
    </w:p>
    <w:p w14:paraId="6ECE5565" w14:textId="518D8E47" w:rsidR="00AA38E4" w:rsidRPr="005B3F3B" w:rsidRDefault="00C03524" w:rsidP="005B3F3B">
      <w:pPr>
        <w:spacing w:line="360" w:lineRule="auto"/>
        <w:ind w:left="0"/>
        <w:jc w:val="both"/>
        <w:rPr>
          <w:rFonts w:ascii="Times New Roman" w:hAnsi="Times New Roman" w:cs="Times New Roman"/>
        </w:rPr>
      </w:pPr>
      <w:r w:rsidRPr="005B3F3B">
        <w:rPr>
          <w:rFonts w:ascii="Times New Roman" w:hAnsi="Times New Roman" w:cs="Times New Roman"/>
          <w:noProof/>
        </w:rPr>
        <w:lastRenderedPageBreak/>
        <w:drawing>
          <wp:inline distT="0" distB="0" distL="0" distR="0" wp14:anchorId="3E9811C2" wp14:editId="4DFC3092">
            <wp:extent cx="4766553" cy="8000452"/>
            <wp:effectExtent l="0" t="0" r="0" b="0"/>
            <wp:docPr id="155511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4833" name=""/>
                    <pic:cNvPicPr/>
                  </pic:nvPicPr>
                  <pic:blipFill>
                    <a:blip r:embed="rId19"/>
                    <a:stretch>
                      <a:fillRect/>
                    </a:stretch>
                  </pic:blipFill>
                  <pic:spPr>
                    <a:xfrm>
                      <a:off x="0" y="0"/>
                      <a:ext cx="4788936" cy="8038021"/>
                    </a:xfrm>
                    <a:prstGeom prst="rect">
                      <a:avLst/>
                    </a:prstGeom>
                  </pic:spPr>
                </pic:pic>
              </a:graphicData>
            </a:graphic>
          </wp:inline>
        </w:drawing>
      </w:r>
    </w:p>
    <w:p w14:paraId="59B04659" w14:textId="51D183CD" w:rsidR="00AA38E4" w:rsidRPr="005B3F3B" w:rsidRDefault="00AA38E4" w:rsidP="005B3F3B">
      <w:pPr>
        <w:pStyle w:val="Heading2"/>
        <w:spacing w:line="360" w:lineRule="auto"/>
        <w:jc w:val="both"/>
      </w:pPr>
      <w:bookmarkStart w:id="21" w:name="_Toc224509822"/>
      <w:r w:rsidRPr="005B3F3B">
        <w:t xml:space="preserve">Fig. S5. </w:t>
      </w:r>
      <w:r w:rsidR="00721A8E" w:rsidRPr="005B3F3B">
        <w:t xml:space="preserve">Tissue-specific expression enrichment (FUMA analyses) of genes annotated to CT- and SA-associated CpGs based on </w:t>
      </w:r>
      <w:proofErr w:type="spellStart"/>
      <w:r w:rsidR="00721A8E" w:rsidRPr="005B3F3B">
        <w:t>GTEx</w:t>
      </w:r>
      <w:proofErr w:type="spellEnd"/>
      <w:r w:rsidR="00721A8E" w:rsidRPr="005B3F3B">
        <w:t xml:space="preserve"> v8 transcriptomic data across 54 human tissues.</w:t>
      </w:r>
      <w:bookmarkEnd w:id="21"/>
    </w:p>
    <w:p w14:paraId="0000008D" w14:textId="0EAA555E" w:rsidR="00AA38E4" w:rsidRPr="005B3F3B" w:rsidRDefault="00AA38E4" w:rsidP="005B3F3B">
      <w:pPr>
        <w:spacing w:line="360" w:lineRule="auto"/>
        <w:ind w:left="0"/>
        <w:jc w:val="both"/>
        <w:rPr>
          <w:rFonts w:ascii="Times New Roman" w:eastAsia="Times New Roman" w:hAnsi="Times New Roman" w:cs="Times New Roman"/>
        </w:rPr>
        <w:sectPr w:rsidR="00AA38E4" w:rsidRPr="005B3F3B">
          <w:pgSz w:w="11906" w:h="16838"/>
          <w:pgMar w:top="1440" w:right="1440" w:bottom="1440" w:left="1440" w:header="708" w:footer="708" w:gutter="0"/>
          <w:cols w:space="720"/>
        </w:sectPr>
      </w:pPr>
    </w:p>
    <w:p w14:paraId="0000008F" w14:textId="77777777" w:rsidR="00761DC3" w:rsidRPr="005B3F3B" w:rsidRDefault="00C94494" w:rsidP="005B3F3B">
      <w:pPr>
        <w:spacing w:line="360" w:lineRule="auto"/>
        <w:ind w:left="0"/>
        <w:jc w:val="both"/>
        <w:rPr>
          <w:rFonts w:ascii="Times New Roman" w:hAnsi="Times New Roman" w:cs="Times New Roman"/>
        </w:rPr>
      </w:pPr>
      <w:bookmarkStart w:id="22" w:name="_heading=h.r312q59lxa9p" w:colFirst="0" w:colLast="0"/>
      <w:bookmarkEnd w:id="22"/>
      <w:r w:rsidRPr="005B3F3B">
        <w:rPr>
          <w:rFonts w:ascii="Times New Roman" w:hAnsi="Times New Roman" w:cs="Times New Roman"/>
          <w:noProof/>
        </w:rPr>
        <w:lastRenderedPageBreak/>
        <w:drawing>
          <wp:inline distT="0" distB="0" distL="0" distR="0" wp14:anchorId="08153BFD" wp14:editId="31AB00C6">
            <wp:extent cx="5731510" cy="1882140"/>
            <wp:effectExtent l="0" t="0" r="0" b="0"/>
            <wp:docPr id="1897037318" name="image8.png" descr="A close-up of several wor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close-up of several words&#10;&#10;AI-generated content may be incorrect."/>
                    <pic:cNvPicPr preferRelativeResize="0"/>
                  </pic:nvPicPr>
                  <pic:blipFill>
                    <a:blip r:embed="rId20"/>
                    <a:srcRect/>
                    <a:stretch>
                      <a:fillRect/>
                    </a:stretch>
                  </pic:blipFill>
                  <pic:spPr>
                    <a:xfrm>
                      <a:off x="0" y="0"/>
                      <a:ext cx="5731510" cy="1882140"/>
                    </a:xfrm>
                    <a:prstGeom prst="rect">
                      <a:avLst/>
                    </a:prstGeom>
                    <a:ln/>
                  </pic:spPr>
                </pic:pic>
              </a:graphicData>
            </a:graphic>
          </wp:inline>
        </w:drawing>
      </w:r>
    </w:p>
    <w:p w14:paraId="00000090" w14:textId="5BAE906E" w:rsidR="00761DC3" w:rsidRPr="005B3F3B" w:rsidRDefault="00C94494" w:rsidP="005B3F3B">
      <w:pPr>
        <w:pStyle w:val="Heading2"/>
        <w:spacing w:line="360" w:lineRule="auto"/>
        <w:jc w:val="both"/>
      </w:pPr>
      <w:bookmarkStart w:id="23" w:name="_Toc224509823"/>
      <w:r w:rsidRPr="005B3F3B">
        <w:t>Fig. S</w:t>
      </w:r>
      <w:r w:rsidR="00AA38E4" w:rsidRPr="005B3F3B">
        <w:t>6</w:t>
      </w:r>
      <w:r w:rsidRPr="005B3F3B">
        <w:t xml:space="preserve">. Trait associations of CpGs linked to average CT and total SA, based on previous studies included in the </w:t>
      </w:r>
      <w:sdt>
        <w:sdtPr>
          <w:tag w:val="goog_rdk_7"/>
          <w:id w:val="-1270599575"/>
        </w:sdtPr>
        <w:sdtEndPr/>
        <w:sdtContent/>
      </w:sdt>
      <w:r w:rsidRPr="005B3F3B">
        <w:t xml:space="preserve">EWAS </w:t>
      </w:r>
      <w:proofErr w:type="spellStart"/>
      <w:r w:rsidRPr="005B3F3B">
        <w:t>Catalog</w:t>
      </w:r>
      <w:proofErr w:type="spellEnd"/>
      <w:r w:rsidRPr="005B3F3B">
        <w:t>.</w:t>
      </w:r>
      <w:bookmarkEnd w:id="23"/>
      <w:r w:rsidRPr="005B3F3B">
        <w:t xml:space="preserve"> </w:t>
      </w:r>
    </w:p>
    <w:p w14:paraId="00000091" w14:textId="77777777" w:rsidR="00761DC3" w:rsidRPr="005B3F3B" w:rsidRDefault="00C94494" w:rsidP="005B3F3B">
      <w:pPr>
        <w:spacing w:line="360" w:lineRule="auto"/>
        <w:ind w:left="0"/>
        <w:jc w:val="both"/>
        <w:rPr>
          <w:rFonts w:ascii="Times New Roman" w:eastAsia="Times New Roman" w:hAnsi="Times New Roman" w:cs="Times New Roman"/>
        </w:rPr>
        <w:sectPr w:rsidR="00761DC3" w:rsidRPr="005B3F3B">
          <w:pgSz w:w="11906" w:h="16838"/>
          <w:pgMar w:top="1440" w:right="1440" w:bottom="1440" w:left="1440" w:header="708" w:footer="708" w:gutter="0"/>
          <w:cols w:space="720"/>
        </w:sectPr>
      </w:pPr>
      <w:r w:rsidRPr="005B3F3B">
        <w:rPr>
          <w:rFonts w:ascii="Times New Roman" w:eastAsia="Times New Roman" w:hAnsi="Times New Roman" w:cs="Times New Roman"/>
        </w:rPr>
        <w:t xml:space="preserve">Word clouds summarise previously reported trait associations for CpGs significantly associated with average CT (left) and total SA (right). The size of each term reflects the frequency of its appearance in the EWAS </w:t>
      </w:r>
      <w:proofErr w:type="spellStart"/>
      <w:r w:rsidRPr="005B3F3B">
        <w:rPr>
          <w:rFonts w:ascii="Times New Roman" w:eastAsia="Times New Roman" w:hAnsi="Times New Roman" w:cs="Times New Roman"/>
        </w:rPr>
        <w:t>Catalog</w:t>
      </w:r>
      <w:proofErr w:type="spellEnd"/>
      <w:r w:rsidRPr="005B3F3B">
        <w:rPr>
          <w:rFonts w:ascii="Times New Roman" w:eastAsia="Times New Roman" w:hAnsi="Times New Roman" w:cs="Times New Roman"/>
        </w:rPr>
        <w:t xml:space="preserve"> (https://ewascatalog.org/) for the respective CpGs and the lookup was filtered for peer-reviewed journals. Prominent traits include age, smoking, and chronic obstructive pulmonary disease (COPD) for average CT, and type 2 diabetes, osteoarthritis, and ischemic heart disease for total SA.</w:t>
      </w:r>
    </w:p>
    <w:p w14:paraId="00000093" w14:textId="77777777" w:rsidR="00761DC3" w:rsidRPr="005B3F3B" w:rsidRDefault="00761DC3" w:rsidP="005B3F3B">
      <w:pPr>
        <w:spacing w:line="360" w:lineRule="auto"/>
        <w:jc w:val="both"/>
        <w:rPr>
          <w:rFonts w:ascii="Times New Roman" w:eastAsia="Times New Roman" w:hAnsi="Times New Roman" w:cs="Times New Roman"/>
        </w:rPr>
      </w:pPr>
    </w:p>
    <w:p w14:paraId="00000097" w14:textId="7EF2F4C1" w:rsidR="00761DC3" w:rsidRPr="005B3F3B" w:rsidRDefault="00761DC3" w:rsidP="005B3F3B">
      <w:pPr>
        <w:spacing w:line="360" w:lineRule="auto"/>
        <w:jc w:val="both"/>
        <w:rPr>
          <w:rFonts w:ascii="Times New Roman" w:eastAsia="Times New Roman" w:hAnsi="Times New Roman" w:cs="Times New Roman"/>
        </w:rPr>
      </w:pPr>
    </w:p>
    <w:p w14:paraId="00000099" w14:textId="2030E1E9" w:rsidR="00761DC3" w:rsidRPr="005B3F3B" w:rsidRDefault="00D55E43" w:rsidP="005B3F3B">
      <w:pPr>
        <w:spacing w:line="360" w:lineRule="auto"/>
        <w:ind w:left="0"/>
        <w:jc w:val="both"/>
        <w:rPr>
          <w:rFonts w:ascii="Times New Roman" w:eastAsia="Times New Roman" w:hAnsi="Times New Roman" w:cs="Times New Roman"/>
        </w:rPr>
      </w:pPr>
      <w:r w:rsidRPr="005B3F3B">
        <w:rPr>
          <w:rFonts w:ascii="Times New Roman" w:eastAsia="Times New Roman" w:hAnsi="Times New Roman" w:cs="Times New Roman"/>
          <w:noProof/>
        </w:rPr>
        <w:drawing>
          <wp:inline distT="0" distB="0" distL="0" distR="0" wp14:anchorId="0E5776EC" wp14:editId="6F39E5F3">
            <wp:extent cx="6671045" cy="6070954"/>
            <wp:effectExtent l="0" t="0" r="0" b="0"/>
            <wp:docPr id="161840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8620" name="Picture 1618408620"/>
                    <pic:cNvPicPr/>
                  </pic:nvPicPr>
                  <pic:blipFill rotWithShape="1">
                    <a:blip r:embed="rId21"/>
                    <a:srcRect t="5439" r="2241" b="5596"/>
                    <a:stretch>
                      <a:fillRect/>
                    </a:stretch>
                  </pic:blipFill>
                  <pic:spPr bwMode="auto">
                    <a:xfrm>
                      <a:off x="0" y="0"/>
                      <a:ext cx="6689620" cy="6087858"/>
                    </a:xfrm>
                    <a:prstGeom prst="rect">
                      <a:avLst/>
                    </a:prstGeom>
                    <a:ln>
                      <a:noFill/>
                    </a:ln>
                    <a:extLst>
                      <a:ext uri="{53640926-AAD7-44D8-BBD7-CCE9431645EC}">
                        <a14:shadowObscured xmlns:a14="http://schemas.microsoft.com/office/drawing/2010/main"/>
                      </a:ext>
                    </a:extLst>
                  </pic:spPr>
                </pic:pic>
              </a:graphicData>
            </a:graphic>
          </wp:inline>
        </w:drawing>
      </w:r>
    </w:p>
    <w:p w14:paraId="1C6D8B2E" w14:textId="303F5B66" w:rsidR="00D55E43" w:rsidRPr="005B3F3B" w:rsidRDefault="00D55E43" w:rsidP="005B3F3B">
      <w:pPr>
        <w:pStyle w:val="Heading2"/>
        <w:spacing w:line="360" w:lineRule="auto"/>
        <w:jc w:val="both"/>
        <w:rPr>
          <w:b w:val="0"/>
        </w:rPr>
      </w:pPr>
      <w:bookmarkStart w:id="24" w:name="_Toc224509824"/>
      <w:r w:rsidRPr="005B3F3B">
        <w:t>Fig. S</w:t>
      </w:r>
      <w:r w:rsidR="008F4531" w:rsidRPr="005B3F3B">
        <w:t>7</w:t>
      </w:r>
      <w:r w:rsidRPr="005B3F3B">
        <w:t>. Correlations between phenotypic variables included in the Phenome-wide association analyses in the IMAGEN cohort.</w:t>
      </w:r>
      <w:bookmarkEnd w:id="24"/>
      <w:r w:rsidRPr="005B3F3B">
        <w:rPr>
          <w:b w:val="0"/>
        </w:rPr>
        <w:t xml:space="preserve"> </w:t>
      </w:r>
    </w:p>
    <w:p w14:paraId="056DEADE" w14:textId="7C668C7F" w:rsidR="00D55E43" w:rsidRPr="005B3F3B" w:rsidRDefault="00D55E43" w:rsidP="005B3F3B">
      <w:pPr>
        <w:spacing w:line="360" w:lineRule="auto"/>
        <w:ind w:left="0"/>
        <w:jc w:val="both"/>
        <w:rPr>
          <w:rFonts w:ascii="Times New Roman" w:eastAsia="Times New Roman" w:hAnsi="Times New Roman" w:cs="Times New Roman"/>
        </w:rPr>
      </w:pPr>
    </w:p>
    <w:sectPr w:rsidR="00D55E43" w:rsidRPr="005B3F3B" w:rsidSect="00D55E43">
      <w:pgSz w:w="11906" w:h="16838"/>
      <w:pgMar w:top="720" w:right="720" w:bottom="720" w:left="72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297B" w14:textId="77777777" w:rsidR="008E2101" w:rsidRDefault="008E2101" w:rsidP="00E80F6E">
      <w:r>
        <w:separator/>
      </w:r>
    </w:p>
  </w:endnote>
  <w:endnote w:type="continuationSeparator" w:id="0">
    <w:p w14:paraId="32EBBBEB" w14:textId="77777777" w:rsidR="008E2101" w:rsidRDefault="008E2101" w:rsidP="00E8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EC7D9A2-35BC-214A-8A0E-81089347F4C8}"/>
    <w:embedBold r:id="rId2" w:fontKey="{C8675B0B-C289-F74D-87D2-769A4C906E53}"/>
    <w:embedItalic r:id="rId3" w:fontKey="{AE3F33A7-54D9-DE41-A910-69FD87DB741C}"/>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4" w:fontKey="{A005F66D-9109-4C47-9A20-75C5743C01A4}"/>
    <w:embedBold r:id="rId5" w:fontKey="{8C4149C9-FA4A-3B4D-8E34-296390885B7C}"/>
    <w:embedItalic r:id="rId6" w:fontKey="{B23EA3D8-8E0F-344B-8A8D-18336124BD7F}"/>
  </w:font>
  <w:font w:name="Play">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embedRegular r:id="rId9" w:fontKey="{E6B9F1AC-7866-B041-AC0F-C5F4D60E7D83}"/>
    <w:embedBold r:id="rId10" w:fontKey="{159F7A10-5F5D-2A41-83F0-D3BD46A55C6C}"/>
    <w:embedItalic r:id="rId11" w:fontKey="{D9429C1B-5B39-D74A-A629-430AB1C5CB64}"/>
  </w:font>
  <w:font w:name="Aptos">
    <w:panose1 w:val="020B0004020202020204"/>
    <w:charset w:val="00"/>
    <w:family w:val="swiss"/>
    <w:pitch w:val="variable"/>
    <w:sig w:usb0="20000287" w:usb1="00000003" w:usb2="00000000" w:usb3="00000000" w:csb0="0000019F" w:csb1="00000000"/>
    <w:embedRegular r:id="rId12" w:fontKey="{9B89B059-4DCF-9047-B3E5-D92E3D5532AC}"/>
    <w:embedBold r:id="rId13" w:fontKey="{2C5E7534-C401-B34F-A8D5-5F3875497A2B}"/>
    <w:embedItalic r:id="rId14" w:fontKey="{D4509BAC-C27B-E740-8BF9-A2B25A3C7209}"/>
  </w:font>
  <w:font w:name="Georgia">
    <w:panose1 w:val="02040502050405020303"/>
    <w:charset w:val="00"/>
    <w:family w:val="roman"/>
    <w:pitch w:val="variable"/>
    <w:sig w:usb0="00000287" w:usb1="00000000" w:usb2="00000000" w:usb3="00000000" w:csb0="0000009F" w:csb1="00000000"/>
    <w:embedRegular r:id="rId15" w:fontKey="{0A612D81-FB31-CA4D-B776-0A7603ECC757}"/>
    <w:embedItalic r:id="rId16" w:fontKey="{8A334B5D-1376-E748-9C39-3837D62C53CC}"/>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17" w:fontKey="{838A4445-A3A2-6D45-B87E-B34C97AAE097}"/>
  </w:font>
  <w:font w:name="Cambria Math">
    <w:panose1 w:val="02040503050406030204"/>
    <w:charset w:val="00"/>
    <w:family w:val="roman"/>
    <w:pitch w:val="variable"/>
    <w:sig w:usb0="E00002FF" w:usb1="420024FF" w:usb2="00000000" w:usb3="00000000" w:csb0="0000019F" w:csb1="00000000"/>
    <w:embedRegular r:id="rId18" w:fontKey="{BD4C5F21-F9BC-2641-A396-81CC46A94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0377919"/>
      <w:docPartObj>
        <w:docPartGallery w:val="Page Numbers (Bottom of Page)"/>
        <w:docPartUnique/>
      </w:docPartObj>
    </w:sdtPr>
    <w:sdtEndPr>
      <w:rPr>
        <w:rStyle w:val="PageNumber"/>
      </w:rPr>
    </w:sdtEndPr>
    <w:sdtContent>
      <w:p w14:paraId="6FC2F441" w14:textId="082BF4B8" w:rsidR="00E80F6E" w:rsidRDefault="00E80F6E" w:rsidP="000760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DF5F4F3" w14:textId="77777777" w:rsidR="00E80F6E" w:rsidRDefault="00E80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1832863"/>
      <w:docPartObj>
        <w:docPartGallery w:val="Page Numbers (Bottom of Page)"/>
        <w:docPartUnique/>
      </w:docPartObj>
    </w:sdtPr>
    <w:sdtEndPr>
      <w:rPr>
        <w:rStyle w:val="PageNumber"/>
      </w:rPr>
    </w:sdtEndPr>
    <w:sdtContent>
      <w:p w14:paraId="0779E76A" w14:textId="59F9A6B3" w:rsidR="00E80F6E" w:rsidRDefault="00E80F6E" w:rsidP="000760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2BAC32" w14:textId="77777777" w:rsidR="00E80F6E" w:rsidRDefault="00E80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4AF6E" w14:textId="77777777" w:rsidR="008E2101" w:rsidRDefault="008E2101" w:rsidP="00E80F6E">
      <w:r>
        <w:separator/>
      </w:r>
    </w:p>
  </w:footnote>
  <w:footnote w:type="continuationSeparator" w:id="0">
    <w:p w14:paraId="27BB02F1" w14:textId="77777777" w:rsidR="008E2101" w:rsidRDefault="008E2101" w:rsidP="00E80F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DC3"/>
    <w:rsid w:val="000076AA"/>
    <w:rsid w:val="000134AC"/>
    <w:rsid w:val="00031258"/>
    <w:rsid w:val="0003164B"/>
    <w:rsid w:val="000502CD"/>
    <w:rsid w:val="000616E1"/>
    <w:rsid w:val="00064FDD"/>
    <w:rsid w:val="0006629E"/>
    <w:rsid w:val="00072281"/>
    <w:rsid w:val="00077401"/>
    <w:rsid w:val="000C38F9"/>
    <w:rsid w:val="000C494F"/>
    <w:rsid w:val="000C505F"/>
    <w:rsid w:val="000C6259"/>
    <w:rsid w:val="000D1B55"/>
    <w:rsid w:val="000D319E"/>
    <w:rsid w:val="001079B2"/>
    <w:rsid w:val="0011357E"/>
    <w:rsid w:val="00113964"/>
    <w:rsid w:val="00113FC6"/>
    <w:rsid w:val="00116429"/>
    <w:rsid w:val="00124B53"/>
    <w:rsid w:val="0013396B"/>
    <w:rsid w:val="00142A76"/>
    <w:rsid w:val="0015072C"/>
    <w:rsid w:val="0015793F"/>
    <w:rsid w:val="001731E8"/>
    <w:rsid w:val="001B15B9"/>
    <w:rsid w:val="001B62C1"/>
    <w:rsid w:val="001C52A3"/>
    <w:rsid w:val="001F3118"/>
    <w:rsid w:val="001F3953"/>
    <w:rsid w:val="0020159D"/>
    <w:rsid w:val="00202DE0"/>
    <w:rsid w:val="00204703"/>
    <w:rsid w:val="00206D3D"/>
    <w:rsid w:val="002147FE"/>
    <w:rsid w:val="002303DA"/>
    <w:rsid w:val="002369BE"/>
    <w:rsid w:val="00257B45"/>
    <w:rsid w:val="0026172D"/>
    <w:rsid w:val="00287088"/>
    <w:rsid w:val="00290B92"/>
    <w:rsid w:val="002939A2"/>
    <w:rsid w:val="002A7DB6"/>
    <w:rsid w:val="002C0EB6"/>
    <w:rsid w:val="002D12D2"/>
    <w:rsid w:val="002E5CDD"/>
    <w:rsid w:val="002F24F4"/>
    <w:rsid w:val="003135A9"/>
    <w:rsid w:val="00323D33"/>
    <w:rsid w:val="00323DFB"/>
    <w:rsid w:val="0033657B"/>
    <w:rsid w:val="0034465F"/>
    <w:rsid w:val="003504A0"/>
    <w:rsid w:val="003638ED"/>
    <w:rsid w:val="003653EE"/>
    <w:rsid w:val="003830B6"/>
    <w:rsid w:val="003A4B5F"/>
    <w:rsid w:val="003C46BF"/>
    <w:rsid w:val="003C745D"/>
    <w:rsid w:val="003E3DEC"/>
    <w:rsid w:val="003F252E"/>
    <w:rsid w:val="003F50B1"/>
    <w:rsid w:val="004105A5"/>
    <w:rsid w:val="00413E6D"/>
    <w:rsid w:val="00424A88"/>
    <w:rsid w:val="00457D03"/>
    <w:rsid w:val="0047445E"/>
    <w:rsid w:val="0047568F"/>
    <w:rsid w:val="00477C10"/>
    <w:rsid w:val="004B4E3C"/>
    <w:rsid w:val="004E48AD"/>
    <w:rsid w:val="004F7D7F"/>
    <w:rsid w:val="00501D77"/>
    <w:rsid w:val="00526DAC"/>
    <w:rsid w:val="005322EE"/>
    <w:rsid w:val="0053632F"/>
    <w:rsid w:val="00547694"/>
    <w:rsid w:val="00553A16"/>
    <w:rsid w:val="0055463A"/>
    <w:rsid w:val="005624C0"/>
    <w:rsid w:val="00564630"/>
    <w:rsid w:val="005764EF"/>
    <w:rsid w:val="00585064"/>
    <w:rsid w:val="005A1CBD"/>
    <w:rsid w:val="005B3F3B"/>
    <w:rsid w:val="005C14C7"/>
    <w:rsid w:val="00604170"/>
    <w:rsid w:val="00626757"/>
    <w:rsid w:val="0064094F"/>
    <w:rsid w:val="0065127D"/>
    <w:rsid w:val="00652AF5"/>
    <w:rsid w:val="006573D4"/>
    <w:rsid w:val="00657740"/>
    <w:rsid w:val="00661A9E"/>
    <w:rsid w:val="0066271D"/>
    <w:rsid w:val="00672333"/>
    <w:rsid w:val="006725E3"/>
    <w:rsid w:val="0068146F"/>
    <w:rsid w:val="006825B9"/>
    <w:rsid w:val="00693B0E"/>
    <w:rsid w:val="006A0B61"/>
    <w:rsid w:val="006B3186"/>
    <w:rsid w:val="006D03D5"/>
    <w:rsid w:val="006D5B46"/>
    <w:rsid w:val="006E0E54"/>
    <w:rsid w:val="006E76D3"/>
    <w:rsid w:val="006F1057"/>
    <w:rsid w:val="006F7475"/>
    <w:rsid w:val="0071332F"/>
    <w:rsid w:val="00721A8E"/>
    <w:rsid w:val="007272BE"/>
    <w:rsid w:val="00727D9C"/>
    <w:rsid w:val="007355FB"/>
    <w:rsid w:val="007443D7"/>
    <w:rsid w:val="007451E2"/>
    <w:rsid w:val="00761DC3"/>
    <w:rsid w:val="00764A8C"/>
    <w:rsid w:val="007707BE"/>
    <w:rsid w:val="0077734C"/>
    <w:rsid w:val="0079393F"/>
    <w:rsid w:val="00794D9B"/>
    <w:rsid w:val="007A0567"/>
    <w:rsid w:val="007A06C3"/>
    <w:rsid w:val="007A5CD0"/>
    <w:rsid w:val="007B62A5"/>
    <w:rsid w:val="007C0CB7"/>
    <w:rsid w:val="007E7B3D"/>
    <w:rsid w:val="00801213"/>
    <w:rsid w:val="00840C06"/>
    <w:rsid w:val="00847294"/>
    <w:rsid w:val="0086124B"/>
    <w:rsid w:val="00862575"/>
    <w:rsid w:val="00884711"/>
    <w:rsid w:val="008D0575"/>
    <w:rsid w:val="008D41BE"/>
    <w:rsid w:val="008D5BC0"/>
    <w:rsid w:val="008E1D99"/>
    <w:rsid w:val="008E2101"/>
    <w:rsid w:val="008F4531"/>
    <w:rsid w:val="008F60FA"/>
    <w:rsid w:val="0091066F"/>
    <w:rsid w:val="009154FE"/>
    <w:rsid w:val="00920378"/>
    <w:rsid w:val="00921482"/>
    <w:rsid w:val="00951513"/>
    <w:rsid w:val="00952ED3"/>
    <w:rsid w:val="009600A2"/>
    <w:rsid w:val="00962485"/>
    <w:rsid w:val="00982385"/>
    <w:rsid w:val="009B5B7F"/>
    <w:rsid w:val="009C0B6A"/>
    <w:rsid w:val="009C6FA1"/>
    <w:rsid w:val="009D52CD"/>
    <w:rsid w:val="009E224D"/>
    <w:rsid w:val="009E3411"/>
    <w:rsid w:val="009E7FE8"/>
    <w:rsid w:val="009F1101"/>
    <w:rsid w:val="00A14B0D"/>
    <w:rsid w:val="00A338B3"/>
    <w:rsid w:val="00A43C6E"/>
    <w:rsid w:val="00A528FF"/>
    <w:rsid w:val="00A71D1F"/>
    <w:rsid w:val="00A729C9"/>
    <w:rsid w:val="00A73493"/>
    <w:rsid w:val="00A8731E"/>
    <w:rsid w:val="00A9198D"/>
    <w:rsid w:val="00A958C7"/>
    <w:rsid w:val="00AA38E4"/>
    <w:rsid w:val="00AC16F6"/>
    <w:rsid w:val="00AD3090"/>
    <w:rsid w:val="00AD370A"/>
    <w:rsid w:val="00AD3F9E"/>
    <w:rsid w:val="00AD5383"/>
    <w:rsid w:val="00B001C8"/>
    <w:rsid w:val="00B0248C"/>
    <w:rsid w:val="00B1402B"/>
    <w:rsid w:val="00B15545"/>
    <w:rsid w:val="00B1649F"/>
    <w:rsid w:val="00B24F88"/>
    <w:rsid w:val="00B25863"/>
    <w:rsid w:val="00B2735A"/>
    <w:rsid w:val="00B3030A"/>
    <w:rsid w:val="00B4048C"/>
    <w:rsid w:val="00B5346B"/>
    <w:rsid w:val="00B839F3"/>
    <w:rsid w:val="00B8782D"/>
    <w:rsid w:val="00B90253"/>
    <w:rsid w:val="00BA4C4C"/>
    <w:rsid w:val="00BA618D"/>
    <w:rsid w:val="00BA7F8C"/>
    <w:rsid w:val="00BD03CD"/>
    <w:rsid w:val="00BD703F"/>
    <w:rsid w:val="00C03524"/>
    <w:rsid w:val="00C04E58"/>
    <w:rsid w:val="00C11860"/>
    <w:rsid w:val="00C14564"/>
    <w:rsid w:val="00C15DB2"/>
    <w:rsid w:val="00C169CC"/>
    <w:rsid w:val="00C323E7"/>
    <w:rsid w:val="00C365C2"/>
    <w:rsid w:val="00C4480D"/>
    <w:rsid w:val="00C52F97"/>
    <w:rsid w:val="00C63660"/>
    <w:rsid w:val="00C84BA3"/>
    <w:rsid w:val="00C94494"/>
    <w:rsid w:val="00CA3CAB"/>
    <w:rsid w:val="00CA7744"/>
    <w:rsid w:val="00CB2EE1"/>
    <w:rsid w:val="00CC3B58"/>
    <w:rsid w:val="00CC77E1"/>
    <w:rsid w:val="00CD2422"/>
    <w:rsid w:val="00CE31F5"/>
    <w:rsid w:val="00CE4365"/>
    <w:rsid w:val="00CF23FB"/>
    <w:rsid w:val="00D019ED"/>
    <w:rsid w:val="00D067FD"/>
    <w:rsid w:val="00D16E90"/>
    <w:rsid w:val="00D26BEE"/>
    <w:rsid w:val="00D27536"/>
    <w:rsid w:val="00D3263E"/>
    <w:rsid w:val="00D55E43"/>
    <w:rsid w:val="00D64CEB"/>
    <w:rsid w:val="00D869B7"/>
    <w:rsid w:val="00D86DF1"/>
    <w:rsid w:val="00D91802"/>
    <w:rsid w:val="00DC1F7E"/>
    <w:rsid w:val="00DD0674"/>
    <w:rsid w:val="00DD3103"/>
    <w:rsid w:val="00DD6514"/>
    <w:rsid w:val="00DF3503"/>
    <w:rsid w:val="00E0236E"/>
    <w:rsid w:val="00E0657E"/>
    <w:rsid w:val="00E124A9"/>
    <w:rsid w:val="00E228CB"/>
    <w:rsid w:val="00E2355F"/>
    <w:rsid w:val="00E34296"/>
    <w:rsid w:val="00E5310E"/>
    <w:rsid w:val="00E5444D"/>
    <w:rsid w:val="00E62AB5"/>
    <w:rsid w:val="00E70464"/>
    <w:rsid w:val="00E80E22"/>
    <w:rsid w:val="00E80F6E"/>
    <w:rsid w:val="00E92BCB"/>
    <w:rsid w:val="00E9454D"/>
    <w:rsid w:val="00EA1DF6"/>
    <w:rsid w:val="00EB65C6"/>
    <w:rsid w:val="00EC49FA"/>
    <w:rsid w:val="00ED2973"/>
    <w:rsid w:val="00ED75C1"/>
    <w:rsid w:val="00F05D92"/>
    <w:rsid w:val="00F129A4"/>
    <w:rsid w:val="00F20C98"/>
    <w:rsid w:val="00F30485"/>
    <w:rsid w:val="00F3736B"/>
    <w:rsid w:val="00F66674"/>
    <w:rsid w:val="00F7413E"/>
    <w:rsid w:val="00F82D83"/>
    <w:rsid w:val="00F83B8A"/>
    <w:rsid w:val="00F850DE"/>
    <w:rsid w:val="00F9679F"/>
    <w:rsid w:val="00F975CB"/>
    <w:rsid w:val="00FA3791"/>
    <w:rsid w:val="00FB2301"/>
    <w:rsid w:val="00FB3EC3"/>
    <w:rsid w:val="00FC514C"/>
    <w:rsid w:val="00FD6E07"/>
    <w:rsid w:val="00FE2E7F"/>
    <w:rsid w:val="00FE3088"/>
    <w:rsid w:val="00FE40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F2F3C"/>
  <w15:docId w15:val="{6161012D-49DD-4E4C-A3FA-52385D63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4"/>
        <w:szCs w:val="24"/>
        <w:lang w:val="en-GB" w:eastAsia="zh-CN"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75"/>
  </w:style>
  <w:style w:type="paragraph" w:styleId="Heading1">
    <w:name w:val="heading 1"/>
    <w:basedOn w:val="Normal"/>
    <w:next w:val="Normal"/>
    <w:link w:val="Heading1Char"/>
    <w:uiPriority w:val="9"/>
    <w:qFormat/>
    <w:pPr>
      <w:keepNext/>
      <w:keepLines/>
      <w:spacing w:line="480" w:lineRule="auto"/>
      <w:ind w:left="0"/>
      <w:outlineLvl w:val="0"/>
    </w:pPr>
    <w:rPr>
      <w:rFonts w:ascii="Times New Roman" w:eastAsia="Times New Roman" w:hAnsi="Times New Roman" w:cs="Times New Roman"/>
      <w:b/>
      <w:color w:val="000000"/>
      <w:sz w:val="28"/>
      <w:szCs w:val="28"/>
    </w:rPr>
  </w:style>
  <w:style w:type="paragraph" w:styleId="Heading2">
    <w:name w:val="heading 2"/>
    <w:basedOn w:val="Normal"/>
    <w:next w:val="Normal"/>
    <w:link w:val="Heading2Char"/>
    <w:uiPriority w:val="9"/>
    <w:unhideWhenUsed/>
    <w:qFormat/>
    <w:pPr>
      <w:keepNext/>
      <w:keepLines/>
      <w:spacing w:line="480" w:lineRule="auto"/>
      <w:ind w:left="0"/>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pPr>
      <w:keepNext/>
      <w:keepLines/>
      <w:spacing w:line="480" w:lineRule="auto"/>
      <w:outlineLvl w:val="2"/>
    </w:pPr>
    <w:rPr>
      <w:rFonts w:ascii="Times New Roman" w:eastAsia="Times New Roman" w:hAnsi="Times New Roman" w:cs="Times New Roman"/>
      <w:i/>
      <w:color w:val="000000"/>
    </w:rPr>
  </w:style>
  <w:style w:type="paragraph" w:styleId="Heading4">
    <w:name w:val="heading 4"/>
    <w:basedOn w:val="Normal"/>
    <w:next w:val="Normal"/>
    <w:link w:val="Heading4Char"/>
    <w:uiPriority w:val="9"/>
    <w:semiHidden/>
    <w:unhideWhenUsed/>
    <w:qFormat/>
    <w:pPr>
      <w:keepNext/>
      <w:keepLines/>
      <w:spacing w:before="40"/>
      <w:outlineLvl w:val="3"/>
    </w:pPr>
    <w:rPr>
      <w:rFonts w:ascii="Play" w:eastAsia="Play" w:hAnsi="Play" w:cs="Play"/>
      <w:i/>
      <w:color w:val="0F476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F4090"/>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453E7E"/>
    <w:rPr>
      <w:rFonts w:ascii="Times New Roman" w:eastAsiaTheme="majorEastAsia" w:hAnsi="Times New Roman" w:cstheme="majorBidi"/>
      <w:b/>
      <w:color w:val="000000" w:themeColor="text1"/>
      <w:szCs w:val="26"/>
      <w:lang w:val="en-US"/>
    </w:rPr>
  </w:style>
  <w:style w:type="character" w:customStyle="1" w:styleId="Heading3Char">
    <w:name w:val="Heading 3 Char"/>
    <w:basedOn w:val="DefaultParagraphFont"/>
    <w:link w:val="Heading3"/>
    <w:uiPriority w:val="9"/>
    <w:rsid w:val="00773969"/>
    <w:rPr>
      <w:rFonts w:ascii="Times New Roman" w:eastAsiaTheme="majorEastAsia" w:hAnsi="Times New Roman" w:cstheme="majorBidi"/>
      <w:i/>
      <w:color w:val="000000" w:themeColor="text1"/>
    </w:rPr>
  </w:style>
  <w:style w:type="character" w:customStyle="1" w:styleId="Heading4Char">
    <w:name w:val="Heading 4 Char"/>
    <w:basedOn w:val="DefaultParagraphFont"/>
    <w:link w:val="Heading4"/>
    <w:uiPriority w:val="9"/>
    <w:rsid w:val="00FD4FAE"/>
    <w:rPr>
      <w:rFonts w:asciiTheme="majorHAnsi" w:eastAsiaTheme="majorEastAsia" w:hAnsiTheme="majorHAnsi" w:cstheme="majorBidi"/>
      <w:i/>
      <w:iCs/>
      <w:color w:val="0F4761" w:themeColor="accent1" w:themeShade="BF"/>
    </w:rPr>
  </w:style>
  <w:style w:type="paragraph" w:styleId="TOCHeading">
    <w:name w:val="TOC Heading"/>
    <w:basedOn w:val="Heading1"/>
    <w:next w:val="Normal"/>
    <w:uiPriority w:val="39"/>
    <w:unhideWhenUsed/>
    <w:qFormat/>
    <w:rsid w:val="00F536B5"/>
    <w:pPr>
      <w:spacing w:before="480" w:line="276" w:lineRule="auto"/>
      <w:outlineLvl w:val="9"/>
    </w:pPr>
    <w:rPr>
      <w:rFonts w:asciiTheme="majorHAnsi" w:hAnsiTheme="majorHAnsi"/>
      <w:bCs/>
      <w:color w:val="0F4761" w:themeColor="accent1" w:themeShade="BF"/>
      <w:lang w:val="en-US" w:eastAsia="en-US"/>
    </w:rPr>
  </w:style>
  <w:style w:type="paragraph" w:styleId="TOC1">
    <w:name w:val="toc 1"/>
    <w:basedOn w:val="Normal"/>
    <w:next w:val="Normal"/>
    <w:autoRedefine/>
    <w:uiPriority w:val="39"/>
    <w:unhideWhenUsed/>
    <w:rsid w:val="005B3F3B"/>
    <w:pPr>
      <w:tabs>
        <w:tab w:val="right" w:leader="dot" w:pos="9016"/>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F536B5"/>
    <w:pPr>
      <w:ind w:left="240"/>
    </w:pPr>
    <w:rPr>
      <w:rFonts w:asciiTheme="minorHAnsi" w:hAnsiTheme="minorHAnsi"/>
      <w:smallCaps/>
      <w:sz w:val="20"/>
      <w:szCs w:val="20"/>
    </w:rPr>
  </w:style>
  <w:style w:type="paragraph" w:styleId="TOC3">
    <w:name w:val="toc 3"/>
    <w:basedOn w:val="Normal"/>
    <w:next w:val="Normal"/>
    <w:autoRedefine/>
    <w:uiPriority w:val="39"/>
    <w:unhideWhenUsed/>
    <w:rsid w:val="00F536B5"/>
    <w:pPr>
      <w:ind w:left="480"/>
    </w:pPr>
    <w:rPr>
      <w:rFonts w:asciiTheme="minorHAnsi" w:hAnsiTheme="minorHAnsi"/>
      <w:i/>
      <w:iCs/>
      <w:sz w:val="20"/>
      <w:szCs w:val="20"/>
    </w:rPr>
  </w:style>
  <w:style w:type="character" w:styleId="Hyperlink">
    <w:name w:val="Hyperlink"/>
    <w:basedOn w:val="DefaultParagraphFont"/>
    <w:uiPriority w:val="99"/>
    <w:unhideWhenUsed/>
    <w:rsid w:val="00F536B5"/>
    <w:rPr>
      <w:color w:val="467886" w:themeColor="hyperlink"/>
      <w:u w:val="single"/>
    </w:rPr>
  </w:style>
  <w:style w:type="paragraph" w:styleId="TOC4">
    <w:name w:val="toc 4"/>
    <w:basedOn w:val="Normal"/>
    <w:next w:val="Normal"/>
    <w:autoRedefine/>
    <w:uiPriority w:val="39"/>
    <w:unhideWhenUsed/>
    <w:rsid w:val="00F536B5"/>
    <w:rPr>
      <w:rFonts w:asciiTheme="minorHAnsi" w:hAnsiTheme="minorHAnsi"/>
      <w:sz w:val="18"/>
      <w:szCs w:val="18"/>
    </w:rPr>
  </w:style>
  <w:style w:type="paragraph" w:styleId="TOC5">
    <w:name w:val="toc 5"/>
    <w:basedOn w:val="Normal"/>
    <w:next w:val="Normal"/>
    <w:autoRedefine/>
    <w:uiPriority w:val="39"/>
    <w:unhideWhenUsed/>
    <w:rsid w:val="00F536B5"/>
    <w:pPr>
      <w:ind w:left="960"/>
    </w:pPr>
    <w:rPr>
      <w:rFonts w:asciiTheme="minorHAnsi" w:hAnsiTheme="minorHAnsi"/>
      <w:sz w:val="18"/>
      <w:szCs w:val="18"/>
    </w:rPr>
  </w:style>
  <w:style w:type="paragraph" w:styleId="TOC6">
    <w:name w:val="toc 6"/>
    <w:basedOn w:val="Normal"/>
    <w:next w:val="Normal"/>
    <w:autoRedefine/>
    <w:uiPriority w:val="39"/>
    <w:unhideWhenUsed/>
    <w:rsid w:val="00F536B5"/>
    <w:pPr>
      <w:ind w:left="1200"/>
    </w:pPr>
    <w:rPr>
      <w:rFonts w:asciiTheme="minorHAnsi" w:hAnsiTheme="minorHAnsi"/>
      <w:sz w:val="18"/>
      <w:szCs w:val="18"/>
    </w:rPr>
  </w:style>
  <w:style w:type="paragraph" w:styleId="TOC7">
    <w:name w:val="toc 7"/>
    <w:basedOn w:val="Normal"/>
    <w:next w:val="Normal"/>
    <w:autoRedefine/>
    <w:uiPriority w:val="39"/>
    <w:unhideWhenUsed/>
    <w:rsid w:val="00F536B5"/>
    <w:pPr>
      <w:ind w:left="1440"/>
    </w:pPr>
    <w:rPr>
      <w:rFonts w:asciiTheme="minorHAnsi" w:hAnsiTheme="minorHAnsi"/>
      <w:sz w:val="18"/>
      <w:szCs w:val="18"/>
    </w:rPr>
  </w:style>
  <w:style w:type="paragraph" w:styleId="TOC8">
    <w:name w:val="toc 8"/>
    <w:basedOn w:val="Normal"/>
    <w:next w:val="Normal"/>
    <w:autoRedefine/>
    <w:uiPriority w:val="39"/>
    <w:unhideWhenUsed/>
    <w:rsid w:val="00F536B5"/>
    <w:pPr>
      <w:ind w:left="1680"/>
    </w:pPr>
    <w:rPr>
      <w:rFonts w:asciiTheme="minorHAnsi" w:hAnsiTheme="minorHAnsi"/>
      <w:sz w:val="18"/>
      <w:szCs w:val="18"/>
    </w:rPr>
  </w:style>
  <w:style w:type="paragraph" w:styleId="TOC9">
    <w:name w:val="toc 9"/>
    <w:basedOn w:val="Normal"/>
    <w:next w:val="Normal"/>
    <w:autoRedefine/>
    <w:uiPriority w:val="39"/>
    <w:unhideWhenUsed/>
    <w:rsid w:val="00F536B5"/>
    <w:pPr>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3529C2"/>
    <w:rPr>
      <w:color w:val="605E5C"/>
      <w:shd w:val="clear" w:color="auto" w:fill="E1DFDD"/>
    </w:rPr>
  </w:style>
  <w:style w:type="paragraph" w:styleId="Revision">
    <w:name w:val="Revision"/>
    <w:hidden/>
    <w:uiPriority w:val="99"/>
    <w:semiHidden/>
    <w:rsid w:val="00E940DF"/>
    <w:pPr>
      <w:ind w:left="0"/>
    </w:pPr>
  </w:style>
  <w:style w:type="character" w:styleId="CommentReference">
    <w:name w:val="annotation reference"/>
    <w:basedOn w:val="DefaultParagraphFont"/>
    <w:uiPriority w:val="99"/>
    <w:semiHidden/>
    <w:unhideWhenUsed/>
    <w:rsid w:val="00FF34B3"/>
    <w:rPr>
      <w:sz w:val="16"/>
      <w:szCs w:val="16"/>
    </w:rPr>
  </w:style>
  <w:style w:type="paragraph" w:styleId="CommentText">
    <w:name w:val="annotation text"/>
    <w:basedOn w:val="Normal"/>
    <w:link w:val="CommentTextChar"/>
    <w:uiPriority w:val="99"/>
    <w:semiHidden/>
    <w:unhideWhenUsed/>
    <w:rsid w:val="00FF34B3"/>
    <w:rPr>
      <w:sz w:val="20"/>
      <w:szCs w:val="20"/>
    </w:rPr>
  </w:style>
  <w:style w:type="character" w:customStyle="1" w:styleId="CommentTextChar">
    <w:name w:val="Comment Text Char"/>
    <w:basedOn w:val="DefaultParagraphFont"/>
    <w:link w:val="CommentText"/>
    <w:uiPriority w:val="99"/>
    <w:semiHidden/>
    <w:rsid w:val="00FF34B3"/>
    <w:rPr>
      <w:sz w:val="20"/>
      <w:szCs w:val="20"/>
    </w:rPr>
  </w:style>
  <w:style w:type="paragraph" w:styleId="CommentSubject">
    <w:name w:val="annotation subject"/>
    <w:basedOn w:val="CommentText"/>
    <w:next w:val="CommentText"/>
    <w:link w:val="CommentSubjectChar"/>
    <w:uiPriority w:val="99"/>
    <w:semiHidden/>
    <w:unhideWhenUsed/>
    <w:rsid w:val="00FF34B3"/>
    <w:rPr>
      <w:b/>
      <w:bCs/>
    </w:rPr>
  </w:style>
  <w:style w:type="character" w:customStyle="1" w:styleId="CommentSubjectChar">
    <w:name w:val="Comment Subject Char"/>
    <w:basedOn w:val="CommentTextChar"/>
    <w:link w:val="CommentSubject"/>
    <w:uiPriority w:val="99"/>
    <w:semiHidden/>
    <w:rsid w:val="00FF34B3"/>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ibliography">
    <w:name w:val="Bibliography"/>
    <w:basedOn w:val="Normal"/>
    <w:next w:val="Normal"/>
    <w:uiPriority w:val="37"/>
    <w:unhideWhenUsed/>
    <w:rsid w:val="007272BE"/>
    <w:pPr>
      <w:tabs>
        <w:tab w:val="left" w:pos="260"/>
      </w:tabs>
      <w:spacing w:line="480" w:lineRule="auto"/>
      <w:ind w:left="264" w:hanging="264"/>
    </w:pPr>
  </w:style>
  <w:style w:type="paragraph" w:styleId="BalloonText">
    <w:name w:val="Balloon Text"/>
    <w:basedOn w:val="Normal"/>
    <w:link w:val="BalloonTextChar"/>
    <w:uiPriority w:val="99"/>
    <w:semiHidden/>
    <w:unhideWhenUsed/>
    <w:rsid w:val="00B839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39F3"/>
    <w:rPr>
      <w:rFonts w:ascii="Times New Roman" w:hAnsi="Times New Roman" w:cs="Times New Roman"/>
      <w:sz w:val="18"/>
      <w:szCs w:val="18"/>
    </w:rPr>
  </w:style>
  <w:style w:type="paragraph" w:styleId="Footer">
    <w:name w:val="footer"/>
    <w:basedOn w:val="Normal"/>
    <w:link w:val="FooterChar"/>
    <w:uiPriority w:val="99"/>
    <w:unhideWhenUsed/>
    <w:rsid w:val="00E80F6E"/>
    <w:pPr>
      <w:tabs>
        <w:tab w:val="center" w:pos="4513"/>
        <w:tab w:val="right" w:pos="9026"/>
      </w:tabs>
    </w:pPr>
  </w:style>
  <w:style w:type="character" w:customStyle="1" w:styleId="FooterChar">
    <w:name w:val="Footer Char"/>
    <w:basedOn w:val="DefaultParagraphFont"/>
    <w:link w:val="Footer"/>
    <w:uiPriority w:val="99"/>
    <w:rsid w:val="00E80F6E"/>
  </w:style>
  <w:style w:type="character" w:styleId="PageNumber">
    <w:name w:val="page number"/>
    <w:basedOn w:val="DefaultParagraphFont"/>
    <w:uiPriority w:val="99"/>
    <w:semiHidden/>
    <w:unhideWhenUsed/>
    <w:rsid w:val="00E8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github.com/XinyangYu918/Meta-analysis-of-cortical-EWA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ENIGMA-git/ENIGMA-FreeSurfer-protoco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enigma.ini.usc.edu/protocols/imaging-protocols/"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17F7E6-FAA9-D44B-B0C6-E7FD56ABF8C2}">
  <we:reference id="wa200001011" version="1.4.0.0" store="en-GB" storeType="OMEX"/>
  <we:alternateReferences>
    <we:reference id="wa200001011" version="1.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vT8s0cOypnHCQ05q5DzNIKrXw==">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</go:docsCustomData>
</go:gDocsCustomXmlDataStorage>
</file>

<file path=customXml/itemProps1.xml><?xml version="1.0" encoding="utf-8"?>
<ds:datastoreItem xmlns:ds="http://schemas.openxmlformats.org/officeDocument/2006/customXml" ds:itemID="{5A2E6634-E6A1-284F-AFC4-3A24F00144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39</Pages>
  <Words>34401</Words>
  <Characters>213979</Characters>
  <Application>Microsoft Office Word</Application>
  <DocSecurity>0</DocSecurity>
  <Lines>3396</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Xinyang Yu</dc:creator>
  <cp:lastModifiedBy>Xinyang Yu</cp:lastModifiedBy>
  <cp:revision>146</cp:revision>
  <dcterms:created xsi:type="dcterms:W3CDTF">2026-02-19T14:10:00Z</dcterms:created>
  <dcterms:modified xsi:type="dcterms:W3CDTF">2026-03-16T09:25:00Z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id="5FhLWaUa"/&gt;&lt;style id="http://www.zotero.org/styles/nature-genetics"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y fmtid="{D5CDD505-2E9C-101B-9397-08002B2CF9AE}" pid="4" name="grammarly_documentId">
    <vt:lpwstr>documentId_9788</vt:lpwstr>
  </property>
  <property fmtid="{D5CDD505-2E9C-101B-9397-08002B2CF9AE}" pid="5" name="grammarly_documentContext">
    <vt:lpwstr>{"goals":[],"domain":"general","emotions":[],"dialect":"british"}</vt:lpwstr>
  </property>
</Properties>
</file>