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6B67B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Supplementary Figure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and </w:t>
      </w:r>
      <w:r>
        <w:rPr>
          <w:rFonts w:ascii="Times New Roman" w:hAnsi="Times New Roman" w:cs="Times New Roman"/>
          <w:b/>
          <w:bCs/>
          <w:sz w:val="28"/>
          <w:szCs w:val="28"/>
        </w:rPr>
        <w:t>Figure Legends</w:t>
      </w:r>
    </w:p>
    <w:p w14:paraId="1A43670D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</w:p>
    <w:p w14:paraId="26D51373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drawing>
          <wp:inline distT="0" distB="0" distL="0" distR="0" wp14:anchorId="7271619F" wp14:editId="02BB14A4">
            <wp:extent cx="4291330" cy="4537710"/>
            <wp:effectExtent l="0" t="0" r="0" b="0"/>
            <wp:docPr id="208676798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767986" name="图片 2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3182" cy="455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57DF51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>
        <w:rPr>
          <w:rFonts w:ascii="Times New Roman" w:hAnsi="Times New Roman" w:cs="Times New Roman"/>
          <w:sz w:val="24"/>
          <w:szCs w:val="24"/>
        </w:rPr>
        <w:t xml:space="preserve"> Statistical data, clinical staging and metastatic characteristics of laryngeal cancer in 2026 by World Health Organization (WHO) global cancer</w:t>
      </w:r>
    </w:p>
    <w:p w14:paraId="611F1DA3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 Global prevalence of laryngeal cancer in China; (B) Incidence rate and distribution of laryngeal cancer among men and women in various regions of the world; (C) Incidence rate and mortality rate of laryngeal cancer among tumors in the whole body; (D) Clinical common laryngeal cancer subtypes; and (E) Clinical common metastatic sites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laryngeal cancer.</w:t>
      </w:r>
    </w:p>
    <w:p w14:paraId="01C0CFAF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2</w:t>
      </w:r>
    </w:p>
    <w:p w14:paraId="5CEC1B67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lastRenderedPageBreak/>
        <w:drawing>
          <wp:inline distT="0" distB="0" distL="0" distR="0" wp14:anchorId="5E137F10" wp14:editId="2CFE7E74">
            <wp:extent cx="5514975" cy="5413375"/>
            <wp:effectExtent l="0" t="0" r="0" b="0"/>
            <wp:docPr id="57447932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479321" name="图片 2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7082" cy="5454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E42C6A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2</w:t>
      </w:r>
      <w:r>
        <w:rPr>
          <w:rFonts w:ascii="Times New Roman" w:hAnsi="Times New Roman" w:cs="Times New Roman"/>
          <w:sz w:val="24"/>
          <w:szCs w:val="24"/>
        </w:rPr>
        <w:t xml:space="preserve"> SOX4 downstream target gene screening and validation</w:t>
      </w:r>
    </w:p>
    <w:p w14:paraId="1488C1DE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 PCA plots of cellular transcriptome sequencing and differential gene Venn diagrams after knockdown of SOX4; (B, C) Volcano plots and heatmaps showing differential differentially differentiated genes with significantly up-regulated and down-regulated expression; (D) Bar graphs and bar graphs showing GO database annotation analyses and enrichment analyses of pathways, respectively; (E) Bar graphs and bar graphs showing DO database annotation analyses and enrichment analyses of pathways, respectively; (F) Bar graphs showing the cellular expression of PTBP2, IFI6, and IFI27 after knockdown of SOX4. 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0.05, **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0.01, ***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0.001.</w:t>
      </w:r>
    </w:p>
    <w:p w14:paraId="5D820F94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3</w:t>
      </w:r>
    </w:p>
    <w:p w14:paraId="619C87DD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drawing>
          <wp:inline distT="0" distB="0" distL="0" distR="0" wp14:anchorId="3A45F95D" wp14:editId="297C3ABB">
            <wp:extent cx="5157470" cy="5051425"/>
            <wp:effectExtent l="0" t="0" r="5080" b="0"/>
            <wp:docPr id="30208978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089788" name="图片 2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5488" cy="5078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152717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3</w:t>
      </w:r>
      <w:r>
        <w:rPr>
          <w:rFonts w:ascii="Times New Roman" w:hAnsi="Times New Roman" w:cs="Times New Roman"/>
          <w:sz w:val="24"/>
          <w:szCs w:val="24"/>
        </w:rPr>
        <w:t xml:space="preserve"> PTBP2 expression in laryngeal squamous carcinoma cells and its effect on cell proliferation, migration and invasion ability</w:t>
      </w:r>
    </w:p>
    <w:p w14:paraId="3F897639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Bar graph showing the expression level of PTBP2 in TU177 after knockdown/overexpression of SOX4; (B) Bar graph showing the expression level of PTBP2 in AMC-HN-8 after knockdown/overexpression of SOX4; (C) Bar graph showing the expression efficiency of PTBP2 after knockdown/overexpression of PTBP2 in TU177; (D, E) Results of the clone formation assay showing the proliferation changes in laryngeal cancer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cells after knockdown/overexpression of SOX4; (F, G) Bar graph showing the cell scratch healing rate after knockdown and overexpression of PTBP2; (H, I)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Transwell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assay showing that PTBP2 regulates the migration and invasion ability of laryngeal cancer cells. 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0.05, **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0.01, ***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0.001.</w:t>
      </w:r>
    </w:p>
    <w:p w14:paraId="17892C85" w14:textId="77777777" w:rsidR="00CF7307" w:rsidRDefault="00CF7307" w:rsidP="00CF7307">
      <w:pPr>
        <w:tabs>
          <w:tab w:val="left" w:pos="4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7DAC8F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Material 1</w:t>
      </w:r>
    </w:p>
    <w:p w14:paraId="64518CF0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Gene Ontology</w:t>
      </w:r>
      <w:r>
        <w:rPr>
          <w:rFonts w:ascii="Times New Roman" w:hAnsi="Times New Roman" w:cs="Times New Roman" w:hint="eastAsia"/>
          <w:sz w:val="24"/>
          <w:szCs w:val="24"/>
        </w:rPr>
        <w:t>):</w:t>
      </w:r>
    </w:p>
    <w:p w14:paraId="2798CCB9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hyperlink r:id="rId7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https://www.geneontology.org/</w:t>
        </w:r>
      </w:hyperlink>
    </w:p>
    <w:p w14:paraId="2BF2A083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</w:p>
    <w:p w14:paraId="16048A20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KEGG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Kyoto Encyclopedia of Genes and Genomes</w:t>
      </w:r>
      <w:r>
        <w:rPr>
          <w:rFonts w:ascii="Times New Roman" w:hAnsi="Times New Roman" w:cs="Times New Roman" w:hint="eastAsia"/>
          <w:sz w:val="24"/>
          <w:szCs w:val="24"/>
        </w:rPr>
        <w:t>):</w:t>
      </w:r>
    </w:p>
    <w:p w14:paraId="47339A82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hyperlink r:id="rId8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https://www.genome.jp/kegg/</w:t>
        </w:r>
      </w:hyperlink>
    </w:p>
    <w:p w14:paraId="21BB3F80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</w:p>
    <w:p w14:paraId="277FD5E9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World Health Organization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Global Cancer</w:t>
      </w:r>
      <w:r>
        <w:rPr>
          <w:rFonts w:ascii="Times New Roman" w:hAnsi="Times New Roman" w:cs="Times New Roman" w:hint="eastAsia"/>
          <w:sz w:val="24"/>
          <w:szCs w:val="24"/>
        </w:rPr>
        <w:t>:</w:t>
      </w:r>
    </w:p>
    <w:p w14:paraId="6E3E1F43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hyperlink r:id="rId9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https://gco.iarc.who.int/en</w:t>
        </w:r>
      </w:hyperlink>
    </w:p>
    <w:p w14:paraId="60424273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</w:p>
    <w:p w14:paraId="68FC3262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GEO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Gene Expression Omnibus</w:t>
      </w:r>
      <w:r>
        <w:rPr>
          <w:rFonts w:ascii="Times New Roman" w:hAnsi="Times New Roman" w:cs="Times New Roman" w:hint="eastAsia"/>
          <w:sz w:val="24"/>
          <w:szCs w:val="24"/>
        </w:rPr>
        <w:t>):</w:t>
      </w:r>
    </w:p>
    <w:p w14:paraId="2E25B611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hyperlink r:id="rId10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https://www.ncbi.nlm.nih.gov/geo/browse/?view=series&amp;sort=type</w:t>
        </w:r>
      </w:hyperlink>
    </w:p>
    <w:p w14:paraId="77C66331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</w:p>
    <w:p w14:paraId="10D857C6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String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Search Tool for Rare or Non-redundant sequences</w:t>
      </w:r>
      <w:r>
        <w:rPr>
          <w:rFonts w:ascii="Times New Roman" w:hAnsi="Times New Roman" w:cs="Times New Roman" w:hint="eastAsia"/>
          <w:sz w:val="24"/>
          <w:szCs w:val="24"/>
        </w:rPr>
        <w:t>):</w:t>
      </w:r>
    </w:p>
    <w:p w14:paraId="56ABFBE7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hyperlink r:id="rId11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https://string-db.org/</w:t>
        </w:r>
      </w:hyperlink>
    </w:p>
    <w:p w14:paraId="1EEBB6DE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</w:p>
    <w:p w14:paraId="53D33658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TCGA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The Cancer Genome Atlas Program</w:t>
      </w:r>
      <w:r>
        <w:rPr>
          <w:rFonts w:ascii="Times New Roman" w:hAnsi="Times New Roman" w:cs="Times New Roman" w:hint="eastAsia"/>
          <w:sz w:val="24"/>
          <w:szCs w:val="24"/>
        </w:rPr>
        <w:t>):</w:t>
      </w:r>
    </w:p>
    <w:p w14:paraId="68D8A3AF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hyperlink r:id="rId12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https://www.cancer.gov/ccg/research/genome-sequencing/tcga</w:t>
        </w:r>
      </w:hyperlink>
    </w:p>
    <w:p w14:paraId="5A0C68FC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</w:p>
    <w:p w14:paraId="2924616B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TIMER</w:t>
      </w:r>
      <w:r>
        <w:rPr>
          <w:rFonts w:ascii="Times New Roman" w:hAnsi="Times New Roman" w:cs="Times New Roman" w:hint="eastAsia"/>
          <w:sz w:val="24"/>
          <w:szCs w:val="24"/>
        </w:rPr>
        <w:t xml:space="preserve"> 2.0(</w:t>
      </w:r>
      <w:r>
        <w:rPr>
          <w:rFonts w:ascii="Times New Roman" w:hAnsi="Times New Roman" w:cs="Times New Roman"/>
          <w:sz w:val="24"/>
          <w:szCs w:val="24"/>
        </w:rPr>
        <w:t>Tumor Immune Estimation Resource</w:t>
      </w:r>
      <w:r>
        <w:rPr>
          <w:rFonts w:ascii="Times New Roman" w:hAnsi="Times New Roman" w:cs="Times New Roman" w:hint="eastAsia"/>
          <w:sz w:val="24"/>
          <w:szCs w:val="24"/>
        </w:rPr>
        <w:t xml:space="preserve"> 2.0):</w:t>
      </w:r>
    </w:p>
    <w:p w14:paraId="73B9FF7D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hyperlink r:id="rId13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https://compbio.cn/timer2/</w:t>
        </w:r>
      </w:hyperlink>
    </w:p>
    <w:p w14:paraId="418B5266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</w:p>
    <w:p w14:paraId="18E4F3CA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DepMap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Cancer Dependency Map</w:t>
      </w:r>
      <w:r>
        <w:rPr>
          <w:rFonts w:ascii="Times New Roman" w:hAnsi="Times New Roman" w:cs="Times New Roman" w:hint="eastAsia"/>
          <w:sz w:val="24"/>
          <w:szCs w:val="24"/>
        </w:rPr>
        <w:t>):</w:t>
      </w:r>
    </w:p>
    <w:p w14:paraId="226952F8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hyperlink r:id="rId14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https://depmap.org/portal/</w:t>
        </w:r>
      </w:hyperlink>
    </w:p>
    <w:p w14:paraId="3DA0AB9E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</w:p>
    <w:p w14:paraId="57E496BA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NCBI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National Center for Biotechnology Information</w:t>
      </w:r>
      <w:r>
        <w:rPr>
          <w:rFonts w:ascii="Times New Roman" w:hAnsi="Times New Roman" w:cs="Times New Roman" w:hint="eastAsia"/>
          <w:sz w:val="24"/>
          <w:szCs w:val="24"/>
        </w:rPr>
        <w:t>):</w:t>
      </w:r>
    </w:p>
    <w:p w14:paraId="77773E99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hyperlink r:id="rId15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https://static.pubmed.gov/portal/portal.fcgi/</w:t>
        </w:r>
      </w:hyperlink>
    </w:p>
    <w:p w14:paraId="34A97C67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</w:p>
    <w:p w14:paraId="651648F8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Supplementary Material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</w:p>
    <w:p w14:paraId="22FA2BDC" w14:textId="77777777" w:rsidR="00CF7307" w:rsidRDefault="00CF7307" w:rsidP="00CF7307">
      <w:pPr>
        <w:tabs>
          <w:tab w:val="left" w:pos="420"/>
        </w:tabs>
        <w:spacing w:line="480" w:lineRule="auto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Consent and Commitment Form for Ethical Review of Laboratory Animal Welfare</w:t>
      </w:r>
    </w:p>
    <w:p w14:paraId="29681187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307"/>
    <w:rsid w:val="00066677"/>
    <w:rsid w:val="003A4E89"/>
    <w:rsid w:val="00556784"/>
    <w:rsid w:val="008B07A6"/>
    <w:rsid w:val="00987B63"/>
    <w:rsid w:val="00AD5A68"/>
    <w:rsid w:val="00CF7307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5714B"/>
  <w15:chartTrackingRefBased/>
  <w15:docId w15:val="{44E15882-EAF1-406B-BEB3-F4DFCD841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30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730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730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730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730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730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730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730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730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730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73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73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73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73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73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73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73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73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73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730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F7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730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F73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730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CF73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730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CF73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730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73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730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qFormat/>
    <w:rsid w:val="00CF73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enome.jp/kegg/" TargetMode="External"/><Relationship Id="rId13" Type="http://schemas.openxmlformats.org/officeDocument/2006/relationships/hyperlink" Target="https://compbio.cn/timer2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eneontology.org/" TargetMode="External"/><Relationship Id="rId12" Type="http://schemas.openxmlformats.org/officeDocument/2006/relationships/hyperlink" Target="https://www.cancer.gov/ccg/research/genome-sequencing/tcga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hyperlink" Target="https://string-db.org/" TargetMode="External"/><Relationship Id="rId5" Type="http://schemas.openxmlformats.org/officeDocument/2006/relationships/image" Target="media/image2.tiff"/><Relationship Id="rId15" Type="http://schemas.openxmlformats.org/officeDocument/2006/relationships/hyperlink" Target="https://static.pubmed.gov/portal/portal.fcgi/" TargetMode="External"/><Relationship Id="rId10" Type="http://schemas.openxmlformats.org/officeDocument/2006/relationships/hyperlink" Target="https://www.ncbi.nlm.nih.gov/geo/browse/?view=series&amp;sort=type" TargetMode="External"/><Relationship Id="rId4" Type="http://schemas.openxmlformats.org/officeDocument/2006/relationships/image" Target="media/image1.tiff"/><Relationship Id="rId9" Type="http://schemas.openxmlformats.org/officeDocument/2006/relationships/hyperlink" Target="https://gco.iarc.who.int/en" TargetMode="External"/><Relationship Id="rId14" Type="http://schemas.openxmlformats.org/officeDocument/2006/relationships/hyperlink" Target="https://depmap.org/porta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513</Words>
  <Characters>3013</Characters>
  <Application>Microsoft Office Word</Application>
  <DocSecurity>0</DocSecurity>
  <Lines>61</Lines>
  <Paragraphs>18</Paragraphs>
  <ScaleCrop>false</ScaleCrop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2026-03-30T14:52:00Z</dcterms:created>
  <dcterms:modified xsi:type="dcterms:W3CDTF">2026-03-30T14:52:00Z</dcterms:modified>
</cp:coreProperties>
</file>